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distribute"/>
        <w:textAlignment w:val="bottom"/>
        <w:rPr>
          <w:rFonts w:ascii="宋体" w:hAnsi="宋体"/>
          <w:bCs/>
          <w:color w:val="auto"/>
          <w:sz w:val="72"/>
          <w:szCs w:val="72"/>
          <w:highlight w:val="none"/>
        </w:rPr>
      </w:pPr>
      <w:r>
        <w:rPr>
          <w:rFonts w:hint="eastAsia" w:ascii="宋体" w:hAnsi="宋体"/>
          <w:b/>
          <w:bCs/>
          <w:color w:val="auto"/>
          <w:sz w:val="72"/>
          <w:szCs w:val="72"/>
          <w:highlight w:val="none"/>
          <w:lang w:val="en-US" w:eastAsia="zh-CN"/>
        </w:rPr>
        <w:t>瓯海</w:t>
      </w:r>
      <w:r>
        <w:rPr>
          <w:rFonts w:hint="eastAsia" w:ascii="宋体" w:hAnsi="宋体"/>
          <w:b/>
          <w:bCs/>
          <w:color w:val="auto"/>
          <w:sz w:val="72"/>
          <w:szCs w:val="72"/>
          <w:highlight w:val="none"/>
        </w:rPr>
        <w:t>区</w:t>
      </w:r>
      <w:r>
        <w:rPr>
          <w:rFonts w:hint="eastAsia" w:ascii="宋体" w:hAnsi="宋体"/>
          <w:b/>
          <w:bCs/>
          <w:color w:val="auto"/>
          <w:sz w:val="72"/>
          <w:szCs w:val="72"/>
          <w:highlight w:val="none"/>
          <w:lang w:val="en-US" w:eastAsia="zh-CN"/>
        </w:rPr>
        <w:t>政府</w:t>
      </w:r>
      <w:r>
        <w:rPr>
          <w:rFonts w:hint="eastAsia" w:ascii="宋体" w:hAnsi="宋体"/>
          <w:b/>
          <w:bCs/>
          <w:color w:val="auto"/>
          <w:sz w:val="72"/>
          <w:szCs w:val="72"/>
          <w:highlight w:val="none"/>
        </w:rPr>
        <w:t>采购</w:t>
      </w:r>
    </w:p>
    <w:p>
      <w:pPr>
        <w:spacing w:line="400" w:lineRule="atLeast"/>
        <w:jc w:val="center"/>
        <w:rPr>
          <w:rFonts w:ascii="宋体" w:hAnsi="宋体"/>
          <w:b/>
          <w:color w:val="auto"/>
          <w:sz w:val="52"/>
          <w:highlight w:val="none"/>
        </w:rPr>
      </w:pPr>
    </w:p>
    <w:p>
      <w:pPr>
        <w:spacing w:line="400" w:lineRule="atLeast"/>
        <w:jc w:val="center"/>
        <w:rPr>
          <w:rFonts w:ascii="宋体" w:hAnsi="宋体"/>
          <w:b/>
          <w:color w:val="auto"/>
          <w:sz w:val="52"/>
          <w:highlight w:val="none"/>
        </w:rPr>
      </w:pPr>
    </w:p>
    <w:p>
      <w:pPr>
        <w:spacing w:line="400" w:lineRule="atLeast"/>
        <w:jc w:val="center"/>
        <w:rPr>
          <w:rFonts w:ascii="宋体" w:hAnsi="宋体"/>
          <w:b/>
          <w:color w:val="auto"/>
          <w:sz w:val="52"/>
          <w:highlight w:val="none"/>
        </w:rPr>
      </w:pPr>
    </w:p>
    <w:p>
      <w:pPr>
        <w:autoSpaceDE w:val="0"/>
        <w:autoSpaceDN w:val="0"/>
        <w:spacing w:line="500" w:lineRule="atLeast"/>
        <w:jc w:val="center"/>
        <w:textAlignment w:val="bottom"/>
        <w:rPr>
          <w:rFonts w:ascii="宋体" w:hAnsi="宋体"/>
          <w:b/>
          <w:color w:val="auto"/>
          <w:sz w:val="72"/>
          <w:szCs w:val="72"/>
          <w:highlight w:val="none"/>
        </w:rPr>
      </w:pPr>
      <w:r>
        <w:rPr>
          <w:rFonts w:hint="eastAsia" w:ascii="宋体" w:hAnsi="宋体"/>
          <w:b/>
          <w:bCs/>
          <w:color w:val="auto"/>
          <w:sz w:val="72"/>
          <w:szCs w:val="72"/>
          <w:highlight w:val="none"/>
        </w:rPr>
        <w:t>招 标 文 件</w:t>
      </w:r>
    </w:p>
    <w:p>
      <w:pPr>
        <w:spacing w:line="400" w:lineRule="atLeast"/>
        <w:jc w:val="center"/>
        <w:rPr>
          <w:rFonts w:ascii="宋体" w:hAnsi="宋体"/>
          <w:b/>
          <w:color w:val="auto"/>
          <w:sz w:val="32"/>
          <w:highlight w:val="none"/>
        </w:rPr>
      </w:pPr>
    </w:p>
    <w:p>
      <w:pPr>
        <w:jc w:val="center"/>
        <w:rPr>
          <w:rFonts w:ascii="宋体" w:hAnsi="宋体"/>
          <w:b/>
          <w:bCs/>
          <w:color w:val="auto"/>
          <w:sz w:val="24"/>
          <w:highlight w:val="none"/>
        </w:rPr>
      </w:pPr>
    </w:p>
    <w:p>
      <w:pPr>
        <w:pStyle w:val="2"/>
        <w:rPr>
          <w:rFonts w:ascii="宋体" w:hAnsi="宋体"/>
          <w:b/>
          <w:bCs/>
          <w:color w:val="auto"/>
          <w:sz w:val="24"/>
          <w:highlight w:val="none"/>
        </w:rPr>
      </w:pPr>
    </w:p>
    <w:p>
      <w:pPr>
        <w:rPr>
          <w:rFonts w:ascii="宋体" w:hAnsi="宋体"/>
          <w:b/>
          <w:bCs/>
          <w:color w:val="auto"/>
          <w:sz w:val="24"/>
          <w:highlight w:val="none"/>
        </w:rPr>
      </w:pPr>
    </w:p>
    <w:p>
      <w:pPr>
        <w:pStyle w:val="2"/>
        <w:rPr>
          <w:rFonts w:ascii="宋体" w:hAnsi="宋体"/>
          <w:b/>
          <w:bCs/>
          <w:color w:val="auto"/>
          <w:sz w:val="24"/>
          <w:highlight w:val="none"/>
        </w:rPr>
      </w:pPr>
    </w:p>
    <w:p>
      <w:pPr>
        <w:rPr>
          <w:rFonts w:ascii="宋体" w:hAnsi="宋体"/>
          <w:b/>
          <w:bCs/>
          <w:color w:val="auto"/>
          <w:sz w:val="24"/>
          <w:highlight w:val="none"/>
        </w:rPr>
      </w:pPr>
    </w:p>
    <w:p>
      <w:pPr>
        <w:pStyle w:val="2"/>
        <w:rPr>
          <w:color w:val="auto"/>
          <w:highlight w:val="none"/>
        </w:rPr>
      </w:pPr>
    </w:p>
    <w:p>
      <w:pPr>
        <w:tabs>
          <w:tab w:val="left" w:pos="4860"/>
        </w:tabs>
        <w:spacing w:line="600" w:lineRule="exact"/>
        <w:ind w:right="1143" w:firstLine="1483" w:firstLineChars="389"/>
        <w:jc w:val="left"/>
        <w:rPr>
          <w:rFonts w:hint="default" w:ascii="宋体" w:hAnsi="宋体" w:eastAsia="宋体"/>
          <w:b/>
          <w:color w:val="auto"/>
          <w:sz w:val="30"/>
          <w:szCs w:val="30"/>
          <w:highlight w:val="none"/>
          <w:lang w:val="en-US" w:eastAsia="zh-CN"/>
        </w:rPr>
      </w:pPr>
      <w:r>
        <w:rPr>
          <w:rFonts w:hint="eastAsia" w:ascii="宋体" w:hAnsi="宋体"/>
          <w:b/>
          <w:color w:val="auto"/>
          <w:spacing w:val="40"/>
          <w:sz w:val="30"/>
          <w:szCs w:val="30"/>
          <w:highlight w:val="none"/>
        </w:rPr>
        <w:t>招标编</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val="en-US" w:eastAsia="zh-CN"/>
        </w:rPr>
        <w:t>HCZX-20230104001</w:t>
      </w:r>
    </w:p>
    <w:p>
      <w:pPr>
        <w:tabs>
          <w:tab w:val="left" w:pos="5245"/>
          <w:tab w:val="left" w:pos="9660"/>
        </w:tabs>
        <w:spacing w:line="600" w:lineRule="exact"/>
        <w:ind w:right="-22" w:firstLine="1483" w:firstLineChars="389"/>
        <w:jc w:val="left"/>
        <w:rPr>
          <w:rFonts w:hint="eastAsia" w:ascii="宋体" w:hAnsi="宋体" w:eastAsia="宋体"/>
          <w:b/>
          <w:color w:val="auto"/>
          <w:sz w:val="30"/>
          <w:szCs w:val="30"/>
          <w:highlight w:val="none"/>
          <w:lang w:eastAsia="zh-CN"/>
        </w:rPr>
      </w:pPr>
      <w:r>
        <w:rPr>
          <w:rFonts w:hint="eastAsia" w:ascii="宋体" w:hAnsi="宋体"/>
          <w:b/>
          <w:color w:val="auto"/>
          <w:spacing w:val="40"/>
          <w:sz w:val="30"/>
          <w:szCs w:val="30"/>
          <w:highlight w:val="none"/>
        </w:rPr>
        <w:t>招标项目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温州大罗山基金（天使）村运营服务</w:t>
      </w:r>
    </w:p>
    <w:p>
      <w:pPr>
        <w:tabs>
          <w:tab w:val="left" w:pos="4860"/>
        </w:tabs>
        <w:spacing w:line="600" w:lineRule="exact"/>
        <w:ind w:right="1143" w:firstLine="1483" w:firstLineChars="389"/>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招标方式</w:t>
      </w:r>
      <w:r>
        <w:rPr>
          <w:rFonts w:hint="eastAsia" w:ascii="宋体" w:hAnsi="宋体"/>
          <w:b/>
          <w:color w:val="auto"/>
          <w:sz w:val="30"/>
          <w:szCs w:val="30"/>
          <w:highlight w:val="none"/>
        </w:rPr>
        <w:t>：公 开 招 标</w:t>
      </w: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pStyle w:val="2"/>
        <w:rPr>
          <w:color w:val="auto"/>
          <w:highlight w:val="none"/>
        </w:rPr>
      </w:pPr>
    </w:p>
    <w:p>
      <w:pPr>
        <w:jc w:val="center"/>
        <w:rPr>
          <w:rFonts w:ascii="宋体" w:hAnsi="宋体"/>
          <w:b/>
          <w:bCs/>
          <w:color w:val="auto"/>
          <w:sz w:val="24"/>
          <w:highlight w:val="none"/>
        </w:rPr>
      </w:pPr>
    </w:p>
    <w:p>
      <w:pPr>
        <w:spacing w:line="600" w:lineRule="exact"/>
        <w:ind w:left="1476" w:leftChars="693" w:hanging="21" w:hangingChars="7"/>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招  标  人：</w:t>
      </w:r>
      <w:r>
        <w:rPr>
          <w:rFonts w:hint="eastAsia" w:ascii="宋体" w:hAnsi="宋体"/>
          <w:b/>
          <w:color w:val="auto"/>
          <w:sz w:val="30"/>
          <w:szCs w:val="30"/>
          <w:highlight w:val="none"/>
          <w:lang w:val="en-US" w:eastAsia="zh-CN"/>
        </w:rPr>
        <w:t>温州市高教新区发展中心</w:t>
      </w:r>
    </w:p>
    <w:p>
      <w:pPr>
        <w:spacing w:line="600" w:lineRule="exact"/>
        <w:ind w:left="1482" w:leftChars="693" w:hanging="27" w:hangingChars="7"/>
        <w:rPr>
          <w:rFonts w:hint="eastAsia" w:ascii="宋体" w:hAnsi="宋体" w:eastAsia="宋体"/>
          <w:b/>
          <w:color w:val="auto"/>
          <w:spacing w:val="12"/>
          <w:sz w:val="30"/>
          <w:szCs w:val="30"/>
          <w:highlight w:val="none"/>
          <w:lang w:eastAsia="zh-CN"/>
        </w:rPr>
      </w:pPr>
      <w:r>
        <w:rPr>
          <w:rFonts w:hint="eastAsia" w:ascii="宋体" w:hAnsi="宋体"/>
          <w:b/>
          <w:color w:val="auto"/>
          <w:spacing w:val="40"/>
          <w:sz w:val="30"/>
          <w:szCs w:val="30"/>
          <w:highlight w:val="none"/>
        </w:rPr>
        <w:t>招标代理</w:t>
      </w:r>
      <w:r>
        <w:rPr>
          <w:rFonts w:hint="eastAsia" w:ascii="宋体" w:hAnsi="宋体"/>
          <w:b/>
          <w:color w:val="auto"/>
          <w:sz w:val="30"/>
          <w:szCs w:val="30"/>
          <w:highlight w:val="none"/>
        </w:rPr>
        <w:t>：</w:t>
      </w:r>
      <w:r>
        <w:rPr>
          <w:rFonts w:hint="eastAsia" w:ascii="宋体" w:hAnsi="宋体"/>
          <w:b/>
          <w:color w:val="auto"/>
          <w:spacing w:val="12"/>
          <w:sz w:val="30"/>
          <w:szCs w:val="30"/>
          <w:highlight w:val="none"/>
          <w:lang w:eastAsia="zh-CN"/>
        </w:rPr>
        <w:t>华诚工程咨询集团有限公司</w:t>
      </w:r>
    </w:p>
    <w:p>
      <w:pPr>
        <w:spacing w:line="600" w:lineRule="exact"/>
        <w:ind w:left="2130" w:leftChars="1000" w:hanging="30" w:hangingChars="8"/>
        <w:rPr>
          <w:rFonts w:ascii="宋体" w:hAnsi="宋体"/>
          <w:b/>
          <w:color w:val="auto"/>
          <w:spacing w:val="40"/>
          <w:sz w:val="30"/>
          <w:szCs w:val="30"/>
          <w:highlight w:val="none"/>
        </w:rPr>
      </w:pPr>
    </w:p>
    <w:p>
      <w:pPr>
        <w:spacing w:line="600" w:lineRule="exact"/>
        <w:jc w:val="center"/>
        <w:rPr>
          <w:rFonts w:ascii="宋体" w:hAnsi="宋体"/>
          <w:b/>
          <w:color w:val="auto"/>
          <w:spacing w:val="40"/>
          <w:sz w:val="30"/>
          <w:szCs w:val="30"/>
          <w:highlight w:val="none"/>
        </w:rPr>
      </w:pPr>
      <w:r>
        <w:rPr>
          <w:rFonts w:hint="eastAsia" w:ascii="宋体" w:hAnsi="宋体"/>
          <w:b/>
          <w:color w:val="auto"/>
          <w:spacing w:val="40"/>
          <w:sz w:val="30"/>
          <w:szCs w:val="30"/>
          <w:highlight w:val="none"/>
        </w:rPr>
        <w:t>二</w:t>
      </w:r>
      <w:r>
        <w:rPr>
          <w:rFonts w:hint="eastAsia" w:ascii="宋体" w:hAnsi="宋体" w:cs="宋体"/>
          <w:b/>
          <w:color w:val="auto"/>
          <w:spacing w:val="40"/>
          <w:sz w:val="30"/>
          <w:szCs w:val="30"/>
          <w:highlight w:val="none"/>
        </w:rPr>
        <w:t>〇</w:t>
      </w:r>
      <w:r>
        <w:rPr>
          <w:rFonts w:hint="eastAsia" w:ascii="宋体" w:hAnsi="宋体"/>
          <w:b/>
          <w:color w:val="auto"/>
          <w:spacing w:val="40"/>
          <w:sz w:val="30"/>
          <w:szCs w:val="30"/>
          <w:highlight w:val="none"/>
        </w:rPr>
        <w:t>二</w:t>
      </w:r>
      <w:r>
        <w:rPr>
          <w:rFonts w:hint="eastAsia" w:ascii="宋体" w:hAnsi="宋体"/>
          <w:b/>
          <w:color w:val="auto"/>
          <w:spacing w:val="40"/>
          <w:sz w:val="30"/>
          <w:szCs w:val="30"/>
          <w:highlight w:val="none"/>
          <w:lang w:val="en-US" w:eastAsia="zh-CN"/>
        </w:rPr>
        <w:t>三</w:t>
      </w:r>
      <w:r>
        <w:rPr>
          <w:rFonts w:hint="eastAsia" w:ascii="宋体" w:hAnsi="宋体" w:cs="仿宋_GB2312"/>
          <w:b/>
          <w:color w:val="auto"/>
          <w:spacing w:val="40"/>
          <w:sz w:val="30"/>
          <w:szCs w:val="30"/>
          <w:highlight w:val="none"/>
        </w:rPr>
        <w:t>年</w:t>
      </w:r>
      <w:r>
        <w:rPr>
          <w:rFonts w:hint="eastAsia" w:ascii="宋体" w:hAnsi="宋体" w:cs="仿宋_GB2312"/>
          <w:b/>
          <w:color w:val="auto"/>
          <w:spacing w:val="40"/>
          <w:sz w:val="30"/>
          <w:szCs w:val="30"/>
          <w:highlight w:val="none"/>
          <w:lang w:val="en-US" w:eastAsia="zh-CN"/>
        </w:rPr>
        <w:t>一</w:t>
      </w:r>
      <w:r>
        <w:rPr>
          <w:rFonts w:hint="eastAsia" w:ascii="宋体" w:hAnsi="宋体" w:cs="仿宋_GB2312"/>
          <w:b/>
          <w:color w:val="auto"/>
          <w:spacing w:val="40"/>
          <w:sz w:val="30"/>
          <w:szCs w:val="30"/>
          <w:highlight w:val="none"/>
        </w:rPr>
        <w:t>月</w:t>
      </w:r>
    </w:p>
    <w:p>
      <w:pPr>
        <w:spacing w:line="600" w:lineRule="exact"/>
        <w:jc w:val="center"/>
        <w:rPr>
          <w:rFonts w:hint="eastAsia" w:ascii="宋体" w:hAnsi="宋体"/>
          <w:b/>
          <w:bCs/>
          <w:color w:val="auto"/>
          <w:sz w:val="32"/>
          <w:szCs w:val="32"/>
          <w:highlight w:val="none"/>
        </w:rPr>
      </w:pPr>
      <w:r>
        <w:rPr>
          <w:rFonts w:hint="eastAsia" w:ascii="宋体" w:hAnsi="宋体"/>
          <w:color w:val="auto"/>
          <w:spacing w:val="40"/>
          <w:sz w:val="30"/>
          <w:szCs w:val="30"/>
          <w:highlight w:val="none"/>
        </w:rPr>
        <w:br w:type="page"/>
      </w:r>
      <w:r>
        <w:rPr>
          <w:rFonts w:hint="eastAsia" w:ascii="宋体" w:hAnsi="宋体"/>
          <w:b/>
          <w:bCs/>
          <w:color w:val="auto"/>
          <w:sz w:val="32"/>
          <w:szCs w:val="32"/>
          <w:highlight w:val="none"/>
        </w:rPr>
        <w:t>目    录</w:t>
      </w:r>
    </w:p>
    <w:p>
      <w:pPr>
        <w:pStyle w:val="6"/>
        <w:rPr>
          <w:color w:val="auto"/>
          <w:highlight w:val="none"/>
        </w:rPr>
      </w:pP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_Toc15335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color w:val="auto"/>
          <w:sz w:val="21"/>
          <w:szCs w:val="21"/>
          <w:highlight w:val="none"/>
          <w:lang w:eastAsia="zh-CN"/>
        </w:rPr>
        <w:t>华诚工程咨询集团有限公司</w:t>
      </w:r>
      <w:r>
        <w:rPr>
          <w:rFonts w:hint="eastAsia" w:ascii="宋体" w:hAnsi="宋体" w:eastAsia="宋体" w:cs="宋体"/>
          <w:color w:val="auto"/>
          <w:sz w:val="21"/>
          <w:szCs w:val="21"/>
          <w:highlight w:val="none"/>
        </w:rPr>
        <w:t>关于</w:t>
      </w:r>
      <w:r>
        <w:rPr>
          <w:rFonts w:hint="eastAsia" w:ascii="宋体" w:hAnsi="宋体" w:eastAsia="宋体" w:cs="宋体"/>
          <w:color w:val="auto"/>
          <w:sz w:val="21"/>
          <w:szCs w:val="21"/>
          <w:highlight w:val="none"/>
          <w:lang w:eastAsia="zh-CN"/>
        </w:rPr>
        <w:t>温州大罗山基金（天使）村运营服务</w:t>
      </w:r>
      <w:r>
        <w:rPr>
          <w:rFonts w:hint="eastAsia" w:ascii="宋体" w:hAnsi="宋体" w:eastAsia="宋体" w:cs="宋体"/>
          <w:color w:val="auto"/>
          <w:sz w:val="21"/>
          <w:szCs w:val="21"/>
          <w:highlight w:val="none"/>
        </w:rPr>
        <w:t>项目的公开招标公告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_Toc3029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第一部分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_Toc11018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一、须知前附表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_Toc21017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_Toc31186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 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_Toc27429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_Toc24611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rPr>
        <w:t>、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_Toc24312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_Toc24322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评</w:t>
      </w:r>
      <w:r>
        <w:rPr>
          <w:rFonts w:hint="eastAsia" w:ascii="宋体" w:hAnsi="宋体" w:eastAsia="宋体" w:cs="宋体"/>
          <w:bCs/>
          <w:color w:val="auto"/>
          <w:sz w:val="21"/>
          <w:szCs w:val="21"/>
          <w:highlight w:val="none"/>
        </w:rPr>
        <w:t>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_Toc26485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八、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_Toc31188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第二部分   招标内容及要求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_Toc12097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一、项目概况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_Toc14931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二、中标人管理服务人员配置数量和基本要求：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_Toc1087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三、服务期满的移交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_Toc23936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四、其他要求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_Toc860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五、报价要求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35"/>
        <w:tabs>
          <w:tab w:val="right" w:leader="dot" w:pos="9638"/>
        </w:tabs>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_Toc14559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六、经费结算</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_Toc12101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 xml:space="preserve">第三部分   </w:t>
      </w:r>
      <w:r>
        <w:rPr>
          <w:rFonts w:hint="eastAsia" w:ascii="宋体" w:hAnsi="宋体" w:eastAsia="宋体" w:cs="宋体"/>
          <w:color w:val="auto"/>
          <w:sz w:val="21"/>
          <w:szCs w:val="21"/>
          <w:highlight w:val="none"/>
          <w:lang w:val="en-US" w:eastAsia="zh-CN"/>
        </w:rPr>
        <w:t>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_Toc12858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第四部分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_Toc12858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pStyle w:val="46"/>
        <w:tabs>
          <w:tab w:val="right" w:leader="dot" w:pos="9638"/>
          <w:tab w:val="clear" w:pos="9628"/>
        </w:tabs>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_Toc17249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color w:val="auto"/>
          <w:sz w:val="21"/>
          <w:szCs w:val="21"/>
          <w:highlight w:val="none"/>
        </w:rPr>
        <w:t xml:space="preserve">第五部分   </w:t>
      </w: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宋体" w:hAnsi="宋体"/>
          <w:b/>
          <w:bCs/>
          <w:color w:val="auto"/>
          <w:sz w:val="22"/>
          <w:szCs w:val="22"/>
          <w:highlight w:val="none"/>
        </w:rPr>
      </w:pPr>
      <w:r>
        <w:rPr>
          <w:rFonts w:hint="eastAsia" w:ascii="宋体" w:hAnsi="宋体" w:eastAsia="宋体" w:cs="宋体"/>
          <w:bCs/>
          <w:color w:val="auto"/>
          <w:szCs w:val="21"/>
          <w:highlight w:val="none"/>
        </w:rPr>
        <w:fldChar w:fldCharType="end"/>
      </w:r>
    </w:p>
    <w:p>
      <w:pPr>
        <w:spacing w:line="560" w:lineRule="exact"/>
        <w:rPr>
          <w:rFonts w:ascii="宋体" w:hAnsi="宋体"/>
          <w:b/>
          <w:bCs/>
          <w:color w:val="auto"/>
          <w:sz w:val="22"/>
          <w:szCs w:val="22"/>
          <w:highlight w:val="none"/>
        </w:rPr>
      </w:pPr>
      <w:r>
        <w:rPr>
          <w:rFonts w:hint="eastAsia" w:ascii="宋体" w:hAnsi="宋体"/>
          <w:b/>
          <w:bCs/>
          <w:color w:val="auto"/>
          <w:sz w:val="22"/>
          <w:szCs w:val="22"/>
          <w:highlight w:val="none"/>
        </w:rPr>
        <w:t>注：</w:t>
      </w:r>
      <w:r>
        <w:rPr>
          <w:rFonts w:hint="eastAsia" w:ascii="宋体" w:hAnsi="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pPr>
        <w:widowControl/>
        <w:jc w:val="left"/>
        <w:rPr>
          <w:rFonts w:ascii="宋体" w:hAnsi="宋体"/>
          <w:b/>
          <w:bCs/>
          <w:color w:val="auto"/>
          <w:highlight w:val="none"/>
        </w:rPr>
      </w:pPr>
      <w:r>
        <w:rPr>
          <w:rFonts w:ascii="宋体" w:hAnsi="宋体"/>
          <w:color w:val="auto"/>
          <w:highlight w:val="none"/>
        </w:rPr>
        <w:br w:type="page"/>
      </w:r>
    </w:p>
    <w:p>
      <w:pPr>
        <w:pStyle w:val="5"/>
        <w:rPr>
          <w:rFonts w:ascii="宋体" w:hAnsi="宋体" w:eastAsia="宋体" w:cs="Arial"/>
          <w:b w:val="0"/>
          <w:bCs w:val="0"/>
          <w:color w:val="auto"/>
          <w:kern w:val="0"/>
          <w:sz w:val="30"/>
          <w:szCs w:val="30"/>
          <w:highlight w:val="none"/>
        </w:rPr>
      </w:pPr>
      <w:bookmarkStart w:id="0" w:name="_Toc398293639"/>
      <w:bookmarkStart w:id="1" w:name="_Toc492496682"/>
      <w:bookmarkStart w:id="2" w:name="_Toc15335"/>
      <w:bookmarkStart w:id="3" w:name="_Toc262105498"/>
      <w:bookmarkStart w:id="4" w:name="_Toc221374621"/>
      <w:bookmarkStart w:id="5" w:name="_Toc262049413"/>
      <w:bookmarkStart w:id="6" w:name="_Toc223715993"/>
      <w:bookmarkStart w:id="7" w:name="_Toc249758859"/>
      <w:bookmarkStart w:id="8" w:name="_Toc245191309"/>
      <w:bookmarkStart w:id="9" w:name="_Toc221356946"/>
      <w:bookmarkStart w:id="10" w:name="_Toc221356880"/>
      <w:bookmarkStart w:id="11" w:name="_Toc239145349"/>
      <w:bookmarkStart w:id="12" w:name="_Toc241404197"/>
      <w:bookmarkStart w:id="13" w:name="_Toc337660883"/>
      <w:bookmarkStart w:id="14" w:name="_Toc245722276"/>
      <w:bookmarkStart w:id="15" w:name="_Toc222114874"/>
      <w:bookmarkStart w:id="16" w:name="_Toc221374620"/>
      <w:bookmarkStart w:id="17" w:name="_Toc348800908"/>
      <w:bookmarkStart w:id="18" w:name="_Toc222114873"/>
      <w:bookmarkStart w:id="19" w:name="_Toc246261260"/>
      <w:bookmarkStart w:id="20" w:name="_Toc221423614"/>
      <w:bookmarkStart w:id="21" w:name="_Toc249758707"/>
      <w:bookmarkStart w:id="22" w:name="_Toc221356881"/>
      <w:bookmarkStart w:id="23" w:name="_Toc221356945"/>
      <w:bookmarkStart w:id="24" w:name="_Toc221423613"/>
      <w:bookmarkStart w:id="25" w:name="_Toc223715992"/>
      <w:r>
        <w:rPr>
          <w:rFonts w:hint="eastAsia" w:ascii="宋体" w:hAnsi="宋体" w:eastAsia="宋体" w:cs="Arial"/>
          <w:color w:val="auto"/>
          <w:sz w:val="30"/>
          <w:szCs w:val="30"/>
          <w:highlight w:val="none"/>
          <w:lang w:eastAsia="zh-CN"/>
        </w:rPr>
        <w:t>华诚工程咨询集团有限公司</w:t>
      </w:r>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温州大罗山基金（天使）村运营服务</w:t>
      </w:r>
      <w:r>
        <w:rPr>
          <w:rFonts w:hint="eastAsia" w:ascii="宋体" w:hAnsi="宋体" w:eastAsia="宋体" w:cs="Arial"/>
          <w:color w:val="auto"/>
          <w:sz w:val="30"/>
          <w:szCs w:val="30"/>
          <w:highlight w:val="none"/>
        </w:rPr>
        <w:t>项目的公开招标公告</w:t>
      </w:r>
      <w:bookmarkEnd w:id="0"/>
      <w:bookmarkEnd w:id="1"/>
      <w:bookmarkEnd w:id="2"/>
    </w:p>
    <w:p>
      <w:pPr>
        <w:pBdr>
          <w:top w:val="single" w:color="auto" w:sz="4" w:space="1"/>
          <w:left w:val="single" w:color="auto" w:sz="4" w:space="4"/>
          <w:bottom w:val="single" w:color="auto" w:sz="4" w:space="1"/>
          <w:right w:val="single" w:color="auto" w:sz="4" w:space="4"/>
        </w:pBdr>
        <w:ind w:firstLine="440" w:firstLineChars="200"/>
        <w:rPr>
          <w:rFonts w:ascii="宋体"/>
          <w:color w:val="auto"/>
          <w:sz w:val="22"/>
          <w:szCs w:val="22"/>
          <w:highlight w:val="none"/>
        </w:rPr>
      </w:pPr>
      <w:r>
        <w:rPr>
          <w:rFonts w:hint="eastAsia" w:ascii="宋体" w:hAnsi="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ind w:firstLine="440" w:firstLineChars="200"/>
        <w:rPr>
          <w:rFonts w:ascii="宋体" w:hAnsi="宋体"/>
          <w:color w:val="auto"/>
          <w:sz w:val="22"/>
          <w:szCs w:val="22"/>
          <w:highlight w:val="none"/>
        </w:rPr>
      </w:pP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温州大罗山基金（天使）村运营服务</w:t>
      </w:r>
      <w:r>
        <w:rPr>
          <w:rFonts w:hint="eastAsia" w:ascii="宋体" w:hAnsi="宋体"/>
          <w:color w:val="auto"/>
          <w:sz w:val="22"/>
          <w:szCs w:val="22"/>
          <w:highlight w:val="none"/>
          <w:u w:val="single"/>
        </w:rPr>
        <w:t>项目的潜在投标人应在政采云平台（www.zcygov.cn）获取（下载）采购文件，并于</w:t>
      </w:r>
      <w:r>
        <w:rPr>
          <w:rFonts w:hint="eastAsia" w:ascii="宋体" w:hAnsi="宋体"/>
          <w:color w:val="auto"/>
          <w:sz w:val="22"/>
          <w:szCs w:val="22"/>
          <w:highlight w:val="none"/>
          <w:u w:val="single"/>
          <w:lang w:eastAsia="zh-CN"/>
        </w:rPr>
        <w:t>2023年1月31日</w:t>
      </w:r>
      <w:r>
        <w:rPr>
          <w:rFonts w:hint="eastAsia" w:ascii="宋体" w:hAnsi="宋体"/>
          <w:color w:val="auto"/>
          <w:sz w:val="22"/>
          <w:szCs w:val="22"/>
          <w:highlight w:val="none"/>
          <w:u w:val="single"/>
          <w:lang w:val="en-US" w:eastAsia="zh-CN"/>
        </w:rPr>
        <w:t>09</w:t>
      </w:r>
      <w:r>
        <w:rPr>
          <w:rFonts w:hint="eastAsia"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30</w:t>
      </w:r>
      <w:r>
        <w:rPr>
          <w:rFonts w:hint="eastAsia" w:ascii="宋体" w:hAnsi="宋体"/>
          <w:color w:val="auto"/>
          <w:sz w:val="22"/>
          <w:szCs w:val="22"/>
          <w:highlight w:val="none"/>
          <w:u w:val="single"/>
        </w:rPr>
        <w:t>（北京时间）前提交（上传）响应文件。</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项目编号： </w:t>
      </w:r>
      <w:r>
        <w:rPr>
          <w:rFonts w:hint="eastAsia" w:ascii="宋体" w:hAnsi="宋体" w:cs="宋体"/>
          <w:bCs/>
          <w:color w:val="auto"/>
          <w:kern w:val="0"/>
          <w:sz w:val="22"/>
          <w:szCs w:val="22"/>
          <w:highlight w:val="none"/>
          <w:lang w:val="en-US" w:eastAsia="zh-CN"/>
        </w:rPr>
        <w:t>HCZX-20230104001</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温州大罗山基金（天使）村运营服务</w:t>
      </w:r>
      <w:r>
        <w:rPr>
          <w:rFonts w:hint="eastAsia" w:ascii="宋体" w:hAnsi="宋体" w:cs="宋体"/>
          <w:bCs/>
          <w:color w:val="auto"/>
          <w:kern w:val="0"/>
          <w:sz w:val="22"/>
          <w:szCs w:val="22"/>
          <w:highlight w:val="none"/>
        </w:rPr>
        <w:t xml:space="preserve"> </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采购方式：公开招标 </w:t>
      </w:r>
    </w:p>
    <w:p>
      <w:pPr>
        <w:widowControl/>
        <w:spacing w:before="60" w:after="60" w:line="360" w:lineRule="exact"/>
        <w:ind w:right="60" w:firstLine="418" w:firstLineChars="190"/>
        <w:jc w:val="left"/>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4200万元（</w:t>
      </w:r>
      <w:r>
        <w:rPr>
          <w:rFonts w:hint="eastAsia" w:ascii="新宋体" w:hAnsi="新宋体" w:eastAsia="新宋体" w:cs="新宋体"/>
          <w:color w:val="auto"/>
          <w:sz w:val="22"/>
          <w:highlight w:val="none"/>
        </w:rPr>
        <w:t>每年运营服务费最高限价为</w:t>
      </w:r>
      <w:r>
        <w:rPr>
          <w:rFonts w:hint="eastAsia" w:ascii="新宋体" w:hAnsi="新宋体" w:eastAsia="新宋体" w:cs="新宋体"/>
          <w:color w:val="auto"/>
          <w:sz w:val="22"/>
          <w:highlight w:val="none"/>
          <w:u w:val="single"/>
        </w:rPr>
        <w:t xml:space="preserve"> </w:t>
      </w:r>
      <w:r>
        <w:rPr>
          <w:rFonts w:ascii="新宋体" w:hAnsi="新宋体" w:eastAsia="新宋体" w:cs="新宋体"/>
          <w:color w:val="auto"/>
          <w:sz w:val="22"/>
          <w:highlight w:val="none"/>
          <w:u w:val="single"/>
        </w:rPr>
        <w:t>1</w:t>
      </w:r>
      <w:r>
        <w:rPr>
          <w:rFonts w:hint="eastAsia" w:ascii="新宋体" w:hAnsi="新宋体" w:eastAsia="新宋体" w:cs="新宋体"/>
          <w:color w:val="auto"/>
          <w:sz w:val="22"/>
          <w:highlight w:val="none"/>
          <w:u w:val="single"/>
          <w:lang w:val="en-US" w:eastAsia="zh-CN"/>
        </w:rPr>
        <w:t>4</w:t>
      </w:r>
      <w:r>
        <w:rPr>
          <w:rFonts w:ascii="新宋体" w:hAnsi="新宋体" w:eastAsia="新宋体" w:cs="新宋体"/>
          <w:color w:val="auto"/>
          <w:sz w:val="22"/>
          <w:highlight w:val="none"/>
          <w:u w:val="single"/>
        </w:rPr>
        <w:t>00</w:t>
      </w:r>
      <w:r>
        <w:rPr>
          <w:rFonts w:hint="eastAsia" w:ascii="新宋体" w:hAnsi="新宋体" w:eastAsia="新宋体" w:cs="新宋体"/>
          <w:color w:val="auto"/>
          <w:sz w:val="22"/>
          <w:highlight w:val="none"/>
        </w:rPr>
        <w:t>万元，</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年共为</w:t>
      </w:r>
      <w:r>
        <w:rPr>
          <w:rFonts w:hint="eastAsia" w:ascii="新宋体" w:hAnsi="新宋体" w:eastAsia="新宋体" w:cs="新宋体"/>
          <w:color w:val="auto"/>
          <w:sz w:val="22"/>
          <w:highlight w:val="none"/>
          <w:u w:val="single"/>
          <w:lang w:val="en-US" w:eastAsia="zh-CN"/>
        </w:rPr>
        <w:t>42</w:t>
      </w:r>
      <w:r>
        <w:rPr>
          <w:rFonts w:hint="eastAsia" w:ascii="新宋体" w:hAnsi="新宋体" w:eastAsia="新宋体" w:cs="新宋体"/>
          <w:color w:val="auto"/>
          <w:sz w:val="22"/>
          <w:highlight w:val="none"/>
          <w:u w:val="single"/>
        </w:rPr>
        <w:t>00</w:t>
      </w:r>
      <w:r>
        <w:rPr>
          <w:rFonts w:hint="eastAsia" w:ascii="新宋体" w:hAnsi="新宋体" w:eastAsia="新宋体" w:cs="新宋体"/>
          <w:color w:val="auto"/>
          <w:sz w:val="22"/>
          <w:highlight w:val="none"/>
        </w:rPr>
        <w:t>万元</w:t>
      </w:r>
      <w:r>
        <w:rPr>
          <w:rFonts w:hint="eastAsia" w:ascii="宋体" w:hAnsi="宋体" w:cs="宋体"/>
          <w:bCs/>
          <w:color w:val="auto"/>
          <w:kern w:val="0"/>
          <w:sz w:val="22"/>
          <w:szCs w:val="22"/>
          <w:highlight w:val="none"/>
          <w:lang w:val="en-US" w:eastAsia="zh-CN"/>
        </w:rPr>
        <w:t>）</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温州大罗山基金（天使）村运营服务</w:t>
      </w:r>
      <w:r>
        <w:rPr>
          <w:rFonts w:hint="eastAsia" w:ascii="宋体" w:hAnsi="宋体" w:cs="宋体"/>
          <w:bCs/>
          <w:color w:val="auto"/>
          <w:kern w:val="0"/>
          <w:sz w:val="22"/>
          <w:szCs w:val="22"/>
          <w:highlight w:val="none"/>
        </w:rPr>
        <w:t xml:space="preserve">采购，具体采购内容及要求详见招标文件相关部分 </w:t>
      </w:r>
    </w:p>
    <w:p>
      <w:pPr>
        <w:widowControl/>
        <w:spacing w:before="60" w:after="60" w:line="360" w:lineRule="exact"/>
        <w:ind w:right="60" w:firstLine="418" w:firstLineChars="19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合同履约期限：</w:t>
      </w:r>
      <w:r>
        <w:rPr>
          <w:rFonts w:hint="eastAsia" w:ascii="宋体" w:hAnsi="宋体" w:cs="宋体"/>
          <w:bCs/>
          <w:color w:val="auto"/>
          <w:kern w:val="0"/>
          <w:sz w:val="22"/>
          <w:szCs w:val="22"/>
          <w:highlight w:val="none"/>
          <w:lang w:val="en-US" w:eastAsia="zh-CN"/>
        </w:rPr>
        <w:t>3年</w:t>
      </w:r>
      <w:r>
        <w:rPr>
          <w:rFonts w:hint="eastAsia" w:ascii="宋体" w:hAnsi="宋体" w:cs="宋体"/>
          <w:bCs/>
          <w:color w:val="auto"/>
          <w:kern w:val="0"/>
          <w:sz w:val="22"/>
          <w:szCs w:val="22"/>
          <w:highlight w:val="none"/>
        </w:rPr>
        <w:t xml:space="preserve">。   </w:t>
      </w:r>
    </w:p>
    <w:p>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color w:val="auto"/>
          <w:kern w:val="0"/>
          <w:sz w:val="22"/>
          <w:szCs w:val="22"/>
          <w:highlight w:val="none"/>
        </w:rPr>
        <w:t>本项目（</w:t>
      </w:r>
      <w:r>
        <w:rPr>
          <w:rFonts w:hint="eastAsia" w:ascii="宋体" w:hAnsi="宋体" w:cs="宋体"/>
          <w:color w:val="auto"/>
          <w:kern w:val="0"/>
          <w:sz w:val="22"/>
          <w:szCs w:val="22"/>
          <w:highlight w:val="none"/>
          <w:lang w:val="en-US" w:eastAsia="zh-CN"/>
        </w:rPr>
        <w:t>否</w:t>
      </w:r>
      <w:r>
        <w:rPr>
          <w:rFonts w:hint="eastAsia" w:ascii="宋体" w:hAnsi="宋体" w:cs="宋体"/>
          <w:color w:val="auto"/>
          <w:kern w:val="0"/>
          <w:sz w:val="22"/>
          <w:szCs w:val="22"/>
          <w:highlight w:val="none"/>
        </w:rPr>
        <w:t>）接受联合体投标 。</w:t>
      </w:r>
    </w:p>
    <w:p>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2.落实政府采购政策需满足的资格要求：</w:t>
      </w:r>
      <w:r>
        <w:rPr>
          <w:rFonts w:hint="eastAsia" w:ascii="宋体" w:hAnsi="宋体" w:cs="宋体"/>
          <w:color w:val="auto"/>
          <w:kern w:val="0"/>
          <w:sz w:val="22"/>
          <w:szCs w:val="22"/>
          <w:highlight w:val="none"/>
          <w:u w:val="single"/>
          <w:lang w:val="en-US" w:eastAsia="zh-CN"/>
        </w:rPr>
        <w:t>/</w:t>
      </w:r>
      <w:r>
        <w:rPr>
          <w:rFonts w:hint="eastAsia" w:ascii="宋体" w:hAnsi="宋体" w:cs="宋体"/>
          <w:color w:val="auto"/>
          <w:kern w:val="0"/>
          <w:sz w:val="22"/>
          <w:szCs w:val="22"/>
          <w:highlight w:val="none"/>
        </w:rPr>
        <w:t>；</w:t>
      </w:r>
    </w:p>
    <w:p>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3.本项目的特定资格要求：</w:t>
      </w:r>
      <w:r>
        <w:rPr>
          <w:rFonts w:hint="eastAsia" w:ascii="宋体" w:hAnsi="宋体" w:cs="宋体"/>
          <w:color w:val="auto"/>
          <w:kern w:val="0"/>
          <w:sz w:val="22"/>
          <w:szCs w:val="22"/>
          <w:highlight w:val="none"/>
          <w:lang w:val="en-US" w:eastAsia="zh-CN"/>
        </w:rPr>
        <w:t>无</w:t>
      </w:r>
      <w:r>
        <w:rPr>
          <w:rFonts w:hint="eastAsia" w:ascii="宋体" w:hAnsi="宋体" w:cs="宋体"/>
          <w:color w:val="auto"/>
          <w:kern w:val="0"/>
          <w:sz w:val="22"/>
          <w:szCs w:val="22"/>
          <w:highlight w:val="none"/>
        </w:rPr>
        <w:t>。</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hakuyoxingshu7000"/>
          <w:color w:val="auto"/>
          <w:kern w:val="0"/>
          <w:sz w:val="22"/>
          <w:szCs w:val="22"/>
          <w:highlight w:val="none"/>
        </w:rPr>
        <w:t>在政采云平台（www.zcygov.cn）上自主获取（</w:t>
      </w:r>
      <w:r>
        <w:rPr>
          <w:rFonts w:hint="eastAsia" w:ascii="宋体" w:hAnsi="宋体"/>
          <w:color w:val="auto"/>
          <w:sz w:val="22"/>
          <w:szCs w:val="22"/>
          <w:highlight w:val="none"/>
        </w:rPr>
        <w:t>未注册政采云账号请尽早办</w:t>
      </w:r>
      <w:r>
        <w:rPr>
          <w:rFonts w:hint="eastAsia" w:ascii="宋体" w:hAnsi="宋体" w:cs="hakuyoxingshu7000"/>
          <w:color w:val="auto"/>
          <w:kern w:val="0"/>
          <w:sz w:val="22"/>
          <w:szCs w:val="22"/>
          <w:highlight w:val="none"/>
        </w:rPr>
        <w:t>理），本项目不提供采购文件纸质版。</w:t>
      </w:r>
    </w:p>
    <w:p>
      <w:pPr>
        <w:widowControl/>
        <w:spacing w:before="60" w:after="60" w:line="360" w:lineRule="exact"/>
        <w:ind w:right="60" w:firstLine="440"/>
        <w:jc w:val="left"/>
        <w:rPr>
          <w:rFonts w:ascii="宋体" w:hAnsi="宋体"/>
          <w:color w:val="auto"/>
          <w:sz w:val="22"/>
          <w:szCs w:val="22"/>
          <w:highlight w:val="none"/>
        </w:rPr>
      </w:pPr>
      <w:r>
        <w:rPr>
          <w:rFonts w:hint="eastAsia" w:ascii="宋体" w:hAnsi="宋体" w:cs="宋体"/>
          <w:color w:val="auto"/>
          <w:kern w:val="0"/>
          <w:sz w:val="22"/>
          <w:szCs w:val="22"/>
          <w:highlight w:val="none"/>
        </w:rPr>
        <w:t>3.方式：</w:t>
      </w:r>
      <w:r>
        <w:rPr>
          <w:rFonts w:ascii="宋体" w:hAnsi="宋体"/>
          <w:color w:val="auto"/>
          <w:sz w:val="22"/>
          <w:szCs w:val="22"/>
          <w:highlight w:val="none"/>
        </w:rPr>
        <w:t>潜在投标人登陆政采云平台</w:t>
      </w:r>
      <w:r>
        <w:rPr>
          <w:rFonts w:hint="eastAsia" w:ascii="宋体" w:hAnsi="宋体" w:cs="hakuyoxingshu7000"/>
          <w:color w:val="auto"/>
          <w:kern w:val="0"/>
          <w:sz w:val="22"/>
          <w:szCs w:val="22"/>
          <w:highlight w:val="none"/>
        </w:rPr>
        <w:t>（www.zcygov.cn）</w:t>
      </w:r>
      <w:r>
        <w:rPr>
          <w:rFonts w:ascii="宋体" w:hAnsi="宋体"/>
          <w:color w:val="auto"/>
          <w:sz w:val="22"/>
          <w:szCs w:val="22"/>
          <w:highlight w:val="none"/>
        </w:rPr>
        <w:t>，在线申请获取</w:t>
      </w:r>
      <w:r>
        <w:rPr>
          <w:rFonts w:hint="eastAsia" w:ascii="宋体" w:hAnsi="宋体"/>
          <w:color w:val="auto"/>
          <w:sz w:val="22"/>
          <w:szCs w:val="22"/>
          <w:highlight w:val="none"/>
        </w:rPr>
        <w:t>采购文件</w:t>
      </w:r>
      <w:r>
        <w:rPr>
          <w:rFonts w:ascii="宋体" w:hAnsi="宋体"/>
          <w:color w:val="auto"/>
          <w:sz w:val="22"/>
          <w:szCs w:val="22"/>
          <w:highlight w:val="none"/>
        </w:rPr>
        <w:t>（</w:t>
      </w:r>
      <w:r>
        <w:rPr>
          <w:rFonts w:hint="eastAsia" w:ascii="宋体" w:hAnsi="宋体"/>
          <w:color w:val="auto"/>
          <w:sz w:val="22"/>
          <w:szCs w:val="22"/>
          <w:highlight w:val="none"/>
        </w:rPr>
        <w:t>进入</w:t>
      </w:r>
      <w:r>
        <w:rPr>
          <w:rFonts w:hint="eastAsia" w:ascii="宋体"/>
          <w:color w:val="auto"/>
          <w:sz w:val="22"/>
          <w:szCs w:val="22"/>
          <w:highlight w:val="none"/>
        </w:rPr>
        <w:t>“</w:t>
      </w:r>
      <w:r>
        <w:rPr>
          <w:rFonts w:hint="eastAsia" w:ascii="宋体" w:hAnsi="宋体"/>
          <w:color w:val="auto"/>
          <w:sz w:val="22"/>
          <w:szCs w:val="22"/>
          <w:highlight w:val="none"/>
        </w:rPr>
        <w:t>项目采购</w:t>
      </w:r>
      <w:r>
        <w:rPr>
          <w:rFonts w:hint="eastAsia" w:ascii="宋体"/>
          <w:color w:val="auto"/>
          <w:sz w:val="22"/>
          <w:szCs w:val="22"/>
          <w:highlight w:val="none"/>
        </w:rPr>
        <w:t>”</w:t>
      </w:r>
      <w:r>
        <w:rPr>
          <w:rFonts w:hint="eastAsia" w:ascii="宋体" w:hAnsi="宋体"/>
          <w:color w:val="auto"/>
          <w:sz w:val="22"/>
          <w:szCs w:val="22"/>
          <w:highlight w:val="none"/>
        </w:rPr>
        <w:t>应用，在获取采购文件菜单中选择项目，申请获取采购文件；仅需浏览采购文件的</w:t>
      </w:r>
      <w:r>
        <w:rPr>
          <w:rFonts w:hint="eastAsia" w:ascii="宋体" w:hAnsi="宋体"/>
          <w:color w:val="auto"/>
          <w:sz w:val="22"/>
          <w:szCs w:val="22"/>
          <w:highlight w:val="none"/>
          <w:lang w:eastAsia="zh-CN"/>
        </w:rPr>
        <w:t>投标人</w:t>
      </w:r>
      <w:r>
        <w:rPr>
          <w:rFonts w:hint="eastAsia" w:ascii="宋体" w:hAnsi="宋体"/>
          <w:color w:val="auto"/>
          <w:sz w:val="22"/>
          <w:szCs w:val="22"/>
          <w:highlight w:val="none"/>
        </w:rPr>
        <w:t>可点击</w:t>
      </w:r>
      <w:r>
        <w:rPr>
          <w:rFonts w:hint="eastAsia" w:ascii="宋体"/>
          <w:color w:val="auto"/>
          <w:sz w:val="22"/>
          <w:szCs w:val="22"/>
          <w:highlight w:val="none"/>
        </w:rPr>
        <w:t>“</w:t>
      </w:r>
      <w:r>
        <w:rPr>
          <w:rFonts w:hint="eastAsia" w:ascii="宋体" w:hAnsi="宋体"/>
          <w:color w:val="auto"/>
          <w:sz w:val="22"/>
          <w:szCs w:val="22"/>
          <w:highlight w:val="none"/>
        </w:rPr>
        <w:t>游客，浏览采购文件</w:t>
      </w:r>
      <w:r>
        <w:rPr>
          <w:rFonts w:hint="eastAsia" w:ascii="宋体"/>
          <w:color w:val="auto"/>
          <w:sz w:val="22"/>
          <w:szCs w:val="22"/>
          <w:highlight w:val="none"/>
        </w:rPr>
        <w:t>”</w:t>
      </w:r>
      <w:r>
        <w:rPr>
          <w:rFonts w:hint="eastAsia" w:ascii="宋体" w:hAnsi="宋体"/>
          <w:color w:val="auto"/>
          <w:sz w:val="22"/>
          <w:szCs w:val="22"/>
          <w:highlight w:val="none"/>
        </w:rPr>
        <w:t>直接下载采购文件浏览</w:t>
      </w:r>
      <w:r>
        <w:rPr>
          <w:rFonts w:ascii="宋体" w:hAnsi="宋体"/>
          <w:color w:val="auto"/>
          <w:sz w:val="22"/>
          <w:szCs w:val="22"/>
          <w:highlight w:val="none"/>
        </w:rPr>
        <w:t>）。</w:t>
      </w:r>
    </w:p>
    <w:p>
      <w:pPr>
        <w:widowControl/>
        <w:spacing w:before="60" w:after="60" w:line="360" w:lineRule="exact"/>
        <w:ind w:right="60" w:firstLine="440"/>
        <w:jc w:val="left"/>
        <w:rPr>
          <w:rFonts w:ascii="宋体"/>
          <w:color w:val="auto"/>
          <w:sz w:val="22"/>
          <w:szCs w:val="22"/>
          <w:highlight w:val="none"/>
        </w:rPr>
      </w:pP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只有在“政采云平台”完成获取采购文件申请并下载了采购文件后才视作依法获取采购文件（法律法规所指的</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获取采购文件时间以</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完成获取采购文件申请后下载采购文件的时间为准）。未依法获取采购文件的潜在</w:t>
      </w:r>
      <w:r>
        <w:rPr>
          <w:rFonts w:hint="eastAsia" w:ascii="宋体" w:hAnsi="宋体" w:cs="宋体"/>
          <w:b/>
          <w:color w:val="auto"/>
          <w:kern w:val="0"/>
          <w:sz w:val="22"/>
          <w:szCs w:val="22"/>
          <w:highlight w:val="none"/>
          <w:lang w:eastAsia="zh-CN"/>
        </w:rPr>
        <w:t>投标人</w:t>
      </w:r>
      <w:r>
        <w:rPr>
          <w:rFonts w:hint="eastAsia" w:ascii="宋体" w:hAnsi="宋体" w:cs="宋体"/>
          <w:b/>
          <w:color w:val="auto"/>
          <w:kern w:val="0"/>
          <w:sz w:val="22"/>
          <w:szCs w:val="22"/>
          <w:highlight w:val="none"/>
        </w:rPr>
        <w:t>对采购文件提起质疑投诉，不予受理。</w:t>
      </w:r>
    </w:p>
    <w:p>
      <w:pPr>
        <w:widowControl/>
        <w:spacing w:before="60" w:after="60" w:line="360" w:lineRule="exact"/>
        <w:ind w:left="60" w:right="6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pPr>
        <w:widowControl/>
        <w:spacing w:before="60" w:after="60" w:line="360" w:lineRule="exact"/>
        <w:ind w:left="61" w:leftChars="29" w:right="60" w:firstLine="433" w:firstLineChars="196"/>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投标文件提交截止时间：</w:t>
      </w:r>
      <w:r>
        <w:rPr>
          <w:rFonts w:hint="eastAsia" w:ascii="宋体" w:hAnsi="宋体" w:cs="宋体"/>
          <w:b/>
          <w:bCs/>
          <w:color w:val="auto"/>
          <w:kern w:val="0"/>
          <w:sz w:val="22"/>
          <w:szCs w:val="22"/>
          <w:highlight w:val="none"/>
          <w:lang w:eastAsia="zh-CN"/>
        </w:rPr>
        <w:t>2023年1月31日</w:t>
      </w:r>
      <w:r>
        <w:rPr>
          <w:rFonts w:hint="eastAsia" w:ascii="宋体" w:hAnsi="宋体" w:cs="宋体"/>
          <w:b/>
          <w:bCs/>
          <w:color w:val="auto"/>
          <w:kern w:val="0"/>
          <w:sz w:val="22"/>
          <w:szCs w:val="22"/>
          <w:highlight w:val="none"/>
          <w:lang w:val="en-US" w:eastAsia="zh-CN"/>
        </w:rPr>
        <w:t>09</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3</w:t>
      </w:r>
      <w:r>
        <w:rPr>
          <w:rFonts w:hint="eastAsia" w:ascii="宋体" w:hAnsi="宋体" w:cs="宋体"/>
          <w:b/>
          <w:bCs/>
          <w:color w:val="auto"/>
          <w:kern w:val="0"/>
          <w:sz w:val="22"/>
          <w:szCs w:val="22"/>
          <w:highlight w:val="none"/>
        </w:rPr>
        <w:t>0（北京时间）</w:t>
      </w:r>
    </w:p>
    <w:p>
      <w:pPr>
        <w:widowControl/>
        <w:spacing w:before="60" w:after="60" w:line="360" w:lineRule="exact"/>
        <w:ind w:left="61" w:leftChars="29" w:right="60" w:firstLine="433" w:firstLineChars="196"/>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xml:space="preserve">投标地点（网址）：政府采购云平台（www.zcygov.cn） </w:t>
      </w:r>
    </w:p>
    <w:p>
      <w:pPr>
        <w:widowControl/>
        <w:spacing w:before="60" w:after="60" w:line="360" w:lineRule="exact"/>
        <w:ind w:left="61" w:leftChars="29" w:right="60" w:firstLine="433" w:firstLineChars="196"/>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开标时间：</w:t>
      </w:r>
      <w:r>
        <w:rPr>
          <w:rFonts w:hint="eastAsia" w:ascii="宋体" w:hAnsi="宋体" w:cs="宋体"/>
          <w:b/>
          <w:bCs/>
          <w:color w:val="auto"/>
          <w:kern w:val="0"/>
          <w:sz w:val="22"/>
          <w:szCs w:val="22"/>
          <w:highlight w:val="none"/>
          <w:lang w:eastAsia="zh-CN"/>
        </w:rPr>
        <w:t>2023年1月31日</w:t>
      </w:r>
      <w:r>
        <w:rPr>
          <w:rFonts w:hint="eastAsia" w:ascii="宋体" w:hAnsi="宋体" w:cs="宋体"/>
          <w:b/>
          <w:bCs/>
          <w:color w:val="auto"/>
          <w:kern w:val="0"/>
          <w:sz w:val="22"/>
          <w:szCs w:val="22"/>
          <w:highlight w:val="none"/>
          <w:lang w:val="en-US" w:eastAsia="zh-CN"/>
        </w:rPr>
        <w:t>09</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3</w:t>
      </w:r>
      <w:r>
        <w:rPr>
          <w:rFonts w:hint="eastAsia" w:ascii="宋体" w:hAnsi="宋体" w:cs="宋体"/>
          <w:b/>
          <w:bCs/>
          <w:color w:val="auto"/>
          <w:kern w:val="0"/>
          <w:sz w:val="22"/>
          <w:szCs w:val="22"/>
          <w:highlight w:val="none"/>
        </w:rPr>
        <w:t>0</w:t>
      </w:r>
    </w:p>
    <w:p>
      <w:pPr>
        <w:widowControl/>
        <w:spacing w:before="60" w:after="60" w:line="360" w:lineRule="exact"/>
        <w:ind w:left="61" w:leftChars="29" w:right="60" w:firstLine="433" w:firstLineChars="196"/>
        <w:jc w:val="left"/>
        <w:rPr>
          <w:rFonts w:ascii="宋体" w:hAnsi="宋体" w:cs="宋体"/>
          <w:bCs/>
          <w:color w:val="auto"/>
          <w:kern w:val="0"/>
          <w:sz w:val="22"/>
          <w:szCs w:val="22"/>
          <w:highlight w:val="none"/>
        </w:rPr>
      </w:pPr>
      <w:r>
        <w:rPr>
          <w:rFonts w:hint="eastAsia" w:ascii="宋体" w:hAnsi="宋体" w:cs="宋体"/>
          <w:b/>
          <w:bCs/>
          <w:color w:val="auto"/>
          <w:kern w:val="0"/>
          <w:sz w:val="22"/>
          <w:szCs w:val="22"/>
          <w:highlight w:val="none"/>
        </w:rPr>
        <w:t>开标地点（网址）：政府采购云平台（</w:t>
      </w:r>
      <w:r>
        <w:rPr>
          <w:rFonts w:ascii="宋体" w:hAnsi="宋体" w:cs="宋体"/>
          <w:b/>
          <w:bCs/>
          <w:color w:val="auto"/>
          <w:kern w:val="0"/>
          <w:sz w:val="22"/>
          <w:szCs w:val="22"/>
          <w:highlight w:val="none"/>
        </w:rPr>
        <w:t>www.zcygov.cn</w:t>
      </w:r>
      <w:r>
        <w:rPr>
          <w:rFonts w:hint="eastAsia" w:ascii="宋体" w:hAnsi="宋体" w:cs="宋体"/>
          <w:b/>
          <w:bCs/>
          <w:color w:val="auto"/>
          <w:kern w:val="0"/>
          <w:sz w:val="22"/>
          <w:szCs w:val="22"/>
          <w:highlight w:val="none"/>
        </w:rPr>
        <w:t>）</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p>
    <w:p>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pPr>
        <w:widowControl/>
        <w:spacing w:before="60" w:after="60" w:line="360" w:lineRule="exact"/>
        <w:ind w:left="61" w:leftChars="29" w:right="60" w:firstLine="323" w:firstLineChars="147"/>
        <w:jc w:val="left"/>
        <w:rPr>
          <w:rFonts w:hint="eastAsia" w:ascii="宋体" w:hAnsi="宋体" w:cs="Arial"/>
          <w:color w:val="auto"/>
          <w:kern w:val="0"/>
          <w:sz w:val="22"/>
          <w:szCs w:val="22"/>
          <w:highlight w:val="none"/>
        </w:rPr>
      </w:pPr>
      <w:r>
        <w:rPr>
          <w:rFonts w:hint="eastAsia" w:ascii="宋体" w:hAnsi="宋体" w:cs="Arial"/>
          <w:color w:val="auto"/>
          <w:kern w:val="0"/>
          <w:sz w:val="22"/>
          <w:szCs w:val="22"/>
          <w:highlight w:val="none"/>
        </w:rPr>
        <w:t>1.</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60" w:after="60" w:line="360" w:lineRule="exact"/>
        <w:ind w:left="61" w:leftChars="29" w:right="60" w:firstLine="323" w:firstLineChars="147"/>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2.其他事项：</w:t>
      </w:r>
    </w:p>
    <w:p>
      <w:pPr>
        <w:widowControl/>
        <w:numPr>
          <w:ilvl w:val="0"/>
          <w:numId w:val="2"/>
        </w:numPr>
        <w:spacing w:before="60" w:after="60" w:line="360" w:lineRule="exact"/>
        <w:ind w:right="60"/>
        <w:jc w:val="left"/>
        <w:rPr>
          <w:rFonts w:ascii="宋体" w:cs="宋体"/>
          <w:bCs/>
          <w:color w:val="auto"/>
          <w:kern w:val="0"/>
          <w:sz w:val="22"/>
          <w:szCs w:val="22"/>
          <w:highlight w:val="none"/>
        </w:rPr>
      </w:pPr>
      <w:r>
        <w:rPr>
          <w:rFonts w:hint="eastAsia" w:ascii="宋体" w:hAnsi="宋体" w:cs="宋体"/>
          <w:bCs/>
          <w:color w:val="auto"/>
          <w:kern w:val="0"/>
          <w:sz w:val="22"/>
          <w:szCs w:val="22"/>
          <w:highlight w:val="none"/>
        </w:rPr>
        <w:t>电子投标说明</w:t>
      </w:r>
    </w:p>
    <w:p>
      <w:pPr>
        <w:widowControl/>
        <w:numPr>
          <w:ilvl w:val="0"/>
          <w:numId w:val="3"/>
        </w:numPr>
        <w:spacing w:before="60" w:after="60" w:line="360" w:lineRule="exact"/>
        <w:ind w:right="6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本项目通过“政采云平台（www.zcygov.cn）”实行在线投标响应（电子投标），</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应先安装“政采云电子交易客户端”，并按照本采购文件和“政采云平台”的要求，通过“政采云电子交易客户端”编制并加密投标文件。</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未按规定加密的投标文件，“政采云平台”将予以拒收。</w:t>
      </w:r>
    </w:p>
    <w:p>
      <w:pPr>
        <w:widowControl/>
        <w:numPr>
          <w:ilvl w:val="0"/>
          <w:numId w:val="3"/>
        </w:numPr>
        <w:spacing w:before="60" w:after="60" w:line="360" w:lineRule="exact"/>
        <w:ind w:right="60"/>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“政采云电子交易客户端”请自行前往“浙江政府采购网-下载专区-电子交易客户端”进行下载；电子投标具体操作流程详见本公告附件《</w:t>
      </w:r>
      <w:r>
        <w:rPr>
          <w:rFonts w:hint="eastAsia" w:ascii="宋体" w:hAnsi="宋体" w:cs="Arial"/>
          <w:color w:val="auto"/>
          <w:kern w:val="0"/>
          <w:sz w:val="22"/>
          <w:szCs w:val="22"/>
          <w:highlight w:val="none"/>
          <w:lang w:eastAsia="zh-CN"/>
        </w:rPr>
        <w:t>投标人</w:t>
      </w:r>
      <w:r>
        <w:rPr>
          <w:rFonts w:hint="eastAsia" w:ascii="宋体" w:hAnsi="宋体" w:cs="Arial"/>
          <w:color w:val="auto"/>
          <w:kern w:val="0"/>
          <w:sz w:val="22"/>
          <w:szCs w:val="22"/>
          <w:highlight w:val="none"/>
        </w:rPr>
        <w:t>项目采购-电子招投标操作指南》；通过“政采云平台”参与在线投标时如遇平台技术问题详询400-881-7190。</w:t>
      </w:r>
    </w:p>
    <w:p>
      <w:pPr>
        <w:widowControl/>
        <w:numPr>
          <w:ilvl w:val="0"/>
          <w:numId w:val="2"/>
        </w:numPr>
        <w:spacing w:before="60" w:after="60" w:line="360" w:lineRule="exact"/>
        <w:ind w:left="5" w:right="60" w:hanging="5"/>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执行《浙江省财政厅关于坚决打赢疫情防控阻击战进一步做好政府采购资金支持企业发展工作的通知》（浙财采监[2021]3号）优化政府采购金融服务（政采贷、履约保函等政府采购金融服务），详见公告附件。</w:t>
      </w:r>
    </w:p>
    <w:p>
      <w:pPr>
        <w:widowControl/>
        <w:numPr>
          <w:ilvl w:val="0"/>
          <w:numId w:val="2"/>
        </w:numPr>
        <w:spacing w:before="60" w:after="60" w:line="360" w:lineRule="exact"/>
        <w:ind w:left="5" w:right="60" w:hanging="5"/>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《关于温州市政府采购支持中小企业信用融资的通知》各位</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：为了进一步扶持中小企业优化温州营商环境，根据《温州市财政局关于温州市政府采购支持中小企业信用融资的通知》要求，温州政府采购项目现已开通支持中小企业信用融资合作银行活动，有意向</w:t>
      </w:r>
      <w:r>
        <w:rPr>
          <w:rFonts w:hint="eastAsia" w:ascii="宋体" w:hAnsi="宋体" w:cs="宋体"/>
          <w:bCs/>
          <w:color w:val="auto"/>
          <w:kern w:val="0"/>
          <w:sz w:val="22"/>
          <w:szCs w:val="22"/>
          <w:highlight w:val="none"/>
          <w:lang w:eastAsia="zh-CN"/>
        </w:rPr>
        <w:t>投标人</w:t>
      </w:r>
      <w:r>
        <w:rPr>
          <w:rFonts w:hint="eastAsia" w:ascii="宋体" w:hAnsi="宋体" w:cs="宋体"/>
          <w:bCs/>
          <w:color w:val="auto"/>
          <w:kern w:val="0"/>
          <w:sz w:val="22"/>
          <w:szCs w:val="22"/>
          <w:highlight w:val="none"/>
        </w:rPr>
        <w:t>根据文件要求提交《温州市政府采购信用融资意向银行选择表》。详细操作及流程请点击：https://ggzy.wzzbtb.com/wzcms/ggtz/50415.htm。</w:t>
      </w:r>
    </w:p>
    <w:p>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七、</w:t>
      </w:r>
      <w:r>
        <w:rPr>
          <w:rFonts w:ascii="宋体" w:hAnsi="宋体" w:cs="宋体"/>
          <w:b/>
          <w:bCs/>
          <w:color w:val="auto"/>
          <w:kern w:val="0"/>
          <w:sz w:val="22"/>
          <w:szCs w:val="22"/>
          <w:highlight w:val="none"/>
        </w:rPr>
        <w:t>对本次招标提出询问、质疑、投诉，请按以下方式联系</w:t>
      </w:r>
    </w:p>
    <w:p>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温州市高教新区发展中心</w:t>
      </w:r>
    </w:p>
    <w:p>
      <w:pPr>
        <w:widowControl/>
        <w:spacing w:before="60" w:after="60" w:line="360" w:lineRule="exact"/>
        <w:ind w:right="60" w:firstLine="440"/>
        <w:jc w:val="left"/>
        <w:rPr>
          <w:rFonts w:hint="default" w:ascii="宋体" w:hAnsi="宋体" w:eastAsia="宋体" w:cs="宋体"/>
          <w:color w:val="auto"/>
          <w:kern w:val="0"/>
          <w:sz w:val="22"/>
          <w:szCs w:val="22"/>
          <w:highlight w:val="none"/>
          <w:lang w:val="en-US"/>
        </w:rPr>
      </w:pPr>
      <w:r>
        <w:rPr>
          <w:rFonts w:hint="eastAsia" w:ascii="宋体" w:hAnsi="宋体" w:eastAsia="宋体" w:cs="宋体"/>
          <w:color w:val="auto"/>
          <w:kern w:val="0"/>
          <w:sz w:val="22"/>
          <w:szCs w:val="22"/>
          <w:highlight w:val="none"/>
        </w:rPr>
        <w:t>地址：</w:t>
      </w:r>
      <w:r>
        <w:rPr>
          <w:rFonts w:hint="eastAsia" w:ascii="宋体" w:hAnsi="宋体" w:eastAsia="宋体" w:cs="宋体"/>
          <w:color w:val="auto"/>
          <w:kern w:val="0"/>
          <w:sz w:val="22"/>
          <w:szCs w:val="22"/>
          <w:highlight w:val="none"/>
          <w:lang w:val="en-US" w:eastAsia="zh-CN"/>
        </w:rPr>
        <w:t>瓯海区东方南路50号（国家大学科技园1号楼）</w:t>
      </w:r>
      <w:r>
        <w:rPr>
          <w:rFonts w:hint="eastAsia" w:ascii="宋体" w:hAnsi="宋体" w:cs="宋体"/>
          <w:color w:val="auto"/>
          <w:kern w:val="0"/>
          <w:sz w:val="22"/>
          <w:szCs w:val="22"/>
          <w:highlight w:val="none"/>
          <w:lang w:val="en-US" w:eastAsia="zh-CN"/>
        </w:rPr>
        <w:t>10楼</w:t>
      </w:r>
    </w:p>
    <w:p>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陈工</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 / 传真：0577-56821026</w:t>
      </w:r>
    </w:p>
    <w:p>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陈乔禾</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质疑联系方式：18058852227</w:t>
      </w:r>
    </w:p>
    <w:p>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招标代理机构：</w:t>
      </w:r>
      <w:r>
        <w:rPr>
          <w:rFonts w:hint="eastAsia" w:ascii="宋体" w:hAnsi="宋体" w:cs="宋体"/>
          <w:color w:val="auto"/>
          <w:kern w:val="0"/>
          <w:sz w:val="22"/>
          <w:szCs w:val="22"/>
          <w:highlight w:val="none"/>
          <w:lang w:eastAsia="zh-CN"/>
        </w:rPr>
        <w:t>华诚工程咨询集团有限公司</w:t>
      </w:r>
    </w:p>
    <w:p>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地址：</w:t>
      </w:r>
      <w:r>
        <w:rPr>
          <w:rFonts w:hint="eastAsia" w:ascii="宋体" w:hAnsi="宋体" w:cs="宋体"/>
          <w:color w:val="auto"/>
          <w:kern w:val="0"/>
          <w:sz w:val="22"/>
          <w:szCs w:val="22"/>
          <w:highlight w:val="none"/>
          <w:lang w:val="en-US" w:eastAsia="zh-CN"/>
        </w:rPr>
        <w:t>温州市鹿城区南郊街道洛河路18号C幢6楼</w:t>
      </w:r>
    </w:p>
    <w:p>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王振军</w:t>
      </w:r>
    </w:p>
    <w:p>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联系电话：0577-8</w:t>
      </w:r>
      <w:r>
        <w:rPr>
          <w:rFonts w:hint="eastAsia" w:ascii="宋体" w:hAnsi="宋体" w:cs="宋体"/>
          <w:color w:val="auto"/>
          <w:kern w:val="0"/>
          <w:sz w:val="22"/>
          <w:szCs w:val="22"/>
          <w:highlight w:val="none"/>
          <w:lang w:val="en-US" w:eastAsia="zh-CN"/>
        </w:rPr>
        <w:t>9502089</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18958781234</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传真：0577-8</w:t>
      </w:r>
      <w:r>
        <w:rPr>
          <w:rFonts w:hint="eastAsia" w:ascii="宋体" w:hAnsi="宋体" w:cs="宋体"/>
          <w:color w:val="auto"/>
          <w:kern w:val="0"/>
          <w:sz w:val="22"/>
          <w:szCs w:val="22"/>
          <w:highlight w:val="none"/>
          <w:lang w:val="en-US" w:eastAsia="zh-CN"/>
        </w:rPr>
        <w:t>9502089</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王锵毅</w:t>
      </w:r>
      <w:r>
        <w:rPr>
          <w:rFonts w:hint="eastAsia" w:ascii="宋体" w:hAnsi="宋体" w:eastAsia="宋体" w:cs="宋体"/>
          <w:color w:val="auto"/>
          <w:kern w:val="0"/>
          <w:sz w:val="22"/>
          <w:szCs w:val="22"/>
          <w:highlight w:val="none"/>
        </w:rPr>
        <w:t> </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同级政府采购监管部门：温州市瓯海区</w:t>
      </w:r>
      <w:r>
        <w:rPr>
          <w:rFonts w:hint="eastAsia" w:ascii="宋体" w:hAnsi="宋体" w:cs="宋体"/>
          <w:color w:val="auto"/>
          <w:kern w:val="0"/>
          <w:sz w:val="22"/>
          <w:szCs w:val="22"/>
          <w:highlight w:val="none"/>
          <w:lang w:val="en-US" w:eastAsia="zh-CN"/>
        </w:rPr>
        <w:t>财政局</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地址：温州市瓯海区洲洋路6号瓯海区行政管理中心1号楼</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联系人：徐先生</w:t>
      </w:r>
    </w:p>
    <w:p>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联系电话：0577-88534479  </w:t>
      </w:r>
    </w:p>
    <w:p>
      <w:pPr>
        <w:pStyle w:val="75"/>
        <w:rPr>
          <w:rFonts w:hint="eastAsia" w:ascii="宋体" w:hAnsi="宋体" w:cs="Arial"/>
          <w:b/>
          <w:bCs/>
          <w:color w:val="auto"/>
          <w:sz w:val="36"/>
          <w:szCs w:val="36"/>
          <w:highlight w:val="none"/>
        </w:rPr>
      </w:pPr>
    </w:p>
    <w:p>
      <w:pPr>
        <w:pStyle w:val="75"/>
        <w:rPr>
          <w:rFonts w:hint="eastAsia" w:ascii="宋体" w:hAnsi="宋体" w:cs="Arial"/>
          <w:b/>
          <w:bCs/>
          <w:color w:val="auto"/>
          <w:sz w:val="36"/>
          <w:szCs w:val="36"/>
          <w:highlight w:val="none"/>
        </w:rPr>
      </w:pPr>
    </w:p>
    <w:p>
      <w:pPr>
        <w:widowControl/>
        <w:jc w:val="left"/>
        <w:rPr>
          <w:rFonts w:ascii="宋体" w:hAnsi="宋体" w:cs="Arial"/>
          <w:color w:val="auto"/>
          <w:kern w:val="0"/>
          <w:sz w:val="22"/>
          <w:szCs w:val="22"/>
          <w:highlight w:val="none"/>
        </w:rPr>
      </w:pPr>
      <w:r>
        <w:rPr>
          <w:rFonts w:hint="eastAsia" w:ascii="宋体" w:hAnsi="宋体" w:cs="Arial"/>
          <w:color w:val="auto"/>
          <w:kern w:val="0"/>
          <w:sz w:val="22"/>
          <w:szCs w:val="22"/>
          <w:highlight w:val="none"/>
        </w:rPr>
        <w:t>若对项目采购电子交易系统操作有疑问，可登录政采云（https://www.zcygov.cn/），点击右侧咨询小采，获取采小蜜智能服务管家帮助，或拨打政采云服务热线400-881-7190获取热线服务帮助。</w:t>
      </w:r>
      <w:r>
        <w:rPr>
          <w:rFonts w:ascii="宋体" w:hAnsi="宋体" w:cs="Calibri"/>
          <w:color w:val="auto"/>
          <w:kern w:val="0"/>
          <w:sz w:val="22"/>
          <w:szCs w:val="22"/>
          <w:highlight w:val="none"/>
        </w:rPr>
        <w:t> </w:t>
      </w:r>
      <w:r>
        <w:rPr>
          <w:rFonts w:hint="eastAsia" w:ascii="宋体" w:hAnsi="宋体" w:cs="Arial"/>
          <w:color w:val="auto"/>
          <w:kern w:val="0"/>
          <w:sz w:val="22"/>
          <w:szCs w:val="22"/>
          <w:highlight w:val="none"/>
        </w:rPr>
        <w:t xml:space="preserve"> </w:t>
      </w:r>
      <w:r>
        <w:rPr>
          <w:rFonts w:ascii="宋体" w:hAnsi="宋体" w:cs="Calibri"/>
          <w:color w:val="auto"/>
          <w:kern w:val="0"/>
          <w:sz w:val="22"/>
          <w:szCs w:val="22"/>
          <w:highlight w:val="none"/>
        </w:rPr>
        <w:t> </w:t>
      </w:r>
      <w:r>
        <w:rPr>
          <w:rFonts w:hint="eastAsia" w:ascii="宋体" w:hAnsi="宋体" w:cs="Arial"/>
          <w:color w:val="auto"/>
          <w:kern w:val="0"/>
          <w:sz w:val="22"/>
          <w:szCs w:val="22"/>
          <w:highlight w:val="none"/>
        </w:rPr>
        <w:t xml:space="preserve"> </w:t>
      </w:r>
      <w:r>
        <w:rPr>
          <w:rFonts w:ascii="宋体" w:hAnsi="宋体" w:cs="Calibri"/>
          <w:color w:val="auto"/>
          <w:kern w:val="0"/>
          <w:sz w:val="22"/>
          <w:szCs w:val="22"/>
          <w:highlight w:val="none"/>
        </w:rPr>
        <w:t> </w:t>
      </w:r>
      <w:r>
        <w:rPr>
          <w:rFonts w:hint="eastAsia" w:ascii="宋体" w:hAnsi="宋体" w:cs="Arial"/>
          <w:color w:val="auto"/>
          <w:kern w:val="0"/>
          <w:sz w:val="22"/>
          <w:szCs w:val="22"/>
          <w:highlight w:val="none"/>
        </w:rPr>
        <w:t xml:space="preserve"> </w:t>
      </w:r>
      <w:r>
        <w:rPr>
          <w:rFonts w:ascii="宋体" w:hAnsi="宋体" w:cs="Calibri"/>
          <w:color w:val="auto"/>
          <w:kern w:val="0"/>
          <w:sz w:val="22"/>
          <w:szCs w:val="22"/>
          <w:highlight w:val="none"/>
        </w:rPr>
        <w:t> </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CA问题联系电话（人工）：汇信CA 400-888-4636；天谷CA 400-087-8198。</w:t>
      </w:r>
    </w:p>
    <w:p>
      <w:pPr>
        <w:pStyle w:val="5"/>
        <w:rPr>
          <w:rFonts w:ascii="宋体" w:hAnsi="宋体" w:eastAsia="宋体" w:cs="Arial"/>
          <w:color w:val="auto"/>
          <w:sz w:val="36"/>
          <w:szCs w:val="36"/>
          <w:highlight w:val="none"/>
        </w:rPr>
      </w:pPr>
      <w:r>
        <w:rPr>
          <w:rFonts w:ascii="宋体" w:hAnsi="宋体" w:eastAsia="宋体" w:cs="Arial"/>
          <w:b w:val="0"/>
          <w:bCs w:val="0"/>
          <w:color w:val="auto"/>
          <w:sz w:val="36"/>
          <w:szCs w:val="36"/>
          <w:highlight w:val="none"/>
        </w:rPr>
        <w:br w:type="page"/>
      </w:r>
      <w:bookmarkStart w:id="26" w:name="_Toc239145350"/>
      <w:bookmarkStart w:id="27" w:name="_Toc249758860"/>
      <w:bookmarkStart w:id="28" w:name="_Toc245191310"/>
      <w:bookmarkStart w:id="29" w:name="_Toc245722277"/>
      <w:bookmarkStart w:id="30" w:name="_Toc249758708"/>
      <w:bookmarkStart w:id="31" w:name="_Toc262049414"/>
      <w:bookmarkStart w:id="32" w:name="_Toc241404198"/>
      <w:bookmarkStart w:id="33" w:name="_Toc221374622"/>
      <w:bookmarkStart w:id="34" w:name="_Toc222114875"/>
      <w:bookmarkStart w:id="35" w:name="_Toc262105499"/>
      <w:bookmarkStart w:id="36" w:name="_Toc3029"/>
      <w:bookmarkStart w:id="37" w:name="_Toc221423615"/>
      <w:bookmarkStart w:id="38" w:name="_Toc221356882"/>
      <w:bookmarkStart w:id="39" w:name="_Toc221356947"/>
      <w:bookmarkStart w:id="40" w:name="_Toc223715994"/>
      <w:bookmarkStart w:id="41" w:name="_Toc246261261"/>
      <w:bookmarkStart w:id="42" w:name="_Toc27051"/>
      <w:bookmarkStart w:id="43" w:name="_Toc22767"/>
      <w:r>
        <w:rPr>
          <w:rFonts w:hint="eastAsia" w:ascii="宋体" w:hAnsi="宋体" w:eastAsia="宋体" w:cs="Arial"/>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5"/>
        <w:spacing w:before="120" w:after="120"/>
        <w:rPr>
          <w:rFonts w:hint="eastAsia" w:ascii="宋体" w:hAnsi="宋体" w:eastAsia="宋体" w:cs="Times New Roman"/>
          <w:b/>
          <w:bCs/>
          <w:color w:val="auto"/>
          <w:kern w:val="2"/>
          <w:sz w:val="26"/>
          <w:szCs w:val="26"/>
          <w:highlight w:val="none"/>
          <w:lang w:val="en-US" w:eastAsia="zh-CN" w:bidi="ar-SA"/>
        </w:rPr>
      </w:pPr>
    </w:p>
    <w:p>
      <w:pPr>
        <w:pStyle w:val="5"/>
        <w:spacing w:before="120" w:after="120"/>
        <w:rPr>
          <w:rFonts w:hint="eastAsia" w:ascii="宋体" w:hAnsi="宋体" w:eastAsia="宋体" w:cs="Times New Roman"/>
          <w:b/>
          <w:bCs/>
          <w:color w:val="auto"/>
          <w:kern w:val="2"/>
          <w:sz w:val="26"/>
          <w:szCs w:val="26"/>
          <w:highlight w:val="none"/>
          <w:lang w:val="en-US" w:eastAsia="zh-CN" w:bidi="ar-SA"/>
        </w:rPr>
      </w:pPr>
      <w:bookmarkStart w:id="44" w:name="_Toc11018"/>
      <w:r>
        <w:rPr>
          <w:rFonts w:hint="eastAsia" w:ascii="宋体" w:hAnsi="宋体" w:eastAsia="宋体" w:cs="Times New Roman"/>
          <w:b/>
          <w:bCs/>
          <w:color w:val="auto"/>
          <w:kern w:val="2"/>
          <w:sz w:val="26"/>
          <w:szCs w:val="26"/>
          <w:highlight w:val="none"/>
          <w:lang w:val="en-US" w:eastAsia="zh-CN" w:bidi="ar-SA"/>
        </w:rPr>
        <w:t>一、须知前附表</w:t>
      </w:r>
      <w:bookmarkEnd w:id="42"/>
      <w:bookmarkEnd w:id="43"/>
      <w:bookmarkEnd w:id="44"/>
    </w:p>
    <w:tbl>
      <w:tblPr>
        <w:tblStyle w:val="62"/>
        <w:tblW w:w="4988" w:type="pct"/>
        <w:tblInd w:w="0" w:type="dxa"/>
        <w:tblLayout w:type="autofit"/>
        <w:tblCellMar>
          <w:top w:w="0" w:type="dxa"/>
          <w:left w:w="108" w:type="dxa"/>
          <w:bottom w:w="0" w:type="dxa"/>
          <w:right w:w="108" w:type="dxa"/>
        </w:tblCellMar>
      </w:tblPr>
      <w:tblGrid>
        <w:gridCol w:w="1044"/>
        <w:gridCol w:w="1481"/>
        <w:gridCol w:w="7413"/>
      </w:tblGrid>
      <w:tr>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序号</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条款名称</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编列内容</w:t>
            </w:r>
          </w:p>
        </w:tc>
      </w:tr>
      <w:tr>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采购人</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kinsoku/>
              <w:wordWrap/>
              <w:topLinePunct w:val="0"/>
              <w:bidi w:val="0"/>
              <w:snapToGrid/>
              <w:spacing w:before="60" w:after="60" w:line="360" w:lineRule="exact"/>
              <w:ind w:right="6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温州市高教新区发展中心</w:t>
            </w:r>
          </w:p>
          <w:p>
            <w:pPr>
              <w:keepNext w:val="0"/>
              <w:keepLines w:val="0"/>
              <w:pageBreakBefore w:val="0"/>
              <w:widowControl/>
              <w:kinsoku/>
              <w:wordWrap/>
              <w:topLinePunct w:val="0"/>
              <w:bidi w:val="0"/>
              <w:snapToGrid/>
              <w:spacing w:before="60" w:after="60" w:line="360" w:lineRule="exact"/>
              <w:ind w:right="60"/>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陈工</w:t>
            </w:r>
          </w:p>
          <w:p>
            <w:pPr>
              <w:keepNext w:val="0"/>
              <w:keepLines w:val="0"/>
              <w:pageBreakBefore w:val="0"/>
              <w:widowControl/>
              <w:kinsoku/>
              <w:wordWrap/>
              <w:topLinePunct w:val="0"/>
              <w:bidi w:val="0"/>
              <w:snapToGrid/>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 传真：</w:t>
            </w:r>
            <w:r>
              <w:rPr>
                <w:rFonts w:hint="eastAsia" w:ascii="宋体" w:hAnsi="宋体" w:eastAsia="宋体" w:cs="宋体"/>
                <w:color w:val="auto"/>
                <w:kern w:val="0"/>
                <w:sz w:val="22"/>
                <w:szCs w:val="22"/>
                <w:highlight w:val="none"/>
              </w:rPr>
              <w:t>0577-56821026</w:t>
            </w:r>
          </w:p>
        </w:tc>
      </w:tr>
      <w:tr>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采购代理机构</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采购代理机构名称：</w:t>
            </w:r>
            <w:r>
              <w:rPr>
                <w:rFonts w:hint="eastAsia" w:ascii="宋体" w:hAnsi="宋体" w:cs="宋体"/>
                <w:color w:val="auto"/>
                <w:sz w:val="22"/>
                <w:szCs w:val="22"/>
                <w:highlight w:val="none"/>
                <w:lang w:eastAsia="zh-CN"/>
              </w:rPr>
              <w:t>华诚工程咨询集团有限公司</w:t>
            </w:r>
          </w:p>
          <w:p>
            <w:pPr>
              <w:keepNext w:val="0"/>
              <w:keepLines w:val="0"/>
              <w:pageBreakBefore w:val="0"/>
              <w:kinsoku/>
              <w:wordWrap/>
              <w:topLinePunct w:val="0"/>
              <w:bidi w:val="0"/>
              <w:snapToGrid/>
              <w:spacing w:line="3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lang w:val="en-US" w:eastAsia="zh-CN"/>
              </w:rPr>
              <w:t>温州市鹿城区南郊街道洛河路18号C幢6楼</w:t>
            </w:r>
          </w:p>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王振军</w:t>
            </w:r>
            <w:r>
              <w:rPr>
                <w:rFonts w:hint="eastAsia" w:ascii="宋体" w:hAnsi="宋体" w:cs="宋体"/>
                <w:color w:val="auto"/>
                <w:sz w:val="22"/>
                <w:szCs w:val="22"/>
                <w:highlight w:val="none"/>
              </w:rPr>
              <w:t xml:space="preserve">  </w:t>
            </w:r>
          </w:p>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联系电话：0577-8</w:t>
            </w:r>
            <w:r>
              <w:rPr>
                <w:rFonts w:hint="eastAsia" w:ascii="宋体" w:hAnsi="宋体" w:cs="宋体"/>
                <w:color w:val="auto"/>
                <w:sz w:val="22"/>
                <w:szCs w:val="22"/>
                <w:highlight w:val="none"/>
                <w:lang w:val="en-US" w:eastAsia="zh-CN"/>
              </w:rPr>
              <w:t>9502089</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18958781234</w:t>
            </w:r>
          </w:p>
        </w:tc>
      </w:tr>
      <w:tr>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采购名称</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bCs/>
                <w:color w:val="auto"/>
                <w:kern w:val="0"/>
                <w:sz w:val="22"/>
                <w:szCs w:val="22"/>
                <w:highlight w:val="none"/>
                <w:lang w:eastAsia="zh-CN"/>
              </w:rPr>
              <w:t>温州大罗山基金（天使）村运营服务</w:t>
            </w:r>
          </w:p>
          <w:p>
            <w:pPr>
              <w:keepNext w:val="0"/>
              <w:keepLines w:val="0"/>
              <w:pageBreakBefore w:val="0"/>
              <w:kinsoku/>
              <w:wordWrap/>
              <w:topLinePunct w:val="0"/>
              <w:bidi w:val="0"/>
              <w:snapToGrid/>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HCZX-20230104001</w:t>
            </w:r>
          </w:p>
        </w:tc>
      </w:tr>
      <w:tr>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采购内容</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ind w:right="-34"/>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具体内容及要求见</w:t>
            </w:r>
            <w:r>
              <w:rPr>
                <w:rFonts w:hint="eastAsia" w:ascii="宋体" w:hAnsi="宋体" w:cs="宋体"/>
                <w:color w:val="auto"/>
                <w:kern w:val="0"/>
                <w:sz w:val="22"/>
                <w:szCs w:val="22"/>
                <w:highlight w:val="none"/>
              </w:rPr>
              <w:t>招标</w:t>
            </w:r>
            <w:r>
              <w:rPr>
                <w:rFonts w:hint="eastAsia" w:ascii="宋体" w:hAnsi="宋体" w:cs="宋体"/>
                <w:color w:val="auto"/>
                <w:kern w:val="0"/>
                <w:sz w:val="22"/>
                <w:szCs w:val="22"/>
                <w:highlight w:val="none"/>
                <w:lang w:val="zh-CN"/>
              </w:rPr>
              <w:t>文件。</w:t>
            </w:r>
          </w:p>
        </w:tc>
      </w:tr>
      <w:tr>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核心产品</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rPr>
              <w:t>本</w:t>
            </w:r>
            <w:r>
              <w:rPr>
                <w:rFonts w:hint="eastAsia" w:ascii="宋体" w:hAnsi="宋体" w:eastAsia="宋体" w:cs="宋体"/>
                <w:b/>
                <w:color w:val="auto"/>
                <w:kern w:val="0"/>
                <w:sz w:val="22"/>
                <w:szCs w:val="22"/>
                <w:highlight w:val="none"/>
              </w:rPr>
              <w:t>项目为</w:t>
            </w:r>
            <w:r>
              <w:rPr>
                <w:rFonts w:hint="eastAsia" w:ascii="宋体" w:hAnsi="宋体" w:eastAsia="宋体" w:cs="宋体"/>
                <w:b/>
                <w:color w:val="auto"/>
                <w:kern w:val="0"/>
                <w:sz w:val="22"/>
                <w:szCs w:val="22"/>
                <w:highlight w:val="none"/>
                <w:lang w:val="en-US" w:eastAsia="zh-CN"/>
              </w:rPr>
              <w:t>服务</w:t>
            </w:r>
            <w:r>
              <w:rPr>
                <w:rFonts w:hint="eastAsia" w:ascii="宋体" w:hAnsi="宋体" w:eastAsia="宋体" w:cs="宋体"/>
                <w:b/>
                <w:color w:val="auto"/>
                <w:kern w:val="0"/>
                <w:sz w:val="22"/>
                <w:szCs w:val="22"/>
                <w:highlight w:val="none"/>
              </w:rPr>
              <w:t>类采购</w:t>
            </w:r>
            <w:r>
              <w:rPr>
                <w:rFonts w:hint="eastAsia" w:ascii="宋体" w:hAnsi="宋体" w:eastAsia="宋体" w:cs="宋体"/>
                <w:b/>
                <w:color w:val="auto"/>
                <w:kern w:val="0"/>
                <w:sz w:val="22"/>
                <w:szCs w:val="22"/>
                <w:highlight w:val="none"/>
                <w:lang w:eastAsia="zh-CN"/>
              </w:rPr>
              <w:t>，</w:t>
            </w:r>
            <w:r>
              <w:rPr>
                <w:rFonts w:hint="eastAsia" w:ascii="宋体" w:hAnsi="宋体" w:eastAsia="宋体" w:cs="宋体"/>
                <w:b/>
                <w:color w:val="auto"/>
                <w:kern w:val="0"/>
                <w:sz w:val="22"/>
                <w:szCs w:val="22"/>
                <w:highlight w:val="none"/>
                <w:lang w:val="en-US" w:eastAsia="zh-CN"/>
              </w:rPr>
              <w:t>无</w:t>
            </w:r>
            <w:r>
              <w:rPr>
                <w:rFonts w:hint="eastAsia" w:ascii="宋体" w:hAnsi="宋体" w:eastAsia="宋体" w:cs="宋体"/>
                <w:b/>
                <w:color w:val="auto"/>
                <w:kern w:val="0"/>
                <w:sz w:val="22"/>
                <w:szCs w:val="22"/>
                <w:highlight w:val="none"/>
              </w:rPr>
              <w:t>核心产品</w:t>
            </w:r>
            <w:r>
              <w:rPr>
                <w:rFonts w:hint="eastAsia" w:ascii="宋体" w:hAnsi="宋体" w:eastAsia="宋体" w:cs="宋体"/>
                <w:b/>
                <w:color w:val="auto"/>
                <w:kern w:val="0"/>
                <w:sz w:val="22"/>
                <w:szCs w:val="22"/>
                <w:highlight w:val="none"/>
                <w:lang w:eastAsia="zh-CN"/>
              </w:rPr>
              <w:t>。</w:t>
            </w:r>
          </w:p>
        </w:tc>
      </w:tr>
      <w:tr>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lang w:val="zh-CN"/>
              </w:rPr>
              <w:t>▲</w:t>
            </w:r>
            <w:r>
              <w:rPr>
                <w:rFonts w:hint="eastAsia" w:ascii="宋体" w:hAnsi="宋体" w:cs="宋体"/>
                <w:b/>
                <w:bCs/>
                <w:color w:val="auto"/>
                <w:kern w:val="0"/>
                <w:sz w:val="22"/>
                <w:szCs w:val="22"/>
                <w:highlight w:val="none"/>
                <w:u w:val="single"/>
              </w:rPr>
              <w:t>投标人</w:t>
            </w:r>
            <w:r>
              <w:rPr>
                <w:rFonts w:hint="eastAsia" w:ascii="宋体" w:hAnsi="宋体" w:cs="宋体"/>
                <w:b/>
                <w:bCs/>
                <w:color w:val="auto"/>
                <w:kern w:val="0"/>
                <w:sz w:val="22"/>
                <w:szCs w:val="22"/>
                <w:highlight w:val="none"/>
                <w:u w:val="single"/>
                <w:lang w:val="zh-CN"/>
              </w:rPr>
              <w:t>资质格要求</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kinsoku/>
              <w:wordWrap/>
              <w:topLinePunct w:val="0"/>
              <w:bidi w:val="0"/>
              <w:snapToGrid/>
              <w:spacing w:before="60" w:after="60" w:line="360" w:lineRule="exact"/>
              <w:ind w:right="60" w:rightChars="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详见</w:t>
            </w:r>
            <w:r>
              <w:rPr>
                <w:rFonts w:hint="eastAsia" w:ascii="宋体" w:hAnsi="宋体" w:cs="宋体"/>
                <w:bCs/>
                <w:color w:val="auto"/>
                <w:kern w:val="0"/>
                <w:sz w:val="22"/>
                <w:szCs w:val="22"/>
                <w:highlight w:val="none"/>
                <w:lang w:val="en-US" w:eastAsia="zh-CN"/>
              </w:rPr>
              <w:t>招标</w:t>
            </w:r>
            <w:r>
              <w:rPr>
                <w:rFonts w:hint="eastAsia" w:ascii="宋体" w:hAnsi="宋体" w:cs="宋体"/>
                <w:bCs/>
                <w:color w:val="auto"/>
                <w:kern w:val="0"/>
                <w:sz w:val="22"/>
                <w:szCs w:val="22"/>
                <w:highlight w:val="none"/>
              </w:rPr>
              <w:t>公告</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是否接受联合体投标</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color w:val="auto"/>
                <w:highlight w:val="none"/>
                <w:lang w:val="zh-CN"/>
              </w:rPr>
            </w:pPr>
            <w:r>
              <w:rPr>
                <w:rFonts w:hint="eastAsia"/>
                <w:color w:val="auto"/>
                <w:highlight w:val="none"/>
              </w:rPr>
              <w:sym w:font="Wingdings" w:char="00FE"/>
            </w:r>
            <w:r>
              <w:rPr>
                <w:rFonts w:hint="eastAsia"/>
                <w:color w:val="auto"/>
                <w:highlight w:val="none"/>
                <w:lang w:val="zh-CN"/>
              </w:rPr>
              <w:t>不接受</w:t>
            </w:r>
          </w:p>
          <w:p>
            <w:pPr>
              <w:pStyle w:val="34"/>
              <w:keepNext w:val="0"/>
              <w:keepLines w:val="0"/>
              <w:pageBreakBefore w:val="0"/>
              <w:kinsoku/>
              <w:wordWrap/>
              <w:topLinePunct w:val="0"/>
              <w:bidi w:val="0"/>
              <w:snapToGrid/>
              <w:spacing w:line="360" w:lineRule="exact"/>
              <w:rPr>
                <w:color w:val="auto"/>
                <w:highlight w:val="none"/>
                <w:lang w:val="zh-CN"/>
              </w:rPr>
            </w:pPr>
            <w:r>
              <w:rPr>
                <w:rFonts w:hint="eastAsia" w:hAnsi="宋体" w:cs="宋体"/>
                <w:color w:val="auto"/>
                <w:kern w:val="0"/>
                <w:sz w:val="22"/>
                <w:szCs w:val="22"/>
                <w:highlight w:val="none"/>
                <w:lang w:val="zh-CN"/>
              </w:rPr>
              <w:t>□</w:t>
            </w:r>
            <w:r>
              <w:rPr>
                <w:rFonts w:hint="eastAsia"/>
                <w:color w:val="auto"/>
                <w:highlight w:val="none"/>
                <w:lang w:val="zh-CN"/>
              </w:rPr>
              <w:t>接受</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踏勘现场</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□组织</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不组织</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投标预备会</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□召开</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lang w:val="zh-CN"/>
              </w:rPr>
              <w:t>不召开</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见招标公告</w:t>
            </w:r>
          </w:p>
        </w:tc>
      </w:tr>
      <w:tr>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分包</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hint="eastAsia"/>
                <w:color w:val="auto"/>
                <w:highlight w:val="none"/>
                <w:lang w:val="zh-CN"/>
              </w:rPr>
            </w:pPr>
            <w:r>
              <w:rPr>
                <w:rFonts w:hint="eastAsia"/>
                <w:color w:val="auto"/>
                <w:highlight w:val="none"/>
              </w:rPr>
              <w:sym w:font="Wingdings" w:char="00FE"/>
            </w:r>
            <w:r>
              <w:rPr>
                <w:rFonts w:hint="eastAsia"/>
                <w:color w:val="auto"/>
                <w:highlight w:val="none"/>
                <w:lang w:val="zh-CN"/>
              </w:rPr>
              <w:t>不允许</w:t>
            </w:r>
          </w:p>
          <w:p>
            <w:pPr>
              <w:keepNext w:val="0"/>
              <w:keepLines w:val="0"/>
              <w:pageBreakBefore w:val="0"/>
              <w:kinsoku/>
              <w:wordWrap/>
              <w:topLinePunct w:val="0"/>
              <w:autoSpaceDE w:val="0"/>
              <w:autoSpaceDN w:val="0"/>
              <w:bidi w:val="0"/>
              <w:adjustRightInd w:val="0"/>
              <w:snapToGrid/>
              <w:spacing w:line="360" w:lineRule="exact"/>
              <w:rPr>
                <w:color w:val="auto"/>
                <w:highlight w:val="none"/>
                <w:lang w:val="zh-CN"/>
              </w:rPr>
            </w:pPr>
            <w:r>
              <w:rPr>
                <w:rFonts w:hint="eastAsia" w:ascii="宋体" w:hAnsi="宋体" w:cs="宋体"/>
                <w:color w:val="auto"/>
                <w:kern w:val="0"/>
                <w:sz w:val="22"/>
                <w:szCs w:val="22"/>
                <w:highlight w:val="none"/>
                <w:lang w:val="zh-CN"/>
              </w:rPr>
              <w:t>□</w:t>
            </w:r>
            <w:r>
              <w:rPr>
                <w:rFonts w:hint="eastAsia"/>
                <w:color w:val="auto"/>
                <w:highlight w:val="none"/>
                <w:lang w:val="zh-CN"/>
              </w:rPr>
              <w:t>允许</w:t>
            </w:r>
            <w:r>
              <w:rPr>
                <w:rFonts w:hint="eastAsia"/>
                <w:color w:val="auto"/>
                <w:highlight w:val="none"/>
                <w:lang w:val="en-US" w:eastAsia="zh-CN"/>
              </w:rPr>
              <w:t xml:space="preserve"> </w:t>
            </w:r>
          </w:p>
        </w:tc>
      </w:tr>
      <w:tr>
        <w:tblPrEx>
          <w:tblCellMar>
            <w:top w:w="0" w:type="dxa"/>
            <w:left w:w="108" w:type="dxa"/>
            <w:bottom w:w="0" w:type="dxa"/>
            <w:right w:w="108" w:type="dxa"/>
          </w:tblCellMar>
        </w:tblPrEx>
        <w:trPr>
          <w:trHeight w:val="2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偏离</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strike/>
                <w:color w:val="auto"/>
                <w:kern w:val="0"/>
                <w:sz w:val="22"/>
                <w:szCs w:val="22"/>
                <w:highlight w:val="none"/>
                <w:lang w:val="zh-CN"/>
              </w:rPr>
            </w:pPr>
            <w:r>
              <w:rPr>
                <w:rFonts w:hint="eastAsia" w:ascii="宋体" w:hAnsi="宋体" w:cs="宋体"/>
                <w:color w:val="auto"/>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auto"/>
                <w:kern w:val="0"/>
                <w:sz w:val="22"/>
                <w:szCs w:val="22"/>
                <w:highlight w:val="none"/>
              </w:rPr>
              <w:t>评标委员会</w:t>
            </w:r>
            <w:r>
              <w:rPr>
                <w:rFonts w:hint="eastAsia" w:ascii="宋体" w:hAnsi="宋体" w:cs="宋体"/>
                <w:color w:val="auto"/>
                <w:kern w:val="0"/>
                <w:sz w:val="22"/>
                <w:szCs w:val="22"/>
                <w:highlight w:val="none"/>
                <w:lang w:val="zh-CN"/>
              </w:rPr>
              <w:t>有权做无效标处理，详见评标办法。</w:t>
            </w:r>
          </w:p>
        </w:tc>
      </w:tr>
      <w:tr>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投标有效期</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自投标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截止时间起生效，有效期90天。</w:t>
            </w:r>
          </w:p>
        </w:tc>
      </w:tr>
      <w:tr>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投标保证金</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b/>
                <w:bCs/>
                <w:color w:val="auto"/>
                <w:sz w:val="22"/>
                <w:szCs w:val="22"/>
                <w:highlight w:val="none"/>
              </w:rPr>
            </w:pPr>
            <w:r>
              <w:rPr>
                <w:rFonts w:hint="eastAsia" w:ascii="宋体" w:hAnsi="宋体" w:cs="宋体"/>
                <w:color w:val="auto"/>
                <w:sz w:val="22"/>
                <w:szCs w:val="22"/>
                <w:highlight w:val="none"/>
              </w:rPr>
              <w:t>无需提交</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的组成</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由“资格响应文件”、“</w:t>
            </w:r>
            <w:r>
              <w:rPr>
                <w:rFonts w:hint="eastAsia" w:ascii="宋体" w:hAnsi="宋体" w:cs="宋体"/>
                <w:color w:val="auto"/>
                <w:kern w:val="0"/>
                <w:sz w:val="22"/>
                <w:szCs w:val="22"/>
                <w:highlight w:val="none"/>
              </w:rPr>
              <w:t>商务技术响应文件</w:t>
            </w:r>
            <w:r>
              <w:rPr>
                <w:rFonts w:hint="eastAsia" w:ascii="宋体" w:hAnsi="宋体" w:cs="宋体"/>
                <w:color w:val="auto"/>
                <w:kern w:val="0"/>
                <w:sz w:val="22"/>
                <w:szCs w:val="22"/>
                <w:highlight w:val="none"/>
                <w:lang w:val="zh-CN"/>
              </w:rPr>
              <w:t>”和“报价响应文件”三个部分组成。</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响应文件</w:t>
            </w:r>
            <w:r>
              <w:rPr>
                <w:rFonts w:hint="eastAsia" w:ascii="宋体" w:hAnsi="宋体" w:cs="宋体"/>
                <w:color w:val="auto"/>
                <w:kern w:val="0"/>
                <w:sz w:val="22"/>
                <w:szCs w:val="22"/>
                <w:highlight w:val="none"/>
                <w:lang w:val="zh-CN"/>
              </w:rPr>
              <w:t>的编制</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投标人应先安装“政采云</w:t>
            </w:r>
            <w:r>
              <w:rPr>
                <w:rFonts w:hint="eastAsia" w:ascii="宋体" w:hAnsi="宋体" w:cs="宋体"/>
                <w:color w:val="auto"/>
                <w:kern w:val="0"/>
                <w:sz w:val="22"/>
                <w:szCs w:val="22"/>
                <w:highlight w:val="none"/>
              </w:rPr>
              <w:t>投标</w:t>
            </w:r>
            <w:r>
              <w:rPr>
                <w:rFonts w:hint="eastAsia" w:ascii="宋体" w:hAnsi="宋体" w:cs="宋体"/>
                <w:color w:val="auto"/>
                <w:kern w:val="0"/>
                <w:sz w:val="22"/>
                <w:szCs w:val="22"/>
                <w:highlight w:val="none"/>
                <w:lang w:val="zh-CN"/>
              </w:rPr>
              <w:t>客户端”，并按照本</w:t>
            </w:r>
            <w:r>
              <w:rPr>
                <w:rFonts w:hint="eastAsia" w:ascii="宋体" w:hAnsi="宋体" w:cs="宋体"/>
                <w:color w:val="auto"/>
                <w:kern w:val="0"/>
                <w:sz w:val="22"/>
                <w:szCs w:val="22"/>
                <w:highlight w:val="none"/>
              </w:rPr>
              <w:t>招标文件</w:t>
            </w:r>
            <w:r>
              <w:rPr>
                <w:rFonts w:hint="eastAsia" w:ascii="宋体" w:hAnsi="宋体" w:cs="宋体"/>
                <w:color w:val="auto"/>
                <w:kern w:val="0"/>
                <w:sz w:val="22"/>
                <w:szCs w:val="22"/>
                <w:highlight w:val="none"/>
                <w:lang w:val="zh-CN"/>
              </w:rPr>
              <w:t>和“《政府采购项目电子交易管理操作指南-投标人》”的要求，编制并加密</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单位公章：电子投标响应文件中所须加盖公章部分均采用CA电子签章，</w:t>
            </w: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zh-CN"/>
              </w:rPr>
              <w:t>法定代表人</w:t>
            </w:r>
            <w:r>
              <w:rPr>
                <w:rFonts w:hint="eastAsia" w:ascii="宋体" w:hAnsi="宋体" w:cs="宋体"/>
                <w:color w:val="auto"/>
                <w:kern w:val="0"/>
                <w:sz w:val="22"/>
                <w:szCs w:val="22"/>
                <w:highlight w:val="none"/>
              </w:rPr>
              <w:t>签署的规定：</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已办理法人CA电子签章的，则法定代表人签署的地方可用CA电子签章进行签署；</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如</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投标响应文件</w:t>
            </w:r>
            <w:r>
              <w:rPr>
                <w:rFonts w:hint="eastAsia" w:ascii="宋体" w:hAnsi="宋体" w:cs="宋体"/>
                <w:color w:val="auto"/>
                <w:kern w:val="0"/>
                <w:sz w:val="22"/>
                <w:szCs w:val="22"/>
                <w:highlight w:val="none"/>
                <w:lang w:val="zh-CN"/>
              </w:rPr>
              <w:t>中要求投标人法定代表人</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的地方，须投标人制作成word版本先打印出来，由法定代表人</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后再上传PDF.</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授权代表</w:t>
            </w:r>
            <w:r>
              <w:rPr>
                <w:rFonts w:hint="eastAsia" w:ascii="宋体" w:hAnsi="宋体" w:cs="宋体"/>
                <w:color w:val="auto"/>
                <w:kern w:val="0"/>
                <w:sz w:val="22"/>
                <w:szCs w:val="22"/>
                <w:highlight w:val="none"/>
              </w:rPr>
              <w:t>签署的规定：投标响应文件</w:t>
            </w:r>
            <w:r>
              <w:rPr>
                <w:rFonts w:hint="eastAsia" w:ascii="宋体" w:hAnsi="宋体" w:cs="宋体"/>
                <w:color w:val="auto"/>
                <w:kern w:val="0"/>
                <w:sz w:val="22"/>
                <w:szCs w:val="22"/>
                <w:highlight w:val="none"/>
                <w:lang w:val="zh-CN"/>
              </w:rPr>
              <w:t>中要求投标人授权代表</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的地方，须投标人制作成word版本先打印出来，由授权代表</w:t>
            </w:r>
            <w:r>
              <w:rPr>
                <w:rFonts w:hint="eastAsia" w:ascii="宋体" w:hAnsi="宋体" w:cs="宋体"/>
                <w:color w:val="auto"/>
                <w:kern w:val="0"/>
                <w:sz w:val="22"/>
                <w:szCs w:val="22"/>
                <w:highlight w:val="none"/>
              </w:rPr>
              <w:t>签署</w:t>
            </w:r>
            <w:r>
              <w:rPr>
                <w:rFonts w:hint="eastAsia" w:ascii="宋体" w:hAnsi="宋体" w:cs="宋体"/>
                <w:color w:val="auto"/>
                <w:kern w:val="0"/>
                <w:sz w:val="22"/>
                <w:szCs w:val="22"/>
                <w:highlight w:val="none"/>
                <w:lang w:val="zh-CN"/>
              </w:rPr>
              <w:t>后再上传PDF</w:t>
            </w:r>
            <w:r>
              <w:rPr>
                <w:rFonts w:hint="eastAsia" w:ascii="宋体" w:hAnsi="宋体" w:cs="宋体"/>
                <w:color w:val="auto"/>
                <w:kern w:val="0"/>
                <w:sz w:val="22"/>
                <w:szCs w:val="22"/>
                <w:highlight w:val="none"/>
              </w:rPr>
              <w:t>.</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lang w:val="zh-CN"/>
              </w:rPr>
              <w:t>政采云系统平台有新的操作流程的，按其规定。</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18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hint="eastAsia" w:ascii="宋体" w:hAnsi="Times New Roman" w:eastAsia="宋体" w:cs="新宋体"/>
                <w:b w:val="0"/>
                <w:bCs w:val="0"/>
                <w:color w:val="auto"/>
                <w:kern w:val="0"/>
                <w:sz w:val="22"/>
                <w:szCs w:val="22"/>
                <w:highlight w:val="none"/>
                <w:lang w:val="zh-CN" w:eastAsia="zh-CN" w:bidi="ar-SA"/>
              </w:rPr>
            </w:pPr>
            <w:r>
              <w:rPr>
                <w:rFonts w:hint="eastAsia" w:ascii="宋体" w:hAnsi="宋体" w:cs="新宋体"/>
                <w:b w:val="0"/>
                <w:bCs w:val="0"/>
                <w:color w:val="auto"/>
                <w:kern w:val="0"/>
                <w:sz w:val="22"/>
                <w:szCs w:val="22"/>
                <w:highlight w:val="none"/>
              </w:rPr>
              <w:t>响应</w:t>
            </w:r>
            <w:r>
              <w:rPr>
                <w:rFonts w:hint="eastAsia" w:ascii="宋体" w:hAnsi="宋体" w:cs="新宋体"/>
                <w:b w:val="0"/>
                <w:bCs w:val="0"/>
                <w:color w:val="auto"/>
                <w:kern w:val="0"/>
                <w:sz w:val="22"/>
                <w:szCs w:val="22"/>
                <w:highlight w:val="none"/>
                <w:lang w:val="zh-CN"/>
              </w:rPr>
              <w:t>文件形式、制作及组成</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（1）“电子加密投标文件”（后缀格式为.jmbs）是指通过“政采云电子交易客户端”完成投标文件编制后生成并加密的数据电文形式的投标文件。</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（2）“备份投标文件”（后缀格式为.bfbs）是指与“电子加密投标文件”同时生成的数据电文形式的电子文件（备份标书），其他方式编制的备份投标文件视为无效备份投标文件。</w:t>
            </w:r>
          </w:p>
          <w:p>
            <w:pPr>
              <w:keepNext w:val="0"/>
              <w:keepLines w:val="0"/>
              <w:pageBreakBefore w:val="0"/>
              <w:kinsoku/>
              <w:wordWrap/>
              <w:topLinePunct w:val="0"/>
              <w:autoSpaceDE w:val="0"/>
              <w:autoSpaceDN w:val="0"/>
              <w:bidi w:val="0"/>
              <w:adjustRightInd w:val="0"/>
              <w:snapToGrid/>
              <w:spacing w:line="360" w:lineRule="exact"/>
              <w:rPr>
                <w:rFonts w:hint="eastAsia" w:ascii="宋体" w:hAnsi="Times New Roman" w:eastAsia="宋体" w:cs="新宋体"/>
                <w:b/>
                <w:bCs/>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41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19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文件的上传和递交</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lang w:val="en-US"/>
              </w:rPr>
              <w:t>1、</w:t>
            </w:r>
            <w:r>
              <w:rPr>
                <w:rFonts w:hint="eastAsia" w:cs="宋体"/>
                <w:color w:val="auto"/>
                <w:sz w:val="22"/>
                <w:highlight w:val="none"/>
              </w:rPr>
              <w:t>“电子响应文件”的上传、递交，</w:t>
            </w:r>
            <w:r>
              <w:rPr>
                <w:rFonts w:hint="eastAsia" w:cs="宋体"/>
                <w:color w:val="auto"/>
                <w:sz w:val="22"/>
                <w:highlight w:val="none"/>
                <w:lang w:val="en-US"/>
              </w:rPr>
              <w:t>具体详见《政府采购项目电子交易管理操作指南-</w:t>
            </w:r>
            <w:r>
              <w:rPr>
                <w:rFonts w:hint="eastAsia" w:cs="宋体"/>
                <w:color w:val="auto"/>
                <w:sz w:val="22"/>
                <w:highlight w:val="none"/>
                <w:lang w:val="en-US" w:eastAsia="zh-CN"/>
              </w:rPr>
              <w:t>投标人</w:t>
            </w:r>
            <w:r>
              <w:rPr>
                <w:rFonts w:hint="eastAsia" w:cs="宋体"/>
                <w:color w:val="auto"/>
                <w:sz w:val="22"/>
                <w:highlight w:val="none"/>
                <w:lang w:val="en-US"/>
              </w:rPr>
              <w:t>》（</w:t>
            </w:r>
            <w:r>
              <w:rPr>
                <w:rFonts w:hint="eastAsia" w:cs="宋体"/>
                <w:color w:val="auto"/>
                <w:sz w:val="22"/>
                <w:highlight w:val="none"/>
                <w:lang w:val="en-US" w:eastAsia="zh-CN"/>
              </w:rPr>
              <w:t>投标人</w:t>
            </w:r>
            <w:r>
              <w:rPr>
                <w:rFonts w:hint="eastAsia" w:cs="宋体"/>
                <w:color w:val="auto"/>
                <w:sz w:val="22"/>
                <w:highlight w:val="none"/>
                <w:lang w:val="en-US"/>
              </w:rPr>
              <w:t>自行去政采云系统上进行下载）</w:t>
            </w:r>
            <w:r>
              <w:rPr>
                <w:rFonts w:hint="eastAsia" w:cs="宋体"/>
                <w:color w:val="auto"/>
                <w:sz w:val="22"/>
                <w:highlight w:val="none"/>
              </w:rPr>
              <w:t>：</w:t>
            </w:r>
          </w:p>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rPr>
              <w:t>（</w:t>
            </w:r>
            <w:r>
              <w:rPr>
                <w:rFonts w:hint="eastAsia" w:cs="宋体"/>
                <w:color w:val="auto"/>
                <w:sz w:val="22"/>
                <w:highlight w:val="none"/>
                <w:lang w:val="en-US"/>
              </w:rPr>
              <w:t>1）电子响应</w:t>
            </w:r>
            <w:r>
              <w:rPr>
                <w:rFonts w:hint="eastAsia" w:cs="宋体"/>
                <w:color w:val="auto"/>
                <w:sz w:val="22"/>
                <w:highlight w:val="none"/>
              </w:rPr>
              <w:t>文件制作完成并生成加密标书，在</w:t>
            </w:r>
            <w:r>
              <w:rPr>
                <w:rFonts w:hint="eastAsia" w:cs="宋体"/>
                <w:color w:val="auto"/>
                <w:sz w:val="22"/>
                <w:highlight w:val="none"/>
                <w:lang w:val="en-US"/>
              </w:rPr>
              <w:t>投标响应截止时间</w:t>
            </w:r>
            <w:r>
              <w:rPr>
                <w:rFonts w:hint="eastAsia" w:cs="宋体"/>
                <w:color w:val="auto"/>
                <w:sz w:val="22"/>
                <w:highlight w:val="none"/>
              </w:rPr>
              <w:t>前，</w:t>
            </w:r>
            <w:r>
              <w:rPr>
                <w:rFonts w:hint="eastAsia" w:cs="宋体"/>
                <w:color w:val="auto"/>
                <w:sz w:val="22"/>
                <w:highlight w:val="none"/>
                <w:lang w:eastAsia="zh-CN"/>
              </w:rPr>
              <w:t>投标人</w:t>
            </w:r>
            <w:r>
              <w:rPr>
                <w:rFonts w:hint="eastAsia" w:cs="宋体"/>
                <w:color w:val="auto"/>
                <w:sz w:val="22"/>
                <w:highlight w:val="none"/>
              </w:rPr>
              <w:t>需将加密的</w:t>
            </w:r>
            <w:r>
              <w:rPr>
                <w:rFonts w:hint="eastAsia" w:cs="宋体"/>
                <w:color w:val="auto"/>
                <w:sz w:val="22"/>
                <w:highlight w:val="none"/>
                <w:lang w:val="en-US"/>
              </w:rPr>
              <w:t>响应</w:t>
            </w:r>
            <w:r>
              <w:rPr>
                <w:rFonts w:hint="eastAsia" w:cs="宋体"/>
                <w:color w:val="auto"/>
                <w:sz w:val="22"/>
                <w:highlight w:val="none"/>
              </w:rPr>
              <w:t>文件上传至政采云平台，</w:t>
            </w:r>
            <w:r>
              <w:rPr>
                <w:rFonts w:hint="eastAsia" w:cs="宋体"/>
                <w:color w:val="auto"/>
                <w:sz w:val="22"/>
                <w:highlight w:val="none"/>
                <w:lang w:val="en-US"/>
              </w:rPr>
              <w:t>接到解密通知</w:t>
            </w:r>
            <w:r>
              <w:rPr>
                <w:rFonts w:hint="eastAsia" w:cs="宋体"/>
                <w:color w:val="auto"/>
                <w:sz w:val="22"/>
                <w:highlight w:val="none"/>
              </w:rPr>
              <w:t>后，解密投标响应文件。</w:t>
            </w:r>
          </w:p>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lang w:val="en-US"/>
              </w:rPr>
              <w:t>（2</w:t>
            </w:r>
            <w:r>
              <w:rPr>
                <w:rFonts w:hint="eastAsia" w:cs="宋体"/>
                <w:color w:val="auto"/>
                <w:sz w:val="22"/>
                <w:highlight w:val="none"/>
              </w:rPr>
              <w:t>）</w:t>
            </w:r>
            <w:r>
              <w:rPr>
                <w:rFonts w:hint="eastAsia" w:cs="宋体"/>
                <w:color w:val="auto"/>
                <w:sz w:val="22"/>
                <w:highlight w:val="none"/>
                <w:lang w:val="en-US"/>
              </w:rPr>
              <w:t>电子响应</w:t>
            </w:r>
            <w:r>
              <w:rPr>
                <w:rFonts w:hint="eastAsia" w:cs="宋体"/>
                <w:color w:val="auto"/>
                <w:sz w:val="22"/>
                <w:highlight w:val="none"/>
              </w:rPr>
              <w:t>文件上传成功后，在“投标响应文件上传-进行中”标签页下，显示状态为“已上传”。可在此处下载打印投标回执；在投标</w:t>
            </w:r>
            <w:r>
              <w:rPr>
                <w:rFonts w:hint="eastAsia" w:cs="宋体"/>
                <w:color w:val="auto"/>
                <w:sz w:val="22"/>
                <w:highlight w:val="none"/>
                <w:lang w:val="en-US"/>
              </w:rPr>
              <w:t>响应</w:t>
            </w:r>
            <w:r>
              <w:rPr>
                <w:rFonts w:hint="eastAsia" w:cs="宋体"/>
                <w:color w:val="auto"/>
                <w:sz w:val="22"/>
                <w:highlight w:val="none"/>
              </w:rPr>
              <w:t>截止时间前，</w:t>
            </w:r>
            <w:r>
              <w:rPr>
                <w:rFonts w:hint="eastAsia" w:cs="宋体"/>
                <w:color w:val="auto"/>
                <w:sz w:val="22"/>
                <w:highlight w:val="none"/>
                <w:lang w:eastAsia="zh-CN"/>
              </w:rPr>
              <w:t>投标人</w:t>
            </w:r>
            <w:r>
              <w:rPr>
                <w:rFonts w:hint="eastAsia" w:cs="宋体"/>
                <w:color w:val="auto"/>
                <w:sz w:val="22"/>
                <w:highlight w:val="none"/>
              </w:rPr>
              <w:t>可撤回投标响应文件，修改内容。</w:t>
            </w:r>
          </w:p>
          <w:p>
            <w:pPr>
              <w:pStyle w:val="758"/>
              <w:keepNext w:val="0"/>
              <w:keepLines w:val="0"/>
              <w:pageBreakBefore w:val="0"/>
              <w:kinsoku/>
              <w:wordWrap/>
              <w:topLinePunct w:val="0"/>
              <w:autoSpaceDE w:val="0"/>
              <w:autoSpaceDN w:val="0"/>
              <w:bidi w:val="0"/>
              <w:adjustRightInd w:val="0"/>
              <w:snapToGrid/>
              <w:spacing w:line="360" w:lineRule="exact"/>
              <w:jc w:val="both"/>
              <w:rPr>
                <w:rFonts w:cs="宋体"/>
                <w:color w:val="auto"/>
                <w:sz w:val="22"/>
                <w:highlight w:val="none"/>
              </w:rPr>
            </w:pPr>
            <w:r>
              <w:rPr>
                <w:rFonts w:hint="eastAsia" w:cs="宋体"/>
                <w:color w:val="auto"/>
                <w:sz w:val="22"/>
                <w:highlight w:val="none"/>
                <w:lang w:val="en-US"/>
              </w:rPr>
              <w:t>2、</w:t>
            </w:r>
            <w:r>
              <w:rPr>
                <w:rFonts w:hint="eastAsia" w:cs="宋体"/>
                <w:color w:val="auto"/>
                <w:sz w:val="22"/>
                <w:highlight w:val="none"/>
              </w:rPr>
              <w:t>“备份响应文件”的递交：</w:t>
            </w:r>
          </w:p>
          <w:p>
            <w:pPr>
              <w:pStyle w:val="2"/>
              <w:keepNext w:val="0"/>
              <w:keepLines w:val="0"/>
              <w:pageBreakBefore w:val="0"/>
              <w:numPr>
                <w:ilvl w:val="0"/>
                <w:numId w:val="4"/>
              </w:numPr>
              <w:kinsoku/>
              <w:wordWrap/>
              <w:topLinePunct w:val="0"/>
              <w:autoSpaceDE w:val="0"/>
              <w:autoSpaceDN w:val="0"/>
              <w:bidi w:val="0"/>
              <w:adjustRightInd w:val="0"/>
              <w:snapToGrid/>
              <w:spacing w:after="0" w:line="360" w:lineRule="exact"/>
              <w:ind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cs="宋体"/>
                <w:color w:val="auto"/>
                <w:highlight w:val="none"/>
              </w:rPr>
              <w:fldChar w:fldCharType="separate"/>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在系统里上传好加密标书后，可以（建议）在投标响应截止时间前将系统生成的备份标书（后缀格式为.bfbs）以电子邮件形式传送至采购代理机构邮箱</w:t>
            </w:r>
            <w:r>
              <w:rPr>
                <w:rFonts w:hint="eastAsia" w:ascii="宋体" w:hAnsi="宋体" w:cs="宋体"/>
                <w:color w:val="auto"/>
                <w:sz w:val="22"/>
                <w:szCs w:val="22"/>
                <w:highlight w:val="none"/>
                <w:lang w:val="en-US" w:eastAsia="zh-CN"/>
              </w:rPr>
              <w:t>158688602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qq</w:t>
            </w:r>
            <w:r>
              <w:rPr>
                <w:rFonts w:hint="eastAsia" w:ascii="宋体" w:hAnsi="宋体" w:cs="宋体"/>
                <w:color w:val="auto"/>
                <w:sz w:val="22"/>
                <w:szCs w:val="22"/>
                <w:highlight w:val="none"/>
                <w:lang w:eastAsia="zh-CN"/>
              </w:rPr>
              <w:t>.com</w:t>
            </w:r>
            <w:r>
              <w:rPr>
                <w:rFonts w:hint="eastAsia" w:ascii="宋体" w:hAnsi="宋体" w:cs="宋体"/>
                <w:color w:val="auto"/>
                <w:sz w:val="22"/>
                <w:szCs w:val="22"/>
                <w:highlight w:val="none"/>
              </w:rPr>
              <w:t>，</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自行保管。</w:t>
            </w:r>
          </w:p>
          <w:p>
            <w:pPr>
              <w:pStyle w:val="2"/>
              <w:keepNext w:val="0"/>
              <w:keepLines w:val="0"/>
              <w:pageBreakBefore w:val="0"/>
              <w:numPr>
                <w:ilvl w:val="0"/>
                <w:numId w:val="4"/>
              </w:numPr>
              <w:kinsoku/>
              <w:wordWrap/>
              <w:topLinePunct w:val="0"/>
              <w:autoSpaceDE w:val="0"/>
              <w:autoSpaceDN w:val="0"/>
              <w:bidi w:val="0"/>
              <w:adjustRightInd w:val="0"/>
              <w:snapToGrid/>
              <w:spacing w:after="0" w:line="360" w:lineRule="exact"/>
              <w:ind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递交了备份响应文件的，以备份响应文件为依据，否则视为响应文件撤回。 通过“政府采购云平台”上传递交的“电子响应文件”已按时解密的，“备份响应文件”自动失效。</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仅递交备份响应文件的，投标无效；</w:t>
            </w:r>
          </w:p>
          <w:p>
            <w:pPr>
              <w:pStyle w:val="2"/>
              <w:keepNext w:val="0"/>
              <w:keepLines w:val="0"/>
              <w:pageBreakBefore w:val="0"/>
              <w:numPr>
                <w:ilvl w:val="0"/>
                <w:numId w:val="4"/>
              </w:numPr>
              <w:kinsoku/>
              <w:wordWrap/>
              <w:topLinePunct w:val="0"/>
              <w:autoSpaceDE w:val="0"/>
              <w:autoSpaceDN w:val="0"/>
              <w:bidi w:val="0"/>
              <w:adjustRightInd w:val="0"/>
              <w:snapToGrid/>
              <w:spacing w:after="0" w:line="360" w:lineRule="exact"/>
              <w:ind w:firstLine="0" w:firstLineChars="0"/>
              <w:jc w:val="left"/>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需保证上传的电子响应文件与提交的备份响应文件必须同时生成且内容完全一致；</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20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电子响应文件的解密和异常情况处理</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宋体"/>
                <w:color w:val="auto"/>
                <w:kern w:val="0"/>
                <w:sz w:val="22"/>
                <w:szCs w:val="22"/>
                <w:highlight w:val="none"/>
              </w:rPr>
              <w:t>电子响应</w:t>
            </w:r>
            <w:r>
              <w:rPr>
                <w:rFonts w:hint="eastAsia" w:ascii="宋体" w:hAnsi="宋体" w:cs="宋体"/>
                <w:color w:val="auto"/>
                <w:kern w:val="0"/>
                <w:sz w:val="22"/>
                <w:szCs w:val="22"/>
                <w:highlight w:val="none"/>
                <w:lang w:val="zh-CN"/>
              </w:rPr>
              <w:t>文件必须插入CA），在线解密电子响应文件时间为接到解密通知后</w:t>
            </w: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0分钟内。</w:t>
            </w:r>
          </w:p>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（2）异常处理：如政采云上电子响应文件出现解密失败情况，投标人可根据自身意愿确认是否将备份标书压缩包的解密密码传送至采购代理机构邮箱</w:t>
            </w:r>
            <w:r>
              <w:rPr>
                <w:rFonts w:hint="eastAsia" w:ascii="宋体" w:hAnsi="宋体" w:cs="宋体"/>
                <w:color w:val="auto"/>
                <w:kern w:val="0"/>
                <w:sz w:val="22"/>
                <w:szCs w:val="22"/>
                <w:highlight w:val="none"/>
                <w:lang w:val="en-US" w:eastAsia="zh-CN"/>
              </w:rPr>
              <w:t>158688602</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lang w:val="en-US" w:eastAsia="zh-CN"/>
              </w:rPr>
              <w:t>qq</w:t>
            </w:r>
            <w:r>
              <w:rPr>
                <w:rFonts w:hint="eastAsia" w:ascii="宋体" w:hAnsi="宋体" w:cs="宋体"/>
                <w:color w:val="auto"/>
                <w:kern w:val="0"/>
                <w:sz w:val="22"/>
                <w:szCs w:val="22"/>
                <w:highlight w:val="none"/>
                <w:lang w:val="zh-CN"/>
              </w:rPr>
              <w:t>.com,采购代理机构收到解密密码后通过【异常处理】的端口对投标人的备份响应文件进行上传（上传成功后，“电子</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文件”自动失效），不能成功上传的视为</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文件撤回）。</w:t>
            </w:r>
          </w:p>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3）响应</w:t>
            </w:r>
            <w:r>
              <w:rPr>
                <w:rFonts w:hint="eastAsia" w:ascii="宋体" w:hAnsi="宋体" w:cs="宋体"/>
                <w:color w:val="auto"/>
                <w:kern w:val="0"/>
                <w:sz w:val="22"/>
                <w:szCs w:val="22"/>
                <w:highlight w:val="none"/>
                <w:lang w:val="zh-CN"/>
              </w:rPr>
              <w:t>文件的启用，按先后顺序分别为电子响应文件、以电子邮件形式的备份响应文件，在下一顺位的</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文件启用之后，前一顺位的</w:t>
            </w:r>
            <w:r>
              <w:rPr>
                <w:rFonts w:hint="eastAsia" w:ascii="宋体" w:hAnsi="宋体" w:cs="宋体"/>
                <w:color w:val="auto"/>
                <w:kern w:val="0"/>
                <w:sz w:val="22"/>
                <w:szCs w:val="22"/>
                <w:highlight w:val="none"/>
              </w:rPr>
              <w:t>响应</w:t>
            </w:r>
            <w:r>
              <w:rPr>
                <w:rFonts w:hint="eastAsia" w:ascii="宋体" w:hAnsi="宋体" w:cs="宋体"/>
                <w:color w:val="auto"/>
                <w:kern w:val="0"/>
                <w:sz w:val="22"/>
                <w:szCs w:val="22"/>
                <w:highlight w:val="none"/>
                <w:lang w:val="zh-CN"/>
              </w:rPr>
              <w:t>文件自动失效。</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21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政采云系统默认</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自动放弃的情形</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numPr>
                <w:ilvl w:val="0"/>
                <w:numId w:val="5"/>
              </w:numPr>
              <w:kinsoku/>
              <w:wordWrap/>
              <w:topLinePunct w:val="0"/>
              <w:autoSpaceDE w:val="0"/>
              <w:autoSpaceDN w:val="0"/>
              <w:bidi w:val="0"/>
              <w:adjustRightInd w:val="0"/>
              <w:snapToGrid/>
              <w:spacing w:line="360" w:lineRule="exact"/>
              <w:ind w:firstLine="0"/>
              <w:rPr>
                <w:rFonts w:ascii="宋体" w:hAnsi="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未按规定上传电子响应文件的；</w:t>
            </w:r>
          </w:p>
          <w:p>
            <w:pPr>
              <w:keepNext w:val="0"/>
              <w:keepLines w:val="0"/>
              <w:pageBreakBefore w:val="0"/>
              <w:numPr>
                <w:ilvl w:val="0"/>
                <w:numId w:val="5"/>
              </w:numPr>
              <w:kinsoku/>
              <w:wordWrap/>
              <w:topLinePunct w:val="0"/>
              <w:autoSpaceDE w:val="0"/>
              <w:autoSpaceDN w:val="0"/>
              <w:bidi w:val="0"/>
              <w:adjustRightInd w:val="0"/>
              <w:snapToGrid/>
              <w:spacing w:line="360" w:lineRule="exact"/>
              <w:ind w:firstLine="0" w:firstLineChars="0"/>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在解密期限内投标人电子响应文件解密失败，且经异常处理后政采云电子交易系统仍未能解决的。</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22</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rPr>
              <w:t>和地点</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详见招标公告</w:t>
            </w:r>
          </w:p>
          <w:p>
            <w:pPr>
              <w:pStyle w:val="3"/>
              <w:keepNext w:val="0"/>
              <w:keepLines w:val="0"/>
              <w:pageBreakBefore w:val="0"/>
              <w:kinsoku/>
              <w:wordWrap/>
              <w:topLinePunct w:val="0"/>
              <w:bidi w:val="0"/>
              <w:snapToGrid/>
              <w:spacing w:line="360" w:lineRule="exact"/>
              <w:ind w:firstLine="420" w:firstLineChars="0"/>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注：本项目为电子招投标，相关的招投标流程（</w:t>
            </w:r>
            <w:r>
              <w:rPr>
                <w:rFonts w:hint="eastAsia" w:ascii="宋体" w:hAnsi="宋体" w:cs="宋体"/>
                <w:color w:val="auto"/>
                <w:sz w:val="22"/>
                <w:szCs w:val="22"/>
                <w:highlight w:val="none"/>
              </w:rPr>
              <w:t>招标</w:t>
            </w:r>
            <w:r>
              <w:rPr>
                <w:rFonts w:hint="eastAsia" w:ascii="宋体" w:hAnsi="宋体" w:cs="宋体"/>
                <w:color w:val="auto"/>
                <w:sz w:val="22"/>
                <w:szCs w:val="22"/>
                <w:highlight w:val="none"/>
                <w:lang w:val="zh-CN"/>
              </w:rPr>
              <w:t>文件下载、电子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文件上传、</w:t>
            </w:r>
            <w:r>
              <w:rPr>
                <w:rFonts w:hint="eastAsia" w:ascii="宋体" w:hAnsi="宋体" w:cs="宋体"/>
                <w:color w:val="auto"/>
                <w:sz w:val="22"/>
                <w:szCs w:val="22"/>
                <w:highlight w:val="none"/>
              </w:rPr>
              <w:t>评标</w:t>
            </w:r>
            <w:r>
              <w:rPr>
                <w:rFonts w:hint="eastAsia" w:ascii="宋体" w:hAnsi="宋体" w:cs="宋体"/>
                <w:color w:val="auto"/>
                <w:sz w:val="22"/>
                <w:szCs w:val="22"/>
                <w:highlight w:val="none"/>
                <w:lang w:val="zh-CN"/>
              </w:rPr>
              <w:t>等程序）均在浙江政府采购网“政府采购云平台”进行，</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lang w:val="zh-CN"/>
              </w:rPr>
              <w:t>不必前往现场进行</w:t>
            </w: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zh-CN"/>
              </w:rPr>
              <w:t>活动等事宜</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23</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autoSpaceDE w:val="0"/>
              <w:autoSpaceDN w:val="0"/>
              <w:bidi w:val="0"/>
              <w:adjustRightInd w:val="0"/>
              <w:snapToGrid/>
              <w:spacing w:line="360" w:lineRule="exact"/>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询标澄清</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3"/>
              <w:keepNext w:val="0"/>
              <w:keepLines w:val="0"/>
              <w:pageBreakBefore w:val="0"/>
              <w:numPr>
                <w:ilvl w:val="0"/>
                <w:numId w:val="6"/>
              </w:numPr>
              <w:kinsoku/>
              <w:wordWrap/>
              <w:topLinePunct w:val="0"/>
              <w:bidi w:val="0"/>
              <w:snapToGrid/>
              <w:spacing w:line="360" w:lineRule="exact"/>
              <w:ind w:left="5" w:leftChars="0" w:hanging="5" w:firstLineChars="0"/>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pPr>
              <w:pStyle w:val="3"/>
              <w:keepNext w:val="0"/>
              <w:keepLines w:val="0"/>
              <w:pageBreakBefore w:val="0"/>
              <w:numPr>
                <w:ilvl w:val="0"/>
                <w:numId w:val="6"/>
              </w:numPr>
              <w:kinsoku/>
              <w:wordWrap/>
              <w:topLinePunct w:val="0"/>
              <w:bidi w:val="0"/>
              <w:snapToGrid/>
              <w:spacing w:line="360" w:lineRule="exact"/>
              <w:ind w:left="5" w:leftChars="0" w:hanging="5" w:firstLineChars="0"/>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lang w:val="zh-CN"/>
              </w:rPr>
              <w:t>本项目采购过程中，涉及的投标人联系方式（如手机号码、</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文件中预留的邮箱、投标人地址），均以投标人递交的电子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文件中《法定代表人资格声明书》或《法定代表人授权委托书》上注明的联系方式为准。</w:t>
            </w:r>
          </w:p>
        </w:tc>
      </w:tr>
      <w:tr>
        <w:tblPrEx>
          <w:tblCellMar>
            <w:top w:w="0" w:type="dxa"/>
            <w:left w:w="108" w:type="dxa"/>
            <w:bottom w:w="0" w:type="dxa"/>
            <w:right w:w="108" w:type="dxa"/>
          </w:tblCellMar>
        </w:tblPrEx>
        <w:trPr>
          <w:trHeight w:val="3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24</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的组建</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采购人按照《中华人民共和国政府采购法》等有关法律、法规的规定组建评标委员会，评标委员会由采购人代表和有关技术、经济等方面的专家组成，成员人数为</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人（含）以上单数，除采购人代表外的专家将在评标专家库中随机抽取产生。</w:t>
            </w:r>
          </w:p>
        </w:tc>
      </w:tr>
      <w:tr>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25</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履约担保</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eq \o\ac(</w:instrText>
            </w:r>
            <w:r>
              <w:rPr>
                <w:rFonts w:hint="eastAsia" w:ascii="宋体" w:hAnsi="宋体" w:cs="宋体"/>
                <w:color w:val="auto"/>
                <w:kern w:val="0"/>
                <w:position w:val="-4"/>
                <w:sz w:val="22"/>
                <w:szCs w:val="22"/>
                <w:highlight w:val="none"/>
              </w:rPr>
              <w:instrText xml:space="preserve">□</w:instrText>
            </w:r>
            <w:r>
              <w:rPr>
                <w:rFonts w:hint="eastAsia" w:ascii="宋体" w:hAnsi="宋体" w:cs="宋体"/>
                <w:color w:val="auto"/>
                <w:kern w:val="0"/>
                <w:sz w:val="22"/>
                <w:szCs w:val="22"/>
                <w:highlight w:val="none"/>
              </w:rPr>
              <w:instrText xml:space="preserve">,√)</w:instrTex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需要，履约保证金的形式：银行转账或银行保函或保险保函</w:t>
            </w:r>
          </w:p>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 xml:space="preserve">        履约保证金的金额：合同价款的</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 xml:space="preserve">%。 </w:t>
            </w:r>
          </w:p>
        </w:tc>
      </w:tr>
      <w:tr>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26</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adjustRightInd w:val="0"/>
              <w:snapToGrid/>
              <w:spacing w:line="3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pPr>
              <w:keepNext w:val="0"/>
              <w:keepLines w:val="0"/>
              <w:pageBreakBefore w:val="0"/>
              <w:kinsoku/>
              <w:wordWrap/>
              <w:topLinePunct w:val="0"/>
              <w:bidi w:val="0"/>
              <w:adjustRightInd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扶持政策</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exact"/>
              <w:textAlignment w:val="auto"/>
              <w:rPr>
                <w:color w:val="auto"/>
                <w:sz w:val="22"/>
                <w:szCs w:val="22"/>
                <w:highlight w:val="none"/>
              </w:rPr>
            </w:pPr>
            <w:r>
              <w:rPr>
                <w:rFonts w:hint="eastAsia"/>
                <w:color w:val="auto"/>
                <w:sz w:val="22"/>
                <w:szCs w:val="22"/>
                <w:highlight w:val="none"/>
              </w:rPr>
              <w:t>中小微企业扶持政策</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exact"/>
              <w:ind w:left="425" w:leftChars="0" w:hanging="425" w:firstLineChars="0"/>
              <w:textAlignment w:val="auto"/>
              <w:rPr>
                <w:rFonts w:hint="eastAsia" w:ascii="Times New Roman" w:hAnsi="Times New Roman" w:eastAsia="宋体" w:cs="Times New Roman"/>
                <w:b/>
                <w:bCs/>
                <w:color w:val="auto"/>
                <w:sz w:val="22"/>
                <w:szCs w:val="22"/>
                <w:highlight w:val="none"/>
                <w:lang w:val="zh-CN"/>
              </w:rPr>
            </w:pPr>
            <w:r>
              <w:rPr>
                <w:rFonts w:hint="eastAsia"/>
                <w:color w:val="auto"/>
                <w:sz w:val="22"/>
                <w:szCs w:val="22"/>
                <w:highlight w:val="none"/>
                <w:lang w:val="zh-CN"/>
              </w:rPr>
              <w:t>本次采购</w:t>
            </w:r>
            <w:r>
              <w:rPr>
                <w:rFonts w:hint="eastAsia" w:ascii="Times New Roman" w:hAnsi="Times New Roman" w:eastAsia="宋体" w:cs="Times New Roman"/>
                <w:color w:val="auto"/>
                <w:sz w:val="22"/>
                <w:szCs w:val="22"/>
                <w:highlight w:val="none"/>
                <w:lang w:val="zh-CN"/>
              </w:rPr>
              <w:t>为</w:t>
            </w:r>
            <w:r>
              <w:rPr>
                <w:rFonts w:hint="eastAsia" w:ascii="Times New Roman" w:hAnsi="Times New Roman" w:eastAsia="宋体" w:cs="Times New Roman"/>
                <w:b/>
                <w:bCs/>
                <w:color w:val="auto"/>
                <w:sz w:val="22"/>
                <w:szCs w:val="22"/>
                <w:highlight w:val="none"/>
                <w:u w:val="single"/>
                <w:lang w:val="zh-CN"/>
              </w:rPr>
              <w:t xml:space="preserve"> </w:t>
            </w:r>
            <w:r>
              <w:rPr>
                <w:rFonts w:hint="eastAsia" w:cs="Times New Roman"/>
                <w:b/>
                <w:bCs/>
                <w:color w:val="auto"/>
                <w:sz w:val="22"/>
                <w:szCs w:val="22"/>
                <w:highlight w:val="none"/>
                <w:u w:val="single"/>
                <w:lang w:val="en-US" w:eastAsia="zh-CN"/>
              </w:rPr>
              <w:t>否</w:t>
            </w:r>
            <w:r>
              <w:rPr>
                <w:rFonts w:hint="eastAsia" w:ascii="Times New Roman" w:hAnsi="Times New Roman" w:eastAsia="宋体" w:cs="Times New Roman"/>
                <w:b/>
                <w:bCs/>
                <w:color w:val="auto"/>
                <w:sz w:val="22"/>
                <w:szCs w:val="22"/>
                <w:highlight w:val="none"/>
                <w:u w:val="single"/>
                <w:lang w:val="zh-CN"/>
              </w:rPr>
              <w:t xml:space="preserve"> </w:t>
            </w:r>
            <w:r>
              <w:rPr>
                <w:rFonts w:hint="eastAsia" w:ascii="Times New Roman" w:hAnsi="Times New Roman" w:eastAsia="宋体" w:cs="Times New Roman"/>
                <w:color w:val="auto"/>
                <w:sz w:val="22"/>
                <w:szCs w:val="22"/>
                <w:highlight w:val="none"/>
                <w:lang w:val="zh-CN"/>
              </w:rPr>
              <w:t>专门面向中小企业预留采购份额的采购项目</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b/>
                <w:bCs/>
                <w:color w:val="auto"/>
                <w:sz w:val="22"/>
                <w:szCs w:val="22"/>
                <w:highlight w:val="none"/>
                <w:lang w:val="zh-CN"/>
              </w:rPr>
            </w:pPr>
            <w:r>
              <w:rPr>
                <w:rFonts w:hint="eastAsia" w:ascii="宋体" w:hAnsi="宋体" w:cs="宋体"/>
                <w:color w:val="auto"/>
                <w:sz w:val="22"/>
                <w:szCs w:val="22"/>
                <w:highlight w:val="none"/>
                <w:lang w:val="zh-CN"/>
              </w:rPr>
              <w:t>3）本次采购标的为</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lang w:val="zh-CN"/>
              </w:rPr>
              <w:t>，对应的中小企业划分标准所属行业是：</w:t>
            </w:r>
            <w:r>
              <w:rPr>
                <w:rFonts w:hint="eastAsia" w:ascii="宋体" w:hAnsi="宋体" w:cs="宋体"/>
                <w:b/>
                <w:bCs/>
                <w:color w:val="auto"/>
                <w:sz w:val="22"/>
                <w:szCs w:val="22"/>
                <w:highlight w:val="none"/>
                <w:lang w:val="zh-CN"/>
              </w:rPr>
              <w:t>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4）以联合体形式参加政府采购活动，联合体各方均为小微企业的，联合体视同小微企业。本项目不接受联合体投标。</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5）</w:t>
            </w:r>
            <w:r>
              <w:rPr>
                <w:rFonts w:hint="eastAsia"/>
                <w:color w:val="auto"/>
                <w:sz w:val="22"/>
                <w:szCs w:val="22"/>
                <w:highlight w:val="none"/>
                <w:lang w:val="zh-CN"/>
              </w:rPr>
              <w:t>投标人应当出具《中小企业声明函》，否则</w:t>
            </w:r>
            <w:r>
              <w:rPr>
                <w:rFonts w:hint="eastAsia"/>
                <w:color w:val="auto"/>
                <w:sz w:val="22"/>
                <w:szCs w:val="22"/>
                <w:highlight w:val="none"/>
              </w:rPr>
              <w:t>资格审查不予通过</w:t>
            </w:r>
            <w:r>
              <w:rPr>
                <w:rFonts w:hint="eastAsia"/>
                <w:color w:val="auto"/>
                <w:sz w:val="22"/>
                <w:szCs w:val="22"/>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pPr>
              <w:pStyle w:val="3"/>
              <w:keepNext w:val="0"/>
              <w:keepLines w:val="0"/>
              <w:pageBreakBefore w:val="0"/>
              <w:widowControl w:val="0"/>
              <w:kinsoku/>
              <w:wordWrap/>
              <w:overflowPunct/>
              <w:topLinePunct w:val="0"/>
              <w:bidi w:val="0"/>
              <w:snapToGrid/>
              <w:spacing w:line="360" w:lineRule="exact"/>
              <w:textAlignment w:val="auto"/>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）监狱企业视同小微企业，享受小微企业同等的价格扣除。监狱企业参加政府采购活动时，应当提供监狱企业声明函。</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exact"/>
              <w:textAlignment w:val="auto"/>
              <w:rPr>
                <w:color w:val="auto"/>
                <w:sz w:val="22"/>
                <w:szCs w:val="22"/>
                <w:highlight w:val="none"/>
                <w:lang w:val="zh-CN"/>
              </w:rPr>
            </w:pPr>
            <w:r>
              <w:rPr>
                <w:rFonts w:hint="eastAsia"/>
                <w:color w:val="auto"/>
                <w:sz w:val="22"/>
                <w:szCs w:val="22"/>
                <w:highlight w:val="none"/>
                <w:lang w:val="zh-CN"/>
              </w:rPr>
              <w:t>节能产品 、环境标志产品扶持政策说明</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color w:val="auto"/>
                <w:sz w:val="22"/>
                <w:szCs w:val="22"/>
                <w:highlight w:val="none"/>
              </w:rPr>
            </w:pPr>
            <w:r>
              <w:rPr>
                <w:rFonts w:hint="eastAsia"/>
                <w:color w:val="auto"/>
                <w:sz w:val="22"/>
                <w:szCs w:val="22"/>
                <w:highlight w:val="none"/>
                <w:lang w:val="zh-CN"/>
              </w:rPr>
              <w:t>投标人所投产品属于节能产品或环境标志产品，给予适当加分。</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exact"/>
              <w:ind w:left="5" w:leftChars="0" w:hanging="5" w:firstLineChars="0"/>
              <w:textAlignment w:val="auto"/>
              <w:rPr>
                <w:rFonts w:hint="eastAsia"/>
                <w:b/>
                <w:bCs/>
                <w:color w:val="auto"/>
                <w:sz w:val="22"/>
                <w:szCs w:val="22"/>
                <w:highlight w:val="none"/>
                <w:lang w:val="zh-CN" w:eastAsia="zh-CN"/>
              </w:rPr>
            </w:pPr>
            <w:r>
              <w:rPr>
                <w:rFonts w:hint="eastAsia"/>
                <w:color w:val="auto"/>
                <w:sz w:val="22"/>
                <w:szCs w:val="22"/>
                <w:highlight w:val="none"/>
                <w:lang w:val="en-US" w:eastAsia="zh-CN"/>
              </w:rPr>
              <w:t>贯彻落实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b/>
                <w:bCs/>
                <w:color w:val="auto"/>
                <w:sz w:val="22"/>
                <w:szCs w:val="22"/>
                <w:highlight w:val="none"/>
                <w:lang w:val="en-US" w:eastAsia="zh-CN"/>
              </w:rPr>
              <w:t>满足条件的投标产品须提供相应的证明资料。</w:t>
            </w:r>
          </w:p>
          <w:p>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exact"/>
              <w:textAlignment w:val="auto"/>
              <w:rPr>
                <w:color w:val="auto"/>
                <w:sz w:val="22"/>
                <w:szCs w:val="22"/>
                <w:highlight w:val="none"/>
                <w:lang w:val="zh-CN"/>
              </w:rPr>
            </w:pPr>
            <w:r>
              <w:rPr>
                <w:rFonts w:hint="eastAsia"/>
                <w:color w:val="auto"/>
                <w:sz w:val="22"/>
                <w:szCs w:val="22"/>
                <w:highlight w:val="none"/>
                <w:lang w:val="zh-CN"/>
              </w:rPr>
              <w:t>政府采购金融服务相关信息告知函</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color w:val="auto"/>
                <w:sz w:val="22"/>
                <w:szCs w:val="22"/>
                <w:highlight w:val="none"/>
                <w:lang w:val="zh-CN"/>
              </w:rPr>
            </w:pPr>
            <w:r>
              <w:rPr>
                <w:rFonts w:hint="eastAsia"/>
                <w:color w:val="auto"/>
                <w:sz w:val="22"/>
                <w:szCs w:val="22"/>
                <w:highlight w:val="none"/>
                <w:lang w:val="zh-CN"/>
              </w:rPr>
              <w:t>为优化政府采购营商环境，缓解投标人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40" w:firstLineChars="200"/>
              <w:textAlignment w:val="auto"/>
              <w:rPr>
                <w:rFonts w:ascii="Times New Roman" w:hAnsi="Times New Roman" w:eastAsia="宋体" w:cs="Times New Roman"/>
                <w:color w:val="auto"/>
                <w:kern w:val="2"/>
                <w:sz w:val="21"/>
                <w:szCs w:val="24"/>
                <w:highlight w:val="none"/>
                <w:lang w:val="zh-CN" w:eastAsia="zh-CN" w:bidi="ar-SA"/>
              </w:rPr>
            </w:pPr>
            <w:r>
              <w:rPr>
                <w:rFonts w:hint="eastAsia"/>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27</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信用查询</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信用信息查询记录和证据留存的具体方式：网页截图打印；</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（3）信用信息的使用规则：</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keepNext w:val="0"/>
              <w:keepLines w:val="0"/>
              <w:pageBreakBefore w:val="0"/>
              <w:kinsoku/>
              <w:wordWrap/>
              <w:topLinePunct w:val="0"/>
              <w:bidi w:val="0"/>
              <w:snapToGrid/>
              <w:spacing w:line="360" w:lineRule="exact"/>
              <w:jc w:val="left"/>
              <w:rPr>
                <w:rFonts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rPr>
              <w:t>（4）具有以上（3）所述信息记录的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，其投标做无效投标处理。</w:t>
            </w:r>
          </w:p>
        </w:tc>
      </w:tr>
      <w:tr>
        <w:tblPrEx>
          <w:tblCellMar>
            <w:top w:w="0" w:type="dxa"/>
            <w:left w:w="108" w:type="dxa"/>
            <w:bottom w:w="0" w:type="dxa"/>
            <w:right w:w="108" w:type="dxa"/>
          </w:tblCellMar>
        </w:tblPrEx>
        <w:trPr>
          <w:trHeight w:val="38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28</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合同备案</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（1）中标</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在中标通知书发出之日起30日历天内与采购人签订合同。</w:t>
            </w:r>
          </w:p>
          <w:p>
            <w:pPr>
              <w:keepNext w:val="0"/>
              <w:keepLines w:val="0"/>
              <w:pageBreakBefore w:val="0"/>
              <w:kinsoku/>
              <w:wordWrap/>
              <w:topLinePunct w:val="0"/>
              <w:bidi w:val="0"/>
              <w:snapToGrid/>
              <w:spacing w:line="360" w:lineRule="exact"/>
              <w:jc w:val="lef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（2）中标</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与采购人签订合同后，2日历天内将合同扫描件电子版发给采购代理机构：邮箱：</w:t>
            </w:r>
            <w:r>
              <w:rPr>
                <w:rFonts w:hint="eastAsia" w:ascii="宋体" w:hAnsi="宋体" w:cs="宋体"/>
                <w:b/>
                <w:color w:val="auto"/>
                <w:sz w:val="22"/>
                <w:szCs w:val="22"/>
                <w:highlight w:val="none"/>
                <w:u w:val="single"/>
                <w:lang w:val="en-US" w:eastAsia="zh-CN"/>
              </w:rPr>
              <w:t>158688602</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qq</w:t>
            </w:r>
            <w:r>
              <w:rPr>
                <w:rFonts w:hint="eastAsia" w:ascii="宋体" w:hAnsi="宋体" w:cs="宋体"/>
                <w:b/>
                <w:color w:val="auto"/>
                <w:sz w:val="22"/>
                <w:szCs w:val="22"/>
                <w:highlight w:val="none"/>
                <w:u w:val="single"/>
                <w:lang w:eastAsia="zh-CN"/>
              </w:rPr>
              <w:t>.com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29</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合同履约管理</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lef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30</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解释权</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ascii="宋体" w:hAnsi="宋体" w:eastAsia="宋体" w:cs="宋体"/>
                <w:color w:val="auto"/>
                <w:kern w:val="0"/>
                <w:sz w:val="22"/>
                <w:szCs w:val="22"/>
                <w:highlight w:val="none"/>
                <w:lang w:val="zh-CN" w:eastAsia="zh-CN" w:bidi="ar-SA"/>
              </w:rPr>
            </w:pPr>
            <w:r>
              <w:rPr>
                <w:rFonts w:hint="eastAsia" w:ascii="宋体" w:hAns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jc w:val="center"/>
              <w:rPr>
                <w:rFonts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rPr>
              <w:t>31</w:t>
            </w:r>
          </w:p>
        </w:tc>
        <w:tc>
          <w:tcPr>
            <w:tcW w:w="745"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szCs w:val="22"/>
                <w:highlight w:val="none"/>
              </w:rPr>
              <w:t>采购代理服务费</w:t>
            </w:r>
          </w:p>
        </w:tc>
        <w:tc>
          <w:tcPr>
            <w:tcW w:w="3728" w:type="pct"/>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pageBreakBefore w:val="0"/>
              <w:kinsoku/>
              <w:wordWrap/>
              <w:topLinePunct w:val="0"/>
              <w:bidi w:val="0"/>
              <w:snapToGrid/>
              <w:spacing w:line="360" w:lineRule="exact"/>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本次招标代理服务费按人民币包干伍万元（50000元）向中标单位收取。</w:t>
            </w:r>
          </w:p>
        </w:tc>
      </w:tr>
    </w:tbl>
    <w:p>
      <w:pPr>
        <w:spacing w:line="440" w:lineRule="exact"/>
        <w:ind w:firstLine="440" w:firstLineChars="200"/>
        <w:jc w:val="left"/>
        <w:rPr>
          <w:rFonts w:ascii="宋体" w:hAnsi="宋体" w:cs="Arial"/>
          <w:color w:val="auto"/>
          <w:sz w:val="22"/>
          <w:szCs w:val="22"/>
          <w:highlight w:val="none"/>
        </w:rPr>
      </w:pPr>
    </w:p>
    <w:p>
      <w:pPr>
        <w:widowControl/>
        <w:jc w:val="left"/>
        <w:rPr>
          <w:rFonts w:ascii="宋体" w:hAnsi="宋体" w:cs="Arial"/>
          <w:b/>
          <w:bCs/>
          <w:color w:val="auto"/>
          <w:sz w:val="36"/>
          <w:szCs w:val="36"/>
          <w:highlight w:val="none"/>
        </w:rPr>
      </w:pPr>
      <w:r>
        <w:rPr>
          <w:rFonts w:ascii="宋体" w:hAnsi="宋体" w:cs="Arial"/>
          <w:b/>
          <w:bCs/>
          <w:color w:val="auto"/>
          <w:sz w:val="36"/>
          <w:szCs w:val="36"/>
          <w:highlight w:val="none"/>
        </w:rPr>
        <w:br w:type="page"/>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spacing w:before="100" w:beforeAutospacing="1" w:after="100" w:afterAutospacing="1" w:line="440" w:lineRule="exact"/>
        <w:jc w:val="center"/>
        <w:outlineLvl w:val="0"/>
        <w:rPr>
          <w:rFonts w:ascii="宋体" w:hAnsi="宋体"/>
          <w:b/>
          <w:bCs/>
          <w:color w:val="auto"/>
          <w:sz w:val="26"/>
          <w:szCs w:val="26"/>
          <w:highlight w:val="none"/>
        </w:rPr>
      </w:pPr>
      <w:bookmarkStart w:id="45" w:name="_Toc262049415"/>
      <w:bookmarkStart w:id="46" w:name="_Toc249758861"/>
      <w:bookmarkStart w:id="47" w:name="_Toc221356948"/>
      <w:bookmarkStart w:id="48" w:name="_Toc221356883"/>
      <w:bookmarkStart w:id="49" w:name="_Toc223715995"/>
      <w:bookmarkStart w:id="50" w:name="_Toc241404199"/>
      <w:bookmarkStart w:id="51" w:name="_Toc221374623"/>
      <w:bookmarkStart w:id="52" w:name="_Toc249758709"/>
      <w:bookmarkStart w:id="53" w:name="_Toc239145351"/>
      <w:bookmarkStart w:id="54" w:name="_Toc245722278"/>
      <w:bookmarkStart w:id="55" w:name="_Toc21017"/>
      <w:bookmarkStart w:id="56" w:name="_Toc262105500"/>
      <w:bookmarkStart w:id="57" w:name="_Toc246261262"/>
      <w:bookmarkStart w:id="58" w:name="_Toc221423616"/>
      <w:bookmarkStart w:id="59" w:name="_Toc222114876"/>
      <w:bookmarkStart w:id="60" w:name="_Toc245191311"/>
      <w:r>
        <w:rPr>
          <w:rFonts w:hint="eastAsia" w:ascii="宋体" w:hAnsi="宋体"/>
          <w:b/>
          <w:bCs/>
          <w:color w:val="auto"/>
          <w:sz w:val="26"/>
          <w:szCs w:val="26"/>
          <w:highlight w:val="none"/>
          <w:lang w:val="en-US" w:eastAsia="zh-CN"/>
        </w:rPr>
        <w:t>二</w:t>
      </w:r>
      <w:r>
        <w:rPr>
          <w:rFonts w:hint="eastAsia" w:ascii="宋体" w:hAnsi="宋体"/>
          <w:b/>
          <w:bCs/>
          <w:color w:val="auto"/>
          <w:sz w:val="26"/>
          <w:szCs w:val="26"/>
          <w:highlight w:val="none"/>
        </w:rPr>
        <w:t>、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numPr>
          <w:ilvl w:val="0"/>
          <w:numId w:val="9"/>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bookmarkStart w:id="61" w:name="_Toc262049416"/>
      <w:bookmarkStart w:id="62" w:name="_Toc245191312"/>
      <w:bookmarkStart w:id="63" w:name="_Toc249758710"/>
      <w:bookmarkStart w:id="64" w:name="_Toc222114877"/>
      <w:bookmarkStart w:id="65" w:name="_Toc221423617"/>
      <w:bookmarkStart w:id="66" w:name="_Toc239145352"/>
      <w:bookmarkStart w:id="67" w:name="_Toc246261263"/>
      <w:bookmarkStart w:id="68" w:name="_Toc249758862"/>
      <w:bookmarkStart w:id="69" w:name="_Toc221356949"/>
      <w:bookmarkStart w:id="70" w:name="_Toc245722279"/>
      <w:bookmarkStart w:id="71" w:name="_Toc221374624"/>
      <w:bookmarkStart w:id="72" w:name="_Toc262105501"/>
      <w:bookmarkStart w:id="73" w:name="_Toc223715996"/>
      <w:bookmarkStart w:id="74" w:name="_Toc221356884"/>
      <w:bookmarkStart w:id="75" w:name="_Toc241404200"/>
      <w:r>
        <w:rPr>
          <w:rFonts w:hint="eastAsia" w:ascii="宋体" w:hAnsi="宋体" w:eastAsia="宋体" w:cs="Arial"/>
          <w:color w:val="auto"/>
          <w:sz w:val="22"/>
          <w:szCs w:val="22"/>
          <w:highlight w:val="none"/>
        </w:rPr>
        <w:t>本次招标是</w:t>
      </w:r>
      <w:r>
        <w:rPr>
          <w:rFonts w:hint="eastAsia" w:ascii="宋体" w:hAnsi="宋体" w:eastAsia="宋体" w:cs="Arial"/>
          <w:color w:val="auto"/>
          <w:sz w:val="22"/>
          <w:szCs w:val="22"/>
          <w:highlight w:val="none"/>
          <w:lang w:val="en-US" w:eastAsia="zh-CN"/>
        </w:rPr>
        <w:t>按</w:t>
      </w:r>
      <w:r>
        <w:rPr>
          <w:rFonts w:hint="eastAsia" w:ascii="宋体" w:hAnsi="宋体" w:eastAsia="宋体" w:cs="Arial"/>
          <w:color w:val="auto"/>
          <w:sz w:val="22"/>
          <w:szCs w:val="22"/>
          <w:highlight w:val="none"/>
        </w:rPr>
        <w:t>照《中华人民共和国政府采购法》、《中华人民共和国政府采购法实施条例》、《政府采购货物和服务招标投标管理办法》和《关于进一步规范政府采购活动的若干意见》等法律及有关法规组织和实施的。</w:t>
      </w:r>
    </w:p>
    <w:p>
      <w:pPr>
        <w:numPr>
          <w:ilvl w:val="0"/>
          <w:numId w:val="9"/>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合格投标人要求以招标公告对投标人资格条件要求的表述为准。</w:t>
      </w:r>
    </w:p>
    <w:p>
      <w:pPr>
        <w:numPr>
          <w:ilvl w:val="0"/>
          <w:numId w:val="9"/>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投标人代表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p>
    <w:p>
      <w:pPr>
        <w:numPr>
          <w:ilvl w:val="0"/>
          <w:numId w:val="9"/>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投标费用</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投标人应承担所有与准备和参加投标有关费用，不论投标的结果如何，采购人和招标代理机构均无义务和责任承担这些费用。</w:t>
      </w:r>
    </w:p>
    <w:p>
      <w:pPr>
        <w:numPr>
          <w:ilvl w:val="0"/>
          <w:numId w:val="9"/>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优化政府采购金融服务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lang w:val="en-US" w:eastAsia="zh-CN"/>
        </w:rPr>
        <w:t xml:space="preserve">  </w:t>
      </w:r>
      <w:r>
        <w:rPr>
          <w:rFonts w:hint="eastAsia" w:ascii="宋体" w:hAnsi="宋体" w:eastAsia="宋体" w:cs="宋体"/>
          <w:bCs/>
          <w:color w:val="auto"/>
          <w:spacing w:val="6"/>
          <w:sz w:val="22"/>
          <w:szCs w:val="22"/>
          <w:highlight w:val="none"/>
        </w:rPr>
        <w:t>为支持和促进中小企业发展，进一步发挥政府采购政策功能，温州市财政局出台了《温州市财政局关于温州市政府采购支持中小企业信用融资的通知》（温财采〔2020〕3号），</w:t>
      </w:r>
      <w:r>
        <w:rPr>
          <w:rFonts w:hint="eastAsia" w:ascii="宋体" w:hAnsi="宋体" w:eastAsia="宋体" w:cs="宋体"/>
          <w:bCs/>
          <w:color w:val="auto"/>
          <w:spacing w:val="6"/>
          <w:sz w:val="22"/>
          <w:szCs w:val="22"/>
          <w:highlight w:val="none"/>
          <w:lang w:eastAsia="zh-CN"/>
        </w:rPr>
        <w:t>投标人</w:t>
      </w:r>
      <w:r>
        <w:rPr>
          <w:rFonts w:hint="eastAsia" w:ascii="宋体" w:hAnsi="宋体" w:eastAsia="宋体" w:cs="宋体"/>
          <w:bCs/>
          <w:color w:val="auto"/>
          <w:spacing w:val="6"/>
          <w:sz w:val="22"/>
          <w:szCs w:val="22"/>
          <w:highlight w:val="none"/>
        </w:rPr>
        <w:t>若有融资意向，可直接登录http://jinrong.zcygov.cn，查看信用融资政策文件及各相关银行服务方案，也可直接向各银行咨询相关业务。</w:t>
      </w:r>
    </w:p>
    <w:p>
      <w:pPr>
        <w:numPr>
          <w:ilvl w:val="0"/>
          <w:numId w:val="9"/>
        </w:numPr>
        <w:tabs>
          <w:tab w:val="left" w:pos="540"/>
          <w:tab w:val="left" w:pos="90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特别说明：</w:t>
      </w:r>
    </w:p>
    <w:p>
      <w:pPr>
        <w:numPr>
          <w:ilvl w:val="1"/>
          <w:numId w:val="10"/>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投标人应仔细阅读</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的所有内容，按照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的要求提交投标文件，并对所提供的全部资料的真实性承担法律责任。</w:t>
      </w:r>
    </w:p>
    <w:p>
      <w:pPr>
        <w:numPr>
          <w:ilvl w:val="1"/>
          <w:numId w:val="10"/>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bookmarkStart w:id="76" w:name="_Hlk37697637"/>
      <w:r>
        <w:rPr>
          <w:rFonts w:hint="eastAsia" w:ascii="宋体" w:hAnsi="宋体" w:eastAsia="宋体" w:cs="Arial"/>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规定的方式确定一个投标人获得中标人推荐资格，</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400" w:lineRule="exact"/>
        <w:ind w:left="448" w:leftChars="-68" w:hanging="591" w:hangingChars="255"/>
        <w:textAlignment w:val="auto"/>
        <w:rPr>
          <w:rFonts w:hint="eastAsia" w:ascii="宋体" w:hAnsi="宋体" w:eastAsia="宋体" w:cs="宋体"/>
          <w:bCs/>
          <w:color w:val="auto"/>
          <w:spacing w:val="6"/>
          <w:sz w:val="22"/>
          <w:highlight w:val="none"/>
        </w:rPr>
      </w:pPr>
      <w:r>
        <w:rPr>
          <w:rFonts w:hint="eastAsia" w:ascii="宋体" w:hAnsi="宋体" w:eastAsia="宋体" w:cs="宋体"/>
          <w:bCs/>
          <w:color w:val="auto"/>
          <w:spacing w:val="6"/>
          <w:sz w:val="22"/>
          <w:szCs w:val="22"/>
          <w:highlight w:val="none"/>
        </w:rPr>
        <w:t>非单一产品采购项目，采购人应当根据采购项目技术构成、产品价格比重等合理确定核心产品，并在</w:t>
      </w:r>
      <w:r>
        <w:rPr>
          <w:rFonts w:hint="eastAsia" w:ascii="宋体" w:hAnsi="宋体" w:eastAsia="宋体" w:cs="宋体"/>
          <w:bCs/>
          <w:color w:val="auto"/>
          <w:spacing w:val="6"/>
          <w:sz w:val="22"/>
          <w:szCs w:val="22"/>
          <w:highlight w:val="none"/>
          <w:lang w:eastAsia="zh-CN"/>
        </w:rPr>
        <w:t>招标文件</w:t>
      </w:r>
      <w:r>
        <w:rPr>
          <w:rFonts w:hint="eastAsia" w:ascii="宋体" w:hAnsi="宋体" w:eastAsia="宋体" w:cs="宋体"/>
          <w:bCs/>
          <w:color w:val="auto"/>
          <w:spacing w:val="6"/>
          <w:sz w:val="22"/>
          <w:szCs w:val="22"/>
          <w:highlight w:val="none"/>
        </w:rPr>
        <w:t>中载明。多家投标人提供的核心产品品牌相同的，按前两款规定处理。</w:t>
      </w:r>
      <w:bookmarkEnd w:id="76"/>
    </w:p>
    <w:p>
      <w:pPr>
        <w:numPr>
          <w:ilvl w:val="1"/>
          <w:numId w:val="10"/>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numPr>
          <w:ilvl w:val="1"/>
          <w:numId w:val="10"/>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numPr>
          <w:ilvl w:val="1"/>
          <w:numId w:val="10"/>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pPr>
        <w:spacing w:before="100" w:beforeAutospacing="1" w:after="100" w:afterAutospacing="1" w:line="440" w:lineRule="exact"/>
        <w:jc w:val="center"/>
        <w:outlineLvl w:val="0"/>
        <w:rPr>
          <w:rFonts w:ascii="宋体" w:hAnsi="宋体"/>
          <w:b/>
          <w:bCs/>
          <w:color w:val="auto"/>
          <w:sz w:val="26"/>
          <w:szCs w:val="26"/>
          <w:highlight w:val="none"/>
        </w:rPr>
      </w:pPr>
      <w:bookmarkStart w:id="77" w:name="_Toc31186"/>
      <w:r>
        <w:rPr>
          <w:rFonts w:hint="eastAsia" w:ascii="宋体" w:hAnsi="宋体"/>
          <w:b/>
          <w:bCs/>
          <w:color w:val="auto"/>
          <w:sz w:val="26"/>
          <w:szCs w:val="26"/>
          <w:highlight w:val="none"/>
          <w:lang w:val="en-US" w:eastAsia="zh-CN"/>
        </w:rPr>
        <w:t>三</w:t>
      </w:r>
      <w:r>
        <w:rPr>
          <w:rFonts w:hint="eastAsia" w:ascii="宋体" w:hAnsi="宋体"/>
          <w:b/>
          <w:bCs/>
          <w:color w:val="auto"/>
          <w:sz w:val="26"/>
          <w:szCs w:val="26"/>
          <w:highlight w:val="none"/>
        </w:rPr>
        <w:t>、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pPr>
        <w:numPr>
          <w:ilvl w:val="0"/>
          <w:numId w:val="11"/>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由</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目录所列内容及相关资料组成。</w:t>
      </w:r>
    </w:p>
    <w:p>
      <w:pPr>
        <w:numPr>
          <w:ilvl w:val="0"/>
          <w:numId w:val="11"/>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质疑</w:t>
      </w:r>
    </w:p>
    <w:p>
      <w:pPr>
        <w:numPr>
          <w:ilvl w:val="1"/>
          <w:numId w:val="1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投标人认为</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采购过程、中标或者成交结果使自己的权益受到损害的，可以在知道或者应知其权益受到损害之日起7个工作日内，以书面形式向采购人、采购代理机构提出质疑。逾期提出的，采购组织机构将不予受理、答复。</w:t>
      </w:r>
    </w:p>
    <w:p>
      <w:pPr>
        <w:numPr>
          <w:ilvl w:val="1"/>
          <w:numId w:val="1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pPr>
        <w:numPr>
          <w:ilvl w:val="1"/>
          <w:numId w:val="1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提出质疑的投标人应当是参与本项目招标活动的投标人。投标人在法定质疑期内一次性提出针对同一采购程序环节的质疑。</w:t>
      </w:r>
    </w:p>
    <w:p>
      <w:pPr>
        <w:numPr>
          <w:ilvl w:val="1"/>
          <w:numId w:val="12"/>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根据《政府采购质疑和投诉办法》第三十七条的规定，投诉人在全国范围12个月内三次以上投诉查无实据的，由财政部门列入不良行为记录名单。</w:t>
      </w:r>
    </w:p>
    <w:p>
      <w:pPr>
        <w:numPr>
          <w:ilvl w:val="0"/>
          <w:numId w:val="11"/>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投诉</w:t>
      </w:r>
    </w:p>
    <w:p>
      <w:pPr>
        <w:keepNext w:val="0"/>
        <w:keepLines w:val="0"/>
        <w:pageBreakBefore w:val="0"/>
        <w:widowControl w:val="0"/>
        <w:tabs>
          <w:tab w:val="left" w:pos="540"/>
        </w:tabs>
        <w:kinsoku/>
        <w:wordWrap/>
        <w:overflowPunct/>
        <w:topLinePunct w:val="0"/>
        <w:autoSpaceDE/>
        <w:autoSpaceDN/>
        <w:bidi w:val="0"/>
        <w:adjustRightInd/>
        <w:snapToGrid/>
        <w:spacing w:line="400" w:lineRule="exact"/>
        <w:ind w:firstLine="464"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numPr>
          <w:ilvl w:val="0"/>
          <w:numId w:val="11"/>
        </w:numPr>
        <w:tabs>
          <w:tab w:val="left" w:pos="540"/>
          <w:tab w:val="clear" w:pos="420"/>
        </w:tabs>
        <w:spacing w:line="460" w:lineRule="exact"/>
        <w:ind w:left="540" w:hanging="54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的澄清或修改</w:t>
      </w:r>
    </w:p>
    <w:p>
      <w:pPr>
        <w:numPr>
          <w:ilvl w:val="1"/>
          <w:numId w:val="1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采购人或者采购代理机构可以对已发出的</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进行必要的澄清或者修改。澄清或者修改在浙江政府采购网上发布公告，同时政采云系统会向所有已按</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规定方式获取</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的组成部分。</w:t>
      </w:r>
    </w:p>
    <w:p>
      <w:pPr>
        <w:numPr>
          <w:ilvl w:val="1"/>
          <w:numId w:val="1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澄清或者修改的内容可能影响投标文件编制的，采购人或者采购代理机构应当在投标截止时间至少15日前，以书面形式（在浙江政府采购网上发布公告）通知所有获取</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的潜在投标人；不足15日的，采购人或者采购代理机构应当顺延提交投标文件的截止时间。</w:t>
      </w:r>
    </w:p>
    <w:p>
      <w:pPr>
        <w:numPr>
          <w:ilvl w:val="1"/>
          <w:numId w:val="13"/>
        </w:numPr>
        <w:tabs>
          <w:tab w:val="left" w:pos="360"/>
          <w:tab w:val="clear" w:pos="992"/>
        </w:tabs>
        <w:spacing w:line="460" w:lineRule="exact"/>
        <w:ind w:left="640" w:leftChars="0" w:hanging="567" w:firstLineChars="0"/>
        <w:rPr>
          <w:rFonts w:hint="eastAsia" w:ascii="宋体" w:hAnsi="宋体" w:eastAsia="宋体" w:cs="宋体"/>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如有补充更正均见“</w:t>
      </w:r>
      <w:r>
        <w:rPr>
          <w:rFonts w:hint="eastAsia" w:ascii="宋体" w:hAnsi="宋体" w:eastAsia="宋体" w:cs="Arial"/>
          <w:color w:val="auto"/>
          <w:sz w:val="22"/>
          <w:szCs w:val="22"/>
          <w:highlight w:val="none"/>
          <w:lang w:val="en-US" w:eastAsia="zh-CN"/>
        </w:rPr>
        <w:t>浙江政府采购</w:t>
      </w:r>
      <w:r>
        <w:rPr>
          <w:rFonts w:hint="eastAsia" w:ascii="宋体" w:hAnsi="宋体" w:eastAsia="宋体" w:cs="Arial"/>
          <w:color w:val="auto"/>
          <w:sz w:val="22"/>
          <w:szCs w:val="22"/>
          <w:highlight w:val="none"/>
        </w:rPr>
        <w:t>”（https://zfcg.czt.zj.gov.cn/）。投标人须在开标</w:t>
      </w:r>
      <w:r>
        <w:rPr>
          <w:rFonts w:hint="eastAsia" w:ascii="宋体" w:hAnsi="宋体" w:eastAsia="宋体" w:cs="宋体"/>
          <w:color w:val="auto"/>
          <w:spacing w:val="6"/>
          <w:sz w:val="22"/>
          <w:highlight w:val="none"/>
        </w:rPr>
        <w:t>前一日自行查看是否有补充更正文件，并按补充更正文件要求投标，否则责任自负。</w:t>
      </w:r>
    </w:p>
    <w:p>
      <w:pPr>
        <w:spacing w:before="100" w:beforeAutospacing="1" w:after="100" w:afterAutospacing="1" w:line="440" w:lineRule="exact"/>
        <w:jc w:val="center"/>
        <w:outlineLvl w:val="0"/>
        <w:rPr>
          <w:rFonts w:ascii="宋体" w:hAnsi="宋体"/>
          <w:b/>
          <w:bCs/>
          <w:color w:val="auto"/>
          <w:sz w:val="26"/>
          <w:szCs w:val="26"/>
          <w:highlight w:val="none"/>
        </w:rPr>
      </w:pPr>
      <w:bookmarkStart w:id="78" w:name="_Toc221356950"/>
      <w:bookmarkStart w:id="79" w:name="_Toc241404201"/>
      <w:bookmarkStart w:id="80" w:name="_Toc249758863"/>
      <w:bookmarkStart w:id="81" w:name="_Toc249758711"/>
      <w:bookmarkStart w:id="82" w:name="_Toc27429"/>
      <w:bookmarkStart w:id="83" w:name="_Toc221356885"/>
      <w:bookmarkStart w:id="84" w:name="_Toc245722280"/>
      <w:bookmarkStart w:id="85" w:name="_Toc223715997"/>
      <w:bookmarkStart w:id="86" w:name="_Toc245191313"/>
      <w:bookmarkStart w:id="87" w:name="_Toc221374625"/>
      <w:bookmarkStart w:id="88" w:name="_Toc246261264"/>
      <w:bookmarkStart w:id="89" w:name="_Toc262049417"/>
      <w:bookmarkStart w:id="90" w:name="_Toc239145353"/>
      <w:bookmarkStart w:id="91" w:name="_Toc262105502"/>
      <w:bookmarkStart w:id="92" w:name="_Toc222114878"/>
      <w:bookmarkStart w:id="93" w:name="_Toc221423618"/>
      <w:r>
        <w:rPr>
          <w:rFonts w:hint="eastAsia" w:ascii="宋体" w:hAnsi="宋体"/>
          <w:b/>
          <w:bCs/>
          <w:color w:val="auto"/>
          <w:sz w:val="26"/>
          <w:szCs w:val="26"/>
          <w:highlight w:val="none"/>
          <w:lang w:val="en-US" w:eastAsia="zh-CN"/>
        </w:rPr>
        <w:t>四</w:t>
      </w:r>
      <w:r>
        <w:rPr>
          <w:rFonts w:hint="eastAsia" w:ascii="宋体" w:hAnsi="宋体"/>
          <w:b/>
          <w:bCs/>
          <w:color w:val="auto"/>
          <w:sz w:val="26"/>
          <w:szCs w:val="26"/>
          <w:highlight w:val="none"/>
        </w:rPr>
        <w:t>、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numPr>
          <w:ilvl w:val="0"/>
          <w:numId w:val="14"/>
        </w:numPr>
        <w:tabs>
          <w:tab w:val="left" w:pos="540"/>
          <w:tab w:val="clear" w:pos="420"/>
        </w:tabs>
        <w:spacing w:line="460" w:lineRule="exact"/>
        <w:ind w:left="540" w:hanging="540"/>
        <w:rPr>
          <w:rFonts w:ascii="宋体" w:hAnsi="宋体"/>
          <w:color w:val="auto"/>
          <w:sz w:val="22"/>
          <w:szCs w:val="22"/>
          <w:highlight w:val="none"/>
        </w:rPr>
      </w:pPr>
      <w:r>
        <w:rPr>
          <w:rFonts w:hint="eastAsia" w:ascii="宋体" w:hAnsi="宋体" w:cs="Arial"/>
          <w:color w:val="auto"/>
          <w:sz w:val="22"/>
          <w:szCs w:val="22"/>
          <w:highlight w:val="none"/>
        </w:rPr>
        <w:t>投标人应认真阅读招标文件中所有事项格式、条款和技术规范等。</w:t>
      </w:r>
      <w:r>
        <w:rPr>
          <w:rFonts w:hint="eastAsia" w:ascii="宋体" w:hAnsi="宋体" w:cs="Arial"/>
          <w:b/>
          <w:color w:val="auto"/>
          <w:sz w:val="22"/>
          <w:szCs w:val="22"/>
          <w:highlight w:val="none"/>
        </w:rPr>
        <w:t>投标人没有按照招标文件要求提交全部资料，或者没有对招标文件各个方面做出实质性响应，导致投标被拒绝的风险由投标人自行承担。</w:t>
      </w:r>
    </w:p>
    <w:p>
      <w:pPr>
        <w:numPr>
          <w:ilvl w:val="0"/>
          <w:numId w:val="14"/>
        </w:numPr>
        <w:tabs>
          <w:tab w:val="left" w:pos="540"/>
          <w:tab w:val="clear" w:pos="420"/>
        </w:tabs>
        <w:spacing w:line="460" w:lineRule="exact"/>
        <w:ind w:left="540" w:hanging="540"/>
        <w:rPr>
          <w:rFonts w:ascii="宋体" w:hAnsi="宋体"/>
          <w:bCs/>
          <w:color w:val="auto"/>
          <w:sz w:val="22"/>
          <w:szCs w:val="22"/>
          <w:highlight w:val="none"/>
        </w:rPr>
      </w:pPr>
      <w:r>
        <w:rPr>
          <w:rFonts w:hint="eastAsia" w:ascii="宋体" w:hAnsi="宋体"/>
          <w:bCs/>
          <w:color w:val="auto"/>
          <w:sz w:val="22"/>
          <w:szCs w:val="22"/>
          <w:highlight w:val="none"/>
        </w:rPr>
        <w:t>投标文件的构成</w:t>
      </w:r>
    </w:p>
    <w:p>
      <w:pPr>
        <w:numPr>
          <w:ilvl w:val="0"/>
          <w:numId w:val="0"/>
        </w:numPr>
        <w:tabs>
          <w:tab w:val="left" w:pos="540"/>
        </w:tabs>
        <w:spacing w:line="460" w:lineRule="exact"/>
        <w:ind w:leftChars="0" w:firstLine="442" w:firstLineChars="200"/>
        <w:rPr>
          <w:rFonts w:hint="eastAsia" w:ascii="宋体" w:hAnsi="宋体" w:eastAsia="宋体" w:cs="Arial"/>
          <w:b/>
          <w:color w:val="auto"/>
          <w:sz w:val="22"/>
          <w:szCs w:val="22"/>
          <w:highlight w:val="none"/>
          <w:u w:val="single"/>
        </w:rPr>
      </w:pPr>
      <w:r>
        <w:rPr>
          <w:rFonts w:hint="eastAsia" w:ascii="宋体" w:hAnsi="宋体" w:eastAsia="宋体" w:cs="Arial"/>
          <w:b/>
          <w:color w:val="auto"/>
          <w:sz w:val="22"/>
          <w:szCs w:val="22"/>
          <w:highlight w:val="none"/>
          <w:u w:val="single"/>
        </w:rPr>
        <w:t>投标文件由资格文件、商务技术文件、报价文件三部分构成：</w:t>
      </w:r>
    </w:p>
    <w:p>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1</w:t>
      </w:r>
      <w:r>
        <w:rPr>
          <w:rFonts w:hint="eastAsia" w:ascii="宋体" w:hAnsi="宋体" w:cs="hakuyoxingshu7000"/>
          <w:b/>
          <w:color w:val="auto"/>
          <w:sz w:val="22"/>
          <w:szCs w:val="22"/>
          <w:highlight w:val="none"/>
        </w:rPr>
        <w:t>）资格文件</w:t>
      </w:r>
    </w:p>
    <w:tbl>
      <w:tblPr>
        <w:tblStyle w:val="62"/>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9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序号</w:t>
            </w:r>
          </w:p>
        </w:tc>
        <w:tc>
          <w:tcPr>
            <w:tcW w:w="7994"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内容</w:t>
            </w:r>
          </w:p>
        </w:tc>
        <w:tc>
          <w:tcPr>
            <w:tcW w:w="935" w:type="dxa"/>
            <w:vAlign w:val="center"/>
          </w:tcPr>
          <w:p>
            <w:pPr>
              <w:overflowPunct w:val="0"/>
              <w:spacing w:line="430" w:lineRule="exact"/>
              <w:jc w:val="center"/>
              <w:rPr>
                <w:rFonts w:ascii="宋体" w:cs="新宋体"/>
                <w:b/>
                <w:color w:val="auto"/>
                <w:sz w:val="22"/>
                <w:szCs w:val="22"/>
                <w:highlight w:val="none"/>
              </w:rPr>
            </w:pPr>
            <w:r>
              <w:rPr>
                <w:rFonts w:hint="eastAsia" w:ascii="宋体" w:hAnsi="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cs="新宋体"/>
                <w:bCs/>
                <w:color w:val="auto"/>
                <w:sz w:val="22"/>
                <w:szCs w:val="22"/>
                <w:highlight w:val="none"/>
              </w:rPr>
            </w:pPr>
            <w:r>
              <w:rPr>
                <w:rFonts w:ascii="宋体" w:hAnsi="宋体" w:cs="新宋体"/>
                <w:bCs/>
                <w:color w:val="auto"/>
                <w:sz w:val="22"/>
                <w:szCs w:val="22"/>
                <w:highlight w:val="none"/>
              </w:rPr>
              <w:t>1</w:t>
            </w:r>
          </w:p>
        </w:tc>
        <w:tc>
          <w:tcPr>
            <w:tcW w:w="7994" w:type="dxa"/>
            <w:vAlign w:val="center"/>
          </w:tcPr>
          <w:p>
            <w:pPr>
              <w:rPr>
                <w:rFonts w:ascii="宋体" w:cs="新宋体"/>
                <w:bCs/>
                <w:color w:val="auto"/>
                <w:sz w:val="22"/>
                <w:szCs w:val="22"/>
                <w:highlight w:val="none"/>
              </w:rPr>
            </w:pPr>
            <w:r>
              <w:rPr>
                <w:rFonts w:hint="eastAsia" w:ascii="宋体" w:hAnsi="宋体"/>
                <w:color w:val="auto"/>
                <w:sz w:val="22"/>
                <w:szCs w:val="22"/>
                <w:highlight w:val="none"/>
              </w:rPr>
              <w:t>营业执照</w:t>
            </w:r>
            <w:r>
              <w:rPr>
                <w:rFonts w:ascii="宋体" w:hAnsi="宋体"/>
                <w:color w:val="auto"/>
                <w:sz w:val="22"/>
                <w:szCs w:val="22"/>
                <w:highlight w:val="none"/>
              </w:rPr>
              <w:t>(</w:t>
            </w:r>
            <w:r>
              <w:rPr>
                <w:rFonts w:hint="eastAsia" w:ascii="宋体" w:hAnsi="宋体"/>
                <w:color w:val="auto"/>
                <w:sz w:val="22"/>
                <w:szCs w:val="22"/>
                <w:highlight w:val="none"/>
              </w:rPr>
              <w:t>或事业法人登记证书或其它工商等登记证明材料；自然人参与政府采购，提供身份证</w:t>
            </w:r>
            <w:r>
              <w:rPr>
                <w:rFonts w:ascii="宋体" w:hAnsi="宋体"/>
                <w:color w:val="auto"/>
                <w:sz w:val="22"/>
                <w:szCs w:val="22"/>
                <w:highlight w:val="none"/>
              </w:rPr>
              <w:t>)</w:t>
            </w:r>
            <w:r>
              <w:rPr>
                <w:rFonts w:hint="eastAsia" w:ascii="宋体" w:hAnsi="宋体"/>
                <w:color w:val="auto"/>
                <w:sz w:val="22"/>
                <w:szCs w:val="22"/>
                <w:highlight w:val="none"/>
              </w:rPr>
              <w:t>复印件、税务登记证</w:t>
            </w:r>
            <w:r>
              <w:rPr>
                <w:rFonts w:ascii="宋体" w:hAnsi="宋体"/>
                <w:color w:val="auto"/>
                <w:sz w:val="22"/>
                <w:szCs w:val="22"/>
                <w:highlight w:val="none"/>
              </w:rPr>
              <w:t>(</w:t>
            </w:r>
            <w:r>
              <w:rPr>
                <w:rFonts w:hint="eastAsia" w:ascii="宋体" w:hAnsi="宋体"/>
                <w:color w:val="auto"/>
                <w:sz w:val="22"/>
                <w:szCs w:val="22"/>
                <w:highlight w:val="none"/>
              </w:rPr>
              <w:t>或其它缴纳证明材料</w:t>
            </w:r>
            <w:r>
              <w:rPr>
                <w:rFonts w:ascii="宋体" w:hAnsi="宋体"/>
                <w:color w:val="auto"/>
                <w:sz w:val="22"/>
                <w:szCs w:val="22"/>
                <w:highlight w:val="none"/>
              </w:rPr>
              <w:t>)</w:t>
            </w:r>
            <w:r>
              <w:rPr>
                <w:rFonts w:hint="eastAsia" w:ascii="宋体" w:hAnsi="宋体"/>
                <w:color w:val="auto"/>
                <w:sz w:val="22"/>
                <w:szCs w:val="22"/>
                <w:highlight w:val="none"/>
              </w:rPr>
              <w:t>复印件、社保登记证（或其它缴纳证明材料）复印件；实施“五证合一、一照一码”登记制度改革的，只需提供改革后取得的营业执照复印件；</w:t>
            </w:r>
          </w:p>
        </w:tc>
        <w:tc>
          <w:tcPr>
            <w:tcW w:w="935" w:type="dxa"/>
            <w:vAlign w:val="center"/>
          </w:tcPr>
          <w:p>
            <w:pPr>
              <w:overflowPunct w:val="0"/>
              <w:spacing w:line="430" w:lineRule="exact"/>
              <w:jc w:val="center"/>
              <w:rPr>
                <w:rFonts w:ascii="宋体" w:cs="新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ascii="宋体" w:hAnsi="宋体" w:cs="新宋体"/>
                <w:bCs/>
                <w:color w:val="auto"/>
                <w:sz w:val="22"/>
                <w:szCs w:val="22"/>
                <w:highlight w:val="none"/>
              </w:rPr>
              <w:t>2</w:t>
            </w:r>
          </w:p>
        </w:tc>
        <w:tc>
          <w:tcPr>
            <w:tcW w:w="7994" w:type="dxa"/>
            <w:vAlign w:val="center"/>
          </w:tcPr>
          <w:p>
            <w:pPr>
              <w:rPr>
                <w:rFonts w:hint="eastAsia"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法定代表人声明书或法定代表人授权书</w:t>
            </w:r>
          </w:p>
        </w:tc>
        <w:tc>
          <w:tcPr>
            <w:tcW w:w="935" w:type="dxa"/>
            <w:vMerge w:val="restart"/>
            <w:vAlign w:val="center"/>
          </w:tcPr>
          <w:p>
            <w:pPr>
              <w:jc w:val="center"/>
              <w:rPr>
                <w:rFonts w:ascii="宋体" w:cs="新宋体"/>
                <w:bCs/>
                <w:color w:val="auto"/>
                <w:sz w:val="22"/>
                <w:szCs w:val="22"/>
                <w:highlight w:val="none"/>
              </w:rPr>
            </w:pPr>
            <w:r>
              <w:rPr>
                <w:rFonts w:hint="eastAsia" w:ascii="宋体" w:hAnsi="宋体" w:cs="新宋体"/>
                <w:bCs/>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ascii="宋体" w:hAnsi="宋体" w:cs="新宋体"/>
                <w:bCs/>
                <w:color w:val="auto"/>
                <w:sz w:val="22"/>
                <w:szCs w:val="22"/>
                <w:highlight w:val="none"/>
              </w:rPr>
              <w:t>3</w:t>
            </w:r>
          </w:p>
        </w:tc>
        <w:tc>
          <w:tcPr>
            <w:tcW w:w="7994" w:type="dxa"/>
            <w:vAlign w:val="center"/>
          </w:tcPr>
          <w:p>
            <w:pPr>
              <w:rPr>
                <w:rFonts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投标</w:t>
            </w:r>
            <w:r>
              <w:rPr>
                <w:rFonts w:hint="eastAsia" w:ascii="宋体" w:cs="新宋体"/>
                <w:bCs/>
                <w:color w:val="auto"/>
                <w:sz w:val="22"/>
                <w:szCs w:val="22"/>
                <w:highlight w:val="none"/>
                <w:lang w:eastAsia="zh-CN"/>
              </w:rPr>
              <w:t>投标人</w:t>
            </w:r>
            <w:r>
              <w:rPr>
                <w:rFonts w:hint="eastAsia" w:ascii="宋体" w:cs="新宋体"/>
                <w:bCs/>
                <w:color w:val="auto"/>
                <w:sz w:val="22"/>
                <w:szCs w:val="22"/>
                <w:highlight w:val="none"/>
              </w:rPr>
              <w:t>参与政府采购活动投标资格声明函</w:t>
            </w:r>
          </w:p>
        </w:tc>
        <w:tc>
          <w:tcPr>
            <w:tcW w:w="935" w:type="dxa"/>
            <w:vMerge w:val="continue"/>
            <w:vAlign w:val="center"/>
          </w:tcPr>
          <w:p>
            <w:pPr>
              <w:jc w:val="center"/>
              <w:rPr>
                <w:rFonts w:ascii="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ascii="宋体" w:hAnsi="宋体" w:cs="新宋体"/>
                <w:bCs/>
                <w:color w:val="auto"/>
                <w:sz w:val="22"/>
                <w:szCs w:val="22"/>
                <w:highlight w:val="none"/>
              </w:rPr>
              <w:t>4</w:t>
            </w:r>
          </w:p>
        </w:tc>
        <w:tc>
          <w:tcPr>
            <w:tcW w:w="7994" w:type="dxa"/>
            <w:vAlign w:val="center"/>
          </w:tcPr>
          <w:p>
            <w:pPr>
              <w:rPr>
                <w:rFonts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诚信投标承诺书</w:t>
            </w:r>
          </w:p>
        </w:tc>
        <w:tc>
          <w:tcPr>
            <w:tcW w:w="935" w:type="dxa"/>
            <w:vMerge w:val="continue"/>
            <w:vAlign w:val="center"/>
          </w:tcPr>
          <w:p>
            <w:pPr>
              <w:spacing w:line="400" w:lineRule="exac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ascii="宋体" w:hAnsi="Times New Roman"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5</w:t>
            </w:r>
          </w:p>
        </w:tc>
        <w:tc>
          <w:tcPr>
            <w:tcW w:w="7994" w:type="dxa"/>
            <w:vAlign w:val="center"/>
          </w:tcPr>
          <w:p>
            <w:pPr>
              <w:rPr>
                <w:rFonts w:hint="eastAsia" w:ascii="宋体" w:hAnsi="宋体" w:eastAsia="宋体" w:cs="新宋体"/>
                <w:bCs/>
                <w:color w:val="auto"/>
                <w:kern w:val="2"/>
                <w:sz w:val="22"/>
                <w:szCs w:val="22"/>
                <w:highlight w:val="none"/>
                <w:lang w:val="en-US" w:eastAsia="zh-CN" w:bidi="ar-SA"/>
              </w:rPr>
            </w:pPr>
            <w:r>
              <w:rPr>
                <w:rFonts w:hint="eastAsia" w:ascii="宋体" w:cs="新宋体"/>
                <w:bCs/>
                <w:color w:val="auto"/>
                <w:sz w:val="22"/>
                <w:szCs w:val="22"/>
                <w:highlight w:val="none"/>
              </w:rPr>
              <w:t>小微企业（或监狱企业、残疾人福利单位）声明函</w:t>
            </w:r>
          </w:p>
        </w:tc>
        <w:tc>
          <w:tcPr>
            <w:tcW w:w="935" w:type="dxa"/>
            <w:vMerge w:val="continue"/>
            <w:vAlign w:val="center"/>
          </w:tcPr>
          <w:p>
            <w:pPr>
              <w:spacing w:line="400" w:lineRule="exact"/>
              <w:jc w:val="center"/>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pPr>
              <w:overflowPunct w:val="0"/>
              <w:spacing w:line="430" w:lineRule="exact"/>
              <w:jc w:val="center"/>
              <w:rPr>
                <w:rFonts w:hint="default" w:ascii="宋体" w:eastAsia="宋体" w:cs="新宋体"/>
                <w:bCs/>
                <w:color w:val="auto"/>
                <w:sz w:val="22"/>
                <w:szCs w:val="22"/>
                <w:highlight w:val="none"/>
                <w:lang w:val="en-US" w:eastAsia="zh-CN"/>
              </w:rPr>
            </w:pPr>
            <w:r>
              <w:rPr>
                <w:rFonts w:hint="eastAsia" w:ascii="宋体" w:cs="新宋体"/>
                <w:bCs/>
                <w:color w:val="auto"/>
                <w:sz w:val="22"/>
                <w:szCs w:val="22"/>
                <w:highlight w:val="none"/>
                <w:lang w:val="en-US" w:eastAsia="zh-CN"/>
              </w:rPr>
              <w:t>6</w:t>
            </w:r>
          </w:p>
        </w:tc>
        <w:tc>
          <w:tcPr>
            <w:tcW w:w="7994" w:type="dxa"/>
            <w:vAlign w:val="center"/>
          </w:tcPr>
          <w:p>
            <w:pPr>
              <w:rPr>
                <w:rFonts w:ascii="宋体" w:cs="新宋体"/>
                <w:bCs/>
                <w:color w:val="auto"/>
                <w:sz w:val="22"/>
                <w:szCs w:val="22"/>
                <w:highlight w:val="none"/>
              </w:rPr>
            </w:pPr>
            <w:r>
              <w:rPr>
                <w:rFonts w:hint="eastAsia" w:ascii="宋体" w:hAnsi="宋体" w:cs="新宋体"/>
                <w:bCs/>
                <w:color w:val="auto"/>
                <w:sz w:val="22"/>
                <w:szCs w:val="22"/>
                <w:highlight w:val="none"/>
                <w:lang w:eastAsia="zh-CN"/>
              </w:rPr>
              <w:t>投标人</w:t>
            </w:r>
            <w:r>
              <w:rPr>
                <w:rFonts w:hint="eastAsia" w:ascii="宋体" w:hAnsi="宋体" w:cs="新宋体"/>
                <w:bCs/>
                <w:color w:val="auto"/>
                <w:sz w:val="22"/>
                <w:szCs w:val="22"/>
                <w:highlight w:val="none"/>
              </w:rPr>
              <w:t>“信用中国”</w:t>
            </w:r>
            <w:r>
              <w:rPr>
                <w:rFonts w:ascii="宋体" w:hAnsi="宋体" w:cs="新宋体"/>
                <w:bCs/>
                <w:color w:val="auto"/>
                <w:sz w:val="22"/>
                <w:szCs w:val="22"/>
                <w:highlight w:val="none"/>
              </w:rPr>
              <w:t>(www.creditchina.gov.cn)</w:t>
            </w:r>
            <w:r>
              <w:rPr>
                <w:rFonts w:hint="eastAsia" w:ascii="宋体" w:hAnsi="宋体" w:cs="新宋体"/>
                <w:bCs/>
                <w:color w:val="auto"/>
                <w:sz w:val="22"/>
                <w:szCs w:val="22"/>
                <w:highlight w:val="none"/>
              </w:rPr>
              <w:t>；“中国政府采购网”（</w:t>
            </w:r>
            <w:r>
              <w:rPr>
                <w:rFonts w:ascii="宋体" w:hAnsi="宋体" w:cs="新宋体"/>
                <w:bCs/>
                <w:color w:val="auto"/>
                <w:sz w:val="22"/>
                <w:szCs w:val="22"/>
                <w:highlight w:val="none"/>
              </w:rPr>
              <w:t>http://www.ccgp.gov.cn/</w:t>
            </w:r>
            <w:r>
              <w:rPr>
                <w:rFonts w:hint="eastAsia" w:ascii="宋体" w:hAnsi="宋体" w:cs="新宋体"/>
                <w:bCs/>
                <w:color w:val="auto"/>
                <w:sz w:val="22"/>
                <w:szCs w:val="22"/>
                <w:highlight w:val="none"/>
              </w:rPr>
              <w:t>）信用记录网页截图（采购公告发布之日至投标截止时间前）；</w:t>
            </w:r>
          </w:p>
        </w:tc>
        <w:tc>
          <w:tcPr>
            <w:tcW w:w="935" w:type="dxa"/>
            <w:vAlign w:val="center"/>
          </w:tcPr>
          <w:p>
            <w:pPr>
              <w:jc w:val="center"/>
              <w:rPr>
                <w:rFonts w:ascii="宋体" w:cs="新宋体"/>
                <w:bCs/>
                <w:color w:val="auto"/>
                <w:sz w:val="22"/>
                <w:szCs w:val="22"/>
                <w:highlight w:val="none"/>
              </w:rPr>
            </w:pPr>
          </w:p>
        </w:tc>
      </w:tr>
    </w:tbl>
    <w:p>
      <w:pPr>
        <w:spacing w:line="430" w:lineRule="exact"/>
        <w:ind w:left="187" w:leftChars="85" w:hanging="9" w:hangingChars="4"/>
        <w:rPr>
          <w:rFonts w:ascii="宋体" w:cs="楷体"/>
          <w:b/>
          <w:color w:val="auto"/>
          <w:sz w:val="22"/>
          <w:szCs w:val="22"/>
          <w:highlight w:val="none"/>
        </w:rPr>
      </w:pPr>
      <w:r>
        <w:rPr>
          <w:rFonts w:hint="eastAsia" w:ascii="宋体" w:hAnsi="宋体" w:cs="楷体"/>
          <w:b/>
          <w:color w:val="auto"/>
          <w:sz w:val="22"/>
          <w:szCs w:val="22"/>
          <w:highlight w:val="none"/>
        </w:rPr>
        <w:t>备注：</w:t>
      </w:r>
    </w:p>
    <w:p>
      <w:pPr>
        <w:numPr>
          <w:ilvl w:val="0"/>
          <w:numId w:val="0"/>
        </w:numPr>
        <w:spacing w:line="430" w:lineRule="exact"/>
        <w:ind w:leftChars="0"/>
        <w:rPr>
          <w:rFonts w:ascii="宋体" w:cs="楷体"/>
          <w:b/>
          <w:color w:val="auto"/>
          <w:sz w:val="22"/>
          <w:szCs w:val="22"/>
          <w:highlight w:val="none"/>
        </w:rPr>
      </w:pPr>
      <w:r>
        <w:rPr>
          <w:rFonts w:hint="eastAsia" w:ascii="宋体" w:hAnsi="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30" w:lineRule="exact"/>
        <w:rPr>
          <w:rFonts w:ascii="宋体" w:cs="hakuyoxingshu7000"/>
          <w:b/>
          <w:color w:val="auto"/>
          <w:kern w:val="0"/>
          <w:sz w:val="22"/>
          <w:szCs w:val="22"/>
          <w:highlight w:val="none"/>
        </w:rPr>
      </w:pPr>
      <w:r>
        <w:rPr>
          <w:rFonts w:hint="eastAsia" w:ascii="宋体" w:hAnsi="宋体" w:cs="hakuyoxingshu7000"/>
          <w:b/>
          <w:color w:val="auto"/>
          <w:sz w:val="22"/>
          <w:szCs w:val="22"/>
          <w:highlight w:val="none"/>
        </w:rPr>
        <w:t>（</w:t>
      </w:r>
      <w:r>
        <w:rPr>
          <w:rFonts w:ascii="宋体" w:hAnsi="宋体" w:cs="hakuyoxingshu7000"/>
          <w:b/>
          <w:color w:val="auto"/>
          <w:sz w:val="22"/>
          <w:szCs w:val="22"/>
          <w:highlight w:val="none"/>
        </w:rPr>
        <w:t>2</w:t>
      </w:r>
      <w:r>
        <w:rPr>
          <w:rFonts w:hint="eastAsia" w:ascii="宋体" w:hAnsi="宋体" w:cs="hakuyoxingshu7000"/>
          <w:b/>
          <w:color w:val="auto"/>
          <w:sz w:val="22"/>
          <w:szCs w:val="22"/>
          <w:highlight w:val="none"/>
        </w:rPr>
        <w:t>）</w:t>
      </w:r>
      <w:r>
        <w:rPr>
          <w:rFonts w:hint="eastAsia" w:ascii="宋体" w:hAnsi="宋体" w:cs="hakuyoxingshu7000"/>
          <w:b/>
          <w:color w:val="auto"/>
          <w:kern w:val="0"/>
          <w:sz w:val="22"/>
          <w:szCs w:val="22"/>
          <w:highlight w:val="none"/>
        </w:rPr>
        <w:t>报价文件</w:t>
      </w:r>
    </w:p>
    <w:tbl>
      <w:tblPr>
        <w:tblStyle w:val="62"/>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7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序号</w:t>
            </w:r>
          </w:p>
        </w:tc>
        <w:tc>
          <w:tcPr>
            <w:tcW w:w="7976" w:type="dxa"/>
            <w:vAlign w:val="center"/>
          </w:tcPr>
          <w:p>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内容</w:t>
            </w:r>
          </w:p>
        </w:tc>
        <w:tc>
          <w:tcPr>
            <w:tcW w:w="935" w:type="dxa"/>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30" w:lineRule="exact"/>
              <w:jc w:val="center"/>
              <w:rPr>
                <w:rFonts w:ascii="宋体" w:cs="hakuyoxingshu7000"/>
                <w:color w:val="auto"/>
                <w:kern w:val="0"/>
                <w:sz w:val="22"/>
                <w:szCs w:val="22"/>
                <w:highlight w:val="none"/>
              </w:rPr>
            </w:pPr>
            <w:r>
              <w:rPr>
                <w:rFonts w:ascii="宋体" w:hAnsi="宋体" w:cs="hakuyoxingshu7000"/>
                <w:color w:val="auto"/>
                <w:kern w:val="0"/>
                <w:sz w:val="22"/>
                <w:szCs w:val="22"/>
                <w:highlight w:val="none"/>
              </w:rPr>
              <w:t>1)</w:t>
            </w:r>
          </w:p>
        </w:tc>
        <w:tc>
          <w:tcPr>
            <w:tcW w:w="7976" w:type="dxa"/>
            <w:vAlign w:val="center"/>
          </w:tcPr>
          <w:p>
            <w:pPr>
              <w:spacing w:line="430" w:lineRule="exact"/>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lang w:val="en-US" w:eastAsia="zh-CN"/>
              </w:rPr>
              <w:t>投标报价</w:t>
            </w:r>
            <w:r>
              <w:rPr>
                <w:rFonts w:hint="eastAsia" w:ascii="宋体" w:hAnsi="宋体" w:cs="hakuyoxingshu7000"/>
                <w:color w:val="auto"/>
                <w:kern w:val="0"/>
                <w:sz w:val="22"/>
                <w:szCs w:val="22"/>
                <w:highlight w:val="none"/>
              </w:rPr>
              <w:t>一览表</w:t>
            </w:r>
          </w:p>
        </w:tc>
        <w:tc>
          <w:tcPr>
            <w:tcW w:w="935" w:type="dxa"/>
            <w:vAlign w:val="center"/>
          </w:tcPr>
          <w:p>
            <w:pPr>
              <w:spacing w:line="430" w:lineRule="exact"/>
              <w:jc w:val="center"/>
              <w:rPr>
                <w:rFonts w:ascii="宋体" w:cs="hakuyoxingshu7000"/>
                <w:color w:val="auto"/>
                <w:kern w:val="0"/>
                <w:sz w:val="22"/>
                <w:szCs w:val="22"/>
                <w:highlight w:val="none"/>
              </w:rPr>
            </w:pPr>
            <w:r>
              <w:rPr>
                <w:rFonts w:hint="eastAsia" w:ascii="宋体" w:hAnsi="宋体" w:cs="hakuyoxingshu7000"/>
                <w:color w:val="auto"/>
                <w:kern w:val="0"/>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30" w:lineRule="exact"/>
              <w:jc w:val="center"/>
              <w:rPr>
                <w:rFonts w:hint="eastAsia" w:ascii="宋体" w:hAnsi="宋体" w:eastAsia="宋体" w:cs="hakuyoxingshu7000"/>
                <w:color w:val="auto"/>
                <w:kern w:val="0"/>
                <w:sz w:val="22"/>
                <w:szCs w:val="22"/>
                <w:highlight w:val="none"/>
                <w:lang w:val="en-US" w:eastAsia="zh-CN"/>
              </w:rPr>
            </w:pPr>
            <w:r>
              <w:rPr>
                <w:rFonts w:hint="eastAsia" w:ascii="宋体" w:hAnsi="宋体" w:cs="hakuyoxingshu7000"/>
                <w:color w:val="auto"/>
                <w:kern w:val="0"/>
                <w:sz w:val="22"/>
                <w:szCs w:val="22"/>
                <w:highlight w:val="none"/>
                <w:lang w:val="en-US" w:eastAsia="zh-CN"/>
              </w:rPr>
              <w:t>2）</w:t>
            </w:r>
          </w:p>
        </w:tc>
        <w:tc>
          <w:tcPr>
            <w:tcW w:w="7976" w:type="dxa"/>
            <w:vAlign w:val="center"/>
          </w:tcPr>
          <w:p>
            <w:pPr>
              <w:spacing w:line="430" w:lineRule="exact"/>
              <w:rPr>
                <w:rFonts w:hint="default" w:ascii="宋体" w:hAnsi="宋体" w:eastAsia="宋体" w:cs="hakuyoxingshu7000"/>
                <w:color w:val="auto"/>
                <w:kern w:val="0"/>
                <w:sz w:val="22"/>
                <w:szCs w:val="22"/>
                <w:highlight w:val="none"/>
                <w:lang w:val="en-US" w:eastAsia="zh-CN"/>
              </w:rPr>
            </w:pPr>
            <w:r>
              <w:rPr>
                <w:rFonts w:hint="eastAsia" w:ascii="宋体" w:hAnsi="宋体" w:cs="hakuyoxingshu7000"/>
                <w:color w:val="auto"/>
                <w:kern w:val="0"/>
                <w:sz w:val="22"/>
                <w:szCs w:val="22"/>
                <w:highlight w:val="none"/>
                <w:lang w:val="en-US" w:eastAsia="zh-CN"/>
              </w:rPr>
              <w:t>投标分项报价表</w:t>
            </w:r>
          </w:p>
        </w:tc>
        <w:tc>
          <w:tcPr>
            <w:tcW w:w="935" w:type="dxa"/>
            <w:vAlign w:val="center"/>
          </w:tcPr>
          <w:p>
            <w:pPr>
              <w:spacing w:line="430" w:lineRule="exact"/>
              <w:jc w:val="center"/>
              <w:rPr>
                <w:rFonts w:hint="eastAsia" w:ascii="宋体" w:hAnsi="宋体" w:cs="hakuyoxingshu7000"/>
                <w:color w:val="auto"/>
                <w:kern w:val="0"/>
                <w:sz w:val="22"/>
                <w:szCs w:val="22"/>
                <w:highlight w:val="none"/>
              </w:rPr>
            </w:pPr>
          </w:p>
        </w:tc>
      </w:tr>
    </w:tbl>
    <w:p>
      <w:pPr>
        <w:spacing w:line="430" w:lineRule="exact"/>
        <w:ind w:left="187" w:leftChars="85" w:hanging="9" w:hangingChars="4"/>
        <w:rPr>
          <w:rFonts w:ascii="宋体" w:cs="hakuyoxingshu7000"/>
          <w:b/>
          <w:color w:val="auto"/>
          <w:sz w:val="22"/>
          <w:szCs w:val="22"/>
          <w:highlight w:val="none"/>
        </w:rPr>
      </w:pPr>
      <w:r>
        <w:rPr>
          <w:rFonts w:hint="eastAsia" w:ascii="宋体" w:hAnsi="宋体" w:cs="hakuyoxingshu7000"/>
          <w:b/>
          <w:color w:val="auto"/>
          <w:kern w:val="0"/>
          <w:sz w:val="22"/>
          <w:szCs w:val="22"/>
          <w:highlight w:val="none"/>
        </w:rPr>
        <w:t>（</w:t>
      </w:r>
      <w:r>
        <w:rPr>
          <w:rFonts w:ascii="宋体" w:hAnsi="宋体" w:cs="hakuyoxingshu7000"/>
          <w:b/>
          <w:color w:val="auto"/>
          <w:kern w:val="0"/>
          <w:sz w:val="22"/>
          <w:szCs w:val="22"/>
          <w:highlight w:val="none"/>
        </w:rPr>
        <w:t>3</w:t>
      </w:r>
      <w:r>
        <w:rPr>
          <w:rFonts w:hint="eastAsia" w:ascii="宋体" w:hAnsi="宋体" w:cs="hakuyoxingshu7000"/>
          <w:b/>
          <w:color w:val="auto"/>
          <w:kern w:val="0"/>
          <w:sz w:val="22"/>
          <w:szCs w:val="22"/>
          <w:highlight w:val="none"/>
        </w:rPr>
        <w:t>）</w:t>
      </w:r>
      <w:r>
        <w:rPr>
          <w:rFonts w:hint="eastAsia" w:ascii="宋体" w:hAnsi="宋体" w:cs="hakuyoxingshu7000"/>
          <w:b/>
          <w:color w:val="auto"/>
          <w:sz w:val="22"/>
          <w:szCs w:val="22"/>
          <w:highlight w:val="none"/>
        </w:rPr>
        <w:t>商务技术文件</w:t>
      </w:r>
    </w:p>
    <w:tbl>
      <w:tblPr>
        <w:tblStyle w:val="62"/>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5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序号</w:t>
            </w:r>
          </w:p>
        </w:tc>
        <w:tc>
          <w:tcPr>
            <w:tcW w:w="7958" w:type="dxa"/>
            <w:vAlign w:val="center"/>
          </w:tcPr>
          <w:p>
            <w:pPr>
              <w:spacing w:line="430" w:lineRule="exact"/>
              <w:rPr>
                <w:rFonts w:ascii="宋体" w:cs="仿宋"/>
                <w:b/>
                <w:color w:val="auto"/>
                <w:sz w:val="22"/>
                <w:szCs w:val="22"/>
                <w:highlight w:val="none"/>
              </w:rPr>
            </w:pPr>
            <w:r>
              <w:rPr>
                <w:rFonts w:hint="eastAsia" w:ascii="宋体" w:hAnsi="宋体" w:cs="仿宋"/>
                <w:b/>
                <w:color w:val="auto"/>
                <w:sz w:val="22"/>
                <w:szCs w:val="22"/>
                <w:highlight w:val="none"/>
              </w:rPr>
              <w:t>内容</w:t>
            </w:r>
          </w:p>
        </w:tc>
        <w:tc>
          <w:tcPr>
            <w:tcW w:w="953" w:type="dxa"/>
            <w:vAlign w:val="center"/>
          </w:tcPr>
          <w:p>
            <w:pPr>
              <w:spacing w:line="430" w:lineRule="exact"/>
              <w:jc w:val="center"/>
              <w:rPr>
                <w:rFonts w:ascii="宋体" w:cs="仿宋"/>
                <w:b/>
                <w:color w:val="auto"/>
                <w:sz w:val="22"/>
                <w:szCs w:val="22"/>
                <w:highlight w:val="none"/>
              </w:rPr>
            </w:pPr>
            <w:r>
              <w:rPr>
                <w:rFonts w:hint="eastAsia" w:ascii="宋体" w:hAnsi="宋体" w:cs="仿宋"/>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1</w:t>
            </w:r>
            <w:r>
              <w:rPr>
                <w:rFonts w:hint="eastAsia" w:ascii="宋体" w:hAnsi="宋体" w:cs="仿宋"/>
                <w:color w:val="auto"/>
                <w:sz w:val="22"/>
                <w:szCs w:val="22"/>
                <w:highlight w:val="none"/>
              </w:rPr>
              <w:t>）</w:t>
            </w:r>
          </w:p>
        </w:tc>
        <w:tc>
          <w:tcPr>
            <w:tcW w:w="7958" w:type="dxa"/>
            <w:vAlign w:val="center"/>
          </w:tcPr>
          <w:p>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投标函</w:t>
            </w:r>
          </w:p>
        </w:tc>
        <w:tc>
          <w:tcPr>
            <w:tcW w:w="953" w:type="dxa"/>
            <w:vAlign w:val="center"/>
          </w:tcPr>
          <w:p>
            <w:pPr>
              <w:spacing w:line="430" w:lineRule="exact"/>
              <w:jc w:val="center"/>
              <w:rPr>
                <w:rFonts w:ascii="宋体" w:hAnsi="Times New Roman" w:eastAsia="宋体" w:cs="hakuyoxingshu7000"/>
                <w:color w:val="auto"/>
                <w:kern w:val="0"/>
                <w:sz w:val="22"/>
                <w:szCs w:val="22"/>
                <w:highlight w:val="none"/>
                <w:lang w:val="en-US" w:eastAsia="zh-CN" w:bidi="ar-SA"/>
              </w:rPr>
            </w:pPr>
            <w:r>
              <w:rPr>
                <w:rFonts w:hint="eastAsia" w:ascii="宋体" w:hAnsi="宋体" w:cs="hakuyoxingshu7000"/>
                <w:color w:val="auto"/>
                <w:kern w:val="0"/>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2</w:t>
            </w:r>
            <w:r>
              <w:rPr>
                <w:rFonts w:hint="eastAsia" w:ascii="宋体" w:hAnsi="宋体" w:cs="仿宋"/>
                <w:color w:val="auto"/>
                <w:sz w:val="22"/>
                <w:szCs w:val="22"/>
                <w:highlight w:val="none"/>
              </w:rPr>
              <w:t>）</w:t>
            </w:r>
          </w:p>
        </w:tc>
        <w:tc>
          <w:tcPr>
            <w:tcW w:w="7958" w:type="dxa"/>
            <w:vAlign w:val="center"/>
          </w:tcPr>
          <w:p>
            <w:pPr>
              <w:spacing w:line="430" w:lineRule="exact"/>
              <w:rPr>
                <w:rFonts w:ascii="宋体" w:cs="仿宋"/>
                <w:color w:val="auto"/>
                <w:sz w:val="22"/>
                <w:szCs w:val="22"/>
                <w:highlight w:val="none"/>
              </w:rPr>
            </w:pPr>
            <w:r>
              <w:rPr>
                <w:rFonts w:hint="eastAsia" w:ascii="宋体" w:hAnsi="宋体" w:cs="仿宋"/>
                <w:color w:val="auto"/>
                <w:sz w:val="22"/>
                <w:szCs w:val="22"/>
                <w:highlight w:val="none"/>
              </w:rPr>
              <w:t>技术规格、商务条款偏离表</w:t>
            </w:r>
          </w:p>
        </w:tc>
        <w:tc>
          <w:tcPr>
            <w:tcW w:w="953" w:type="dxa"/>
            <w:vAlign w:val="center"/>
          </w:tcPr>
          <w:p>
            <w:pPr>
              <w:spacing w:line="430" w:lineRule="exact"/>
              <w:jc w:val="center"/>
              <w:rPr>
                <w:rFonts w:ascii="宋体" w:hAnsi="Times New Roman" w:eastAsia="宋体" w:cs="仿宋"/>
                <w:color w:val="auto"/>
                <w:kern w:val="2"/>
                <w:sz w:val="22"/>
                <w:szCs w:val="22"/>
                <w:highlight w:val="none"/>
                <w:lang w:val="en-US" w:eastAsia="zh-CN" w:bidi="ar-SA"/>
              </w:rPr>
            </w:pPr>
            <w:r>
              <w:rPr>
                <w:rFonts w:hint="eastAsia" w:ascii="宋体" w:hAnsi="宋体" w:cs="仿宋"/>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cs="仿宋"/>
                <w:color w:val="auto"/>
                <w:sz w:val="22"/>
                <w:szCs w:val="22"/>
                <w:highlight w:val="none"/>
              </w:rPr>
            </w:pPr>
            <w:r>
              <w:rPr>
                <w:rFonts w:ascii="宋体" w:hAnsi="宋体" w:cs="仿宋"/>
                <w:color w:val="auto"/>
                <w:sz w:val="22"/>
                <w:szCs w:val="22"/>
                <w:highlight w:val="none"/>
              </w:rPr>
              <w:t>3</w:t>
            </w:r>
            <w:r>
              <w:rPr>
                <w:rFonts w:hint="eastAsia" w:ascii="宋体" w:hAnsi="宋体" w:cs="仿宋"/>
                <w:color w:val="auto"/>
                <w:sz w:val="22"/>
                <w:szCs w:val="22"/>
                <w:highlight w:val="none"/>
              </w:rPr>
              <w:t>）</w:t>
            </w:r>
          </w:p>
        </w:tc>
        <w:tc>
          <w:tcPr>
            <w:tcW w:w="7958" w:type="dxa"/>
            <w:vAlign w:val="center"/>
          </w:tcPr>
          <w:p>
            <w:pPr>
              <w:spacing w:line="430" w:lineRule="exact"/>
              <w:rPr>
                <w:rFonts w:hint="default" w:ascii="宋体" w:hAnsi="宋体" w:cs="仿宋"/>
                <w:color w:val="auto"/>
                <w:sz w:val="22"/>
                <w:szCs w:val="22"/>
                <w:highlight w:val="none"/>
                <w:lang w:val="en-US" w:eastAsia="zh-CN"/>
              </w:rPr>
            </w:pPr>
            <w:r>
              <w:rPr>
                <w:rFonts w:hint="eastAsia" w:ascii="宋体" w:hAnsi="宋体" w:cs="仿宋"/>
                <w:color w:val="auto"/>
                <w:sz w:val="22"/>
                <w:szCs w:val="22"/>
                <w:highlight w:val="none"/>
                <w:lang w:val="en-US" w:eastAsia="zh-CN"/>
              </w:rPr>
              <w:t>投标人情况表</w:t>
            </w:r>
          </w:p>
        </w:tc>
        <w:tc>
          <w:tcPr>
            <w:tcW w:w="953" w:type="dxa"/>
            <w:vAlign w:val="center"/>
          </w:tcPr>
          <w:p>
            <w:pPr>
              <w:spacing w:line="430" w:lineRule="exact"/>
              <w:jc w:val="center"/>
              <w:rPr>
                <w:rFonts w:ascii="宋体" w:cs="仿宋"/>
                <w:color w:val="auto"/>
                <w:sz w:val="22"/>
                <w:szCs w:val="22"/>
                <w:highlight w:val="none"/>
              </w:rPr>
            </w:pPr>
            <w:r>
              <w:rPr>
                <w:rFonts w:hint="eastAsia" w:ascii="宋体" w:hAnsi="宋体" w:cs="宋体"/>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hAnsi="Times New Roman" w:eastAsia="宋体" w:cs="宋体"/>
                <w:color w:val="auto"/>
                <w:kern w:val="2"/>
                <w:sz w:val="22"/>
                <w:szCs w:val="22"/>
                <w:highlight w:val="none"/>
                <w:lang w:val="en-US" w:eastAsia="zh-CN" w:bidi="ar-SA"/>
              </w:rPr>
            </w:pPr>
            <w:r>
              <w:rPr>
                <w:rFonts w:ascii="宋体" w:hAnsi="宋体" w:cs="宋体"/>
                <w:color w:val="auto"/>
                <w:sz w:val="22"/>
                <w:szCs w:val="22"/>
                <w:highlight w:val="none"/>
              </w:rPr>
              <w:t>4</w:t>
            </w:r>
            <w:r>
              <w:rPr>
                <w:rFonts w:hint="eastAsia" w:ascii="宋体" w:hAnsi="宋体" w:cs="宋体"/>
                <w:color w:val="auto"/>
                <w:sz w:val="22"/>
                <w:szCs w:val="22"/>
                <w:highlight w:val="none"/>
              </w:rPr>
              <w:t>）</w:t>
            </w:r>
          </w:p>
        </w:tc>
        <w:tc>
          <w:tcPr>
            <w:tcW w:w="7958" w:type="dxa"/>
            <w:vAlign w:val="center"/>
          </w:tcPr>
          <w:p>
            <w:pPr>
              <w:spacing w:line="430" w:lineRule="exact"/>
              <w:rPr>
                <w:rFonts w:hint="eastAsia" w:ascii="宋体" w:hAnsi="宋体" w:cs="仿宋"/>
                <w:color w:val="auto"/>
                <w:sz w:val="22"/>
                <w:szCs w:val="22"/>
                <w:highlight w:val="none"/>
                <w:lang w:val="en-US" w:eastAsia="zh-CN"/>
              </w:rPr>
            </w:pPr>
            <w:r>
              <w:rPr>
                <w:rFonts w:hint="eastAsia" w:ascii="宋体" w:hAnsi="宋体" w:cs="仿宋"/>
                <w:color w:val="auto"/>
                <w:sz w:val="22"/>
                <w:szCs w:val="22"/>
                <w:highlight w:val="none"/>
                <w:lang w:val="en-US" w:eastAsia="zh-CN"/>
              </w:rPr>
              <w:t>项目的团队情况表</w:t>
            </w:r>
          </w:p>
        </w:tc>
        <w:tc>
          <w:tcPr>
            <w:tcW w:w="953" w:type="dxa"/>
            <w:vAlign w:val="center"/>
          </w:tcPr>
          <w:p>
            <w:pPr>
              <w:spacing w:line="43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hAnsi="宋体" w:eastAsia="宋体" w:cs="宋体"/>
                <w:color w:val="auto"/>
                <w:kern w:val="2"/>
                <w:sz w:val="22"/>
                <w:szCs w:val="22"/>
                <w:highlight w:val="none"/>
                <w:lang w:val="en-US" w:eastAsia="zh-CN" w:bidi="ar-SA"/>
              </w:rPr>
            </w:pPr>
            <w:r>
              <w:rPr>
                <w:rFonts w:ascii="宋体" w:hAnsi="宋体" w:cs="仿宋"/>
                <w:color w:val="auto"/>
                <w:sz w:val="22"/>
                <w:szCs w:val="22"/>
                <w:highlight w:val="none"/>
              </w:rPr>
              <w:t>5)</w:t>
            </w:r>
          </w:p>
        </w:tc>
        <w:tc>
          <w:tcPr>
            <w:tcW w:w="7958" w:type="dxa"/>
            <w:vAlign w:val="center"/>
          </w:tcPr>
          <w:p>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针对本次项目采购需求提出的详细实施投标技术方案（包括但不限于技术资信分评分按“评标细则要求的各个方案”相关评分内容逐项编制，格式自拟）</w:t>
            </w:r>
          </w:p>
        </w:tc>
        <w:tc>
          <w:tcPr>
            <w:tcW w:w="953" w:type="dxa"/>
            <w:vAlign w:val="center"/>
          </w:tcPr>
          <w:p>
            <w:pPr>
              <w:spacing w:line="430" w:lineRule="exact"/>
              <w:jc w:val="center"/>
              <w:rPr>
                <w:rFonts w:asci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ascii="宋体" w:hAnsi="Times New Roman" w:eastAsia="宋体" w:cs="仿宋"/>
                <w:color w:val="auto"/>
                <w:kern w:val="2"/>
                <w:sz w:val="22"/>
                <w:szCs w:val="22"/>
                <w:highlight w:val="none"/>
                <w:lang w:val="en-US" w:eastAsia="zh-CN" w:bidi="ar-SA"/>
              </w:rPr>
            </w:pPr>
            <w:r>
              <w:rPr>
                <w:rFonts w:hint="eastAsia" w:ascii="宋体" w:hAnsi="宋体" w:cs="仿宋"/>
                <w:color w:val="auto"/>
                <w:sz w:val="22"/>
                <w:szCs w:val="22"/>
                <w:highlight w:val="none"/>
                <w:lang w:val="en-US" w:eastAsia="zh-CN"/>
              </w:rPr>
              <w:t>6</w:t>
            </w:r>
            <w:r>
              <w:rPr>
                <w:rFonts w:ascii="宋体" w:hAnsi="宋体" w:cs="仿宋"/>
                <w:color w:val="auto"/>
                <w:sz w:val="22"/>
                <w:szCs w:val="22"/>
                <w:highlight w:val="none"/>
              </w:rPr>
              <w:t>)</w:t>
            </w:r>
          </w:p>
        </w:tc>
        <w:tc>
          <w:tcPr>
            <w:tcW w:w="7958" w:type="dxa"/>
            <w:vAlign w:val="center"/>
          </w:tcPr>
          <w:p>
            <w:pPr>
              <w:spacing w:line="430" w:lineRule="exact"/>
              <w:rPr>
                <w:rFonts w:hint="eastAsia" w:ascii="宋体" w:hAnsi="宋体" w:cs="仿宋"/>
                <w:color w:val="auto"/>
                <w:sz w:val="22"/>
                <w:szCs w:val="22"/>
                <w:highlight w:val="none"/>
              </w:rPr>
            </w:pPr>
            <w:r>
              <w:rPr>
                <w:rFonts w:hint="eastAsia" w:ascii="宋体" w:hAnsi="宋体" w:cs="仿宋"/>
                <w:color w:val="auto"/>
                <w:sz w:val="22"/>
                <w:szCs w:val="22"/>
                <w:highlight w:val="none"/>
              </w:rPr>
              <w:t>服务保证措施资信证明文件（本部分为商务技术文件评分内容，各</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参照评分标准根据自身情况提供）</w:t>
            </w:r>
          </w:p>
        </w:tc>
        <w:tc>
          <w:tcPr>
            <w:tcW w:w="953" w:type="dxa"/>
            <w:vAlign w:val="center"/>
          </w:tcPr>
          <w:p>
            <w:pPr>
              <w:spacing w:line="430" w:lineRule="exact"/>
              <w:jc w:val="center"/>
              <w:rPr>
                <w:rFonts w:asci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line="430" w:lineRule="exact"/>
              <w:jc w:val="center"/>
              <w:rPr>
                <w:rFonts w:hint="eastAsia" w:ascii="宋体" w:eastAsia="宋体" w:cs="仿宋"/>
                <w:color w:val="auto"/>
                <w:sz w:val="22"/>
                <w:szCs w:val="22"/>
                <w:highlight w:val="none"/>
                <w:lang w:val="en-US" w:eastAsia="zh-CN"/>
              </w:rPr>
            </w:pPr>
            <w:r>
              <w:rPr>
                <w:rFonts w:hint="eastAsia" w:ascii="宋体" w:cs="仿宋"/>
                <w:color w:val="auto"/>
                <w:sz w:val="22"/>
                <w:szCs w:val="22"/>
                <w:highlight w:val="none"/>
                <w:lang w:val="en-US" w:eastAsia="zh-CN"/>
              </w:rPr>
              <w:t>7）</w:t>
            </w:r>
          </w:p>
        </w:tc>
        <w:tc>
          <w:tcPr>
            <w:tcW w:w="7958" w:type="dxa"/>
            <w:vAlign w:val="center"/>
          </w:tcPr>
          <w:p>
            <w:pPr>
              <w:spacing w:line="430" w:lineRule="exact"/>
              <w:rPr>
                <w:rFonts w:ascii="宋体" w:hAnsi="宋体" w:cs="仿宋"/>
                <w:color w:val="auto"/>
                <w:sz w:val="22"/>
                <w:szCs w:val="22"/>
                <w:highlight w:val="none"/>
              </w:rPr>
            </w:pPr>
            <w:r>
              <w:rPr>
                <w:rFonts w:hint="eastAsia" w:ascii="宋体" w:hAnsi="宋体" w:cs="仿宋"/>
                <w:color w:val="auto"/>
                <w:sz w:val="22"/>
                <w:szCs w:val="22"/>
                <w:highlight w:val="none"/>
              </w:rPr>
              <w:t>结合招标文件评分细则</w:t>
            </w:r>
            <w:r>
              <w:rPr>
                <w:rFonts w:hint="eastAsia" w:ascii="宋体" w:hAnsi="宋体" w:cs="仿宋"/>
                <w:color w:val="auto"/>
                <w:sz w:val="22"/>
                <w:szCs w:val="22"/>
                <w:highlight w:val="none"/>
                <w:lang w:eastAsia="zh-CN"/>
              </w:rPr>
              <w:t>投标人</w:t>
            </w:r>
            <w:r>
              <w:rPr>
                <w:rFonts w:hint="eastAsia" w:ascii="宋体" w:hAnsi="宋体" w:cs="仿宋"/>
                <w:color w:val="auto"/>
                <w:sz w:val="22"/>
                <w:szCs w:val="22"/>
                <w:highlight w:val="none"/>
              </w:rPr>
              <w:t>认为需要提供的其他技术资料</w:t>
            </w:r>
          </w:p>
        </w:tc>
        <w:tc>
          <w:tcPr>
            <w:tcW w:w="953" w:type="dxa"/>
            <w:vAlign w:val="center"/>
          </w:tcPr>
          <w:p>
            <w:pPr>
              <w:spacing w:line="430" w:lineRule="exact"/>
              <w:jc w:val="center"/>
              <w:rPr>
                <w:rFonts w:ascii="宋体" w:cs="仿宋"/>
                <w:color w:val="auto"/>
                <w:sz w:val="22"/>
                <w:szCs w:val="22"/>
                <w:highlight w:val="none"/>
              </w:rPr>
            </w:pPr>
          </w:p>
        </w:tc>
      </w:tr>
    </w:tbl>
    <w:p>
      <w:pPr>
        <w:keepNext w:val="0"/>
        <w:keepLines w:val="0"/>
        <w:pageBreakBefore w:val="0"/>
        <w:widowControl w:val="0"/>
        <w:kinsoku/>
        <w:wordWrap/>
        <w:topLinePunct w:val="0"/>
        <w:autoSpaceDE/>
        <w:autoSpaceDN/>
        <w:bidi w:val="0"/>
        <w:adjustRightInd/>
        <w:snapToGrid/>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p>
      <w:pPr>
        <w:keepNext w:val="0"/>
        <w:keepLines w:val="0"/>
        <w:pageBreakBefore w:val="0"/>
        <w:widowControl w:val="0"/>
        <w:numPr>
          <w:ilvl w:val="0"/>
          <w:numId w:val="15"/>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投标人可根据</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中的采购内容及需求和商务技术文件评分细则，提供投标人认为需要提供的文件和资料。</w:t>
      </w:r>
    </w:p>
    <w:p>
      <w:pPr>
        <w:keepNext w:val="0"/>
        <w:keepLines w:val="0"/>
        <w:pageBreakBefore w:val="0"/>
        <w:widowControl w:val="0"/>
        <w:numPr>
          <w:ilvl w:val="0"/>
          <w:numId w:val="15"/>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keepNext w:val="0"/>
        <w:keepLines w:val="0"/>
        <w:pageBreakBefore w:val="0"/>
        <w:widowControl w:val="0"/>
        <w:numPr>
          <w:ilvl w:val="0"/>
          <w:numId w:val="15"/>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以上所需的各种证书、证件、证明等若系复印件、扫描件，须加盖投标人有效的公章。</w:t>
      </w:r>
    </w:p>
    <w:p>
      <w:pPr>
        <w:keepNext w:val="0"/>
        <w:keepLines w:val="0"/>
        <w:pageBreakBefore w:val="0"/>
        <w:widowControl w:val="0"/>
        <w:numPr>
          <w:ilvl w:val="0"/>
          <w:numId w:val="15"/>
        </w:numPr>
        <w:kinsoku/>
        <w:wordWrap/>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bookmarkStart w:id="94" w:name="_Toc221356951"/>
      <w:bookmarkStart w:id="95" w:name="_Toc241404202"/>
      <w:bookmarkStart w:id="96" w:name="_Toc249758864"/>
      <w:bookmarkStart w:id="97" w:name="_Toc262105503"/>
      <w:bookmarkStart w:id="98" w:name="_Toc249758712"/>
      <w:bookmarkStart w:id="99" w:name="_Toc245722281"/>
      <w:bookmarkStart w:id="100" w:name="_Toc221423619"/>
      <w:bookmarkStart w:id="101" w:name="_Toc245191314"/>
      <w:bookmarkStart w:id="102" w:name="_Toc239145354"/>
      <w:bookmarkStart w:id="103" w:name="_Toc223715998"/>
      <w:bookmarkStart w:id="104" w:name="_Toc221356887"/>
      <w:bookmarkStart w:id="105" w:name="_Toc221374626"/>
      <w:bookmarkStart w:id="106" w:name="_Toc222114879"/>
      <w:bookmarkStart w:id="107" w:name="_Toc262049418"/>
      <w:bookmarkStart w:id="108" w:name="_Toc246261265"/>
      <w:r>
        <w:rPr>
          <w:rFonts w:hint="eastAsia" w:ascii="宋体" w:hAnsi="宋体" w:eastAsia="宋体" w:cs="Times New Roman"/>
          <w:bCs/>
          <w:color w:val="auto"/>
          <w:sz w:val="22"/>
          <w:szCs w:val="22"/>
          <w:highlight w:val="none"/>
        </w:rPr>
        <w:t>投标文件编制</w:t>
      </w:r>
    </w:p>
    <w:p>
      <w:pPr>
        <w:numPr>
          <w:ilvl w:val="1"/>
          <w:numId w:val="1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本项目通过“政采云平台（www.zcygov.cn）”实行在线投标响应（电子投标）。</w:t>
      </w:r>
      <w:r>
        <w:rPr>
          <w:rFonts w:hint="eastAsia" w:ascii="宋体" w:hAnsi="宋体" w:eastAsia="宋体" w:cs="Times New Roman"/>
          <w:b w:val="0"/>
          <w:bCs/>
          <w:color w:val="auto"/>
          <w:sz w:val="22"/>
          <w:szCs w:val="22"/>
          <w:highlight w:val="none"/>
          <w:u w:val="none"/>
          <w:lang w:eastAsia="zh-CN"/>
        </w:rPr>
        <w:t>投标人</w:t>
      </w:r>
      <w:r>
        <w:rPr>
          <w:rFonts w:hint="eastAsia" w:ascii="宋体" w:hAnsi="宋体" w:eastAsia="宋体" w:cs="Times New Roman"/>
          <w:b w:val="0"/>
          <w:bCs/>
          <w:color w:val="auto"/>
          <w:sz w:val="22"/>
          <w:szCs w:val="22"/>
          <w:highlight w:val="none"/>
          <w:u w:val="none"/>
        </w:rPr>
        <w:t>应通过“政采云电子交易客户端”，并按照本</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和“政采云平台”的要求编制并加密投标文件。</w:t>
      </w:r>
    </w:p>
    <w:p>
      <w:pPr>
        <w:numPr>
          <w:ilvl w:val="1"/>
          <w:numId w:val="1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bCs w:val="0"/>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pPr>
        <w:numPr>
          <w:ilvl w:val="1"/>
          <w:numId w:val="1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本</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“第</w:t>
      </w:r>
      <w:r>
        <w:rPr>
          <w:rFonts w:hint="eastAsia" w:ascii="宋体" w:hAnsi="宋体" w:eastAsia="宋体" w:cs="Times New Roman"/>
          <w:b w:val="0"/>
          <w:bCs/>
          <w:color w:val="auto"/>
          <w:sz w:val="22"/>
          <w:szCs w:val="22"/>
          <w:highlight w:val="none"/>
          <w:u w:val="none"/>
          <w:lang w:val="en-US" w:eastAsia="zh-CN"/>
        </w:rPr>
        <w:t>五</w:t>
      </w:r>
      <w:r>
        <w:rPr>
          <w:rFonts w:hint="eastAsia" w:ascii="宋体" w:hAnsi="宋体" w:eastAsia="宋体" w:cs="Times New Roman"/>
          <w:b w:val="0"/>
          <w:bCs/>
          <w:color w:val="auto"/>
          <w:sz w:val="22"/>
          <w:szCs w:val="22"/>
          <w:highlight w:val="none"/>
          <w:u w:val="none"/>
        </w:rPr>
        <w:t>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numPr>
          <w:ilvl w:val="1"/>
          <w:numId w:val="1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投标文件内容不完整、编排混乱导致投标文件被误读、漏读或者查找不到相关内容的，是投标人的责任。</w:t>
      </w:r>
    </w:p>
    <w:p>
      <w:pPr>
        <w:numPr>
          <w:ilvl w:val="1"/>
          <w:numId w:val="1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投标文件因字迹潦草或表达不清所引起的后果由投标人负责。</w:t>
      </w:r>
    </w:p>
    <w:p>
      <w:pPr>
        <w:numPr>
          <w:ilvl w:val="1"/>
          <w:numId w:val="1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投标人没有按照本章节“投标文件组成”要求提供全部资料，或者没有仔细阅读</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，或者没有对</w:t>
      </w:r>
      <w:r>
        <w:rPr>
          <w:rFonts w:hint="eastAsia" w:ascii="宋体" w:hAnsi="宋体" w:eastAsia="宋体" w:cs="Times New Roman"/>
          <w:b w:val="0"/>
          <w:bCs/>
          <w:color w:val="auto"/>
          <w:sz w:val="22"/>
          <w:szCs w:val="22"/>
          <w:highlight w:val="none"/>
          <w:u w:val="none"/>
          <w:lang w:eastAsia="zh-CN"/>
        </w:rPr>
        <w:t>招标文件</w:t>
      </w:r>
      <w:r>
        <w:rPr>
          <w:rFonts w:hint="eastAsia" w:ascii="宋体" w:hAnsi="宋体" w:eastAsia="宋体" w:cs="Times New Roman"/>
          <w:b w:val="0"/>
          <w:bCs/>
          <w:color w:val="auto"/>
          <w:sz w:val="22"/>
          <w:szCs w:val="22"/>
          <w:highlight w:val="none"/>
          <w:u w:val="none"/>
        </w:rPr>
        <w:t>在各方面的要求作出实质性响应是投标人的风险，由此造成的一切后果由投标人自行承担。</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投标文件的签章</w:t>
      </w:r>
    </w:p>
    <w:p>
      <w:pPr>
        <w:numPr>
          <w:ilvl w:val="1"/>
          <w:numId w:val="17"/>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投标文件的签章要求：投标人须知前附表第1</w:t>
      </w:r>
      <w:r>
        <w:rPr>
          <w:rFonts w:hint="eastAsia" w:ascii="宋体" w:hAnsi="宋体" w:cs="Arial"/>
          <w:color w:val="auto"/>
          <w:sz w:val="22"/>
          <w:szCs w:val="22"/>
          <w:highlight w:val="none"/>
          <w:lang w:val="en-US" w:eastAsia="zh-CN"/>
        </w:rPr>
        <w:t>7</w:t>
      </w:r>
      <w:r>
        <w:rPr>
          <w:rFonts w:hint="eastAsia" w:ascii="宋体" w:hAnsi="宋体" w:eastAsia="宋体" w:cs="Arial"/>
          <w:color w:val="auto"/>
          <w:sz w:val="22"/>
          <w:szCs w:val="22"/>
          <w:highlight w:val="none"/>
          <w:lang w:eastAsia="zh-CN"/>
        </w:rPr>
        <w:t>款；</w:t>
      </w:r>
    </w:p>
    <w:p>
      <w:pPr>
        <w:numPr>
          <w:ilvl w:val="1"/>
          <w:numId w:val="17"/>
        </w:numPr>
        <w:tabs>
          <w:tab w:val="left" w:pos="360"/>
          <w:tab w:val="clear" w:pos="992"/>
        </w:tabs>
        <w:spacing w:line="460" w:lineRule="exact"/>
        <w:ind w:left="640" w:leftChars="0" w:hanging="567" w:firstLineChars="0"/>
        <w:rPr>
          <w:rFonts w:hint="eastAsia" w:ascii="宋体" w:hAnsi="宋体" w:eastAsia="宋体" w:cs="宋体"/>
          <w:color w:val="auto"/>
          <w:sz w:val="22"/>
          <w:szCs w:val="22"/>
          <w:highlight w:val="none"/>
        </w:rPr>
      </w:pPr>
      <w:r>
        <w:rPr>
          <w:rFonts w:hint="eastAsia" w:ascii="宋体" w:hAnsi="宋体" w:eastAsia="宋体" w:cs="Arial"/>
          <w:color w:val="auto"/>
          <w:sz w:val="22"/>
          <w:szCs w:val="22"/>
          <w:highlight w:val="none"/>
          <w:lang w:eastAsia="zh-CN"/>
        </w:rPr>
        <w:t>投标文件应由投标人法定代表人或其授权代表签章（电子签章），并同时加盖投标人公章（电子</w:t>
      </w:r>
      <w:r>
        <w:rPr>
          <w:rFonts w:hint="eastAsia" w:ascii="宋体" w:hAnsi="宋体" w:eastAsia="宋体" w:cs="宋体"/>
          <w:color w:val="auto"/>
          <w:sz w:val="22"/>
          <w:szCs w:val="22"/>
          <w:highlight w:val="none"/>
        </w:rPr>
        <w:t>签章）。</w:t>
      </w:r>
      <w:r>
        <w:rPr>
          <w:rFonts w:hint="eastAsia" w:ascii="宋体" w:hAnsi="宋体" w:eastAsia="宋体" w:cs="宋体"/>
          <w:color w:val="auto"/>
          <w:kern w:val="0"/>
          <w:sz w:val="22"/>
          <w:szCs w:val="22"/>
          <w:highlight w:val="none"/>
          <w:lang w:val="zh-CN"/>
        </w:rPr>
        <w:t>（或先制作word版打印，相应位置签字或盖章后再扫描上传）</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投标文件的形式</w:t>
      </w:r>
    </w:p>
    <w:p>
      <w:pPr>
        <w:tabs>
          <w:tab w:val="left" w:pos="36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投标文件的形式：见投标人须知前附表第1</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款；</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政采云系统默认投标人自动放弃的情形</w:t>
      </w:r>
    </w:p>
    <w:p>
      <w:pPr>
        <w:tabs>
          <w:tab w:val="left" w:pos="5355"/>
        </w:tabs>
        <w:spacing w:line="43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kern w:val="0"/>
          <w:sz w:val="22"/>
          <w:szCs w:val="22"/>
          <w:highlight w:val="none"/>
        </w:rPr>
        <w:t>政采云系统默认</w:t>
      </w:r>
      <w:r>
        <w:rPr>
          <w:rFonts w:hint="eastAsia" w:ascii="宋体" w:hAnsi="宋体" w:eastAsia="宋体" w:cs="宋体"/>
          <w:b w:val="0"/>
          <w:bCs w:val="0"/>
          <w:color w:val="auto"/>
          <w:kern w:val="0"/>
          <w:sz w:val="22"/>
          <w:szCs w:val="22"/>
          <w:highlight w:val="none"/>
          <w:lang w:eastAsia="zh-CN"/>
        </w:rPr>
        <w:t>投标人</w:t>
      </w:r>
      <w:r>
        <w:rPr>
          <w:rFonts w:hint="eastAsia" w:ascii="宋体" w:hAnsi="宋体" w:eastAsia="宋体" w:cs="宋体"/>
          <w:b w:val="0"/>
          <w:bCs w:val="0"/>
          <w:color w:val="auto"/>
          <w:kern w:val="0"/>
          <w:sz w:val="22"/>
          <w:szCs w:val="22"/>
          <w:highlight w:val="none"/>
        </w:rPr>
        <w:t>自动放弃的情形</w:t>
      </w:r>
      <w:r>
        <w:rPr>
          <w:rFonts w:hint="eastAsia" w:ascii="宋体" w:hAnsi="宋体" w:eastAsia="宋体" w:cs="宋体"/>
          <w:color w:val="auto"/>
          <w:sz w:val="22"/>
          <w:szCs w:val="22"/>
          <w:highlight w:val="none"/>
        </w:rPr>
        <w:t>：见投标人须知前附表第</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款。</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投标报价</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投标报价是指中标人在正确地完全履行合同义务后招标人应支付给中标人合同价款，</w:t>
      </w:r>
      <w:r>
        <w:rPr>
          <w:rFonts w:hint="eastAsia" w:ascii="宋体" w:hAnsi="宋体" w:eastAsia="宋体" w:cs="宋体"/>
          <w:b/>
          <w:color w:val="auto"/>
          <w:sz w:val="22"/>
          <w:highlight w:val="none"/>
          <w:u w:val="single"/>
        </w:rPr>
        <w:t>包括所有</w:t>
      </w:r>
      <w:r>
        <w:rPr>
          <w:rFonts w:hint="eastAsia" w:ascii="宋体" w:hAnsi="宋体" w:cs="宋体"/>
          <w:b/>
          <w:color w:val="auto"/>
          <w:sz w:val="22"/>
          <w:highlight w:val="none"/>
          <w:u w:val="single"/>
          <w:lang w:val="en-US" w:eastAsia="zh-CN"/>
        </w:rPr>
        <w:t>人员</w:t>
      </w:r>
      <w:r>
        <w:rPr>
          <w:rFonts w:hint="eastAsia" w:ascii="宋体" w:hAnsi="宋体" w:eastAsia="宋体" w:cs="宋体"/>
          <w:b/>
          <w:color w:val="auto"/>
          <w:sz w:val="22"/>
          <w:highlight w:val="none"/>
          <w:u w:val="single"/>
          <w:lang w:val="en-US" w:eastAsia="zh-CN"/>
        </w:rPr>
        <w:t>组织、</w:t>
      </w:r>
      <w:r>
        <w:rPr>
          <w:rFonts w:hint="eastAsia" w:ascii="宋体" w:hAnsi="宋体" w:eastAsia="宋体" w:cs="宋体"/>
          <w:b/>
          <w:color w:val="auto"/>
          <w:sz w:val="22"/>
          <w:highlight w:val="none"/>
          <w:u w:val="single"/>
        </w:rPr>
        <w:t>技术服务、技术服务人员工资、奖金、社保金（失业、养老、医保等）、企业利润、税金、采购代理服务费等全部本身和不可或缺的所有工作开支等各项全部费用并承担一切风险责任</w:t>
      </w:r>
      <w:r>
        <w:rPr>
          <w:rFonts w:hint="eastAsia" w:ascii="宋体" w:hAnsi="宋体" w:eastAsia="宋体" w:cs="Arial"/>
          <w:b/>
          <w:bCs/>
          <w:color w:val="auto"/>
          <w:sz w:val="22"/>
          <w:szCs w:val="22"/>
          <w:highlight w:val="none"/>
          <w:u w:val="single"/>
          <w:lang w:eastAsia="zh-CN"/>
        </w:rPr>
        <w:t>，投标人应根据上述因素自行考虑含入投标总价。投标人应根据上述因素自行考虑含入投标总价。</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投标人必须按</w:t>
      </w:r>
      <w:r>
        <w:rPr>
          <w:rFonts w:hint="eastAsia" w:ascii="宋体" w:hAnsi="宋体" w:eastAsia="宋体" w:cs="Arial"/>
          <w:color w:val="auto"/>
          <w:sz w:val="22"/>
          <w:szCs w:val="22"/>
          <w:highlight w:val="none"/>
          <w:lang w:val="en-US" w:eastAsia="zh-CN"/>
        </w:rPr>
        <w:t>招标文件规定</w:t>
      </w:r>
      <w:r>
        <w:rPr>
          <w:rFonts w:hint="eastAsia" w:ascii="宋体" w:hAnsi="宋体" w:eastAsia="宋体" w:cs="Arial"/>
          <w:color w:val="auto"/>
          <w:sz w:val="22"/>
          <w:szCs w:val="22"/>
          <w:highlight w:val="none"/>
          <w:lang w:eastAsia="zh-CN"/>
        </w:rPr>
        <w:t>的开标一览表（统一格式）、投标分项报价表（统一格式）的内容填写单价、合价及其他事项，并由法定代表人或授权代表签署。</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所有投标报价均以人民币报价。</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采购人不接受任何选择报价，对每一项货物/服务只允许一个报价。</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采购人要求分类报价是为了方便评标，但在任何情况下不限制采购人以其认为最合适的条款、条件签订合同的权利。</w:t>
      </w:r>
    </w:p>
    <w:p>
      <w:pPr>
        <w:numPr>
          <w:ilvl w:val="1"/>
          <w:numId w:val="18"/>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报价是成交的一个重要因素，但最低报价不是成交的唯一依据。</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投标人如发生下列情况之一，将上报同级政府采购监督管理部门，追究其责任：</w:t>
      </w:r>
    </w:p>
    <w:p>
      <w:pPr>
        <w:numPr>
          <w:ilvl w:val="0"/>
          <w:numId w:val="19"/>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规定的投标有效期内撤回投标；</w:t>
      </w:r>
    </w:p>
    <w:p>
      <w:pPr>
        <w:numPr>
          <w:ilvl w:val="0"/>
          <w:numId w:val="19"/>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中标人未按中标通知书中规定的时间与采购人签订合同；</w:t>
      </w:r>
    </w:p>
    <w:p>
      <w:pPr>
        <w:numPr>
          <w:ilvl w:val="0"/>
          <w:numId w:val="19"/>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w:t>
      </w:r>
      <w:r>
        <w:rPr>
          <w:rFonts w:hint="eastAsia" w:ascii="宋体" w:hAnsi="宋体" w:eastAsia="宋体" w:cs="宋体"/>
          <w:color w:val="auto"/>
          <w:sz w:val="22"/>
          <w:szCs w:val="22"/>
          <w:highlight w:val="none"/>
          <w:lang w:eastAsia="zh-CN"/>
        </w:rPr>
        <w:t>招标文件</w:t>
      </w:r>
      <w:r>
        <w:rPr>
          <w:rFonts w:hint="eastAsia" w:ascii="宋体" w:hAnsi="宋体" w:eastAsia="宋体" w:cs="宋体"/>
          <w:color w:val="auto"/>
          <w:sz w:val="22"/>
          <w:szCs w:val="22"/>
          <w:highlight w:val="none"/>
        </w:rPr>
        <w:t>中提供虚假技术指标及参数，经评标委员会确认属实的。</w:t>
      </w:r>
    </w:p>
    <w:p>
      <w:pPr>
        <w:numPr>
          <w:ilvl w:val="0"/>
          <w:numId w:val="19"/>
        </w:numPr>
        <w:tabs>
          <w:tab w:val="left" w:pos="360"/>
          <w:tab w:val="clear" w:pos="420"/>
        </w:tabs>
        <w:spacing w:line="44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经同级政府采购监督管理部门审查认定投标人有违反《中华人民共和国政府采购法》等有关法律法规的行为。</w:t>
      </w:r>
    </w:p>
    <w:p>
      <w:pPr>
        <w:numPr>
          <w:ilvl w:val="0"/>
          <w:numId w:val="14"/>
        </w:numPr>
        <w:tabs>
          <w:tab w:val="left" w:pos="540"/>
          <w:tab w:val="clear" w:pos="420"/>
        </w:tabs>
        <w:spacing w:line="460" w:lineRule="exact"/>
        <w:ind w:left="540" w:hanging="540"/>
        <w:rPr>
          <w:rFonts w:hint="eastAsia" w:ascii="宋体" w:hAnsi="宋体" w:eastAsia="宋体" w:cs="Times New Roman"/>
          <w:bCs/>
          <w:color w:val="auto"/>
          <w:sz w:val="22"/>
          <w:szCs w:val="22"/>
          <w:highlight w:val="none"/>
        </w:rPr>
      </w:pPr>
      <w:r>
        <w:rPr>
          <w:rFonts w:hint="eastAsia" w:ascii="宋体" w:hAnsi="宋体" w:eastAsia="宋体" w:cs="Times New Roman"/>
          <w:bCs/>
          <w:color w:val="auto"/>
          <w:sz w:val="22"/>
          <w:szCs w:val="22"/>
          <w:highlight w:val="none"/>
        </w:rPr>
        <w:t>投标有效期</w:t>
      </w:r>
    </w:p>
    <w:p>
      <w:pPr>
        <w:numPr>
          <w:ilvl w:val="1"/>
          <w:numId w:val="20"/>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自开标之日起 90天内投标应保持有效。投标有效期短于这个规定期限的投标将视为非响应性投标而予以拒绝。</w:t>
      </w:r>
    </w:p>
    <w:p>
      <w:pPr>
        <w:numPr>
          <w:ilvl w:val="1"/>
          <w:numId w:val="20"/>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特殊情况下，在原投标有效期截止前，采购人可与投标人协商延长投标有效期，这种要求和答复均以书面形式进行。投标人可拒绝接受延期要求。同意延长投标有效期的投标人不得修改投标文件。</w:t>
      </w:r>
    </w:p>
    <w:p>
      <w:pPr>
        <w:spacing w:before="100" w:beforeAutospacing="1" w:after="100" w:afterAutospacing="1" w:line="440" w:lineRule="exact"/>
        <w:ind w:left="783" w:hanging="783" w:hangingChars="300"/>
        <w:jc w:val="center"/>
        <w:outlineLvl w:val="0"/>
        <w:rPr>
          <w:rFonts w:ascii="宋体" w:hAnsi="宋体"/>
          <w:color w:val="auto"/>
          <w:sz w:val="22"/>
          <w:szCs w:val="22"/>
          <w:highlight w:val="none"/>
        </w:rPr>
      </w:pPr>
      <w:bookmarkStart w:id="109" w:name="_Toc24611"/>
      <w:r>
        <w:rPr>
          <w:rFonts w:hint="eastAsia" w:ascii="宋体" w:hAnsi="宋体"/>
          <w:b/>
          <w:bCs/>
          <w:color w:val="auto"/>
          <w:sz w:val="26"/>
          <w:szCs w:val="26"/>
          <w:highlight w:val="none"/>
          <w:lang w:val="en-US" w:eastAsia="zh-CN"/>
        </w:rPr>
        <w:t>五</w:t>
      </w:r>
      <w:r>
        <w:rPr>
          <w:rFonts w:hint="eastAsia" w:ascii="宋体" w:hAnsi="宋体"/>
          <w:b/>
          <w:bCs/>
          <w:color w:val="auto"/>
          <w:sz w:val="26"/>
          <w:szCs w:val="26"/>
          <w:highlight w:val="none"/>
        </w:rPr>
        <w:t>、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21"/>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投标文件的递交</w:t>
      </w:r>
    </w:p>
    <w:p>
      <w:pPr>
        <w:tabs>
          <w:tab w:val="left" w:pos="540"/>
        </w:tabs>
        <w:spacing w:line="46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投标文件的上传、递交：见投标人须知前附表第</w:t>
      </w:r>
      <w:r>
        <w:rPr>
          <w:rFonts w:hint="eastAsia" w:ascii="宋体" w:hAnsi="宋体" w:eastAsia="宋体" w:cs="宋体"/>
          <w:bCs/>
          <w:color w:val="auto"/>
          <w:kern w:val="0"/>
          <w:sz w:val="22"/>
          <w:szCs w:val="22"/>
          <w:highlight w:val="none"/>
          <w:lang w:val="en-US" w:eastAsia="zh-CN"/>
        </w:rPr>
        <w:t>1</w:t>
      </w:r>
      <w:r>
        <w:rPr>
          <w:rFonts w:hint="eastAsia" w:ascii="宋体" w:hAnsi="宋体" w:cs="宋体"/>
          <w:bCs/>
          <w:color w:val="auto"/>
          <w:kern w:val="0"/>
          <w:sz w:val="22"/>
          <w:szCs w:val="22"/>
          <w:highlight w:val="none"/>
          <w:lang w:val="en-US" w:eastAsia="zh-CN"/>
        </w:rPr>
        <w:t>9</w:t>
      </w:r>
      <w:r>
        <w:rPr>
          <w:rFonts w:hint="eastAsia" w:ascii="宋体" w:hAnsi="宋体" w:eastAsia="宋体" w:cs="宋体"/>
          <w:bCs/>
          <w:color w:val="auto"/>
          <w:kern w:val="0"/>
          <w:sz w:val="22"/>
          <w:szCs w:val="22"/>
          <w:highlight w:val="none"/>
        </w:rPr>
        <w:t>款。</w:t>
      </w:r>
    </w:p>
    <w:p>
      <w:pPr>
        <w:numPr>
          <w:ilvl w:val="0"/>
          <w:numId w:val="21"/>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“电子加密投标文件”解密和异常情况处理。</w:t>
      </w:r>
    </w:p>
    <w:p>
      <w:pPr>
        <w:tabs>
          <w:tab w:val="left" w:pos="540"/>
        </w:tabs>
        <w:spacing w:line="4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 xml:space="preserve">    </w:t>
      </w:r>
      <w:r>
        <w:rPr>
          <w:rFonts w:hint="eastAsia" w:ascii="宋体" w:hAnsi="宋体" w:eastAsia="宋体" w:cs="宋体"/>
          <w:bCs/>
          <w:color w:val="auto"/>
          <w:kern w:val="0"/>
          <w:sz w:val="22"/>
          <w:szCs w:val="22"/>
          <w:highlight w:val="none"/>
        </w:rPr>
        <w:t>“电子加密投标文件”解密：见投标人须知前附表第</w:t>
      </w:r>
      <w:r>
        <w:rPr>
          <w:rFonts w:hint="eastAsia" w:ascii="宋体" w:hAnsi="宋体" w:cs="宋体"/>
          <w:bCs/>
          <w:color w:val="auto"/>
          <w:kern w:val="0"/>
          <w:sz w:val="22"/>
          <w:szCs w:val="22"/>
          <w:highlight w:val="none"/>
          <w:lang w:val="en-US" w:eastAsia="zh-CN"/>
        </w:rPr>
        <w:t>20</w:t>
      </w:r>
      <w:r>
        <w:rPr>
          <w:rFonts w:hint="eastAsia" w:ascii="宋体" w:hAnsi="宋体" w:eastAsia="宋体" w:cs="宋体"/>
          <w:bCs/>
          <w:color w:val="auto"/>
          <w:kern w:val="0"/>
          <w:sz w:val="22"/>
          <w:szCs w:val="22"/>
          <w:highlight w:val="none"/>
        </w:rPr>
        <w:t>款。</w:t>
      </w:r>
    </w:p>
    <w:p>
      <w:pPr>
        <w:numPr>
          <w:ilvl w:val="0"/>
          <w:numId w:val="21"/>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投标文件的补充、修改或撤回</w:t>
      </w:r>
    </w:p>
    <w:p>
      <w:pPr>
        <w:numPr>
          <w:ilvl w:val="1"/>
          <w:numId w:val="22"/>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lang w:eastAsia="zh-CN"/>
        </w:rPr>
        <w:t>投标人</w:t>
      </w:r>
      <w:r>
        <w:rPr>
          <w:rFonts w:hint="eastAsia" w:ascii="宋体" w:hAnsi="宋体" w:eastAsia="宋体" w:cs="Times New Roman"/>
          <w:b w:val="0"/>
          <w:bCs/>
          <w:color w:val="auto"/>
          <w:sz w:val="22"/>
          <w:szCs w:val="22"/>
          <w:highlight w:val="none"/>
          <w:u w:val="none"/>
        </w:rPr>
        <w:t>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numPr>
          <w:ilvl w:val="1"/>
          <w:numId w:val="22"/>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rPr>
      </w:pPr>
      <w:r>
        <w:rPr>
          <w:rFonts w:hint="eastAsia" w:ascii="宋体" w:hAnsi="宋体" w:eastAsia="宋体" w:cs="Times New Roman"/>
          <w:b w:val="0"/>
          <w:bCs/>
          <w:color w:val="auto"/>
          <w:sz w:val="22"/>
          <w:szCs w:val="22"/>
          <w:highlight w:val="none"/>
          <w:u w:val="none"/>
        </w:rPr>
        <w:t>投标文件递交截止时间后，投标人不得撤回、修改投标文件。</w:t>
      </w:r>
    </w:p>
    <w:p>
      <w:pPr>
        <w:numPr>
          <w:ilvl w:val="0"/>
          <w:numId w:val="21"/>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w:t>
      </w:r>
      <w:r>
        <w:rPr>
          <w:rFonts w:hint="eastAsia" w:ascii="宋体" w:hAnsi="宋体" w:eastAsia="宋体" w:cs="Arial"/>
          <w:b/>
          <w:bCs w:val="0"/>
          <w:color w:val="auto"/>
          <w:sz w:val="22"/>
          <w:szCs w:val="22"/>
          <w:highlight w:val="none"/>
          <w:u w:val="single"/>
        </w:rPr>
        <w:t>▲发生下列情况之一的</w:t>
      </w:r>
      <w:r>
        <w:rPr>
          <w:rFonts w:hint="eastAsia" w:ascii="宋体" w:hAnsi="宋体" w:eastAsia="宋体" w:cs="Arial"/>
          <w:b/>
          <w:bCs w:val="0"/>
          <w:color w:val="auto"/>
          <w:sz w:val="22"/>
          <w:szCs w:val="22"/>
          <w:highlight w:val="none"/>
          <w:u w:val="single"/>
          <w:lang w:eastAsia="zh-CN"/>
        </w:rPr>
        <w:t>投标文件</w:t>
      </w:r>
      <w:r>
        <w:rPr>
          <w:rFonts w:hint="eastAsia" w:ascii="宋体" w:hAnsi="宋体" w:eastAsia="宋体" w:cs="Arial"/>
          <w:b/>
          <w:bCs w:val="0"/>
          <w:color w:val="auto"/>
          <w:sz w:val="22"/>
          <w:szCs w:val="22"/>
          <w:highlight w:val="none"/>
          <w:u w:val="single"/>
        </w:rPr>
        <w:t>将不予受理：</w:t>
      </w:r>
    </w:p>
    <w:p>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在投标截止时间以后上传的投标文件；</w:t>
      </w:r>
    </w:p>
    <w:p>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仅递交了“备份投标文件”而未将电子加密投标文件上传至“政府采购云平台”的；</w:t>
      </w:r>
    </w:p>
    <w:p>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未在规定时间解密，或者，解密失败且经异常处理政采云系统仍未能识别的；</w:t>
      </w:r>
    </w:p>
    <w:p>
      <w:pPr>
        <w:numPr>
          <w:ilvl w:val="1"/>
          <w:numId w:val="23"/>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以纸质形式提交的；</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auto"/>
          <w:sz w:val="22"/>
          <w:szCs w:val="22"/>
          <w:highlight w:val="none"/>
        </w:rPr>
      </w:pPr>
      <w:bookmarkStart w:id="110" w:name="_Toc223715999"/>
      <w:bookmarkStart w:id="111" w:name="_Toc221423620"/>
      <w:bookmarkStart w:id="112" w:name="_Toc222114880"/>
      <w:bookmarkStart w:id="113" w:name="_Toc239145355"/>
      <w:bookmarkStart w:id="114" w:name="_Toc245722282"/>
      <w:bookmarkStart w:id="115" w:name="_Toc221374627"/>
      <w:bookmarkStart w:id="116" w:name="_Toc249758713"/>
      <w:bookmarkStart w:id="117" w:name="_Toc246261266"/>
      <w:bookmarkStart w:id="118" w:name="_Toc221356888"/>
      <w:bookmarkStart w:id="119" w:name="_Toc262105504"/>
      <w:bookmarkStart w:id="120" w:name="_Toc221356952"/>
      <w:bookmarkStart w:id="121" w:name="_Toc245191315"/>
      <w:bookmarkStart w:id="122" w:name="_Toc262049419"/>
      <w:bookmarkStart w:id="123" w:name="_Toc241404203"/>
      <w:bookmarkStart w:id="124" w:name="_Toc24312"/>
      <w:bookmarkStart w:id="125" w:name="_Toc249758865"/>
      <w:r>
        <w:rPr>
          <w:rFonts w:hint="eastAsia" w:ascii="宋体" w:hAnsi="宋体"/>
          <w:b/>
          <w:bCs/>
          <w:color w:val="auto"/>
          <w:sz w:val="26"/>
          <w:szCs w:val="26"/>
          <w:highlight w:val="none"/>
          <w:lang w:val="en-US" w:eastAsia="zh-CN"/>
        </w:rPr>
        <w:t>六</w:t>
      </w:r>
      <w:r>
        <w:rPr>
          <w:rFonts w:hint="eastAsia" w:ascii="宋体" w:hAnsi="宋体"/>
          <w:b/>
          <w:bCs/>
          <w:color w:val="auto"/>
          <w:sz w:val="26"/>
          <w:szCs w:val="26"/>
          <w:highlight w:val="none"/>
        </w:rPr>
        <w:t>、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numPr>
          <w:ilvl w:val="0"/>
          <w:numId w:val="24"/>
        </w:numPr>
        <w:tabs>
          <w:tab w:val="left" w:pos="540"/>
          <w:tab w:val="clear" w:pos="420"/>
        </w:tabs>
        <w:spacing w:line="460" w:lineRule="exact"/>
        <w:rPr>
          <w:rFonts w:hint="eastAsia" w:ascii="宋体" w:hAnsi="宋体" w:eastAsia="宋体" w:cs="Arial"/>
          <w:bCs/>
          <w:color w:val="auto"/>
          <w:sz w:val="22"/>
          <w:szCs w:val="22"/>
          <w:highlight w:val="none"/>
        </w:rPr>
      </w:pPr>
      <w:bookmarkStart w:id="126" w:name="_Toc245722283"/>
      <w:bookmarkStart w:id="127" w:name="_Toc249758866"/>
      <w:bookmarkStart w:id="128" w:name="_Toc221423621"/>
      <w:bookmarkStart w:id="129" w:name="_Toc262049420"/>
      <w:bookmarkStart w:id="130" w:name="_Toc249758714"/>
      <w:bookmarkStart w:id="131" w:name="_Toc245191316"/>
      <w:bookmarkStart w:id="132" w:name="_Toc239145356"/>
      <w:bookmarkStart w:id="133" w:name="_Toc223716000"/>
      <w:bookmarkStart w:id="134" w:name="_Toc221356953"/>
      <w:bookmarkStart w:id="135" w:name="_Toc246261267"/>
      <w:bookmarkStart w:id="136" w:name="_Toc262105505"/>
      <w:bookmarkStart w:id="137" w:name="_Toc222114881"/>
      <w:bookmarkStart w:id="138" w:name="_Toc241404204"/>
      <w:bookmarkStart w:id="139" w:name="_Toc221356889"/>
      <w:bookmarkStart w:id="140" w:name="_Toc221374628"/>
      <w:r>
        <w:rPr>
          <w:rFonts w:hint="eastAsia" w:ascii="宋体" w:hAnsi="宋体" w:eastAsia="宋体" w:cs="Arial"/>
          <w:bCs/>
          <w:color w:val="auto"/>
          <w:sz w:val="22"/>
          <w:szCs w:val="22"/>
          <w:highlight w:val="none"/>
        </w:rPr>
        <w:t>开标形式</w:t>
      </w:r>
    </w:p>
    <w:p>
      <w:pPr>
        <w:tabs>
          <w:tab w:val="left" w:pos="540"/>
        </w:tabs>
        <w:spacing w:line="46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采购组织机构将按照</w:t>
      </w:r>
      <w:r>
        <w:rPr>
          <w:rFonts w:hint="eastAsia" w:ascii="宋体" w:hAnsi="宋体" w:eastAsia="宋体" w:cs="宋体"/>
          <w:bCs/>
          <w:color w:val="auto"/>
          <w:kern w:val="0"/>
          <w:sz w:val="22"/>
          <w:szCs w:val="22"/>
          <w:highlight w:val="none"/>
          <w:lang w:eastAsia="zh-CN"/>
        </w:rPr>
        <w:t>招标文件</w:t>
      </w:r>
      <w:r>
        <w:rPr>
          <w:rFonts w:hint="eastAsia" w:ascii="宋体" w:hAnsi="宋体" w:eastAsia="宋体" w:cs="宋体"/>
          <w:bCs/>
          <w:color w:val="auto"/>
          <w:kern w:val="0"/>
          <w:sz w:val="22"/>
          <w:szCs w:val="22"/>
          <w:highlight w:val="none"/>
        </w:rPr>
        <w:t>规定的时间通过“政采云平台”组织开标、开启投标文件，所有</w:t>
      </w:r>
      <w:r>
        <w:rPr>
          <w:rFonts w:hint="eastAsia" w:ascii="宋体" w:hAnsi="宋体" w:eastAsia="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均应当准时在线参加。</w:t>
      </w:r>
    </w:p>
    <w:p>
      <w:pPr>
        <w:numPr>
          <w:ilvl w:val="0"/>
          <w:numId w:val="24"/>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开标准备</w:t>
      </w:r>
    </w:p>
    <w:p>
      <w:pPr>
        <w:numPr>
          <w:ilvl w:val="1"/>
          <w:numId w:val="25"/>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开标的准备工作由采购组织机构负责落实。</w:t>
      </w:r>
    </w:p>
    <w:p>
      <w:pPr>
        <w:numPr>
          <w:ilvl w:val="1"/>
          <w:numId w:val="25"/>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采购组织机构将按照</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规定的时间通过“政采云平台”组织开标、开启投标文件，所有</w:t>
      </w:r>
      <w:r>
        <w:rPr>
          <w:rFonts w:hint="eastAsia" w:ascii="宋体" w:hAnsi="宋体" w:eastAsia="宋体" w:cs="Arial"/>
          <w:color w:val="auto"/>
          <w:sz w:val="22"/>
          <w:szCs w:val="22"/>
          <w:highlight w:val="none"/>
          <w:lang w:eastAsia="zh-CN"/>
        </w:rPr>
        <w:t>投标人</w:t>
      </w:r>
      <w:r>
        <w:rPr>
          <w:rFonts w:hint="eastAsia" w:ascii="宋体" w:hAnsi="宋体" w:eastAsia="宋体" w:cs="Arial"/>
          <w:color w:val="auto"/>
          <w:sz w:val="22"/>
          <w:szCs w:val="22"/>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w:t>
      </w:r>
      <w:r>
        <w:rPr>
          <w:rFonts w:hint="eastAsia" w:ascii="宋体" w:hAnsi="宋体" w:eastAsia="宋体" w:cs="Arial"/>
          <w:color w:val="auto"/>
          <w:sz w:val="22"/>
          <w:szCs w:val="22"/>
          <w:highlight w:val="none"/>
          <w:lang w:eastAsia="zh-CN"/>
        </w:rPr>
        <w:t>投标人</w:t>
      </w:r>
      <w:r>
        <w:rPr>
          <w:rFonts w:hint="eastAsia" w:ascii="宋体" w:hAnsi="宋体" w:eastAsia="宋体" w:cs="Arial"/>
          <w:color w:val="auto"/>
          <w:sz w:val="22"/>
          <w:szCs w:val="22"/>
          <w:highlight w:val="none"/>
        </w:rPr>
        <w:t>自己承担。</w:t>
      </w:r>
    </w:p>
    <w:p>
      <w:pPr>
        <w:numPr>
          <w:ilvl w:val="0"/>
          <w:numId w:val="24"/>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开标流程</w:t>
      </w:r>
    </w:p>
    <w:p>
      <w:pPr>
        <w:numPr>
          <w:ilvl w:val="1"/>
          <w:numId w:val="2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按采购文件规定的时间、地点开启各投标人的投标文件。开标前，首先检查投标文件的密封情况，确认无误后开启投标文件（资格文件、商务技术文件、</w:t>
      </w:r>
      <w:r>
        <w:rPr>
          <w:rFonts w:hint="eastAsia" w:ascii="宋体" w:hAnsi="宋体" w:eastAsia="宋体" w:cs="Times New Roman"/>
          <w:b w:val="0"/>
          <w:bCs/>
          <w:color w:val="auto"/>
          <w:sz w:val="22"/>
          <w:szCs w:val="22"/>
          <w:highlight w:val="none"/>
          <w:u w:val="none"/>
          <w:lang w:val="en-US" w:eastAsia="zh-CN"/>
        </w:rPr>
        <w:t>报价文件</w:t>
      </w:r>
      <w:r>
        <w:rPr>
          <w:rFonts w:hint="eastAsia" w:ascii="宋体" w:hAnsi="宋体" w:eastAsia="宋体" w:cs="Times New Roman"/>
          <w:b w:val="0"/>
          <w:bCs/>
          <w:color w:val="auto"/>
          <w:sz w:val="22"/>
          <w:szCs w:val="22"/>
          <w:highlight w:val="none"/>
          <w:u w:val="none"/>
          <w:lang w:eastAsia="zh-CN"/>
        </w:rPr>
        <w:t>）</w:t>
      </w:r>
    </w:p>
    <w:p>
      <w:pPr>
        <w:numPr>
          <w:ilvl w:val="1"/>
          <w:numId w:val="26"/>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电子招投标开标及评审程序</w:t>
      </w:r>
    </w:p>
    <w:p>
      <w:pPr>
        <w:numPr>
          <w:ilvl w:val="0"/>
          <w:numId w:val="27"/>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投标截止时间后，投标人登录政采云平台，用“项目采购-开标评标”功能对电子投标文件进行在线解密。在线解密电子投标文件时间为开标时间起</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0分钟内。</w:t>
      </w:r>
    </w:p>
    <w:p>
      <w:pPr>
        <w:numPr>
          <w:ilvl w:val="0"/>
          <w:numId w:val="27"/>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w:t>
      </w:r>
      <w:r>
        <w:rPr>
          <w:rFonts w:hint="eastAsia" w:ascii="宋体" w:hAnsi="宋体" w:eastAsia="宋体" w:cs="宋体"/>
          <w:bCs/>
          <w:color w:val="auto"/>
          <w:sz w:val="22"/>
          <w:szCs w:val="22"/>
          <w:highlight w:val="none"/>
          <w:lang w:val="en-US" w:eastAsia="zh-CN"/>
        </w:rPr>
        <w:t>公布各投标人名称、投标报价及招标文件规定的需要宣布的其他内容。</w:t>
      </w:r>
    </w:p>
    <w:p>
      <w:pPr>
        <w:numPr>
          <w:ilvl w:val="0"/>
          <w:numId w:val="27"/>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评标委员会对资格</w:t>
      </w:r>
      <w:r>
        <w:rPr>
          <w:rFonts w:hint="eastAsia" w:ascii="宋体" w:hAnsi="宋体" w:eastAsia="宋体" w:cs="宋体"/>
          <w:bCs/>
          <w:color w:val="auto"/>
          <w:sz w:val="22"/>
          <w:szCs w:val="22"/>
          <w:highlight w:val="none"/>
          <w:lang w:val="en-US" w:eastAsia="zh-CN"/>
        </w:rPr>
        <w:t>文件</w:t>
      </w:r>
      <w:r>
        <w:rPr>
          <w:rFonts w:hint="eastAsia" w:ascii="宋体" w:hAnsi="宋体" w:eastAsia="宋体" w:cs="宋体"/>
          <w:bCs/>
          <w:color w:val="auto"/>
          <w:sz w:val="22"/>
          <w:szCs w:val="22"/>
          <w:highlight w:val="none"/>
        </w:rPr>
        <w:t>和商务技术文件进行评审</w:t>
      </w:r>
      <w:r>
        <w:rPr>
          <w:rFonts w:hint="eastAsia" w:ascii="宋体" w:hAnsi="宋体" w:eastAsia="宋体" w:cs="宋体"/>
          <w:bCs/>
          <w:color w:val="auto"/>
          <w:sz w:val="22"/>
          <w:szCs w:val="22"/>
          <w:highlight w:val="none"/>
          <w:lang w:eastAsia="zh-CN"/>
        </w:rPr>
        <w:t>。</w:t>
      </w:r>
    </w:p>
    <w:p>
      <w:pPr>
        <w:numPr>
          <w:ilvl w:val="0"/>
          <w:numId w:val="27"/>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在系统上公开资格和商务技术评审结果</w:t>
      </w:r>
      <w:r>
        <w:rPr>
          <w:rFonts w:hint="eastAsia" w:ascii="宋体" w:hAnsi="宋体" w:eastAsia="宋体" w:cs="宋体"/>
          <w:bCs/>
          <w:color w:val="auto"/>
          <w:sz w:val="22"/>
          <w:szCs w:val="22"/>
          <w:highlight w:val="none"/>
          <w:lang w:eastAsia="zh-CN"/>
        </w:rPr>
        <w:t>。</w:t>
      </w:r>
    </w:p>
    <w:p>
      <w:pPr>
        <w:numPr>
          <w:ilvl w:val="0"/>
          <w:numId w:val="27"/>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评标委员会对报价</w:t>
      </w:r>
      <w:r>
        <w:rPr>
          <w:rFonts w:hint="eastAsia" w:ascii="宋体" w:hAnsi="宋体" w:eastAsia="宋体" w:cs="宋体"/>
          <w:bCs/>
          <w:color w:val="auto"/>
          <w:sz w:val="22"/>
          <w:szCs w:val="22"/>
          <w:highlight w:val="none"/>
          <w:lang w:val="en-US" w:eastAsia="zh-CN"/>
        </w:rPr>
        <w:t>文件</w:t>
      </w:r>
      <w:r>
        <w:rPr>
          <w:rFonts w:hint="eastAsia" w:ascii="宋体" w:hAnsi="宋体" w:eastAsia="宋体" w:cs="宋体"/>
          <w:bCs/>
          <w:color w:val="auto"/>
          <w:sz w:val="22"/>
          <w:szCs w:val="22"/>
          <w:highlight w:val="none"/>
        </w:rPr>
        <w:t>进行评审</w:t>
      </w:r>
      <w:r>
        <w:rPr>
          <w:rFonts w:hint="eastAsia" w:ascii="宋体" w:hAnsi="宋体" w:eastAsia="宋体" w:cs="宋体"/>
          <w:bCs/>
          <w:color w:val="auto"/>
          <w:sz w:val="22"/>
          <w:szCs w:val="22"/>
          <w:highlight w:val="none"/>
          <w:lang w:eastAsia="zh-CN"/>
        </w:rPr>
        <w:t>。</w:t>
      </w:r>
    </w:p>
    <w:p>
      <w:pPr>
        <w:numPr>
          <w:ilvl w:val="0"/>
          <w:numId w:val="27"/>
        </w:num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在系统上公布评审结果。</w:t>
      </w:r>
    </w:p>
    <w:p>
      <w:pPr>
        <w:overflowPunct w:val="0"/>
        <w:spacing w:line="440" w:lineRule="exact"/>
        <w:ind w:left="11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特别说明：1、政采云公司如对电子化开标及评审程序有调整的，按调整后的程序操作。</w:t>
      </w:r>
    </w:p>
    <w:p>
      <w:pPr>
        <w:overflowPunct w:val="0"/>
        <w:spacing w:line="440" w:lineRule="exact"/>
        <w:ind w:firstLine="1281" w:firstLineChars="58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2、目前政府采购全流程电子化交易，投标人须在规定时间内自行解密。</w:t>
      </w:r>
    </w:p>
    <w:p>
      <w:pPr>
        <w:numPr>
          <w:ilvl w:val="1"/>
          <w:numId w:val="26"/>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single"/>
          <w:lang w:eastAsia="zh-CN"/>
        </w:rPr>
      </w:pPr>
      <w:r>
        <w:rPr>
          <w:rFonts w:hint="eastAsia" w:ascii="宋体" w:hAnsi="宋体" w:eastAsia="宋体" w:cs="Times New Roman"/>
          <w:b/>
          <w:bCs w:val="0"/>
          <w:color w:val="auto"/>
          <w:sz w:val="22"/>
          <w:szCs w:val="22"/>
          <w:highlight w:val="none"/>
          <w:u w:val="single"/>
          <w:lang w:eastAsia="zh-CN"/>
        </w:rPr>
        <w:t>电子响应文件解密结束后，各投标人签署《政府采购活动现场确认声明书》（见附件）后将扫描件发送至采购代理机构邮箱</w:t>
      </w:r>
      <w:r>
        <w:rPr>
          <w:rFonts w:hint="eastAsia" w:ascii="宋体" w:hAnsi="宋体" w:cs="Times New Roman"/>
          <w:b/>
          <w:bCs w:val="0"/>
          <w:color w:val="auto"/>
          <w:sz w:val="22"/>
          <w:szCs w:val="22"/>
          <w:highlight w:val="none"/>
          <w:u w:val="single"/>
          <w:lang w:val="en-US" w:eastAsia="zh-CN"/>
        </w:rPr>
        <w:t>158688602</w:t>
      </w:r>
      <w:r>
        <w:rPr>
          <w:rFonts w:hint="eastAsia" w:ascii="宋体" w:hAnsi="宋体" w:eastAsia="宋体" w:cs="Times New Roman"/>
          <w:b/>
          <w:bCs w:val="0"/>
          <w:color w:val="auto"/>
          <w:sz w:val="22"/>
          <w:szCs w:val="22"/>
          <w:highlight w:val="none"/>
          <w:u w:val="single"/>
          <w:lang w:eastAsia="zh-CN"/>
        </w:rPr>
        <w:t>@</w:t>
      </w:r>
      <w:r>
        <w:rPr>
          <w:rFonts w:hint="eastAsia" w:ascii="宋体" w:hAnsi="宋体" w:cs="Times New Roman"/>
          <w:b/>
          <w:bCs w:val="0"/>
          <w:color w:val="auto"/>
          <w:sz w:val="22"/>
          <w:szCs w:val="22"/>
          <w:highlight w:val="none"/>
          <w:u w:val="single"/>
          <w:lang w:val="en-US" w:eastAsia="zh-CN"/>
        </w:rPr>
        <w:t>qq</w:t>
      </w:r>
      <w:r>
        <w:rPr>
          <w:rFonts w:hint="eastAsia" w:ascii="宋体" w:hAnsi="宋体" w:eastAsia="宋体" w:cs="Times New Roman"/>
          <w:b/>
          <w:bCs w:val="0"/>
          <w:color w:val="auto"/>
          <w:sz w:val="22"/>
          <w:szCs w:val="22"/>
          <w:highlight w:val="none"/>
          <w:u w:val="single"/>
          <w:lang w:eastAsia="zh-CN"/>
        </w:rPr>
        <w:t>.com。</w:t>
      </w:r>
    </w:p>
    <w:p>
      <w:pPr>
        <w:numPr>
          <w:ilvl w:val="1"/>
          <w:numId w:val="26"/>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none"/>
          <w:lang w:eastAsia="zh-CN"/>
        </w:rPr>
      </w:pPr>
      <w:r>
        <w:rPr>
          <w:rFonts w:hint="eastAsia" w:ascii="宋体" w:hAnsi="宋体" w:eastAsia="宋体" w:cs="Times New Roman"/>
          <w:b/>
          <w:bCs w:val="0"/>
          <w:color w:val="auto"/>
          <w:sz w:val="22"/>
          <w:szCs w:val="22"/>
          <w:highlight w:val="none"/>
          <w:u w:val="none"/>
          <w:lang w:eastAsia="zh-CN"/>
        </w:rPr>
        <w:t>评审结束后，在“政采云平台”系统平台上公布</w:t>
      </w:r>
      <w:r>
        <w:rPr>
          <w:rFonts w:hint="eastAsia" w:ascii="宋体" w:hAnsi="宋体" w:eastAsia="宋体" w:cs="Times New Roman"/>
          <w:b/>
          <w:bCs w:val="0"/>
          <w:color w:val="auto"/>
          <w:sz w:val="22"/>
          <w:szCs w:val="22"/>
          <w:highlight w:val="none"/>
          <w:u w:val="none"/>
          <w:lang w:val="en-US" w:eastAsia="zh-CN"/>
        </w:rPr>
        <w:t>个采购人的详细情况及</w:t>
      </w:r>
      <w:r>
        <w:rPr>
          <w:rFonts w:hint="eastAsia" w:ascii="宋体" w:hAnsi="宋体" w:eastAsia="宋体" w:cs="Times New Roman"/>
          <w:b/>
          <w:bCs w:val="0"/>
          <w:color w:val="auto"/>
          <w:sz w:val="22"/>
          <w:szCs w:val="22"/>
          <w:highlight w:val="none"/>
          <w:u w:val="none"/>
          <w:lang w:eastAsia="zh-CN"/>
        </w:rPr>
        <w:t>中标（成交）候选投标人名单</w:t>
      </w:r>
      <w:r>
        <w:rPr>
          <w:rFonts w:hint="eastAsia" w:ascii="宋体" w:hAnsi="宋体" w:eastAsia="宋体" w:cs="Times New Roman"/>
          <w:b/>
          <w:bCs w:val="0"/>
          <w:color w:val="auto"/>
          <w:sz w:val="22"/>
          <w:szCs w:val="22"/>
          <w:highlight w:val="none"/>
          <w:u w:val="none"/>
          <w:lang w:val="en-US" w:eastAsia="zh-CN"/>
        </w:rPr>
        <w:t>的</w:t>
      </w:r>
      <w:r>
        <w:rPr>
          <w:rFonts w:hint="eastAsia" w:ascii="宋体" w:hAnsi="宋体" w:eastAsia="宋体" w:cs="Times New Roman"/>
          <w:b/>
          <w:bCs w:val="0"/>
          <w:color w:val="auto"/>
          <w:sz w:val="22"/>
          <w:szCs w:val="22"/>
          <w:highlight w:val="none"/>
          <w:u w:val="none"/>
          <w:lang w:eastAsia="zh-CN"/>
        </w:rPr>
        <w:t>公告等。</w:t>
      </w:r>
    </w:p>
    <w:p>
      <w:pPr>
        <w:tabs>
          <w:tab w:val="left" w:pos="540"/>
        </w:tabs>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pPr>
        <w:spacing w:before="100" w:beforeAutospacing="1" w:after="100" w:afterAutospacing="1" w:line="440" w:lineRule="exact"/>
        <w:ind w:left="-6"/>
        <w:jc w:val="center"/>
        <w:outlineLvl w:val="0"/>
        <w:rPr>
          <w:rFonts w:ascii="宋体" w:hAnsi="宋体"/>
          <w:b/>
          <w:bCs/>
          <w:color w:val="auto"/>
          <w:sz w:val="26"/>
          <w:szCs w:val="26"/>
          <w:highlight w:val="none"/>
        </w:rPr>
      </w:pPr>
      <w:bookmarkStart w:id="141" w:name="_Toc24322"/>
      <w:r>
        <w:rPr>
          <w:rFonts w:hint="eastAsia" w:ascii="宋体" w:hAnsi="宋体"/>
          <w:b/>
          <w:bCs/>
          <w:color w:val="auto"/>
          <w:sz w:val="26"/>
          <w:szCs w:val="26"/>
          <w:highlight w:val="none"/>
          <w:lang w:val="en-US" w:eastAsia="zh-CN"/>
        </w:rPr>
        <w:t>七</w:t>
      </w:r>
      <w:r>
        <w:rPr>
          <w:rFonts w:hint="eastAsia" w:ascii="宋体" w:hAnsi="宋体"/>
          <w:b/>
          <w:bCs/>
          <w:color w:val="auto"/>
          <w:sz w:val="26"/>
          <w:szCs w:val="26"/>
          <w:highlight w:val="none"/>
        </w:rPr>
        <w:t xml:space="preserve">、 </w:t>
      </w:r>
      <w:r>
        <w:rPr>
          <w:rFonts w:hint="eastAsia" w:ascii="宋体" w:hAnsi="宋体"/>
          <w:b/>
          <w:bCs/>
          <w:color w:val="auto"/>
          <w:sz w:val="26"/>
          <w:szCs w:val="26"/>
          <w:highlight w:val="none"/>
          <w:lang w:val="en-US" w:eastAsia="zh-CN"/>
        </w:rPr>
        <w:t>评</w:t>
      </w:r>
      <w:r>
        <w:rPr>
          <w:rFonts w:hint="eastAsia" w:ascii="宋体" w:hAnsi="宋体"/>
          <w:b/>
          <w:bCs/>
          <w:color w:val="auto"/>
          <w:sz w:val="26"/>
          <w:szCs w:val="26"/>
          <w:highlight w:val="none"/>
        </w:rPr>
        <w:t>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评标委员会</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w:t>
      </w: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人（含）以上单数，除采购人代表外的专家将在评标专家库中随机抽取产生。</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评标过程的保密性</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投标文件的初审。初审分为资格性审查和符合性检查。</w:t>
      </w:r>
    </w:p>
    <w:p>
      <w:pPr>
        <w:numPr>
          <w:ilvl w:val="1"/>
          <w:numId w:val="29"/>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资格性审查。</w:t>
      </w:r>
    </w:p>
    <w:p>
      <w:pPr>
        <w:pStyle w:val="121"/>
        <w:numPr>
          <w:ilvl w:val="0"/>
          <w:numId w:val="30"/>
        </w:numPr>
        <w:tabs>
          <w:tab w:val="left" w:pos="425"/>
        </w:tabs>
        <w:overflowPunct w:val="0"/>
        <w:spacing w:line="440" w:lineRule="exact"/>
        <w:ind w:hanging="136"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pPr>
        <w:pStyle w:val="121"/>
        <w:numPr>
          <w:ilvl w:val="0"/>
          <w:numId w:val="30"/>
        </w:numPr>
        <w:tabs>
          <w:tab w:val="left" w:pos="425"/>
        </w:tabs>
        <w:overflowPunct w:val="0"/>
        <w:spacing w:line="440" w:lineRule="exact"/>
        <w:ind w:hanging="136"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在资格审查过程中，若对投标人的资格审查文件有疑问，采购组织机构将在系统上向投标人发起询标函</w:t>
      </w:r>
    </w:p>
    <w:p>
      <w:pPr>
        <w:numPr>
          <w:ilvl w:val="1"/>
          <w:numId w:val="29"/>
        </w:numPr>
        <w:tabs>
          <w:tab w:val="left" w:pos="540"/>
          <w:tab w:val="clear" w:pos="992"/>
        </w:tabs>
        <w:spacing w:line="460" w:lineRule="exact"/>
        <w:ind w:left="540" w:hanging="540"/>
        <w:rPr>
          <w:rFonts w:hint="eastAsia" w:ascii="宋体" w:hAnsi="宋体" w:eastAsia="宋体" w:cs="Times New Roman"/>
          <w:b w:val="0"/>
          <w:bCs/>
          <w:color w:val="auto"/>
          <w:sz w:val="22"/>
          <w:szCs w:val="22"/>
          <w:highlight w:val="none"/>
          <w:u w:val="none"/>
          <w:lang w:eastAsia="zh-CN"/>
        </w:rPr>
      </w:pPr>
      <w:r>
        <w:rPr>
          <w:rFonts w:hint="eastAsia" w:ascii="宋体" w:hAnsi="宋体" w:eastAsia="宋体" w:cs="Times New Roman"/>
          <w:b w:val="0"/>
          <w:bCs/>
          <w:color w:val="auto"/>
          <w:sz w:val="22"/>
          <w:szCs w:val="22"/>
          <w:highlight w:val="none"/>
          <w:u w:val="none"/>
          <w:lang w:eastAsia="zh-CN"/>
        </w:rPr>
        <w:t>符合性检查。依据招标文件的规定，从投标文件中的有效性、完整性和对招标文件的响应程度进行审查，并在“政采云系统-符合性评审”中录入投标人的符合性审查情况。</w:t>
      </w:r>
    </w:p>
    <w:p>
      <w:pPr>
        <w:numPr>
          <w:ilvl w:val="1"/>
          <w:numId w:val="29"/>
        </w:numPr>
        <w:tabs>
          <w:tab w:val="left" w:pos="540"/>
          <w:tab w:val="clear" w:pos="992"/>
        </w:tabs>
        <w:spacing w:line="460" w:lineRule="exact"/>
        <w:ind w:left="540" w:hanging="540"/>
        <w:rPr>
          <w:rFonts w:hint="eastAsia" w:ascii="宋体" w:hAnsi="宋体" w:eastAsia="宋体" w:cs="Times New Roman"/>
          <w:b/>
          <w:bCs w:val="0"/>
          <w:color w:val="auto"/>
          <w:sz w:val="22"/>
          <w:szCs w:val="22"/>
          <w:highlight w:val="none"/>
          <w:u w:val="single"/>
          <w:lang w:eastAsia="zh-CN"/>
        </w:rPr>
      </w:pPr>
      <w:r>
        <w:rPr>
          <w:rFonts w:hint="eastAsia" w:ascii="宋体" w:hAnsi="宋体" w:eastAsia="宋体" w:cs="Times New Roman"/>
          <w:b/>
          <w:bCs w:val="0"/>
          <w:color w:val="auto"/>
          <w:sz w:val="22"/>
          <w:szCs w:val="22"/>
          <w:highlight w:val="none"/>
          <w:u w:val="single"/>
          <w:lang w:eastAsia="zh-CN"/>
        </w:rPr>
        <w:t>▲通过资格性审查与符合性审查的商务技术文件由评委进行综合评审，审查确认未通过的商务技术文件不予评审。</w:t>
      </w:r>
    </w:p>
    <w:p>
      <w:pPr>
        <w:numPr>
          <w:ilvl w:val="0"/>
          <w:numId w:val="28"/>
        </w:numPr>
        <w:tabs>
          <w:tab w:val="left" w:pos="540"/>
          <w:tab w:val="clear" w:pos="420"/>
        </w:tabs>
        <w:spacing w:line="460" w:lineRule="exact"/>
        <w:rPr>
          <w:rFonts w:hint="default" w:ascii="宋体" w:hAnsi="宋体" w:eastAsia="宋体" w:cs="Arial"/>
          <w:b/>
          <w:bCs w:val="0"/>
          <w:color w:val="auto"/>
          <w:sz w:val="22"/>
          <w:szCs w:val="22"/>
          <w:highlight w:val="none"/>
          <w:lang w:val="en-US" w:eastAsia="zh-CN"/>
        </w:rPr>
      </w:pPr>
      <w:r>
        <w:rPr>
          <w:rFonts w:hint="eastAsia" w:ascii="宋体" w:hAnsi="宋体" w:eastAsia="宋体" w:cs="Arial"/>
          <w:b/>
          <w:bCs w:val="0"/>
          <w:color w:val="auto"/>
          <w:sz w:val="22"/>
          <w:szCs w:val="22"/>
          <w:highlight w:val="none"/>
          <w:lang w:val="en-US" w:eastAsia="zh-CN"/>
        </w:rPr>
        <w:t>无效标认定</w:t>
      </w:r>
    </w:p>
    <w:p>
      <w:pPr>
        <w:numPr>
          <w:ilvl w:val="1"/>
          <w:numId w:val="31"/>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▲在对各投标人的投标文件进行综合评审时，投标文件有下列情况之一的，经评标委员会认定后按无效标处理：</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电子投标文件未按规定进行CA签章；</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投标文件中要求投标人法定代表人或授权代表签字的地方无法定代表人签字或其授权代表签字的；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不具备招标文件中规定的资格要求的；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报价超过招标文件中规定的预算金额或者最高限价的；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投标文件含有采购人不能接受的附加条件的；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经评标委员会认定投标人串通投标的；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同时出现两种及以上不一致价格且修正后投标人不确认报价的；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报价明显低于其他通过符合性审查投标人的报价，且在评标现场合理的时间内不能证明其报价合理性的；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授权代表无法定代表人合法、有效委托的；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sz w:val="22"/>
          <w:szCs w:val="22"/>
          <w:highlight w:val="none"/>
          <w:u w:val="single"/>
        </w:rPr>
        <w:t>规定时间内解密失败且经异常处理但政采云电子交易系统仍未能识别备份投标文件的；</w:t>
      </w:r>
    </w:p>
    <w:p>
      <w:pPr>
        <w:numPr>
          <w:ilvl w:val="0"/>
          <w:numId w:val="32"/>
        </w:numPr>
        <w:spacing w:line="440" w:lineRule="exact"/>
        <w:rPr>
          <w:rFonts w:hint="eastAsia" w:ascii="宋体" w:hAnsi="宋体" w:eastAsia="宋体" w:cs="宋体"/>
          <w:b w:val="0"/>
          <w:bCs/>
          <w:color w:val="auto"/>
          <w:kern w:val="0"/>
          <w:sz w:val="22"/>
          <w:szCs w:val="22"/>
          <w:highlight w:val="none"/>
          <w:u w:val="single"/>
        </w:rPr>
      </w:pPr>
      <w:r>
        <w:rPr>
          <w:rFonts w:hint="eastAsia" w:ascii="宋体" w:hAnsi="宋体" w:eastAsia="宋体" w:cs="宋体"/>
          <w:b w:val="0"/>
          <w:bCs/>
          <w:color w:val="auto"/>
          <w:kern w:val="0"/>
          <w:sz w:val="22"/>
          <w:szCs w:val="22"/>
          <w:highlight w:val="none"/>
          <w:u w:val="single"/>
        </w:rPr>
        <w:t>评标委员会认定不符合法律、法规和招标文件中规定的其他实质性要求的。</w:t>
      </w:r>
    </w:p>
    <w:p>
      <w:pPr>
        <w:numPr>
          <w:ilvl w:val="1"/>
          <w:numId w:val="3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b/>
          <w:bCs/>
          <w:color w:val="auto"/>
          <w:sz w:val="22"/>
          <w:szCs w:val="22"/>
          <w:highlight w:val="none"/>
          <w:u w:val="single"/>
          <w:lang w:eastAsia="zh-CN"/>
        </w:rPr>
        <w:t>▲评标委员会发现投标文件有下列情形之一的属于重大偏差(评标委员会按少数服从多数原则认定),按照无效投标处理：</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1）未按</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要求编制或字迹模糊、辨认不清的投标文件；</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2）出现明显不符合技术规格、技术标准的要求或不满足</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技术规格书中的主要参数的投标文件；</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3）出现投标项目数量与</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对比出现较大偏差；商务报价明细表计算错误，出现较大差错；</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4）出现其它不符合</w:t>
      </w:r>
      <w:r>
        <w:rPr>
          <w:rFonts w:hint="eastAsia" w:ascii="宋体" w:hAnsi="宋体" w:eastAsia="宋体" w:cs="宋体"/>
          <w:color w:val="auto"/>
          <w:kern w:val="0"/>
          <w:sz w:val="22"/>
          <w:szCs w:val="22"/>
          <w:highlight w:val="none"/>
          <w:u w:val="single"/>
          <w:lang w:eastAsia="zh-CN"/>
        </w:rPr>
        <w:t>招标文件</w:t>
      </w:r>
      <w:r>
        <w:rPr>
          <w:rFonts w:hint="eastAsia" w:ascii="宋体" w:hAnsi="宋体" w:eastAsia="宋体" w:cs="宋体"/>
          <w:color w:val="auto"/>
          <w:kern w:val="0"/>
          <w:sz w:val="22"/>
          <w:szCs w:val="22"/>
          <w:highlight w:val="none"/>
          <w:u w:val="single"/>
        </w:rPr>
        <w:t>中规定的实质性要求的投标文件，是否为偏离实质性要求由评标委员会认定。</w:t>
      </w:r>
    </w:p>
    <w:p>
      <w:pPr>
        <w:numPr>
          <w:ilvl w:val="1"/>
          <w:numId w:val="31"/>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▲有下列情形之一的，视为投标人串通投标，其投标无效：</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1)不同投标人的投标文件由同一单位或者个人编制；</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2)不同投标人委托同一单位或者个人办理投标事宜；</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3)不同投标人的投标文件载明的项目管理成员或者联系人员为同一人；</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4）不同投标人的投标文件异常一致或者投标报价呈规律性差异；</w:t>
      </w:r>
    </w:p>
    <w:p>
      <w:pPr>
        <w:spacing w:line="460" w:lineRule="exact"/>
        <w:ind w:firstLine="418" w:firstLineChars="19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u w:val="single"/>
        </w:rPr>
        <w:t>5）不同投标人的投标文件相互混装；</w:t>
      </w:r>
    </w:p>
    <w:p>
      <w:pPr>
        <w:numPr>
          <w:ilvl w:val="1"/>
          <w:numId w:val="31"/>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single"/>
          <w:lang w:eastAsia="zh-CN"/>
        </w:rPr>
      </w:pPr>
      <w:r>
        <w:rPr>
          <w:rFonts w:hint="eastAsia" w:ascii="宋体" w:hAnsi="宋体" w:eastAsia="宋体" w:cs="Arial"/>
          <w:b/>
          <w:bCs/>
          <w:color w:val="auto"/>
          <w:sz w:val="22"/>
          <w:szCs w:val="22"/>
          <w:highlight w:val="none"/>
          <w:u w:val="single"/>
          <w:lang w:eastAsia="zh-CN"/>
        </w:rPr>
        <w:t>▲本项目采用政采云电子招投标开标及评审程序，如有以下情形之一的，按以下情况处理：</w:t>
      </w:r>
    </w:p>
    <w:p>
      <w:pPr>
        <w:numPr>
          <w:ilvl w:val="0"/>
          <w:numId w:val="33"/>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投标人在规定时间内无法解密或解密失败的作无效投标处理。解密成功的投标人不足三家的，本项目流标重新组织采购活动。</w:t>
      </w:r>
    </w:p>
    <w:p>
      <w:pPr>
        <w:numPr>
          <w:ilvl w:val="0"/>
          <w:numId w:val="33"/>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因政采云平台原因无法读取或电子开评标无法正常进行，采购机构将情况上报行业监管部门同意后，重新组织采购活动。</w:t>
      </w:r>
    </w:p>
    <w:p>
      <w:pPr>
        <w:numPr>
          <w:ilvl w:val="0"/>
          <w:numId w:val="33"/>
        </w:numPr>
        <w:spacing w:line="360" w:lineRule="auto"/>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符合专业条件的投标人或者对</w:t>
      </w:r>
      <w:r>
        <w:rPr>
          <w:rFonts w:hint="eastAsia" w:ascii="宋体" w:hAnsi="宋体" w:eastAsia="宋体" w:cs="宋体"/>
          <w:b w:val="0"/>
          <w:bCs w:val="0"/>
          <w:color w:val="auto"/>
          <w:sz w:val="22"/>
          <w:szCs w:val="22"/>
          <w:highlight w:val="none"/>
          <w:u w:val="single"/>
          <w:lang w:eastAsia="zh-CN"/>
        </w:rPr>
        <w:t>招标文件</w:t>
      </w:r>
      <w:r>
        <w:rPr>
          <w:rFonts w:hint="eastAsia" w:ascii="宋体" w:hAnsi="宋体" w:eastAsia="宋体" w:cs="宋体"/>
          <w:b w:val="0"/>
          <w:bCs w:val="0"/>
          <w:color w:val="auto"/>
          <w:sz w:val="22"/>
          <w:szCs w:val="22"/>
          <w:highlight w:val="none"/>
          <w:u w:val="single"/>
        </w:rPr>
        <w:t>作实质响应的投标人不足</w:t>
      </w:r>
      <w:r>
        <w:rPr>
          <w:rFonts w:hint="eastAsia" w:ascii="宋体" w:hAnsi="宋体" w:cs="宋体"/>
          <w:b w:val="0"/>
          <w:bCs w:val="0"/>
          <w:color w:val="auto"/>
          <w:sz w:val="22"/>
          <w:szCs w:val="22"/>
          <w:highlight w:val="none"/>
          <w:u w:val="single"/>
          <w:lang w:val="en-US" w:eastAsia="zh-CN"/>
        </w:rPr>
        <w:t>3</w:t>
      </w:r>
      <w:r>
        <w:rPr>
          <w:rFonts w:hint="eastAsia" w:ascii="宋体" w:hAnsi="宋体" w:eastAsia="宋体" w:cs="宋体"/>
          <w:b w:val="0"/>
          <w:bCs w:val="0"/>
          <w:color w:val="auto"/>
          <w:sz w:val="22"/>
          <w:szCs w:val="22"/>
          <w:highlight w:val="none"/>
          <w:u w:val="single"/>
        </w:rPr>
        <w:t>家的，本次招标按废标处理，重新组织招标。</w:t>
      </w:r>
    </w:p>
    <w:p>
      <w:pPr>
        <w:numPr>
          <w:ilvl w:val="1"/>
          <w:numId w:val="3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在详细评标之前，评标委员会要审查每份投标文件是否实质上响应了招标文件的要求。实质上响应的投标应该是与招标文件要求的全部条款、条件和规格基本相符。没有重大偏离。</w:t>
      </w:r>
    </w:p>
    <w:p>
      <w:pPr>
        <w:numPr>
          <w:ilvl w:val="1"/>
          <w:numId w:val="3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实质上没有响应招标文件要求的投标将被否决，投标人不得通过修正或撤消不合要求的偏离或保留从而使其投标成为实质上响应的投标。</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投标文件的澄清</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lang w:eastAsia="zh-CN"/>
        </w:rPr>
      </w:pPr>
      <w:r>
        <w:rPr>
          <w:rFonts w:hint="eastAsia" w:ascii="宋体" w:hAnsi="宋体" w:eastAsia="宋体" w:cs="Arial"/>
          <w:b/>
          <w:bCs/>
          <w:color w:val="auto"/>
          <w:sz w:val="22"/>
          <w:szCs w:val="22"/>
          <w:highlight w:val="none"/>
          <w:lang w:eastAsia="zh-CN"/>
        </w:rPr>
        <w:t>投标文件报价出现前后不一致的，除招标文件另有规定外，按照下列规定修正：</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sz w:val="22"/>
          <w:highlight w:val="none"/>
        </w:rPr>
        <w:t>投标文件中开标一览表（报价表）内容与投标文件中相应内容不一致的，以开标一览表（报价表）为准</w:t>
      </w:r>
      <w:r>
        <w:rPr>
          <w:rFonts w:hint="eastAsia" w:ascii="宋体" w:hAnsi="宋体" w:eastAsia="宋体" w:cs="宋体"/>
          <w:color w:val="auto"/>
          <w:kern w:val="0"/>
          <w:sz w:val="22"/>
          <w:szCs w:val="22"/>
          <w:highlight w:val="none"/>
        </w:rPr>
        <w:t>。</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sz w:val="22"/>
          <w:highlight w:val="none"/>
        </w:rPr>
        <w:t>大写金额和小写金额不一致的，以大写金额为准。</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宋体" w:hAnsi="宋体" w:eastAsia="宋体" w:cs="宋体"/>
          <w:color w:val="auto"/>
          <w:sz w:val="22"/>
          <w:highlight w:val="none"/>
        </w:rPr>
      </w:pPr>
      <w:r>
        <w:rPr>
          <w:rFonts w:hint="eastAsia" w:ascii="宋体" w:hAnsi="宋体" w:eastAsia="宋体" w:cs="宋体"/>
          <w:color w:val="auto"/>
          <w:sz w:val="22"/>
          <w:highlight w:val="none"/>
        </w:rPr>
        <w:t>4）总价金额与按单价汇总金额不一致的，以单价金额计算结果为准。</w:t>
      </w:r>
    </w:p>
    <w:p>
      <w:pPr>
        <w:spacing w:line="460" w:lineRule="exact"/>
        <w:ind w:firstLine="418" w:firstLineChars="19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5）</w:t>
      </w:r>
      <w:r>
        <w:rPr>
          <w:rFonts w:hint="eastAsia" w:ascii="宋体" w:hAnsi="宋体" w:eastAsia="宋体" w:cs="宋体"/>
          <w:b/>
          <w:bCs/>
          <w:color w:val="auto"/>
          <w:sz w:val="22"/>
          <w:highlight w:val="none"/>
        </w:rPr>
        <w:t>同时出现两种以上不一致的，按照前款规定的顺序修正。修正后的报价按照本</w:t>
      </w:r>
      <w:r>
        <w:rPr>
          <w:rFonts w:hint="eastAsia" w:ascii="宋体" w:hAnsi="宋体" w:eastAsia="宋体" w:cs="宋体"/>
          <w:b/>
          <w:bCs/>
          <w:color w:val="auto"/>
          <w:sz w:val="22"/>
          <w:highlight w:val="none"/>
          <w:lang w:eastAsia="zh-CN"/>
        </w:rPr>
        <w:t>招标文件</w:t>
      </w:r>
      <w:r>
        <w:rPr>
          <w:rFonts w:hint="eastAsia" w:ascii="宋体" w:hAnsi="宋体" w:eastAsia="宋体" w:cs="宋体"/>
          <w:b/>
          <w:bCs/>
          <w:color w:val="auto"/>
          <w:sz w:val="22"/>
          <w:highlight w:val="none"/>
        </w:rPr>
        <w:t>规定经投标人确认后产生约束力，投标人不确认的，其投标无效。</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u w:val="none"/>
          <w:lang w:eastAsia="zh-CN"/>
        </w:rPr>
      </w:pPr>
      <w:r>
        <w:rPr>
          <w:rFonts w:hint="eastAsia"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u w:val="none"/>
        </w:rPr>
        <w:t>评标委员会认为投标人的报价明显低于其他通过符合性审查投标人的报价，有可能影响产品质</w:t>
      </w:r>
      <w:r>
        <w:rPr>
          <w:rFonts w:hint="eastAsia" w:ascii="宋体" w:hAnsi="宋体" w:eastAsia="宋体" w:cs="Arial"/>
          <w:b/>
          <w:bCs/>
          <w:color w:val="auto"/>
          <w:sz w:val="22"/>
          <w:szCs w:val="22"/>
          <w:highlight w:val="none"/>
          <w:u w:val="none"/>
          <w:lang w:eastAsia="zh-CN"/>
        </w:rPr>
        <w:t>量或者不能诚信履约的，将要求其在合理时间内在“政采云平台”上作出在线澄清并提供书面说明，必要时提交相关证明材料；投标人不能证明其报价合理性的，评标委员会应当将其作为无效投标处理。</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如果投标人代表拒绝按评标委员会要求在“政采云平台”作出在线回复且无其他有效回复方式的，评标委员会可以对其作出否决投标处理。</w:t>
      </w:r>
    </w:p>
    <w:p>
      <w:pPr>
        <w:numPr>
          <w:ilvl w:val="1"/>
          <w:numId w:val="34"/>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经澄清后，若偏差仍存在，且不可接受，则投标文件将被认定为“没有实质性响应招标文件要求”，按无效投标处理，不再进入下一步评审。</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评标原则和评标办法</w:t>
      </w:r>
    </w:p>
    <w:p>
      <w:pPr>
        <w:numPr>
          <w:ilvl w:val="1"/>
          <w:numId w:val="35"/>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评标委员会成员应当按照客观、公正、审慎的原则，根据</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规定的评标程序、评标方法和评标标准进行独立评审。</w:t>
      </w: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内容违反国家有关强制性规定的，评标委员会应当停止评标并向采购人或者采购代理机构说明情况。</w:t>
      </w:r>
    </w:p>
    <w:p>
      <w:pPr>
        <w:numPr>
          <w:ilvl w:val="1"/>
          <w:numId w:val="35"/>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pPr>
        <w:numPr>
          <w:ilvl w:val="1"/>
          <w:numId w:val="35"/>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1"/>
          <w:numId w:val="35"/>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本项目评标办法是综合评分法，具体评标内容及评分标准等详见第</w:t>
      </w:r>
      <w:r>
        <w:rPr>
          <w:rFonts w:hint="eastAsia" w:ascii="宋体" w:hAnsi="宋体" w:eastAsia="宋体" w:cs="Arial"/>
          <w:color w:val="auto"/>
          <w:sz w:val="22"/>
          <w:szCs w:val="22"/>
          <w:highlight w:val="none"/>
          <w:lang w:val="en-US" w:eastAsia="zh-CN"/>
        </w:rPr>
        <w:t>三</w:t>
      </w:r>
      <w:r>
        <w:rPr>
          <w:rFonts w:hint="eastAsia" w:ascii="宋体" w:hAnsi="宋体" w:eastAsia="宋体" w:cs="Arial"/>
          <w:color w:val="auto"/>
          <w:sz w:val="22"/>
          <w:szCs w:val="22"/>
          <w:highlight w:val="none"/>
        </w:rPr>
        <w:t>部分“评标原则及方法”。</w:t>
      </w:r>
    </w:p>
    <w:p>
      <w:pPr>
        <w:numPr>
          <w:ilvl w:val="1"/>
          <w:numId w:val="35"/>
        </w:numPr>
        <w:tabs>
          <w:tab w:val="left" w:pos="360"/>
          <w:tab w:val="clear" w:pos="992"/>
        </w:tabs>
        <w:spacing w:line="460" w:lineRule="exact"/>
        <w:ind w:left="418" w:leftChars="-68" w:hanging="561" w:hangingChars="255"/>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评标过程中遇到特殊情况，由评标委员会遵循公开、公正原则，采取投票方式按照少数服从多数原则决定。</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确定中标候选人</w:t>
      </w:r>
    </w:p>
    <w:p>
      <w:pPr>
        <w:numPr>
          <w:ilvl w:val="1"/>
          <w:numId w:val="3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本次招标由评标委员会推荐中标候选人，采购人根据评标委员会的推荐结果进行最终确认。</w:t>
      </w:r>
    </w:p>
    <w:p>
      <w:pPr>
        <w:numPr>
          <w:ilvl w:val="1"/>
          <w:numId w:val="36"/>
        </w:numPr>
        <w:tabs>
          <w:tab w:val="left" w:pos="360"/>
          <w:tab w:val="clear" w:pos="992"/>
        </w:tabs>
        <w:spacing w:line="460" w:lineRule="exact"/>
        <w:ind w:left="640" w:leftChars="0" w:hanging="567" w:firstLineChars="0"/>
        <w:rPr>
          <w:rFonts w:hint="eastAsia" w:ascii="宋体" w:hAnsi="宋体" w:eastAsia="宋体" w:cs="宋体"/>
          <w:color w:val="auto"/>
          <w:kern w:val="0"/>
          <w:sz w:val="22"/>
          <w:szCs w:val="22"/>
          <w:highlight w:val="none"/>
        </w:rPr>
      </w:pPr>
      <w:r>
        <w:rPr>
          <w:rFonts w:hint="eastAsia" w:ascii="宋体" w:hAnsi="宋体" w:eastAsia="宋体" w:cs="Arial"/>
          <w:color w:val="auto"/>
          <w:sz w:val="22"/>
          <w:szCs w:val="22"/>
          <w:highlight w:val="none"/>
          <w:lang w:eastAsia="zh-CN"/>
        </w:rPr>
        <w:t>评标委员会依据法律、法规及采购文件有关规定在有效标中按投标人的综合得分（商务技术分</w:t>
      </w:r>
      <w:r>
        <w:rPr>
          <w:rFonts w:hint="eastAsia" w:ascii="宋体" w:hAnsi="宋体" w:eastAsia="宋体" w:cs="宋体"/>
          <w:b/>
          <w:bCs/>
          <w:color w:val="auto"/>
          <w:kern w:val="0"/>
          <w:sz w:val="22"/>
          <w:szCs w:val="22"/>
          <w:highlight w:val="none"/>
        </w:rPr>
        <w:t>及报价分之各）高低进行排序，综合得分</w:t>
      </w:r>
      <w:r>
        <w:rPr>
          <w:rFonts w:hint="eastAsia" w:ascii="宋体" w:hAnsi="宋体" w:cs="宋体"/>
          <w:b/>
          <w:bCs/>
          <w:color w:val="auto"/>
          <w:kern w:val="0"/>
          <w:sz w:val="22"/>
          <w:szCs w:val="22"/>
          <w:highlight w:val="none"/>
          <w:lang w:val="en-US" w:eastAsia="zh-CN"/>
        </w:rPr>
        <w:t>第1</w:t>
      </w:r>
      <w:r>
        <w:rPr>
          <w:rFonts w:hint="eastAsia" w:ascii="宋体" w:hAnsi="宋体" w:eastAsia="宋体" w:cs="宋体"/>
          <w:b/>
          <w:bCs/>
          <w:color w:val="auto"/>
          <w:kern w:val="0"/>
          <w:sz w:val="22"/>
          <w:szCs w:val="22"/>
          <w:highlight w:val="none"/>
        </w:rPr>
        <w:t>名投标人作为第一中标候选人向采购人推荐，并提交评标报告。综合得分相同的以报价分得分高的优先；综合得分相同且报价分得分相同的，由评标委员会随机抽签决定排序。</w:t>
      </w:r>
    </w:p>
    <w:p>
      <w:pPr>
        <w:numPr>
          <w:ilvl w:val="1"/>
          <w:numId w:val="3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b/>
          <w:bCs/>
          <w:color w:val="auto"/>
          <w:sz w:val="22"/>
          <w:szCs w:val="22"/>
          <w:highlight w:val="none"/>
          <w:u w:val="single"/>
          <w:lang w:eastAsia="zh-CN"/>
        </w:rPr>
        <w:t>若出现以下情形之一，采购人可视具体情况确定是否由备选中标人为中标人或重新组织招标：</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1）中标候选人放弃中标资格；</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2）中标候选人因不可抗力提出不能履行合同；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3）中标候选人未能在规定时间内与采购单位签订合同；</w:t>
      </w:r>
    </w:p>
    <w:p>
      <w:pPr>
        <w:spacing w:line="46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4）经质疑，采购人审查后，中标候选人确实在本次采购活动中存在违法违规行为或其他原因使质疑成立的。</w:t>
      </w:r>
    </w:p>
    <w:p>
      <w:pPr>
        <w:numPr>
          <w:ilvl w:val="1"/>
          <w:numId w:val="36"/>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采购人、采购代理机构及评标委员会对未中标的投标人不作解释。</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评标细则详见“评标原则及方法”。</w:t>
      </w:r>
    </w:p>
    <w:p>
      <w:pPr>
        <w:numPr>
          <w:ilvl w:val="0"/>
          <w:numId w:val="28"/>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 xml:space="preserve"> 可中止电子交易活动的情形</w:t>
      </w:r>
    </w:p>
    <w:p>
      <w:pPr>
        <w:numPr>
          <w:ilvl w:val="1"/>
          <w:numId w:val="37"/>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采购过程中出现以下情形，导致电子交易平台无法正常运行，或者无法保证电子交易的公平、公正和安全时，采购组织机构可中止电子交易活动：</w:t>
      </w:r>
    </w:p>
    <w:p>
      <w:pPr>
        <w:numPr>
          <w:ilvl w:val="2"/>
          <w:numId w:val="38"/>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电子交易平台发生故障而无法登录访问的；</w:t>
      </w:r>
    </w:p>
    <w:p>
      <w:pPr>
        <w:numPr>
          <w:ilvl w:val="2"/>
          <w:numId w:val="38"/>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电子交易平台应用或数据库出现错误，不能进行正常操作的；</w:t>
      </w:r>
    </w:p>
    <w:p>
      <w:pPr>
        <w:numPr>
          <w:ilvl w:val="2"/>
          <w:numId w:val="38"/>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电子交易平台发现严重安全漏洞，有潜在泄密危险的；</w:t>
      </w:r>
    </w:p>
    <w:p>
      <w:pPr>
        <w:numPr>
          <w:ilvl w:val="2"/>
          <w:numId w:val="38"/>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病毒发作导致不能进行正常操作的；</w:t>
      </w:r>
    </w:p>
    <w:p>
      <w:pPr>
        <w:numPr>
          <w:ilvl w:val="2"/>
          <w:numId w:val="38"/>
        </w:numPr>
        <w:tabs>
          <w:tab w:val="left" w:pos="993"/>
        </w:tabs>
        <w:spacing w:line="460" w:lineRule="exact"/>
        <w:ind w:left="993" w:hanging="42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其他无法保证电子交易的公平、公正和安全的情况。</w:t>
      </w:r>
    </w:p>
    <w:p>
      <w:pPr>
        <w:numPr>
          <w:ilvl w:val="1"/>
          <w:numId w:val="37"/>
        </w:numPr>
        <w:tabs>
          <w:tab w:val="left" w:pos="360"/>
          <w:tab w:val="clear" w:pos="992"/>
        </w:tabs>
        <w:spacing w:line="460" w:lineRule="exact"/>
        <w:ind w:left="42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出现前款规定情形，不影响采购公平、公正性的，采购组织机构可以待上述情形消除后继续组织电子交易活动；影响或可能影响采购公平、公正性的，应当重新采购。</w:t>
      </w:r>
    </w:p>
    <w:p>
      <w:pPr>
        <w:pStyle w:val="6"/>
        <w:numPr>
          <w:ilvl w:val="0"/>
          <w:numId w:val="0"/>
        </w:numPr>
        <w:bidi w:val="0"/>
        <w:ind w:left="420" w:leftChars="0"/>
        <w:jc w:val="center"/>
        <w:rPr>
          <w:rFonts w:hint="eastAsia" w:ascii="宋体" w:hAnsi="宋体" w:eastAsia="宋体" w:cs="Times New Roman"/>
          <w:b/>
          <w:bCs/>
          <w:color w:val="auto"/>
          <w:kern w:val="2"/>
          <w:sz w:val="26"/>
          <w:szCs w:val="26"/>
          <w:highlight w:val="none"/>
          <w:lang w:val="en-US" w:eastAsia="zh-CN" w:bidi="ar-SA"/>
        </w:rPr>
      </w:pPr>
      <w:bookmarkStart w:id="142" w:name="_Toc306613654"/>
      <w:bookmarkStart w:id="143" w:name="_Toc34508136"/>
      <w:bookmarkStart w:id="144" w:name="_Toc34221901"/>
      <w:bookmarkStart w:id="145" w:name="_Toc26485"/>
      <w:r>
        <w:rPr>
          <w:rFonts w:hint="eastAsia" w:ascii="宋体" w:hAnsi="宋体" w:eastAsia="宋体" w:cs="Times New Roman"/>
          <w:b/>
          <w:bCs/>
          <w:color w:val="auto"/>
          <w:kern w:val="2"/>
          <w:sz w:val="26"/>
          <w:szCs w:val="26"/>
          <w:highlight w:val="none"/>
          <w:lang w:val="en-US" w:eastAsia="zh-CN" w:bidi="ar-SA"/>
        </w:rPr>
        <w:t xml:space="preserve">八、 </w:t>
      </w:r>
      <w:bookmarkStart w:id="146" w:name="_Toc32607"/>
      <w:r>
        <w:rPr>
          <w:rFonts w:hint="eastAsia" w:ascii="宋体" w:hAnsi="宋体" w:eastAsia="宋体" w:cs="Times New Roman"/>
          <w:b/>
          <w:bCs/>
          <w:color w:val="auto"/>
          <w:kern w:val="2"/>
          <w:sz w:val="26"/>
          <w:szCs w:val="26"/>
          <w:highlight w:val="none"/>
          <w:lang w:val="en-US" w:eastAsia="zh-CN" w:bidi="ar-SA"/>
        </w:rPr>
        <w:t>授予合同</w:t>
      </w:r>
      <w:bookmarkEnd w:id="142"/>
      <w:bookmarkEnd w:id="143"/>
      <w:bookmarkEnd w:id="144"/>
      <w:bookmarkEnd w:id="145"/>
      <w:bookmarkEnd w:id="146"/>
    </w:p>
    <w:p>
      <w:pPr>
        <w:numPr>
          <w:ilvl w:val="0"/>
          <w:numId w:val="39"/>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确定中标人</w:t>
      </w:r>
    </w:p>
    <w:p>
      <w:pPr>
        <w:numPr>
          <w:ilvl w:val="1"/>
          <w:numId w:val="4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采购人自收到评标报告之日起5个工作日内，在评标报告确定的中标候选人名单中按顺序确定中标人。</w:t>
      </w:r>
    </w:p>
    <w:p>
      <w:pPr>
        <w:numPr>
          <w:ilvl w:val="1"/>
          <w:numId w:val="4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中标人确定之日起2个工作日内，在“政采云”平台上公示中标结果，中标公告期限为1个工作日；</w:t>
      </w:r>
    </w:p>
    <w:p>
      <w:pPr>
        <w:numPr>
          <w:ilvl w:val="1"/>
          <w:numId w:val="4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在公告中标结果的同时，采购人向中标人发出中标通知书。</w:t>
      </w:r>
    </w:p>
    <w:p>
      <w:pPr>
        <w:numPr>
          <w:ilvl w:val="1"/>
          <w:numId w:val="40"/>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lang w:eastAsia="zh-CN"/>
        </w:rPr>
        <w:t>各投标人对评标结果如有异议，可在中标结果公示之日起7个工作日内以书面形式向采购人进行署名投诉或提出质疑，但需对投诉或质疑内容的真实性承担法律责任。</w:t>
      </w:r>
    </w:p>
    <w:p>
      <w:pPr>
        <w:numPr>
          <w:ilvl w:val="0"/>
          <w:numId w:val="39"/>
        </w:numPr>
        <w:tabs>
          <w:tab w:val="left" w:pos="540"/>
          <w:tab w:val="clear" w:pos="420"/>
        </w:tabs>
        <w:spacing w:line="460" w:lineRule="exact"/>
        <w:rPr>
          <w:rFonts w:hint="eastAsia" w:ascii="宋体" w:hAnsi="宋体" w:eastAsia="宋体" w:cs="Arial"/>
          <w:bCs/>
          <w:color w:val="auto"/>
          <w:sz w:val="22"/>
          <w:szCs w:val="22"/>
          <w:highlight w:val="none"/>
        </w:rPr>
      </w:pPr>
      <w:r>
        <w:rPr>
          <w:rFonts w:hint="eastAsia" w:ascii="宋体" w:hAnsi="宋体" w:eastAsia="宋体" w:cs="Arial"/>
          <w:bCs/>
          <w:color w:val="auto"/>
          <w:sz w:val="22"/>
          <w:szCs w:val="22"/>
          <w:highlight w:val="none"/>
        </w:rPr>
        <w:t>签订合同</w:t>
      </w:r>
    </w:p>
    <w:p>
      <w:pPr>
        <w:numPr>
          <w:ilvl w:val="1"/>
          <w:numId w:val="4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公示期结束后，</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须在5个工作日内主动联系采购人或采购机构领取中标通知书。</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应当在中标通知书发出之日起30日内与采购人签订合同。</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未经采购人许可，在规定时间内未到采购人处与采购人签订合同，则视为拒签合同。</w:t>
      </w:r>
    </w:p>
    <w:p>
      <w:pPr>
        <w:numPr>
          <w:ilvl w:val="1"/>
          <w:numId w:val="4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招标文件</w:t>
      </w:r>
      <w:r>
        <w:rPr>
          <w:rFonts w:hint="eastAsia" w:ascii="宋体" w:hAnsi="宋体" w:eastAsia="宋体" w:cs="Arial"/>
          <w:color w:val="auto"/>
          <w:sz w:val="22"/>
          <w:szCs w:val="22"/>
          <w:highlight w:val="none"/>
        </w:rPr>
        <w:t>、</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的投标文件及投标修改文件、评标过程中有关澄清文件及经双方签字的询标纪要（承诺）和中标通知书均作为合同附件。</w:t>
      </w:r>
    </w:p>
    <w:p>
      <w:pPr>
        <w:numPr>
          <w:ilvl w:val="1"/>
          <w:numId w:val="41"/>
        </w:numPr>
        <w:tabs>
          <w:tab w:val="left" w:pos="360"/>
          <w:tab w:val="clear" w:pos="992"/>
        </w:tabs>
        <w:spacing w:line="460" w:lineRule="exact"/>
        <w:ind w:left="640" w:leftChars="0" w:hanging="567" w:firstLineChars="0"/>
        <w:rPr>
          <w:rFonts w:hint="eastAsia" w:ascii="宋体" w:hAnsi="宋体" w:eastAsia="宋体" w:cs="Arial"/>
          <w:b/>
          <w:bCs/>
          <w:color w:val="auto"/>
          <w:sz w:val="22"/>
          <w:szCs w:val="22"/>
          <w:highlight w:val="none"/>
        </w:rPr>
      </w:pPr>
      <w:r>
        <w:rPr>
          <w:rFonts w:hint="eastAsia" w:ascii="宋体" w:hAnsi="宋体" w:eastAsia="宋体" w:cs="Arial"/>
          <w:b/>
          <w:bCs/>
          <w:color w:val="auto"/>
          <w:sz w:val="22"/>
          <w:szCs w:val="22"/>
          <w:highlight w:val="none"/>
        </w:rPr>
        <w:t>中标投标人应在合同签订后五个工作日内提交一份合同文本扫描件报招标代理机构备案。</w:t>
      </w:r>
    </w:p>
    <w:p>
      <w:pPr>
        <w:numPr>
          <w:ilvl w:val="1"/>
          <w:numId w:val="41"/>
        </w:numPr>
        <w:tabs>
          <w:tab w:val="left" w:pos="360"/>
          <w:tab w:val="clear" w:pos="992"/>
        </w:tabs>
        <w:spacing w:line="460" w:lineRule="exact"/>
        <w:ind w:left="640" w:leftChars="0" w:hanging="567" w:firstLineChars="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在规定时间内（30日历天）借故否认已经承诺的条件、拒签合同，以投标违约处理，并赔偿采购人由此造成的直接经济损失；采购人重新组织招标的，所需费用由原</w:t>
      </w:r>
      <w:r>
        <w:rPr>
          <w:rFonts w:hint="eastAsia" w:ascii="宋体" w:hAnsi="宋体" w:eastAsia="宋体" w:cs="Arial"/>
          <w:color w:val="auto"/>
          <w:sz w:val="22"/>
          <w:szCs w:val="22"/>
          <w:highlight w:val="none"/>
          <w:lang w:eastAsia="zh-CN"/>
        </w:rPr>
        <w:t>中标人</w:t>
      </w:r>
      <w:r>
        <w:rPr>
          <w:rFonts w:hint="eastAsia" w:ascii="宋体" w:hAnsi="宋体" w:eastAsia="宋体" w:cs="Arial"/>
          <w:color w:val="auto"/>
          <w:sz w:val="22"/>
          <w:szCs w:val="22"/>
          <w:highlight w:val="none"/>
        </w:rPr>
        <w:t>承担。</w:t>
      </w:r>
    </w:p>
    <w:p>
      <w:pPr>
        <w:pStyle w:val="3"/>
        <w:rPr>
          <w:color w:val="auto"/>
          <w:highlight w:val="none"/>
        </w:rPr>
      </w:pPr>
    </w:p>
    <w:p>
      <w:pPr>
        <w:pStyle w:val="75"/>
        <w:rPr>
          <w:rFonts w:ascii="宋体" w:hAnsi="宋体"/>
          <w:color w:val="auto"/>
          <w:sz w:val="22"/>
          <w:szCs w:val="22"/>
          <w:highlight w:val="none"/>
        </w:rPr>
      </w:pPr>
    </w:p>
    <w:p>
      <w:pPr>
        <w:widowControl/>
        <w:spacing w:before="60" w:after="60" w:line="400" w:lineRule="exact"/>
        <w:ind w:left="424" w:leftChars="202" w:right="60" w:firstLine="440" w:firstLineChars="200"/>
        <w:jc w:val="center"/>
        <w:rPr>
          <w:rFonts w:ascii="宋体" w:hAnsi="宋体"/>
          <w:color w:val="auto"/>
          <w:sz w:val="22"/>
          <w:szCs w:val="22"/>
          <w:highlight w:val="none"/>
        </w:rPr>
      </w:pPr>
    </w:p>
    <w:p>
      <w:pPr>
        <w:widowControl/>
        <w:spacing w:before="60" w:after="60" w:line="400" w:lineRule="exact"/>
        <w:ind w:left="424" w:leftChars="202" w:right="60" w:firstLine="440" w:firstLineChars="200"/>
        <w:jc w:val="center"/>
        <w:rPr>
          <w:rStyle w:val="76"/>
          <w:rFonts w:hint="eastAsia" w:ascii="宋体" w:hAnsi="宋体" w:eastAsia="宋体" w:cs="宋体"/>
          <w:color w:val="auto"/>
          <w:sz w:val="36"/>
          <w:szCs w:val="36"/>
          <w:highlight w:val="none"/>
          <w:lang w:val="en-US" w:eastAsia="zh-CN"/>
        </w:rPr>
      </w:pPr>
      <w:r>
        <w:rPr>
          <w:rFonts w:hint="eastAsia" w:ascii="宋体" w:hAnsi="宋体"/>
          <w:color w:val="auto"/>
          <w:sz w:val="22"/>
          <w:szCs w:val="22"/>
          <w:highlight w:val="none"/>
        </w:rPr>
        <w:br w:type="page"/>
      </w:r>
      <w:bookmarkStart w:id="147" w:name="_Toc245191317"/>
      <w:bookmarkStart w:id="148" w:name="_Toc222114882"/>
      <w:bookmarkStart w:id="149" w:name="_Toc223716001"/>
      <w:bookmarkStart w:id="150" w:name="_Toc221423622"/>
      <w:bookmarkStart w:id="151" w:name="_Toc221356954"/>
      <w:bookmarkStart w:id="152" w:name="_Toc262049421"/>
      <w:bookmarkStart w:id="153" w:name="_Toc31188"/>
      <w:bookmarkStart w:id="154" w:name="_Toc221374629"/>
      <w:bookmarkStart w:id="155" w:name="_Toc249758867"/>
      <w:bookmarkStart w:id="156" w:name="_Toc246261268"/>
      <w:bookmarkStart w:id="157" w:name="_Toc249758715"/>
      <w:bookmarkStart w:id="158" w:name="_Toc221356890"/>
      <w:bookmarkStart w:id="159" w:name="_Toc239145357"/>
      <w:bookmarkStart w:id="160" w:name="_Toc241404205"/>
      <w:bookmarkStart w:id="161" w:name="_Toc245722284"/>
      <w:bookmarkStart w:id="162" w:name="_Toc262105506"/>
      <w:r>
        <w:rPr>
          <w:rStyle w:val="76"/>
          <w:rFonts w:hint="eastAsia" w:ascii="宋体" w:hAnsi="宋体" w:eastAsia="宋体" w:cs="宋体"/>
          <w:color w:val="auto"/>
          <w:sz w:val="36"/>
          <w:szCs w:val="36"/>
          <w:highlight w:val="none"/>
          <w:lang w:val="en-US" w:eastAsia="zh-CN"/>
        </w:rPr>
        <w:t>第二部分   招标内容及要求</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Pr>
        <w:spacing w:line="460" w:lineRule="exact"/>
        <w:ind w:firstLine="541" w:firstLineChars="245"/>
        <w:outlineLvl w:val="1"/>
        <w:rPr>
          <w:rFonts w:hint="eastAsia" w:ascii="新宋体" w:hAnsi="新宋体" w:eastAsia="新宋体" w:cs="新宋体"/>
          <w:b/>
          <w:bCs/>
          <w:color w:val="auto"/>
          <w:sz w:val="22"/>
          <w:szCs w:val="22"/>
          <w:highlight w:val="none"/>
        </w:rPr>
      </w:pPr>
      <w:bookmarkStart w:id="163" w:name="_Toc12215"/>
      <w:bookmarkStart w:id="164" w:name="_Toc12097"/>
      <w:bookmarkStart w:id="165" w:name="_Toc262049424"/>
      <w:bookmarkStart w:id="166" w:name="_Toc262105509"/>
      <w:bookmarkStart w:id="167" w:name="_Toc222114884"/>
      <w:bookmarkStart w:id="168" w:name="_Toc246261270"/>
      <w:bookmarkStart w:id="169" w:name="_Toc245191319"/>
      <w:bookmarkStart w:id="170" w:name="_Toc223716003"/>
      <w:bookmarkStart w:id="171" w:name="_Toc241404207"/>
      <w:bookmarkStart w:id="172" w:name="_Toc221356892"/>
      <w:bookmarkStart w:id="173" w:name="_Toc249758870"/>
      <w:bookmarkStart w:id="174" w:name="_Toc249758718"/>
      <w:bookmarkStart w:id="175" w:name="_Toc221374631"/>
      <w:bookmarkStart w:id="176" w:name="_Toc245722286"/>
      <w:bookmarkStart w:id="177" w:name="_Toc249758719"/>
      <w:bookmarkStart w:id="178" w:name="_Toc221423624"/>
      <w:bookmarkStart w:id="179" w:name="_Toc221356956"/>
      <w:bookmarkStart w:id="180" w:name="_Toc239145359"/>
      <w:r>
        <w:rPr>
          <w:rFonts w:hint="eastAsia" w:ascii="新宋体" w:hAnsi="新宋体" w:eastAsia="新宋体" w:cs="新宋体"/>
          <w:b/>
          <w:bCs/>
          <w:color w:val="auto"/>
          <w:sz w:val="22"/>
          <w:szCs w:val="22"/>
          <w:highlight w:val="none"/>
        </w:rPr>
        <w:t>一、项目概况</w:t>
      </w:r>
      <w:bookmarkEnd w:id="163"/>
      <w:bookmarkEnd w:id="164"/>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1、项目名称：</w:t>
      </w:r>
      <w:r>
        <w:rPr>
          <w:rFonts w:hint="eastAsia" w:ascii="新宋体" w:hAnsi="新宋体" w:eastAsia="新宋体" w:cs="新宋体"/>
          <w:color w:val="auto"/>
          <w:sz w:val="22"/>
          <w:szCs w:val="22"/>
          <w:highlight w:val="none"/>
          <w:lang w:eastAsia="zh-CN"/>
        </w:rPr>
        <w:t>温州大罗山基金（天使）村</w:t>
      </w:r>
      <w:r>
        <w:rPr>
          <w:rFonts w:hint="eastAsia" w:ascii="新宋体" w:hAnsi="新宋体" w:eastAsia="新宋体" w:cs="新宋体"/>
          <w:color w:val="auto"/>
          <w:sz w:val="22"/>
          <w:szCs w:val="22"/>
          <w:highlight w:val="none"/>
        </w:rPr>
        <w:t>运营服务</w:t>
      </w:r>
    </w:p>
    <w:p>
      <w:pPr>
        <w:spacing w:line="460" w:lineRule="exact"/>
        <w:ind w:firstLine="541" w:firstLineChars="24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2、委托期限：</w:t>
      </w:r>
      <w:r>
        <w:rPr>
          <w:rFonts w:hint="eastAsia" w:ascii="新宋体" w:hAnsi="新宋体" w:eastAsia="新宋体"/>
          <w:color w:val="auto"/>
          <w:sz w:val="22"/>
          <w:highlight w:val="none"/>
          <w:lang w:val="en-US" w:eastAsia="zh-CN"/>
        </w:rPr>
        <w:t>共3</w:t>
      </w:r>
      <w:r>
        <w:rPr>
          <w:rFonts w:hint="eastAsia" w:ascii="新宋体" w:hAnsi="新宋体" w:eastAsia="新宋体"/>
          <w:color w:val="auto"/>
          <w:sz w:val="22"/>
          <w:highlight w:val="none"/>
        </w:rPr>
        <w:t>年。</w:t>
      </w:r>
      <w:r>
        <w:rPr>
          <w:rFonts w:hint="eastAsia" w:ascii="新宋体" w:hAnsi="新宋体" w:eastAsia="新宋体"/>
          <w:color w:val="auto"/>
          <w:sz w:val="22"/>
          <w:highlight w:val="none"/>
          <w:lang w:val="en-US" w:eastAsia="zh-CN"/>
        </w:rPr>
        <w:t>采用1+1+1模式，合同期满后，如考核满足甲方要求，且双方协商一致，可续签合同。</w:t>
      </w:r>
      <w:r>
        <w:rPr>
          <w:rFonts w:hint="eastAsia" w:ascii="新宋体" w:hAnsi="新宋体" w:eastAsia="新宋体"/>
          <w:color w:val="auto"/>
          <w:sz w:val="22"/>
          <w:highlight w:val="none"/>
        </w:rPr>
        <w:t>服务期内如遇考核不合格、政策性等原因，导致合同无法履行，则合同自行终止。</w:t>
      </w:r>
    </w:p>
    <w:p>
      <w:pPr>
        <w:spacing w:line="460" w:lineRule="exact"/>
        <w:ind w:firstLine="541" w:firstLineChars="245"/>
        <w:rPr>
          <w:rFonts w:hint="eastAsia"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rPr>
        <w:t>、项目简介</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以习近平新时代中国特色社会主义思想为指导，温州市政府充分利用长三角一体化重大机遇，坚持高质量发展理念，实施创新驱动发展战略，建设</w:t>
      </w:r>
      <w:r>
        <w:rPr>
          <w:rFonts w:hint="eastAsia" w:ascii="新宋体" w:hAnsi="新宋体" w:eastAsia="新宋体" w:cs="新宋体"/>
          <w:color w:val="auto"/>
          <w:sz w:val="22"/>
          <w:szCs w:val="22"/>
          <w:highlight w:val="none"/>
          <w:lang w:eastAsia="zh-CN"/>
        </w:rPr>
        <w:t>温州大罗山基金（天使）村</w:t>
      </w:r>
      <w:r>
        <w:rPr>
          <w:rFonts w:hint="eastAsia" w:ascii="新宋体" w:hAnsi="新宋体" w:eastAsia="新宋体" w:cs="新宋体"/>
          <w:color w:val="auto"/>
          <w:sz w:val="22"/>
          <w:szCs w:val="22"/>
          <w:highlight w:val="none"/>
        </w:rPr>
        <w:t>。依托温州雄厚的产业基础，充分发挥温州民间资本优势和侨乡资金资源优势，将</w:t>
      </w:r>
      <w:r>
        <w:rPr>
          <w:rFonts w:hint="eastAsia" w:ascii="新宋体" w:hAnsi="新宋体" w:eastAsia="新宋体" w:cs="新宋体"/>
          <w:color w:val="auto"/>
          <w:sz w:val="22"/>
          <w:szCs w:val="22"/>
          <w:highlight w:val="none"/>
          <w:lang w:eastAsia="zh-CN"/>
        </w:rPr>
        <w:t>温州大罗山基金（天使）村</w:t>
      </w:r>
      <w:r>
        <w:rPr>
          <w:rFonts w:hint="eastAsia" w:ascii="新宋体" w:hAnsi="新宋体" w:eastAsia="新宋体" w:cs="新宋体"/>
          <w:color w:val="auto"/>
          <w:sz w:val="22"/>
          <w:szCs w:val="22"/>
          <w:highlight w:val="none"/>
        </w:rPr>
        <w:t>打造成为“立足浙江、面向长三角、辐射全国、对接国际”的浙江省创投第三极的物理载体和全球温商侨商股权投资中心。</w:t>
      </w:r>
    </w:p>
    <w:p>
      <w:pPr>
        <w:spacing w:line="460" w:lineRule="exact"/>
        <w:ind w:firstLine="539" w:firstLineChars="245"/>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3.1先导</w:t>
      </w:r>
      <w:r>
        <w:rPr>
          <w:rFonts w:hint="eastAsia" w:ascii="新宋体" w:hAnsi="新宋体" w:eastAsia="新宋体" w:cs="新宋体"/>
          <w:color w:val="auto"/>
          <w:sz w:val="22"/>
          <w:szCs w:val="22"/>
          <w:highlight w:val="none"/>
        </w:rPr>
        <w:t>区：项目</w:t>
      </w:r>
      <w:r>
        <w:rPr>
          <w:rFonts w:hint="eastAsia" w:ascii="新宋体" w:hAnsi="新宋体" w:eastAsia="新宋体" w:cs="新宋体"/>
          <w:color w:val="auto"/>
          <w:sz w:val="22"/>
          <w:szCs w:val="22"/>
          <w:highlight w:val="none"/>
          <w:lang w:val="en-US" w:eastAsia="zh-CN"/>
        </w:rPr>
        <w:t>先导</w:t>
      </w:r>
      <w:r>
        <w:rPr>
          <w:rFonts w:hint="eastAsia" w:ascii="新宋体" w:hAnsi="新宋体" w:eastAsia="新宋体" w:cs="新宋体"/>
          <w:color w:val="auto"/>
          <w:sz w:val="22"/>
          <w:szCs w:val="22"/>
          <w:highlight w:val="none"/>
        </w:rPr>
        <w:t>区为亨哈大厦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位于</w:t>
      </w:r>
      <w:r>
        <w:rPr>
          <w:rFonts w:hint="eastAsia" w:ascii="新宋体" w:hAnsi="新宋体" w:eastAsia="新宋体" w:cs="新宋体"/>
          <w:color w:val="auto"/>
          <w:sz w:val="22"/>
          <w:szCs w:val="22"/>
          <w:highlight w:val="none"/>
        </w:rPr>
        <w:t>温州市瓯海区温州大道1707号亨哈大厦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占地面积6741平方米，楼高12层，建筑面积63131平方米；</w:t>
      </w:r>
    </w:p>
    <w:p>
      <w:pPr>
        <w:spacing w:line="460" w:lineRule="exact"/>
        <w:ind w:firstLine="539" w:firstLineChars="245"/>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2核心区：温州市瓯海区丽岙街道王宅村</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温州市瓯海区茶山街道山根音乐小村；温州市瓯海区泽雅源口老村；或其他选址</w:t>
      </w:r>
      <w:r>
        <w:rPr>
          <w:rFonts w:hint="eastAsia" w:ascii="新宋体" w:hAnsi="新宋体" w:eastAsia="新宋体" w:cs="新宋体"/>
          <w:color w:val="auto"/>
          <w:sz w:val="22"/>
          <w:szCs w:val="22"/>
          <w:highlight w:val="none"/>
          <w:lang w:eastAsia="zh-CN"/>
        </w:rPr>
        <w:t>。</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丽岙街道王宅村，四至范围为西至丽塘路，南至丽塘河，东至肯恩二期教工宿舍（KN-2），北至肯恩二期学生宿舍（KN-1），合计用地面积约235.2亩（不含水域的规划用地面积为229.4亩），整体建筑面积约53316.9平方米，其中产业板块建筑面积约32631.9平方米；</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②茶山街道山根音乐小村一期、二期。四至范围西至温瑞塘河，南至大罗山，东至瓯越大道，北至环山路，占地面积613.49亩，现规划总建筑面积51500平方米；</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③泽雅源口老村，该区域商业地块5.44公顷、公园用地2.15公顷，其中源口老村商业地块西面依山，南至泽雅大道，东至温源线，北至通景路（周边将军岩地块45.4亩、崎云度假村63.02亩、泽南小区116.8亩可作为后续拓展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④其他选址（实际范围以项目图纸为准）。</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3.3</w:t>
      </w:r>
      <w:r>
        <w:rPr>
          <w:rFonts w:hint="eastAsia" w:ascii="新宋体" w:hAnsi="新宋体" w:eastAsia="新宋体" w:cs="新宋体"/>
          <w:color w:val="auto"/>
          <w:sz w:val="22"/>
          <w:szCs w:val="22"/>
          <w:highlight w:val="none"/>
        </w:rPr>
        <w:t>运营标的：本合同约定的运营标的为温州大罗山基金（天使）村先导区及核心区产业板块，其中先导区产业板块按需交付，核心区产业板块以实际交付为准。</w:t>
      </w:r>
    </w:p>
    <w:p>
      <w:pPr>
        <w:spacing w:line="460" w:lineRule="exact"/>
        <w:ind w:firstLine="539" w:firstLineChars="245"/>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3.4运营目标</w:t>
      </w:r>
    </w:p>
    <w:p>
      <w:pPr>
        <w:spacing w:line="460" w:lineRule="exact"/>
        <w:ind w:firstLine="539" w:firstLineChars="245"/>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甲乙双方将与政府一同构建“政府主导、国资参与、市场运作”的高效合作机制，以《温州市国民经济和社会发展第十四个五年规划和二〇三五年远景目标纲要》中明确的“全力做强第三极，力争万亿GDP”总体目标为指导，依托温州雄厚的产业基础，以“一年打基础、三年成中心”为要求，力争通过三年时间，累计引入基金类企业不少于200家或累计集聚基金注册规模不低于200亿元；累计引入基金管理机构不少于30家；累计引入基金实缴规模不低于65亿元，累计带动产业投资效益不低于30亿元。</w:t>
      </w:r>
    </w:p>
    <w:p>
      <w:pPr>
        <w:spacing w:line="460" w:lineRule="exact"/>
        <w:ind w:firstLine="541" w:firstLineChars="245"/>
        <w:rPr>
          <w:rFonts w:hint="eastAsia"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t>4</w:t>
      </w:r>
      <w:r>
        <w:rPr>
          <w:rFonts w:hint="eastAsia" w:ascii="新宋体" w:hAnsi="新宋体" w:eastAsia="新宋体" w:cs="新宋体"/>
          <w:b/>
          <w:bCs/>
          <w:color w:val="auto"/>
          <w:sz w:val="22"/>
          <w:szCs w:val="22"/>
          <w:highlight w:val="none"/>
        </w:rPr>
        <w:t>、服务内容</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运营单位将与采购单位指定的国资平台成立合资公司，由合资公司作为主体具体负责本项目的招商运营工作。包括规划咨询服务、基金招商、金融运营服务、金融创新服务、品牌提升服务等五大模块服务内容。</w:t>
      </w:r>
    </w:p>
    <w:p>
      <w:pPr>
        <w:spacing w:line="460" w:lineRule="exact"/>
        <w:ind w:firstLine="539" w:firstLineChars="245"/>
        <w:rPr>
          <w:rFonts w:hint="eastAsia" w:ascii="新宋体" w:hAnsi="新宋体" w:eastAsia="新宋体" w:cs="新宋体"/>
          <w:color w:val="auto"/>
          <w:sz w:val="22"/>
          <w:szCs w:val="22"/>
          <w:highlight w:val="none"/>
        </w:rPr>
      </w:pPr>
      <w:bookmarkStart w:id="181" w:name="_Toc467789625"/>
      <w:bookmarkStart w:id="182" w:name="_Toc24752"/>
      <w:r>
        <w:rPr>
          <w:rFonts w:hint="eastAsia" w:ascii="新宋体" w:hAnsi="新宋体" w:eastAsia="新宋体" w:cs="新宋体"/>
          <w:color w:val="auto"/>
          <w:sz w:val="22"/>
          <w:szCs w:val="22"/>
          <w:highlight w:val="none"/>
        </w:rPr>
        <w:t>（1）规划咨询服务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接应本项目发展目标，协助政府明确发展目标、产业定位、功能空间规划、政策策略、政府与市场合作界面等内容，形成项目发展思路和运营规划，有序推进各项工作实施。结合本项目实际运营需要，为本项目提供政策咨询建议、空间功能规划建议等规划咨询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（2）基金招商服务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乙方负责组建招商团队，围绕本项目招商和运营目标，制定项目招商方案并组织执行，并整合招商渠道，构建全方位、立体化招商服务体系，为项目高效率导入产业与创新要素。</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（3）金融运营服务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针对本项目内基金类机构、金融人才、金融服务机构等日常经营需求，提供金融管家服务、投融资对接、风险控制、“一站式”窗口、接待服务等服务，打造优质的营商环境。</w:t>
      </w:r>
    </w:p>
    <w:p>
      <w:pPr>
        <w:spacing w:line="460" w:lineRule="exact"/>
        <w:ind w:firstLine="514" w:firstLineChars="245"/>
        <w:rPr>
          <w:color w:val="auto"/>
          <w:highlight w:val="none"/>
        </w:rPr>
      </w:pPr>
      <w:r>
        <w:rPr>
          <w:rFonts w:hint="eastAsia"/>
          <w:color w:val="auto"/>
          <w:highlight w:val="none"/>
        </w:rPr>
        <w:t>结合本项目发展需求，整合并管理各类金融服务机构资源，包括各类投资机构、律师事务所、会计师事务所、工商等服务机构资源，为本项目及温州市内金融机构和金融类人才提供服务，打造健康、可持续的金融服务生态。</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）金融创新服务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政策、人才等金融科创要素提供服务。政策服务，将政策分类，明确兑现条件、路径、额度，将企业分档适配，针对性开展培训和辅导，提高政策知晓率、覆盖率和兑现率；金融人才服务将建立人才信息数据库，整合人才政策、活动、服务等渠道，构建有温度的金融人才服务体系。</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）品牌提升服务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接应本项目的总体目标，乙方提供品牌宣传与品牌活动服务。品牌活动服务将通过活动建立政府、基金类机构、企业、人才等产业主体连接，增强资源联动，活跃创投氛围。品牌宣传服务将围绕传播及招商工作需要，完善对外宣传招商使用物料；并负责本项目官方微信号的设立和日常运营工作。</w:t>
      </w:r>
    </w:p>
    <w:p>
      <w:pPr>
        <w:spacing w:line="460" w:lineRule="exact"/>
        <w:ind w:firstLine="541" w:firstLineChars="245"/>
        <w:outlineLvl w:val="1"/>
        <w:rPr>
          <w:rFonts w:hint="eastAsia" w:ascii="新宋体" w:hAnsi="新宋体" w:eastAsia="新宋体" w:cs="新宋体"/>
          <w:b/>
          <w:bCs/>
          <w:color w:val="auto"/>
          <w:sz w:val="22"/>
          <w:szCs w:val="22"/>
          <w:highlight w:val="none"/>
        </w:rPr>
      </w:pPr>
      <w:bookmarkStart w:id="183" w:name="_Toc7773"/>
      <w:bookmarkStart w:id="184" w:name="_Toc14931"/>
      <w:r>
        <w:rPr>
          <w:rFonts w:hint="eastAsia" w:ascii="新宋体" w:hAnsi="新宋体" w:eastAsia="新宋体" w:cs="新宋体"/>
          <w:b/>
          <w:bCs/>
          <w:color w:val="auto"/>
          <w:sz w:val="22"/>
          <w:szCs w:val="22"/>
          <w:highlight w:val="none"/>
        </w:rPr>
        <w:t>二、中标人管理服务人员配置数量和基本要求：</w:t>
      </w:r>
      <w:bookmarkEnd w:id="181"/>
      <w:bookmarkEnd w:id="182"/>
      <w:bookmarkEnd w:id="183"/>
      <w:bookmarkEnd w:id="184"/>
    </w:p>
    <w:p>
      <w:pPr>
        <w:spacing w:line="450" w:lineRule="atLeast"/>
        <w:ind w:firstLine="440" w:firstLineChars="200"/>
        <w:rPr>
          <w:rFonts w:hint="eastAsia" w:ascii="宋体"/>
          <w:color w:val="auto"/>
          <w:sz w:val="22"/>
          <w:szCs w:val="22"/>
          <w:highlight w:val="none"/>
        </w:rPr>
      </w:pPr>
      <w:r>
        <w:rPr>
          <w:rFonts w:hint="eastAsia" w:ascii="宋体"/>
          <w:color w:val="auto"/>
          <w:sz w:val="22"/>
          <w:szCs w:val="22"/>
          <w:highlight w:val="none"/>
        </w:rPr>
        <w:t>（一）中标人管理服务人员应满足实际运营需求，配置招商团队与运营团队人员。</w:t>
      </w:r>
    </w:p>
    <w:p>
      <w:pPr>
        <w:spacing w:line="450" w:lineRule="atLeast"/>
        <w:ind w:firstLine="440" w:firstLineChars="200"/>
        <w:rPr>
          <w:rFonts w:hint="eastAsia" w:ascii="宋体"/>
          <w:color w:val="auto"/>
          <w:sz w:val="22"/>
          <w:szCs w:val="22"/>
          <w:highlight w:val="none"/>
        </w:rPr>
      </w:pPr>
      <w:r>
        <w:rPr>
          <w:rFonts w:hint="eastAsia" w:ascii="宋体"/>
          <w:color w:val="auto"/>
          <w:sz w:val="22"/>
          <w:szCs w:val="22"/>
          <w:highlight w:val="none"/>
        </w:rPr>
        <w:t>（二）运营人员必须坚守岗位，并接受甲方的监督。</w:t>
      </w:r>
    </w:p>
    <w:p>
      <w:pPr>
        <w:spacing w:line="450" w:lineRule="atLeast"/>
        <w:ind w:firstLine="440" w:firstLineChars="200"/>
        <w:rPr>
          <w:rFonts w:hint="eastAsia" w:ascii="宋体"/>
          <w:color w:val="auto"/>
          <w:sz w:val="22"/>
          <w:szCs w:val="22"/>
          <w:highlight w:val="none"/>
          <w:u w:val="single"/>
        </w:rPr>
      </w:pPr>
      <w:r>
        <w:rPr>
          <w:rFonts w:hint="eastAsia" w:ascii="宋体"/>
          <w:color w:val="auto"/>
          <w:sz w:val="22"/>
          <w:szCs w:val="22"/>
          <w:highlight w:val="none"/>
          <w:u w:val="single"/>
        </w:rPr>
        <w:t>（三）▲职工月工资收入不低于温州当年最低工资标准</w:t>
      </w:r>
    </w:p>
    <w:p>
      <w:pPr>
        <w:spacing w:line="450" w:lineRule="atLeast"/>
        <w:ind w:firstLine="440" w:firstLineChars="200"/>
        <w:rPr>
          <w:rFonts w:hint="eastAsia" w:ascii="宋体"/>
          <w:color w:val="auto"/>
          <w:sz w:val="22"/>
          <w:szCs w:val="22"/>
          <w:highlight w:val="none"/>
          <w:u w:val="single"/>
        </w:rPr>
      </w:pPr>
      <w:r>
        <w:rPr>
          <w:rFonts w:hint="eastAsia" w:ascii="宋体"/>
          <w:color w:val="auto"/>
          <w:sz w:val="22"/>
          <w:szCs w:val="22"/>
          <w:highlight w:val="none"/>
          <w:u w:val="single"/>
        </w:rPr>
        <w:t>（四）执行《劳动法》、《劳动合同法》的有关规定，必须与员工签订书面劳动合同。</w:t>
      </w:r>
    </w:p>
    <w:p>
      <w:pPr>
        <w:spacing w:line="460" w:lineRule="exact"/>
        <w:ind w:firstLine="541" w:firstLineChars="245"/>
        <w:outlineLvl w:val="1"/>
        <w:rPr>
          <w:rFonts w:hint="eastAsia" w:ascii="新宋体" w:hAnsi="新宋体" w:eastAsia="新宋体" w:cs="新宋体"/>
          <w:b/>
          <w:bCs/>
          <w:color w:val="auto"/>
          <w:sz w:val="22"/>
          <w:highlight w:val="none"/>
        </w:rPr>
      </w:pPr>
      <w:bookmarkStart w:id="185" w:name="_Toc6486"/>
      <w:bookmarkStart w:id="186" w:name="_Toc1087"/>
      <w:r>
        <w:rPr>
          <w:rFonts w:hint="eastAsia" w:ascii="新宋体" w:hAnsi="新宋体" w:eastAsia="新宋体" w:cs="新宋体"/>
          <w:b/>
          <w:bCs/>
          <w:color w:val="auto"/>
          <w:sz w:val="22"/>
          <w:highlight w:val="none"/>
        </w:rPr>
        <w:t>三、服务期满的移交</w:t>
      </w:r>
      <w:bookmarkEnd w:id="185"/>
      <w:bookmarkEnd w:id="186"/>
    </w:p>
    <w:p>
      <w:pPr>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1、在移交之前或期间，中标人需保证现有场地干净及室内设备正常使用。中标人移交给招标人所有的场地、室内设备及其他所有资料均须经招标人验收确认。</w:t>
      </w:r>
    </w:p>
    <w:p>
      <w:pPr>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2、服务期满，出现个案（服务）仍未完结时，中标人必须安排个案负责人员将个案处理完毕。个案已处理完毕的工作人员，由中标人安排撤离。</w:t>
      </w:r>
    </w:p>
    <w:p>
      <w:pPr>
        <w:spacing w:line="460" w:lineRule="exact"/>
        <w:ind w:firstLine="541" w:firstLineChars="245"/>
        <w:outlineLvl w:val="1"/>
        <w:rPr>
          <w:rFonts w:hint="eastAsia" w:ascii="新宋体" w:hAnsi="新宋体" w:eastAsia="新宋体" w:cs="新宋体"/>
          <w:b/>
          <w:bCs/>
          <w:color w:val="auto"/>
          <w:sz w:val="22"/>
          <w:highlight w:val="none"/>
        </w:rPr>
      </w:pPr>
      <w:bookmarkStart w:id="187" w:name="_Toc23936"/>
      <w:bookmarkStart w:id="188" w:name="_Toc1565"/>
      <w:r>
        <w:rPr>
          <w:rFonts w:hint="eastAsia" w:ascii="新宋体" w:hAnsi="新宋体" w:eastAsia="新宋体" w:cs="新宋体"/>
          <w:b/>
          <w:bCs/>
          <w:color w:val="auto"/>
          <w:sz w:val="22"/>
          <w:highlight w:val="none"/>
        </w:rPr>
        <w:t>四、其他要求</w:t>
      </w:r>
      <w:bookmarkEnd w:id="187"/>
      <w:bookmarkEnd w:id="188"/>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1、中标人应制订并完善本项目计划书，设计各分项目服务规划，由招标人确认和备案后方可实施。项目执行中如确有需要对项目计划书中的服务规划进行改变，必须征得招标人同意。</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2、定期向招标人如实反映本项目的执行情况及成效；在项目实施中期及期末，配合招标人开展的例行检查、评估考核。</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3、在本项目服务过程中，由于中标人的违法违规或不当行为及过失所造成的损失及有关责任，由中标人承担。</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4、服务人员工资不</w:t>
      </w:r>
      <w:r>
        <w:rPr>
          <w:rFonts w:hint="eastAsia" w:ascii="新宋体" w:hAnsi="新宋体" w:eastAsia="新宋体" w:cs="新宋体"/>
          <w:color w:val="auto"/>
          <w:sz w:val="22"/>
          <w:szCs w:val="22"/>
          <w:highlight w:val="none"/>
        </w:rPr>
        <w:t>得低于温州市企业职工最低工资标准，并鼓励对专业人员设置工作绩效激励奖金，以便提高整体工作成效。请投标人充分考虑服务期内人员薪金的调整因素，如因用工引起的劳动纠纷问题由中标人负责解决。</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5、中标人对聘用员工必须严格管理并对其行为负全责，如在本项目内发生意外（生病、伤亡事故）或触犯国家法律等，由此产生的经济赔偿和法律责任由中标人承担</w:t>
      </w:r>
      <w:r>
        <w:rPr>
          <w:rFonts w:hint="eastAsia" w:ascii="新宋体" w:hAnsi="新宋体" w:eastAsia="新宋体" w:cs="新宋体"/>
          <w:b/>
          <w:bCs/>
          <w:color w:val="auto"/>
          <w:sz w:val="22"/>
          <w:highlight w:val="none"/>
        </w:rPr>
        <w:t xml:space="preserve">                 </w:t>
      </w:r>
    </w:p>
    <w:p>
      <w:pPr>
        <w:spacing w:line="460" w:lineRule="exact"/>
        <w:ind w:firstLine="541" w:firstLineChars="245"/>
        <w:outlineLvl w:val="1"/>
        <w:rPr>
          <w:rFonts w:hint="eastAsia" w:ascii="新宋体" w:hAnsi="新宋体" w:eastAsia="新宋体" w:cs="新宋体"/>
          <w:b/>
          <w:bCs/>
          <w:color w:val="auto"/>
          <w:sz w:val="22"/>
          <w:szCs w:val="22"/>
          <w:highlight w:val="none"/>
        </w:rPr>
      </w:pPr>
      <w:bookmarkStart w:id="189" w:name="_Toc28872"/>
      <w:bookmarkStart w:id="190" w:name="_Toc467789627"/>
      <w:bookmarkStart w:id="191" w:name="_Toc860"/>
      <w:bookmarkStart w:id="192" w:name="_Toc20320"/>
      <w:r>
        <w:rPr>
          <w:rFonts w:hint="eastAsia" w:ascii="新宋体" w:hAnsi="新宋体" w:eastAsia="新宋体" w:cs="新宋体"/>
          <w:b/>
          <w:bCs/>
          <w:color w:val="auto"/>
          <w:sz w:val="22"/>
          <w:szCs w:val="22"/>
          <w:highlight w:val="none"/>
        </w:rPr>
        <w:t>五、报价</w:t>
      </w:r>
      <w:bookmarkEnd w:id="189"/>
      <w:bookmarkEnd w:id="190"/>
      <w:r>
        <w:rPr>
          <w:rFonts w:hint="eastAsia" w:ascii="新宋体" w:hAnsi="新宋体" w:eastAsia="新宋体" w:cs="新宋体"/>
          <w:b/>
          <w:bCs/>
          <w:color w:val="auto"/>
          <w:sz w:val="22"/>
          <w:szCs w:val="22"/>
          <w:highlight w:val="none"/>
        </w:rPr>
        <w:t>要求</w:t>
      </w:r>
      <w:bookmarkEnd w:id="191"/>
      <w:bookmarkEnd w:id="192"/>
    </w:p>
    <w:p>
      <w:pPr>
        <w:spacing w:line="45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olor w:val="auto"/>
          <w:sz w:val="22"/>
          <w:highlight w:val="none"/>
        </w:rPr>
        <w:t>预算：运营服务</w:t>
      </w:r>
      <w:r>
        <w:rPr>
          <w:rFonts w:hint="eastAsia" w:ascii="新宋体" w:hAnsi="新宋体" w:eastAsia="新宋体" w:cs="新宋体"/>
          <w:color w:val="auto"/>
          <w:sz w:val="22"/>
          <w:highlight w:val="none"/>
        </w:rPr>
        <w:t>费最高限价为</w:t>
      </w:r>
      <w:r>
        <w:rPr>
          <w:rFonts w:hint="eastAsia" w:ascii="新宋体" w:hAnsi="新宋体" w:eastAsia="新宋体" w:cs="新宋体"/>
          <w:color w:val="auto"/>
          <w:sz w:val="22"/>
          <w:highlight w:val="none"/>
          <w:u w:val="single"/>
          <w:lang w:val="en-US" w:eastAsia="zh-CN"/>
        </w:rPr>
        <w:t>42</w:t>
      </w:r>
      <w:r>
        <w:rPr>
          <w:rFonts w:ascii="新宋体" w:hAnsi="新宋体" w:eastAsia="新宋体" w:cs="新宋体"/>
          <w:color w:val="auto"/>
          <w:sz w:val="22"/>
          <w:highlight w:val="none"/>
          <w:u w:val="single"/>
        </w:rPr>
        <w:t>00</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万元，每年运营服务费最高限价为</w:t>
      </w:r>
      <w:r>
        <w:rPr>
          <w:rFonts w:hint="eastAsia" w:ascii="新宋体" w:hAnsi="新宋体" w:eastAsia="新宋体" w:cs="新宋体"/>
          <w:color w:val="auto"/>
          <w:sz w:val="22"/>
          <w:highlight w:val="none"/>
          <w:u w:val="single"/>
        </w:rPr>
        <w:t xml:space="preserve"> </w:t>
      </w:r>
      <w:r>
        <w:rPr>
          <w:rFonts w:ascii="新宋体" w:hAnsi="新宋体" w:eastAsia="新宋体" w:cs="新宋体"/>
          <w:color w:val="auto"/>
          <w:sz w:val="22"/>
          <w:highlight w:val="none"/>
          <w:u w:val="single"/>
        </w:rPr>
        <w:t>1</w:t>
      </w:r>
      <w:r>
        <w:rPr>
          <w:rFonts w:hint="eastAsia" w:ascii="新宋体" w:hAnsi="新宋体" w:eastAsia="新宋体" w:cs="新宋体"/>
          <w:color w:val="auto"/>
          <w:sz w:val="22"/>
          <w:highlight w:val="none"/>
          <w:u w:val="single"/>
          <w:lang w:val="en-US" w:eastAsia="zh-CN"/>
        </w:rPr>
        <w:t>4</w:t>
      </w:r>
      <w:r>
        <w:rPr>
          <w:rFonts w:hint="eastAsia" w:ascii="新宋体" w:hAnsi="新宋体" w:eastAsia="新宋体" w:cs="新宋体"/>
          <w:color w:val="auto"/>
          <w:sz w:val="22"/>
          <w:highlight w:val="none"/>
          <w:u w:val="single"/>
        </w:rPr>
        <w:t>00</w:t>
      </w:r>
      <w:r>
        <w:rPr>
          <w:rFonts w:hint="eastAsia" w:ascii="新宋体" w:hAnsi="新宋体" w:eastAsia="新宋体" w:cs="新宋体"/>
          <w:color w:val="auto"/>
          <w:sz w:val="22"/>
          <w:highlight w:val="none"/>
        </w:rPr>
        <w:t>万元，</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年共为</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u w:val="single"/>
          <w:lang w:val="en-US" w:eastAsia="zh-CN"/>
        </w:rPr>
        <w:t>42</w:t>
      </w:r>
      <w:r>
        <w:rPr>
          <w:rFonts w:hint="eastAsia" w:ascii="新宋体" w:hAnsi="新宋体" w:eastAsia="新宋体" w:cs="新宋体"/>
          <w:color w:val="auto"/>
          <w:sz w:val="22"/>
          <w:highlight w:val="none"/>
          <w:u w:val="single"/>
        </w:rPr>
        <w:t>00</w:t>
      </w:r>
      <w:r>
        <w:rPr>
          <w:rFonts w:hint="eastAsia" w:ascii="新宋体" w:hAnsi="新宋体" w:eastAsia="新宋体" w:cs="新宋体"/>
          <w:color w:val="auto"/>
          <w:sz w:val="22"/>
          <w:highlight w:val="none"/>
        </w:rPr>
        <w:t>万元。</w:t>
      </w:r>
    </w:p>
    <w:p>
      <w:pPr>
        <w:spacing w:line="45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以上报价超过任一最高限价的,其投标文件做无效标处理。</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2、在保证服务质量与最精简优化人员配备的前提下，实行费用包干。</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3、运营费用包括人工成本支出如人员工资、社保费、公积金、福利，办公费用支出如办公水电费、通讯费、交通费等。</w:t>
      </w:r>
    </w:p>
    <w:p>
      <w:pPr>
        <w:spacing w:line="460" w:lineRule="exact"/>
        <w:ind w:firstLine="541" w:firstLineChars="245"/>
        <w:outlineLvl w:val="1"/>
        <w:rPr>
          <w:rFonts w:hint="eastAsia" w:ascii="新宋体" w:hAnsi="新宋体" w:eastAsia="新宋体" w:cs="新宋体"/>
          <w:b/>
          <w:bCs/>
          <w:color w:val="auto"/>
          <w:sz w:val="22"/>
          <w:szCs w:val="22"/>
          <w:highlight w:val="none"/>
        </w:rPr>
      </w:pPr>
      <w:bookmarkStart w:id="193" w:name="_Toc14559"/>
      <w:bookmarkStart w:id="194" w:name="_Toc467789629"/>
      <w:bookmarkStart w:id="195" w:name="_Toc32280"/>
      <w:bookmarkStart w:id="196" w:name="_Toc2749"/>
      <w:r>
        <w:rPr>
          <w:rFonts w:hint="eastAsia" w:ascii="新宋体" w:hAnsi="新宋体" w:eastAsia="新宋体" w:cs="新宋体"/>
          <w:b/>
          <w:bCs/>
          <w:color w:val="auto"/>
          <w:sz w:val="22"/>
          <w:szCs w:val="22"/>
          <w:highlight w:val="none"/>
        </w:rPr>
        <w:t>六、经费结算</w:t>
      </w:r>
      <w:bookmarkEnd w:id="193"/>
      <w:bookmarkEnd w:id="194"/>
      <w:bookmarkEnd w:id="195"/>
      <w:bookmarkEnd w:id="196"/>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1、在保证服务质量与最精简优化人员配备的前提下，实行费用包干（须编制详细预算）。</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2、招标人提供的各种设备、设施、工具，供应商应安全、规范使用。除正常使用折旧外，供应商应保证各设备、设施、工具的完好性，如有非正常损坏或遗失，供应商应照价赔偿。</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3、中标人必须对运营管理服务人员严格管理，如发现服务人员有赌博、滋事、扰乱治安、偷盗物资等情况，发现一次则扣罚当月园区管理服务费10%。</w:t>
      </w:r>
    </w:p>
    <w:p>
      <w:pPr>
        <w:pStyle w:val="17"/>
        <w:rPr>
          <w:rFonts w:hint="eastAsia" w:ascii="新宋体" w:hAnsi="新宋体" w:eastAsia="新宋体" w:cs="新宋体"/>
          <w:bCs/>
          <w:color w:val="auto"/>
          <w:sz w:val="22"/>
          <w:szCs w:val="22"/>
          <w:highlight w:val="none"/>
          <w:lang w:val="zh-CN"/>
        </w:rPr>
      </w:pPr>
    </w:p>
    <w:p>
      <w:pPr>
        <w:rPr>
          <w:rFonts w:ascii="宋体" w:hAnsi="宋体"/>
          <w:color w:val="auto"/>
          <w:sz w:val="22"/>
          <w:szCs w:val="22"/>
          <w:highlight w:val="none"/>
        </w:rPr>
      </w:pPr>
      <w:r>
        <w:rPr>
          <w:rFonts w:ascii="宋体" w:hAnsi="宋体"/>
          <w:color w:val="auto"/>
          <w:sz w:val="22"/>
          <w:szCs w:val="22"/>
          <w:highlight w:val="none"/>
        </w:rPr>
        <w:br w:type="page"/>
      </w:r>
    </w:p>
    <w:p>
      <w:pPr>
        <w:pStyle w:val="5"/>
        <w:rPr>
          <w:rFonts w:hint="default" w:ascii="宋体" w:hAnsi="宋体" w:eastAsia="宋体" w:cs="Arial"/>
          <w:color w:val="auto"/>
          <w:sz w:val="36"/>
          <w:szCs w:val="36"/>
          <w:highlight w:val="none"/>
          <w:lang w:val="en-US" w:eastAsia="zh-CN"/>
        </w:rPr>
      </w:pPr>
      <w:bookmarkStart w:id="197" w:name="_Toc12101"/>
      <w:r>
        <w:rPr>
          <w:rFonts w:hint="eastAsia" w:ascii="宋体" w:hAnsi="宋体" w:eastAsia="宋体" w:cs="Arial"/>
          <w:color w:val="auto"/>
          <w:sz w:val="36"/>
          <w:szCs w:val="36"/>
          <w:highlight w:val="none"/>
        </w:rPr>
        <w:t xml:space="preserve">第三部分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eastAsia="宋体" w:cs="Arial"/>
          <w:color w:val="auto"/>
          <w:sz w:val="36"/>
          <w:szCs w:val="36"/>
          <w:highlight w:val="none"/>
          <w:lang w:val="en-US" w:eastAsia="zh-CN"/>
        </w:rPr>
        <w:t>评标原则及方法</w:t>
      </w:r>
      <w:bookmarkEnd w:id="197"/>
    </w:p>
    <w:p>
      <w:pPr>
        <w:spacing w:line="420" w:lineRule="exact"/>
        <w:ind w:left="439" w:leftChars="209"/>
        <w:rPr>
          <w:rFonts w:ascii="宋体" w:hAnsi="宋体"/>
          <w:b/>
          <w:color w:val="auto"/>
          <w:sz w:val="22"/>
          <w:szCs w:val="22"/>
          <w:highlight w:val="none"/>
        </w:rPr>
      </w:pPr>
      <w:r>
        <w:rPr>
          <w:rFonts w:hint="eastAsia" w:ascii="宋体" w:hAnsi="宋体"/>
          <w:b/>
          <w:color w:val="auto"/>
          <w:sz w:val="22"/>
          <w:szCs w:val="22"/>
          <w:highlight w:val="none"/>
        </w:rPr>
        <w:t>据《中华人民共和国政府采购法》等相关法规特制定以下评标办法。</w:t>
      </w:r>
    </w:p>
    <w:p>
      <w:pPr>
        <w:pStyle w:val="3"/>
        <w:spacing w:before="120" w:beforeLines="50" w:afterLines="50"/>
        <w:rPr>
          <w:rFonts w:ascii="宋体" w:hAnsi="宋体" w:cs="Arial"/>
          <w:b/>
          <w:color w:val="auto"/>
          <w:highlight w:val="none"/>
        </w:rPr>
      </w:pPr>
      <w:bookmarkStart w:id="198" w:name="_Toc221356961"/>
      <w:bookmarkStart w:id="199" w:name="_Toc221356898"/>
      <w:r>
        <w:rPr>
          <w:rFonts w:hint="eastAsia" w:ascii="宋体" w:hAnsi="宋体" w:cs="Arial"/>
          <w:b/>
          <w:color w:val="auto"/>
          <w:highlight w:val="none"/>
        </w:rPr>
        <w:t>一. 总  则</w:t>
      </w:r>
      <w:bookmarkEnd w:id="198"/>
      <w:bookmarkEnd w:id="199"/>
    </w:p>
    <w:p>
      <w:pPr>
        <w:spacing w:line="420" w:lineRule="exact"/>
        <w:ind w:left="439" w:leftChars="209"/>
        <w:rPr>
          <w:rFonts w:ascii="宋体" w:hAnsi="宋体" w:cs="Arial"/>
          <w:color w:val="auto"/>
          <w:sz w:val="22"/>
          <w:szCs w:val="22"/>
          <w:highlight w:val="none"/>
        </w:rPr>
      </w:pPr>
      <w:r>
        <w:rPr>
          <w:rFonts w:hint="eastAsia" w:ascii="宋体" w:hAnsi="宋体" w:cs="Arial"/>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color w:val="auto"/>
          <w:sz w:val="22"/>
          <w:highlight w:val="none"/>
        </w:rPr>
      </w:pPr>
      <w:r>
        <w:rPr>
          <w:rFonts w:hint="eastAsia" w:ascii="宋体" w:hAnsi="宋体" w:cs="Arial"/>
          <w:b/>
          <w:color w:val="auto"/>
          <w:sz w:val="22"/>
          <w:highlight w:val="none"/>
        </w:rPr>
        <w:t>二、评标组织</w:t>
      </w:r>
    </w:p>
    <w:p>
      <w:pPr>
        <w:spacing w:line="420" w:lineRule="exact"/>
        <w:ind w:left="439" w:leftChars="209"/>
        <w:rPr>
          <w:rFonts w:ascii="宋体" w:hAnsi="宋体" w:cs="Arial"/>
          <w:color w:val="auto"/>
          <w:sz w:val="22"/>
          <w:szCs w:val="22"/>
          <w:highlight w:val="none"/>
        </w:rPr>
      </w:pPr>
      <w:r>
        <w:rPr>
          <w:rFonts w:hint="eastAsia" w:ascii="宋体" w:hAnsi="宋体"/>
          <w:color w:val="auto"/>
          <w:sz w:val="22"/>
          <w:szCs w:val="22"/>
          <w:highlight w:val="none"/>
        </w:rPr>
        <w:t>评标工作由招标人依法组建的评标委员会负责，评标全过程由有关部门指导监督。</w:t>
      </w:r>
    </w:p>
    <w:p>
      <w:pPr>
        <w:spacing w:line="420" w:lineRule="exact"/>
        <w:rPr>
          <w:rFonts w:ascii="宋体" w:hAnsi="宋体" w:cs="Arial"/>
          <w:b/>
          <w:color w:val="auto"/>
          <w:sz w:val="22"/>
          <w:highlight w:val="none"/>
        </w:rPr>
      </w:pPr>
      <w:r>
        <w:rPr>
          <w:rFonts w:hint="eastAsia" w:ascii="宋体" w:hAnsi="宋体" w:cs="Arial"/>
          <w:b/>
          <w:color w:val="auto"/>
          <w:sz w:val="22"/>
          <w:highlight w:val="none"/>
        </w:rPr>
        <w:t>三、评标办法</w:t>
      </w:r>
    </w:p>
    <w:p>
      <w:pPr>
        <w:spacing w:line="400" w:lineRule="exact"/>
        <w:ind w:left="439" w:leftChars="209"/>
        <w:rPr>
          <w:rFonts w:ascii="宋体" w:hAnsi="宋体" w:cs="Arial"/>
          <w:b/>
          <w:color w:val="auto"/>
          <w:sz w:val="22"/>
          <w:highlight w:val="none"/>
        </w:rPr>
      </w:pPr>
      <w:r>
        <w:rPr>
          <w:rFonts w:hint="eastAsia" w:ascii="宋体" w:hAnsi="宋体" w:cs="Arial"/>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color w:val="auto"/>
          <w:sz w:val="22"/>
          <w:highlight w:val="none"/>
        </w:rPr>
        <w:t>总分设定为100分；其中商务技术文件</w:t>
      </w:r>
      <w:r>
        <w:rPr>
          <w:rFonts w:hint="eastAsia" w:ascii="宋体" w:hAnsi="宋体" w:cs="Arial"/>
          <w:b/>
          <w:color w:val="auto"/>
          <w:sz w:val="22"/>
          <w:highlight w:val="none"/>
          <w:lang w:val="en-US" w:eastAsia="zh-CN"/>
        </w:rPr>
        <w:t>90</w:t>
      </w:r>
      <w:r>
        <w:rPr>
          <w:rFonts w:hint="eastAsia" w:ascii="宋体" w:hAnsi="宋体" w:cs="Arial"/>
          <w:b/>
          <w:color w:val="auto"/>
          <w:sz w:val="22"/>
          <w:highlight w:val="none"/>
        </w:rPr>
        <w:t>分，报价文件（报价）</w:t>
      </w:r>
      <w:r>
        <w:rPr>
          <w:rFonts w:hint="eastAsia" w:ascii="宋体" w:hAnsi="宋体" w:cs="Arial"/>
          <w:b/>
          <w:color w:val="auto"/>
          <w:sz w:val="22"/>
          <w:highlight w:val="none"/>
          <w:lang w:val="en-US" w:eastAsia="zh-CN"/>
        </w:rPr>
        <w:t>10</w:t>
      </w:r>
      <w:r>
        <w:rPr>
          <w:rFonts w:hint="eastAsia" w:ascii="宋体" w:hAnsi="宋体" w:cs="Arial"/>
          <w:b/>
          <w:color w:val="auto"/>
          <w:sz w:val="22"/>
          <w:highlight w:val="none"/>
        </w:rPr>
        <w:t>分。</w:t>
      </w:r>
    </w:p>
    <w:p>
      <w:pPr>
        <w:spacing w:line="420" w:lineRule="exact"/>
        <w:rPr>
          <w:rFonts w:ascii="宋体" w:hAnsi="宋体" w:cs="Arial"/>
          <w:b/>
          <w:color w:val="auto"/>
          <w:sz w:val="22"/>
          <w:highlight w:val="none"/>
        </w:rPr>
      </w:pPr>
      <w:bookmarkStart w:id="200" w:name="_Toc221356902"/>
      <w:bookmarkStart w:id="201" w:name="_Toc221356965"/>
      <w:r>
        <w:rPr>
          <w:rFonts w:hint="eastAsia" w:ascii="宋体" w:hAnsi="宋体" w:cs="Arial"/>
          <w:b/>
          <w:color w:val="auto"/>
          <w:sz w:val="22"/>
          <w:highlight w:val="none"/>
        </w:rPr>
        <w:t>四、评分细则</w:t>
      </w:r>
      <w:bookmarkEnd w:id="200"/>
      <w:bookmarkEnd w:id="201"/>
    </w:p>
    <w:p>
      <w:pPr>
        <w:spacing w:line="400" w:lineRule="exact"/>
        <w:rPr>
          <w:rFonts w:ascii="宋体" w:hAnsi="宋体" w:cs="Arial"/>
          <w:color w:val="auto"/>
          <w:sz w:val="22"/>
          <w:highlight w:val="none"/>
        </w:rPr>
      </w:pPr>
      <w:bookmarkStart w:id="202" w:name="_Toc221356903"/>
      <w:bookmarkStart w:id="203" w:name="_Toc221356966"/>
      <w:r>
        <w:rPr>
          <w:rFonts w:hint="eastAsia" w:ascii="宋体" w:hAnsi="宋体" w:cs="Arial"/>
          <w:color w:val="auto"/>
          <w:sz w:val="22"/>
          <w:highlight w:val="none"/>
        </w:rPr>
        <w:t>1、商务技术分的评定（</w:t>
      </w:r>
      <w:r>
        <w:rPr>
          <w:rFonts w:hint="eastAsia" w:ascii="宋体" w:hAnsi="宋体" w:cs="Arial"/>
          <w:color w:val="auto"/>
          <w:sz w:val="22"/>
          <w:highlight w:val="none"/>
          <w:lang w:val="en-US" w:eastAsia="zh-CN"/>
        </w:rPr>
        <w:t>90</w:t>
      </w:r>
      <w:r>
        <w:rPr>
          <w:rFonts w:hint="eastAsia" w:ascii="宋体" w:hAnsi="宋体" w:cs="Arial"/>
          <w:color w:val="auto"/>
          <w:sz w:val="22"/>
          <w:highlight w:val="none"/>
        </w:rPr>
        <w:t>分）</w:t>
      </w:r>
    </w:p>
    <w:p>
      <w:pPr>
        <w:spacing w:line="400" w:lineRule="exact"/>
        <w:ind w:left="439" w:leftChars="209"/>
        <w:rPr>
          <w:rFonts w:hint="eastAsia" w:ascii="宋体" w:hAnsi="宋体" w:cs="Arial"/>
          <w:color w:val="auto"/>
          <w:sz w:val="22"/>
          <w:highlight w:val="none"/>
        </w:rPr>
      </w:pPr>
      <w:r>
        <w:rPr>
          <w:rFonts w:hint="eastAsia" w:ascii="宋体" w:hAnsi="宋体" w:cs="Arial"/>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1460"/>
        <w:gridCol w:w="5982"/>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noWrap w:val="0"/>
            <w:vAlign w:val="center"/>
          </w:tcPr>
          <w:p>
            <w:pPr>
              <w:pStyle w:val="2"/>
              <w:spacing w:after="0"/>
              <w:ind w:firstLine="0" w:firstLineChars="0"/>
              <w:jc w:val="both"/>
              <w:rPr>
                <w:rFonts w:ascii="宋体" w:hAnsi="宋体" w:cs="新宋体"/>
                <w:b/>
                <w:bCs/>
                <w:color w:val="auto"/>
                <w:sz w:val="21"/>
                <w:szCs w:val="21"/>
                <w:highlight w:val="none"/>
              </w:rPr>
            </w:pPr>
            <w:r>
              <w:rPr>
                <w:rFonts w:hint="eastAsia" w:ascii="宋体" w:hAnsi="宋体" w:cs="新宋体"/>
                <w:b/>
                <w:bCs/>
                <w:color w:val="auto"/>
                <w:sz w:val="21"/>
                <w:szCs w:val="21"/>
                <w:highlight w:val="none"/>
              </w:rPr>
              <w:t>序号</w:t>
            </w:r>
          </w:p>
        </w:tc>
        <w:tc>
          <w:tcPr>
            <w:tcW w:w="1460" w:type="dxa"/>
            <w:noWrap w:val="0"/>
            <w:vAlign w:val="center"/>
          </w:tcPr>
          <w:p>
            <w:pPr>
              <w:pStyle w:val="2"/>
              <w:spacing w:after="0"/>
              <w:ind w:firstLine="211"/>
              <w:jc w:val="center"/>
              <w:rPr>
                <w:rFonts w:ascii="宋体" w:hAnsi="宋体" w:cs="新宋体"/>
                <w:b/>
                <w:bCs/>
                <w:color w:val="auto"/>
                <w:sz w:val="21"/>
                <w:szCs w:val="21"/>
                <w:highlight w:val="none"/>
              </w:rPr>
            </w:pPr>
            <w:r>
              <w:rPr>
                <w:rFonts w:hint="eastAsia" w:ascii="宋体" w:hAnsi="宋体" w:cs="新宋体"/>
                <w:b/>
                <w:bCs/>
                <w:color w:val="auto"/>
                <w:sz w:val="21"/>
                <w:szCs w:val="21"/>
                <w:highlight w:val="none"/>
              </w:rPr>
              <w:t>评分项目</w:t>
            </w:r>
          </w:p>
        </w:tc>
        <w:tc>
          <w:tcPr>
            <w:tcW w:w="5982" w:type="dxa"/>
            <w:tcBorders>
              <w:top w:val="single" w:color="auto" w:sz="4" w:space="0"/>
            </w:tcBorders>
            <w:noWrap w:val="0"/>
            <w:vAlign w:val="center"/>
          </w:tcPr>
          <w:p>
            <w:pPr>
              <w:pStyle w:val="2"/>
              <w:spacing w:after="0"/>
              <w:ind w:firstLine="0" w:firstLineChars="0"/>
              <w:jc w:val="center"/>
              <w:rPr>
                <w:rFonts w:ascii="宋体" w:hAnsi="宋体" w:cs="新宋体"/>
                <w:b/>
                <w:bCs/>
                <w:color w:val="auto"/>
                <w:sz w:val="21"/>
                <w:szCs w:val="21"/>
                <w:highlight w:val="none"/>
              </w:rPr>
            </w:pPr>
            <w:r>
              <w:rPr>
                <w:rFonts w:hint="eastAsia" w:ascii="宋体" w:hAnsi="宋体" w:cs="新宋体"/>
                <w:b/>
                <w:bCs/>
                <w:color w:val="auto"/>
                <w:sz w:val="21"/>
                <w:szCs w:val="21"/>
                <w:highlight w:val="none"/>
              </w:rPr>
              <w:t>评分标准及内容</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b/>
                <w:bCs/>
                <w:color w:val="auto"/>
                <w:sz w:val="21"/>
                <w:szCs w:val="21"/>
                <w:highlight w:val="none"/>
              </w:rPr>
            </w:pPr>
            <w:r>
              <w:rPr>
                <w:rFonts w:hint="eastAsia" w:ascii="宋体" w:hAnsi="宋体" w:cs="新宋体"/>
                <w:b/>
                <w:bCs/>
                <w:color w:val="auto"/>
                <w:sz w:val="21"/>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noWrap w:val="0"/>
            <w:vAlign w:val="center"/>
          </w:tcPr>
          <w:p>
            <w:pPr>
              <w:pStyle w:val="2"/>
              <w:spacing w:after="0"/>
              <w:ind w:firstLine="0" w:firstLineChars="0"/>
              <w:jc w:val="center"/>
              <w:rPr>
                <w:rFonts w:ascii="宋体" w:hAnsi="宋体" w:cs="新宋体"/>
                <w:b/>
                <w:bCs/>
                <w:color w:val="auto"/>
                <w:sz w:val="21"/>
                <w:szCs w:val="21"/>
                <w:highlight w:val="none"/>
              </w:rPr>
            </w:pPr>
            <w:r>
              <w:rPr>
                <w:rFonts w:hint="eastAsia" w:ascii="宋体" w:hAnsi="宋体" w:cs="新宋体"/>
                <w:b/>
                <w:bCs/>
                <w:color w:val="auto"/>
                <w:sz w:val="21"/>
                <w:szCs w:val="21"/>
                <w:highlight w:val="none"/>
              </w:rPr>
              <w:t>1</w:t>
            </w:r>
          </w:p>
        </w:tc>
        <w:tc>
          <w:tcPr>
            <w:tcW w:w="1460" w:type="dxa"/>
            <w:tcBorders>
              <w:bottom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项目总体定位与运营规划方案</w:t>
            </w:r>
          </w:p>
        </w:tc>
        <w:tc>
          <w:tcPr>
            <w:tcW w:w="5982" w:type="dxa"/>
            <w:noWrap w:val="0"/>
            <w:vAlign w:val="center"/>
          </w:tcPr>
          <w:p>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根据投标人提供的针对本项目的总体定位与运营规划方案进行打分，具体包括以下内容：</w:t>
            </w:r>
          </w:p>
          <w:p>
            <w:pPr>
              <w:pStyle w:val="2"/>
              <w:spacing w:after="0"/>
              <w:ind w:firstLine="0" w:firstLineChars="0"/>
              <w:rPr>
                <w:rFonts w:ascii="宋体" w:hAnsi="宋体"/>
                <w:color w:val="auto"/>
                <w:sz w:val="21"/>
                <w:szCs w:val="21"/>
                <w:highlight w:val="none"/>
              </w:rPr>
            </w:pPr>
            <w:r>
              <w:rPr>
                <w:rFonts w:hint="eastAsia" w:ascii="宋体" w:hAnsi="宋体"/>
                <w:b/>
                <w:bCs/>
                <w:color w:val="auto"/>
                <w:sz w:val="21"/>
                <w:szCs w:val="21"/>
                <w:highlight w:val="none"/>
              </w:rPr>
              <w:t>1、项目背景分析与重要性分析（0-</w:t>
            </w:r>
            <w:r>
              <w:rPr>
                <w:rFonts w:ascii="宋体" w:hAnsi="宋体"/>
                <w:b/>
                <w:bCs/>
                <w:color w:val="auto"/>
                <w:sz w:val="21"/>
                <w:szCs w:val="21"/>
                <w:highlight w:val="none"/>
              </w:rPr>
              <w:t>3</w:t>
            </w:r>
            <w:r>
              <w:rPr>
                <w:rFonts w:hint="eastAsia" w:ascii="宋体" w:hAnsi="宋体"/>
                <w:b/>
                <w:bCs/>
                <w:color w:val="auto"/>
                <w:sz w:val="21"/>
                <w:szCs w:val="21"/>
                <w:highlight w:val="none"/>
              </w:rPr>
              <w:t>分）：对本项目发展背景和重要性分析。</w:t>
            </w:r>
            <w:r>
              <w:rPr>
                <w:rFonts w:hint="eastAsia" w:ascii="宋体" w:hAnsi="宋体"/>
                <w:color w:val="auto"/>
                <w:sz w:val="21"/>
                <w:szCs w:val="21"/>
                <w:highlight w:val="none"/>
              </w:rPr>
              <w:t>分析合理、全面，得3-2分；分析基本合理，得2-1分；分析一般或不合理，得1-0分。</w:t>
            </w:r>
          </w:p>
          <w:p>
            <w:pPr>
              <w:pStyle w:val="2"/>
              <w:spacing w:after="0"/>
              <w:ind w:firstLine="0" w:firstLineChars="0"/>
              <w:rPr>
                <w:rFonts w:ascii="宋体" w:hAnsi="宋体"/>
                <w:color w:val="auto"/>
                <w:sz w:val="21"/>
                <w:szCs w:val="21"/>
                <w:highlight w:val="none"/>
              </w:rPr>
            </w:pPr>
            <w:r>
              <w:rPr>
                <w:rFonts w:hint="eastAsia" w:ascii="宋体" w:hAnsi="宋体"/>
                <w:b/>
                <w:bCs/>
                <w:color w:val="auto"/>
                <w:sz w:val="21"/>
                <w:szCs w:val="21"/>
                <w:highlight w:val="none"/>
              </w:rPr>
              <w:t>2、项目总体定位规划（0-</w:t>
            </w:r>
            <w:r>
              <w:rPr>
                <w:rFonts w:ascii="宋体" w:hAnsi="宋体"/>
                <w:b/>
                <w:bCs/>
                <w:color w:val="auto"/>
                <w:sz w:val="21"/>
                <w:szCs w:val="21"/>
                <w:highlight w:val="none"/>
              </w:rPr>
              <w:t>3</w:t>
            </w:r>
            <w:r>
              <w:rPr>
                <w:rFonts w:hint="eastAsia" w:ascii="宋体" w:hAnsi="宋体"/>
                <w:b/>
                <w:bCs/>
                <w:color w:val="auto"/>
                <w:sz w:val="21"/>
                <w:szCs w:val="21"/>
                <w:highlight w:val="none"/>
              </w:rPr>
              <w:t>分）：关于本项目的总体定位、功能定位等分析。</w:t>
            </w:r>
            <w:r>
              <w:rPr>
                <w:rFonts w:hint="eastAsia" w:ascii="宋体" w:hAnsi="宋体"/>
                <w:color w:val="auto"/>
                <w:sz w:val="21"/>
                <w:szCs w:val="21"/>
                <w:highlight w:val="none"/>
              </w:rPr>
              <w:t>分析合理、全面，得3-2分；分析基本合理，得2-1分；分析一般或不合理，得1-0分。</w:t>
            </w:r>
          </w:p>
          <w:p>
            <w:pPr>
              <w:pStyle w:val="2"/>
              <w:spacing w:after="0"/>
              <w:ind w:firstLine="0" w:firstLineChars="0"/>
              <w:rPr>
                <w:rFonts w:ascii="宋体" w:hAnsi="宋体"/>
                <w:color w:val="auto"/>
                <w:sz w:val="21"/>
                <w:szCs w:val="21"/>
                <w:highlight w:val="none"/>
              </w:rPr>
            </w:pPr>
            <w:r>
              <w:rPr>
                <w:rFonts w:hint="eastAsia" w:ascii="宋体" w:hAnsi="宋体"/>
                <w:b/>
                <w:bCs/>
                <w:color w:val="auto"/>
                <w:sz w:val="21"/>
                <w:szCs w:val="21"/>
                <w:highlight w:val="none"/>
              </w:rPr>
              <w:t>3、项目实施举措（0-</w:t>
            </w:r>
            <w:r>
              <w:rPr>
                <w:rFonts w:ascii="宋体" w:hAnsi="宋体"/>
                <w:b/>
                <w:bCs/>
                <w:color w:val="auto"/>
                <w:sz w:val="21"/>
                <w:szCs w:val="21"/>
                <w:highlight w:val="none"/>
              </w:rPr>
              <w:t>3</w:t>
            </w:r>
            <w:r>
              <w:rPr>
                <w:rFonts w:hint="eastAsia" w:ascii="宋体" w:hAnsi="宋体"/>
                <w:b/>
                <w:bCs/>
                <w:color w:val="auto"/>
                <w:sz w:val="21"/>
                <w:szCs w:val="21"/>
                <w:highlight w:val="none"/>
              </w:rPr>
              <w:t>分）：本项目实施的重要举措。</w:t>
            </w:r>
            <w:r>
              <w:rPr>
                <w:rFonts w:hint="eastAsia" w:ascii="宋体" w:hAnsi="宋体"/>
                <w:color w:val="auto"/>
                <w:sz w:val="21"/>
                <w:szCs w:val="21"/>
                <w:highlight w:val="none"/>
              </w:rPr>
              <w:t>分析合理、全面，得</w:t>
            </w:r>
            <w:r>
              <w:rPr>
                <w:rFonts w:ascii="宋体" w:hAnsi="宋体"/>
                <w:color w:val="auto"/>
                <w:sz w:val="21"/>
                <w:szCs w:val="21"/>
                <w:highlight w:val="none"/>
              </w:rPr>
              <w:t>3-2</w:t>
            </w:r>
            <w:r>
              <w:rPr>
                <w:rFonts w:hint="eastAsia" w:ascii="宋体" w:hAnsi="宋体"/>
                <w:color w:val="auto"/>
                <w:sz w:val="21"/>
                <w:szCs w:val="21"/>
                <w:highlight w:val="none"/>
              </w:rPr>
              <w:t>分；分析基本合理，得2-1分；分析一般或不合理，得1-0分。</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9</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2</w:t>
            </w:r>
          </w:p>
        </w:tc>
        <w:tc>
          <w:tcPr>
            <w:tcW w:w="1460" w:type="dxa"/>
            <w:tcBorders>
              <w:top w:val="single" w:color="auto" w:sz="4" w:space="0"/>
              <w:bottom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空间功能规划方案</w:t>
            </w:r>
          </w:p>
        </w:tc>
        <w:tc>
          <w:tcPr>
            <w:tcW w:w="5982" w:type="dxa"/>
            <w:noWrap w:val="0"/>
            <w:vAlign w:val="center"/>
          </w:tcPr>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根据投标人提供的针对本项目的空间功能规划方案进行打分，具体包括以下内容：</w:t>
            </w:r>
          </w:p>
          <w:p>
            <w:pPr>
              <w:pStyle w:val="2"/>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1、空间现状分析（0-</w:t>
            </w:r>
            <w:r>
              <w:rPr>
                <w:rFonts w:ascii="宋体" w:hAnsi="宋体" w:cs="新宋体"/>
                <w:b/>
                <w:bCs/>
                <w:color w:val="auto"/>
                <w:sz w:val="21"/>
                <w:szCs w:val="21"/>
                <w:highlight w:val="none"/>
              </w:rPr>
              <w:t>2</w:t>
            </w:r>
            <w:r>
              <w:rPr>
                <w:rFonts w:hint="eastAsia" w:ascii="宋体" w:hAnsi="宋体" w:cs="新宋体"/>
                <w:b/>
                <w:bCs/>
                <w:color w:val="auto"/>
                <w:sz w:val="21"/>
                <w:szCs w:val="21"/>
                <w:highlight w:val="none"/>
              </w:rPr>
              <w:t>分）：对项目地块现状分析情况：</w:t>
            </w:r>
            <w:r>
              <w:rPr>
                <w:rFonts w:hint="eastAsia" w:ascii="宋体" w:hAnsi="宋体"/>
                <w:color w:val="auto"/>
                <w:sz w:val="21"/>
                <w:szCs w:val="21"/>
                <w:highlight w:val="none"/>
              </w:rPr>
              <w:t>分析合理、全面，得</w:t>
            </w:r>
            <w:r>
              <w:rPr>
                <w:rFonts w:ascii="宋体" w:hAnsi="宋体"/>
                <w:color w:val="auto"/>
                <w:sz w:val="21"/>
                <w:szCs w:val="21"/>
                <w:highlight w:val="none"/>
              </w:rPr>
              <w:t>2</w:t>
            </w:r>
            <w:r>
              <w:rPr>
                <w:rFonts w:hint="eastAsia" w:ascii="宋体" w:hAnsi="宋体"/>
                <w:color w:val="auto"/>
                <w:sz w:val="21"/>
                <w:szCs w:val="21"/>
                <w:highlight w:val="none"/>
              </w:rPr>
              <w:t>分；分析基本合理，得1分；分析一般或不合理，得0分。</w:t>
            </w:r>
          </w:p>
          <w:p>
            <w:pPr>
              <w:pStyle w:val="2"/>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2、项目空间规划（0-</w:t>
            </w:r>
            <w:r>
              <w:rPr>
                <w:rFonts w:ascii="宋体" w:hAnsi="宋体" w:cs="新宋体"/>
                <w:b/>
                <w:bCs/>
                <w:color w:val="auto"/>
                <w:sz w:val="21"/>
                <w:szCs w:val="21"/>
                <w:highlight w:val="none"/>
              </w:rPr>
              <w:t>3</w:t>
            </w:r>
            <w:r>
              <w:rPr>
                <w:rFonts w:hint="eastAsia" w:ascii="宋体" w:hAnsi="宋体" w:cs="新宋体"/>
                <w:b/>
                <w:bCs/>
                <w:color w:val="auto"/>
                <w:sz w:val="21"/>
                <w:szCs w:val="21"/>
                <w:highlight w:val="none"/>
              </w:rPr>
              <w:t>分）：结合项目地块现状、项目发展定位和金融运营服务需求，提出适应本项目的空间规划建议方案：</w:t>
            </w:r>
            <w:r>
              <w:rPr>
                <w:rFonts w:hint="eastAsia" w:ascii="宋体" w:hAnsi="宋体" w:cs="新宋体"/>
                <w:color w:val="auto"/>
                <w:sz w:val="21"/>
                <w:szCs w:val="21"/>
                <w:highlight w:val="none"/>
              </w:rPr>
              <w:t>方案内容科学合理、具有可行性的，得</w:t>
            </w:r>
            <w:r>
              <w:rPr>
                <w:rFonts w:ascii="宋体" w:hAnsi="宋体" w:cs="新宋体"/>
                <w:color w:val="auto"/>
                <w:sz w:val="21"/>
                <w:szCs w:val="21"/>
                <w:highlight w:val="none"/>
              </w:rPr>
              <w:t>3-2</w:t>
            </w:r>
            <w:r>
              <w:rPr>
                <w:rFonts w:hint="eastAsia" w:ascii="宋体" w:hAnsi="宋体" w:cs="新宋体"/>
                <w:color w:val="auto"/>
                <w:sz w:val="21"/>
                <w:szCs w:val="21"/>
                <w:highlight w:val="none"/>
              </w:rPr>
              <w:t>分；方案基本合理、具有可行性的，得</w:t>
            </w:r>
            <w:r>
              <w:rPr>
                <w:rFonts w:ascii="宋体" w:hAnsi="宋体" w:cs="新宋体"/>
                <w:color w:val="auto"/>
                <w:sz w:val="21"/>
                <w:szCs w:val="21"/>
                <w:highlight w:val="none"/>
              </w:rPr>
              <w:t>2-1</w:t>
            </w:r>
            <w:r>
              <w:rPr>
                <w:rFonts w:hint="eastAsia" w:ascii="宋体" w:hAnsi="宋体" w:cs="新宋体"/>
                <w:color w:val="auto"/>
                <w:sz w:val="21"/>
                <w:szCs w:val="21"/>
                <w:highlight w:val="none"/>
              </w:rPr>
              <w:t>分；方案一般或不具备可行性的，得1-0分。</w:t>
            </w:r>
          </w:p>
          <w:p>
            <w:pPr>
              <w:rPr>
                <w:rFonts w:ascii="宋体" w:hAnsi="宋体"/>
                <w:color w:val="auto"/>
                <w:szCs w:val="21"/>
                <w:highlight w:val="none"/>
              </w:rPr>
            </w:pPr>
            <w:r>
              <w:rPr>
                <w:rFonts w:ascii="宋体" w:hAnsi="宋体" w:cs="新宋体"/>
                <w:b/>
                <w:bCs/>
                <w:color w:val="auto"/>
                <w:kern w:val="0"/>
                <w:szCs w:val="21"/>
                <w:highlight w:val="none"/>
              </w:rPr>
              <w:t>3</w:t>
            </w:r>
            <w:r>
              <w:rPr>
                <w:rFonts w:hint="eastAsia" w:ascii="宋体" w:hAnsi="宋体" w:cs="新宋体"/>
                <w:b/>
                <w:bCs/>
                <w:color w:val="auto"/>
                <w:kern w:val="0"/>
                <w:szCs w:val="21"/>
                <w:highlight w:val="none"/>
              </w:rPr>
              <w:t>、招商运营中心空间功能规划设计（0</w:t>
            </w:r>
            <w:r>
              <w:rPr>
                <w:rFonts w:ascii="宋体" w:hAnsi="宋体" w:cs="新宋体"/>
                <w:b/>
                <w:bCs/>
                <w:color w:val="auto"/>
                <w:kern w:val="0"/>
                <w:szCs w:val="21"/>
                <w:highlight w:val="none"/>
              </w:rPr>
              <w:t>-3</w:t>
            </w:r>
            <w:r>
              <w:rPr>
                <w:rFonts w:hint="eastAsia" w:ascii="宋体" w:hAnsi="宋体" w:cs="新宋体"/>
                <w:b/>
                <w:bCs/>
                <w:color w:val="auto"/>
                <w:kern w:val="0"/>
                <w:szCs w:val="21"/>
                <w:highlight w:val="none"/>
              </w:rPr>
              <w:t>）：结合运营需求，提出招商运营中心空间规划设计建议方案：</w:t>
            </w:r>
            <w:r>
              <w:rPr>
                <w:rFonts w:hint="eastAsia" w:ascii="宋体" w:hAnsi="宋体" w:cs="新宋体"/>
                <w:color w:val="auto"/>
                <w:kern w:val="0"/>
                <w:szCs w:val="21"/>
                <w:highlight w:val="none"/>
              </w:rPr>
              <w:t>结合招商运营需求提出包括招商运营中心内部功能分布规划、装修风格建议、中心内部展厅策展建议方案。</w:t>
            </w:r>
            <w:r>
              <w:rPr>
                <w:rFonts w:hint="eastAsia" w:ascii="宋体" w:hAnsi="宋体" w:cs="新宋体"/>
                <w:color w:val="auto"/>
                <w:szCs w:val="21"/>
                <w:highlight w:val="none"/>
              </w:rPr>
              <w:t>方案内容科学合理、具有可行性的，得</w:t>
            </w:r>
            <w:r>
              <w:rPr>
                <w:rFonts w:ascii="宋体" w:hAnsi="宋体" w:cs="新宋体"/>
                <w:color w:val="auto"/>
                <w:szCs w:val="21"/>
                <w:highlight w:val="none"/>
              </w:rPr>
              <w:t>3-2</w:t>
            </w:r>
            <w:r>
              <w:rPr>
                <w:rFonts w:hint="eastAsia" w:ascii="宋体" w:hAnsi="宋体" w:cs="新宋体"/>
                <w:color w:val="auto"/>
                <w:szCs w:val="21"/>
                <w:highlight w:val="none"/>
              </w:rPr>
              <w:t>分；方案基本合理、具有可行性的，得</w:t>
            </w:r>
            <w:r>
              <w:rPr>
                <w:rFonts w:ascii="宋体" w:hAnsi="宋体" w:cs="新宋体"/>
                <w:color w:val="auto"/>
                <w:szCs w:val="21"/>
                <w:highlight w:val="none"/>
              </w:rPr>
              <w:t>2-1</w:t>
            </w:r>
            <w:r>
              <w:rPr>
                <w:rFonts w:hint="eastAsia" w:ascii="宋体" w:hAnsi="宋体" w:cs="新宋体"/>
                <w:color w:val="auto"/>
                <w:szCs w:val="21"/>
                <w:highlight w:val="none"/>
              </w:rPr>
              <w:t>分；方案一般或不具备可行性的，得1-0分。</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8</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3</w:t>
            </w:r>
          </w:p>
        </w:tc>
        <w:tc>
          <w:tcPr>
            <w:tcW w:w="1460" w:type="dxa"/>
            <w:tcBorders>
              <w:top w:val="single" w:color="auto" w:sz="4" w:space="0"/>
              <w:bottom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金融运营服务方案</w:t>
            </w:r>
          </w:p>
        </w:tc>
        <w:tc>
          <w:tcPr>
            <w:tcW w:w="5982" w:type="dxa"/>
            <w:noWrap w:val="0"/>
            <w:vAlign w:val="center"/>
          </w:tcPr>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根据投标人提供的金融运营服务方案进行打分，具体包括以下内容：</w:t>
            </w:r>
          </w:p>
          <w:p>
            <w:pPr>
              <w:pStyle w:val="2"/>
              <w:spacing w:after="0"/>
              <w:ind w:firstLine="0" w:firstLineChars="0"/>
              <w:rPr>
                <w:rFonts w:ascii="宋体" w:hAnsi="宋体"/>
                <w:color w:val="auto"/>
                <w:sz w:val="21"/>
                <w:szCs w:val="21"/>
                <w:highlight w:val="none"/>
              </w:rPr>
            </w:pPr>
            <w:r>
              <w:rPr>
                <w:rFonts w:hint="eastAsia" w:ascii="宋体" w:hAnsi="宋体" w:cs="新宋体"/>
                <w:b/>
                <w:bCs/>
                <w:color w:val="auto"/>
                <w:sz w:val="21"/>
                <w:szCs w:val="21"/>
                <w:highlight w:val="none"/>
              </w:rPr>
              <w:t>1、投融资对接（0-</w:t>
            </w:r>
            <w:r>
              <w:rPr>
                <w:rFonts w:ascii="宋体" w:hAnsi="宋体" w:cs="新宋体"/>
                <w:b/>
                <w:bCs/>
                <w:color w:val="auto"/>
                <w:sz w:val="21"/>
                <w:szCs w:val="21"/>
                <w:highlight w:val="none"/>
              </w:rPr>
              <w:t>4</w:t>
            </w:r>
            <w:r>
              <w:rPr>
                <w:rFonts w:hint="eastAsia" w:ascii="宋体" w:hAnsi="宋体" w:cs="新宋体"/>
                <w:b/>
                <w:bCs/>
                <w:color w:val="auto"/>
                <w:sz w:val="21"/>
                <w:szCs w:val="21"/>
                <w:highlight w:val="none"/>
              </w:rPr>
              <w:t>分）：具体包括投融资对接服务体系建设、风险控制、投融资对接活动等：</w:t>
            </w:r>
            <w:r>
              <w:rPr>
                <w:rFonts w:hint="eastAsia" w:ascii="宋体" w:hAnsi="宋体" w:cs="新宋体"/>
                <w:color w:val="auto"/>
                <w:sz w:val="21"/>
                <w:szCs w:val="21"/>
                <w:highlight w:val="none"/>
              </w:rPr>
              <w:t>方案合理可行的，得</w:t>
            </w:r>
            <w:r>
              <w:rPr>
                <w:rFonts w:ascii="宋体" w:hAnsi="宋体" w:cs="新宋体"/>
                <w:color w:val="auto"/>
                <w:sz w:val="21"/>
                <w:szCs w:val="21"/>
                <w:highlight w:val="none"/>
              </w:rPr>
              <w:t>6-5</w:t>
            </w:r>
            <w:r>
              <w:rPr>
                <w:rFonts w:hint="eastAsia" w:ascii="宋体" w:hAnsi="宋体" w:cs="新宋体"/>
                <w:color w:val="auto"/>
                <w:sz w:val="21"/>
                <w:szCs w:val="21"/>
                <w:highlight w:val="none"/>
              </w:rPr>
              <w:t>分；方案基本可行的，得</w:t>
            </w:r>
            <w:r>
              <w:rPr>
                <w:rFonts w:ascii="宋体" w:hAnsi="宋体" w:cs="新宋体"/>
                <w:color w:val="auto"/>
                <w:sz w:val="21"/>
                <w:szCs w:val="21"/>
                <w:highlight w:val="none"/>
              </w:rPr>
              <w:t>4-2</w:t>
            </w:r>
            <w:r>
              <w:rPr>
                <w:rFonts w:hint="eastAsia" w:ascii="宋体" w:hAnsi="宋体" w:cs="新宋体"/>
                <w:color w:val="auto"/>
                <w:sz w:val="21"/>
                <w:szCs w:val="21"/>
                <w:highlight w:val="none"/>
              </w:rPr>
              <w:t>分；可行性一般的，得1-0分。</w:t>
            </w:r>
          </w:p>
          <w:p>
            <w:pPr>
              <w:pStyle w:val="2"/>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2、金融管家服务（0-</w:t>
            </w:r>
            <w:r>
              <w:rPr>
                <w:rFonts w:ascii="宋体" w:hAnsi="宋体" w:cs="新宋体"/>
                <w:b/>
                <w:bCs/>
                <w:color w:val="auto"/>
                <w:sz w:val="21"/>
                <w:szCs w:val="21"/>
                <w:highlight w:val="none"/>
              </w:rPr>
              <w:t>6</w:t>
            </w:r>
            <w:r>
              <w:rPr>
                <w:rFonts w:hint="eastAsia" w:ascii="宋体" w:hAnsi="宋体" w:cs="新宋体"/>
                <w:b/>
                <w:bCs/>
                <w:color w:val="auto"/>
                <w:sz w:val="21"/>
                <w:szCs w:val="21"/>
                <w:highlight w:val="none"/>
              </w:rPr>
              <w:t>分）：按照管家式服务标准，为园区内入驻基金类机构、人才、等提供配套的常态化服务：</w:t>
            </w:r>
            <w:r>
              <w:rPr>
                <w:rFonts w:hint="eastAsia" w:ascii="宋体" w:hAnsi="宋体" w:cs="新宋体"/>
                <w:color w:val="auto"/>
                <w:sz w:val="21"/>
                <w:szCs w:val="21"/>
                <w:highlight w:val="none"/>
              </w:rPr>
              <w:t>方案合理可行的，得</w:t>
            </w:r>
            <w:r>
              <w:rPr>
                <w:rFonts w:ascii="宋体" w:hAnsi="宋体" w:cs="新宋体"/>
                <w:color w:val="auto"/>
                <w:sz w:val="21"/>
                <w:szCs w:val="21"/>
                <w:highlight w:val="none"/>
              </w:rPr>
              <w:t>6-5</w:t>
            </w:r>
            <w:r>
              <w:rPr>
                <w:rFonts w:hint="eastAsia" w:ascii="宋体" w:hAnsi="宋体" w:cs="新宋体"/>
                <w:color w:val="auto"/>
                <w:sz w:val="21"/>
                <w:szCs w:val="21"/>
                <w:highlight w:val="none"/>
              </w:rPr>
              <w:t>分；方案基本可行的，得</w:t>
            </w:r>
            <w:r>
              <w:rPr>
                <w:rFonts w:ascii="宋体" w:hAnsi="宋体" w:cs="新宋体"/>
                <w:color w:val="auto"/>
                <w:sz w:val="21"/>
                <w:szCs w:val="21"/>
                <w:highlight w:val="none"/>
              </w:rPr>
              <w:t>4-2</w:t>
            </w:r>
            <w:r>
              <w:rPr>
                <w:rFonts w:hint="eastAsia" w:ascii="宋体" w:hAnsi="宋体" w:cs="新宋体"/>
                <w:color w:val="auto"/>
                <w:sz w:val="21"/>
                <w:szCs w:val="21"/>
                <w:highlight w:val="none"/>
              </w:rPr>
              <w:t>分；可行性一般的，得1-0分。</w:t>
            </w:r>
          </w:p>
          <w:p>
            <w:pPr>
              <w:pStyle w:val="2"/>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3、金融窗口服务（0-</w:t>
            </w:r>
            <w:r>
              <w:rPr>
                <w:rFonts w:ascii="宋体" w:hAnsi="宋体" w:cs="新宋体"/>
                <w:b/>
                <w:bCs/>
                <w:color w:val="auto"/>
                <w:sz w:val="21"/>
                <w:szCs w:val="21"/>
                <w:highlight w:val="none"/>
              </w:rPr>
              <w:t>4</w:t>
            </w:r>
            <w:r>
              <w:rPr>
                <w:rFonts w:hint="eastAsia" w:ascii="宋体" w:hAnsi="宋体" w:cs="新宋体"/>
                <w:b/>
                <w:bCs/>
                <w:color w:val="auto"/>
                <w:sz w:val="21"/>
                <w:szCs w:val="21"/>
                <w:highlight w:val="none"/>
              </w:rPr>
              <w:t>分）：制定标准化窗口服务机制，提供专项金融企业服务、人才服务等内容：</w:t>
            </w:r>
            <w:r>
              <w:rPr>
                <w:rFonts w:hint="eastAsia" w:ascii="宋体" w:hAnsi="宋体" w:cs="新宋体"/>
                <w:color w:val="auto"/>
                <w:sz w:val="21"/>
                <w:szCs w:val="21"/>
                <w:highlight w:val="none"/>
              </w:rPr>
              <w:t>方案合理可行的，得</w:t>
            </w:r>
            <w:r>
              <w:rPr>
                <w:rFonts w:ascii="宋体" w:hAnsi="宋体" w:cs="新宋体"/>
                <w:color w:val="auto"/>
                <w:sz w:val="21"/>
                <w:szCs w:val="21"/>
                <w:highlight w:val="none"/>
              </w:rPr>
              <w:t>6-5</w:t>
            </w:r>
            <w:r>
              <w:rPr>
                <w:rFonts w:hint="eastAsia" w:ascii="宋体" w:hAnsi="宋体" w:cs="新宋体"/>
                <w:color w:val="auto"/>
                <w:sz w:val="21"/>
                <w:szCs w:val="21"/>
                <w:highlight w:val="none"/>
              </w:rPr>
              <w:t>分；方案基本可行的，得</w:t>
            </w:r>
            <w:r>
              <w:rPr>
                <w:rFonts w:ascii="宋体" w:hAnsi="宋体" w:cs="新宋体"/>
                <w:color w:val="auto"/>
                <w:sz w:val="21"/>
                <w:szCs w:val="21"/>
                <w:highlight w:val="none"/>
              </w:rPr>
              <w:t>4-2</w:t>
            </w:r>
            <w:r>
              <w:rPr>
                <w:rFonts w:hint="eastAsia" w:ascii="宋体" w:hAnsi="宋体" w:cs="新宋体"/>
                <w:color w:val="auto"/>
                <w:sz w:val="21"/>
                <w:szCs w:val="21"/>
                <w:highlight w:val="none"/>
              </w:rPr>
              <w:t>分；可行性一般的，得1-0分。</w:t>
            </w:r>
          </w:p>
          <w:p>
            <w:pPr>
              <w:pStyle w:val="2"/>
              <w:spacing w:after="0"/>
              <w:ind w:firstLine="0" w:firstLineChars="0"/>
              <w:rPr>
                <w:rFonts w:ascii="宋体" w:hAnsi="宋体"/>
                <w:color w:val="auto"/>
                <w:sz w:val="21"/>
                <w:szCs w:val="21"/>
                <w:highlight w:val="none"/>
              </w:rPr>
            </w:pPr>
            <w:r>
              <w:rPr>
                <w:rFonts w:hint="eastAsia" w:ascii="宋体" w:hAnsi="宋体"/>
                <w:b/>
                <w:bCs/>
                <w:color w:val="auto"/>
                <w:sz w:val="21"/>
                <w:szCs w:val="21"/>
                <w:highlight w:val="none"/>
              </w:rPr>
              <w:t>4、金融服务机构管理（0</w:t>
            </w:r>
            <w:r>
              <w:rPr>
                <w:rFonts w:ascii="宋体" w:hAnsi="宋体"/>
                <w:b/>
                <w:bCs/>
                <w:color w:val="auto"/>
                <w:sz w:val="21"/>
                <w:szCs w:val="21"/>
                <w:highlight w:val="none"/>
              </w:rPr>
              <w:t>-6</w:t>
            </w:r>
            <w:r>
              <w:rPr>
                <w:rFonts w:hint="eastAsia" w:ascii="宋体" w:hAnsi="宋体"/>
                <w:b/>
                <w:bCs/>
                <w:color w:val="auto"/>
                <w:sz w:val="21"/>
                <w:szCs w:val="21"/>
                <w:highlight w:val="none"/>
              </w:rPr>
              <w:t>分）：以建立完善的金融服务生态为目标，具体包括金融服务机构引入评审机制、日常运营管理、评价和投诉处理机制、服务退出机制等：</w:t>
            </w:r>
            <w:r>
              <w:rPr>
                <w:rFonts w:hint="eastAsia" w:ascii="宋体" w:hAnsi="宋体" w:cs="新宋体"/>
                <w:color w:val="auto"/>
                <w:sz w:val="21"/>
                <w:szCs w:val="21"/>
                <w:highlight w:val="none"/>
              </w:rPr>
              <w:t>方案合理可行的，得</w:t>
            </w:r>
            <w:r>
              <w:rPr>
                <w:rFonts w:ascii="宋体" w:hAnsi="宋体" w:cs="新宋体"/>
                <w:color w:val="auto"/>
                <w:sz w:val="21"/>
                <w:szCs w:val="21"/>
                <w:highlight w:val="none"/>
              </w:rPr>
              <w:t>6-5</w:t>
            </w:r>
            <w:r>
              <w:rPr>
                <w:rFonts w:hint="eastAsia" w:ascii="宋体" w:hAnsi="宋体" w:cs="新宋体"/>
                <w:color w:val="auto"/>
                <w:sz w:val="21"/>
                <w:szCs w:val="21"/>
                <w:highlight w:val="none"/>
              </w:rPr>
              <w:t>分；方案基本可行的，得</w:t>
            </w:r>
            <w:r>
              <w:rPr>
                <w:rFonts w:ascii="宋体" w:hAnsi="宋体" w:cs="新宋体"/>
                <w:color w:val="auto"/>
                <w:sz w:val="21"/>
                <w:szCs w:val="21"/>
                <w:highlight w:val="none"/>
              </w:rPr>
              <w:t>4-2</w:t>
            </w:r>
            <w:r>
              <w:rPr>
                <w:rFonts w:hint="eastAsia" w:ascii="宋体" w:hAnsi="宋体" w:cs="新宋体"/>
                <w:color w:val="auto"/>
                <w:sz w:val="21"/>
                <w:szCs w:val="21"/>
                <w:highlight w:val="none"/>
              </w:rPr>
              <w:t>分；可行性一般的，得1-0分。</w:t>
            </w:r>
          </w:p>
          <w:p>
            <w:pPr>
              <w:rPr>
                <w:rFonts w:ascii="宋体" w:hAnsi="宋体"/>
                <w:color w:val="auto"/>
                <w:szCs w:val="21"/>
                <w:highlight w:val="none"/>
              </w:rPr>
            </w:pPr>
            <w:r>
              <w:rPr>
                <w:rFonts w:hint="eastAsia" w:ascii="宋体" w:hAnsi="宋体"/>
                <w:b/>
                <w:bCs/>
                <w:color w:val="auto"/>
                <w:szCs w:val="21"/>
                <w:highlight w:val="none"/>
              </w:rPr>
              <w:t>5、金融服务机构资源整合能力（0-</w:t>
            </w:r>
            <w:r>
              <w:rPr>
                <w:rFonts w:ascii="宋体" w:hAnsi="宋体"/>
                <w:b/>
                <w:bCs/>
                <w:color w:val="auto"/>
                <w:szCs w:val="21"/>
                <w:highlight w:val="none"/>
              </w:rPr>
              <w:t>6</w:t>
            </w:r>
            <w:r>
              <w:rPr>
                <w:rFonts w:hint="eastAsia" w:ascii="宋体" w:hAnsi="宋体"/>
                <w:b/>
                <w:bCs/>
                <w:color w:val="auto"/>
                <w:szCs w:val="21"/>
                <w:highlight w:val="none"/>
              </w:rPr>
              <w:t>分）：根据投标人与投资机构、律师事务所、会计师事务所、工商、财务、税务、法务、知识产权各类服务机构合作领域及合作数量进行横向比较打分：</w:t>
            </w:r>
            <w:r>
              <w:rPr>
                <w:rFonts w:hint="eastAsia" w:ascii="宋体" w:hAnsi="宋体"/>
                <w:color w:val="auto"/>
                <w:szCs w:val="21"/>
                <w:highlight w:val="none"/>
              </w:rPr>
              <w:t>30家以上得</w:t>
            </w:r>
            <w:r>
              <w:rPr>
                <w:rFonts w:ascii="宋体" w:hAnsi="宋体"/>
                <w:color w:val="auto"/>
                <w:szCs w:val="21"/>
                <w:highlight w:val="none"/>
              </w:rPr>
              <w:t>6</w:t>
            </w:r>
            <w:r>
              <w:rPr>
                <w:rFonts w:hint="eastAsia" w:ascii="宋体" w:hAnsi="宋体"/>
                <w:color w:val="auto"/>
                <w:szCs w:val="21"/>
                <w:highlight w:val="none"/>
              </w:rPr>
              <w:t>分，20-29家得3分，10-19家得1分，10家以下不得分，需提供合作协议（首页与签署页）复印件并加盖公章。</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26</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4</w:t>
            </w:r>
          </w:p>
        </w:tc>
        <w:tc>
          <w:tcPr>
            <w:tcW w:w="1460" w:type="dxa"/>
            <w:tcBorders>
              <w:top w:val="single" w:color="auto" w:sz="4" w:space="0"/>
              <w:bottom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金融科技创新服务</w:t>
            </w:r>
          </w:p>
        </w:tc>
        <w:tc>
          <w:tcPr>
            <w:tcW w:w="5982" w:type="dxa"/>
            <w:noWrap w:val="0"/>
            <w:vAlign w:val="center"/>
          </w:tcPr>
          <w:p>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根据投标人提供的金融创新服务方案进行打分，具体包括以下内容：</w:t>
            </w:r>
          </w:p>
          <w:p>
            <w:pPr>
              <w:pStyle w:val="2"/>
              <w:numPr>
                <w:ilvl w:val="0"/>
                <w:numId w:val="42"/>
              </w:numPr>
              <w:spacing w:after="0"/>
              <w:ind w:firstLine="0" w:firstLineChars="0"/>
              <w:rPr>
                <w:rFonts w:ascii="宋体" w:hAnsi="宋体"/>
                <w:color w:val="auto"/>
                <w:sz w:val="21"/>
                <w:szCs w:val="21"/>
                <w:highlight w:val="none"/>
              </w:rPr>
            </w:pPr>
            <w:r>
              <w:rPr>
                <w:rFonts w:hint="eastAsia" w:ascii="宋体" w:hAnsi="宋体" w:cs="新宋体"/>
                <w:b/>
                <w:bCs/>
                <w:color w:val="auto"/>
                <w:sz w:val="21"/>
                <w:szCs w:val="21"/>
                <w:highlight w:val="none"/>
              </w:rPr>
              <w:t>政策服务（0-</w:t>
            </w:r>
            <w:r>
              <w:rPr>
                <w:rFonts w:ascii="宋体" w:hAnsi="宋体" w:cs="新宋体"/>
                <w:b/>
                <w:bCs/>
                <w:color w:val="auto"/>
                <w:sz w:val="21"/>
                <w:szCs w:val="21"/>
                <w:highlight w:val="none"/>
              </w:rPr>
              <w:t>4</w:t>
            </w:r>
            <w:r>
              <w:rPr>
                <w:rFonts w:hint="eastAsia" w:ascii="宋体" w:hAnsi="宋体" w:cs="新宋体"/>
                <w:b/>
                <w:bCs/>
                <w:color w:val="auto"/>
                <w:sz w:val="21"/>
                <w:szCs w:val="21"/>
                <w:highlight w:val="none"/>
              </w:rPr>
              <w:t>分）：具体涵盖本项目适应性政策和政策服务产品化内容:</w:t>
            </w:r>
            <w:r>
              <w:rPr>
                <w:rFonts w:hint="eastAsia" w:ascii="宋体" w:hAnsi="宋体" w:cs="新宋体"/>
                <w:color w:val="auto"/>
                <w:sz w:val="21"/>
                <w:szCs w:val="21"/>
                <w:highlight w:val="none"/>
              </w:rPr>
              <w:t>方案内容科学合理、具有可行性的，得</w:t>
            </w:r>
            <w:r>
              <w:rPr>
                <w:rFonts w:ascii="宋体" w:hAnsi="宋体" w:cs="新宋体"/>
                <w:color w:val="auto"/>
                <w:sz w:val="21"/>
                <w:szCs w:val="21"/>
                <w:highlight w:val="none"/>
              </w:rPr>
              <w:t>4-3</w:t>
            </w:r>
            <w:r>
              <w:rPr>
                <w:rFonts w:hint="eastAsia" w:ascii="宋体" w:hAnsi="宋体" w:cs="新宋体"/>
                <w:color w:val="auto"/>
                <w:sz w:val="21"/>
                <w:szCs w:val="21"/>
                <w:highlight w:val="none"/>
              </w:rPr>
              <w:t>分；方案基本合理、具有可行性的，得2-1分；方案一般或不具备可行性的，得1-0分。</w:t>
            </w:r>
          </w:p>
          <w:p>
            <w:pPr>
              <w:pStyle w:val="2"/>
              <w:numPr>
                <w:ilvl w:val="0"/>
                <w:numId w:val="42"/>
              </w:numPr>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人才服务（0-</w:t>
            </w:r>
            <w:r>
              <w:rPr>
                <w:rFonts w:ascii="宋体" w:hAnsi="宋体" w:cs="新宋体"/>
                <w:b/>
                <w:bCs/>
                <w:color w:val="auto"/>
                <w:sz w:val="21"/>
                <w:szCs w:val="21"/>
                <w:highlight w:val="none"/>
              </w:rPr>
              <w:t>2</w:t>
            </w:r>
            <w:r>
              <w:rPr>
                <w:rFonts w:hint="eastAsia" w:ascii="宋体" w:hAnsi="宋体" w:cs="新宋体"/>
                <w:b/>
                <w:bCs/>
                <w:color w:val="auto"/>
                <w:sz w:val="21"/>
                <w:szCs w:val="21"/>
                <w:highlight w:val="none"/>
              </w:rPr>
              <w:t>分）：具体涵盖人才走访、人才服务需求对接、人才政策解读等内容：</w:t>
            </w:r>
            <w:r>
              <w:rPr>
                <w:rFonts w:hint="eastAsia" w:ascii="宋体" w:hAnsi="宋体" w:cs="新宋体"/>
                <w:color w:val="auto"/>
                <w:sz w:val="21"/>
                <w:szCs w:val="21"/>
                <w:highlight w:val="none"/>
              </w:rPr>
              <w:t>方案内容科学合理、具有可行性的，得</w:t>
            </w:r>
            <w:r>
              <w:rPr>
                <w:rFonts w:ascii="宋体" w:hAnsi="宋体" w:cs="新宋体"/>
                <w:color w:val="auto"/>
                <w:sz w:val="21"/>
                <w:szCs w:val="21"/>
                <w:highlight w:val="none"/>
              </w:rPr>
              <w:t>2</w:t>
            </w:r>
            <w:r>
              <w:rPr>
                <w:rFonts w:hint="eastAsia" w:ascii="宋体" w:hAnsi="宋体" w:cs="新宋体"/>
                <w:color w:val="auto"/>
                <w:sz w:val="21"/>
                <w:szCs w:val="21"/>
                <w:highlight w:val="none"/>
              </w:rPr>
              <w:t>分；方案基本合理、具有可行性的，得1分；方案一般或不具备可行性的，得0分。</w:t>
            </w:r>
          </w:p>
          <w:p>
            <w:pPr>
              <w:numPr>
                <w:ilvl w:val="0"/>
                <w:numId w:val="42"/>
              </w:numPr>
              <w:rPr>
                <w:rFonts w:ascii="Calibri" w:hAnsi="Calibri" w:cs="Times New Roman"/>
                <w:b w:val="0"/>
                <w:bCs w:val="0"/>
                <w:color w:val="auto"/>
                <w:kern w:val="2"/>
                <w:szCs w:val="24"/>
                <w:highlight w:val="none"/>
              </w:rPr>
            </w:pPr>
            <w:r>
              <w:rPr>
                <w:rFonts w:hint="eastAsia"/>
                <w:b/>
                <w:bCs/>
                <w:color w:val="auto"/>
                <w:highlight w:val="none"/>
              </w:rPr>
              <w:t>专利预审咨询服务（0</w:t>
            </w:r>
            <w:r>
              <w:rPr>
                <w:b/>
                <w:bCs/>
                <w:color w:val="auto"/>
                <w:highlight w:val="none"/>
              </w:rPr>
              <w:t>-4</w:t>
            </w:r>
            <w:r>
              <w:rPr>
                <w:rFonts w:hint="eastAsia"/>
                <w:b/>
                <w:bCs/>
                <w:color w:val="auto"/>
                <w:highlight w:val="none"/>
              </w:rPr>
              <w:t>分）：</w:t>
            </w:r>
            <w:r>
              <w:rPr>
                <w:rFonts w:hint="eastAsia" w:ascii="宋体" w:hAnsi="宋体" w:cs="新宋体"/>
                <w:b/>
                <w:bCs/>
                <w:color w:val="auto"/>
                <w:kern w:val="0"/>
                <w:szCs w:val="21"/>
                <w:highlight w:val="none"/>
              </w:rPr>
              <w:t>联动知识产权服务机构提供投资相关产业领域专利快速预审咨询服务，提供服务方案：</w:t>
            </w:r>
            <w:r>
              <w:rPr>
                <w:rFonts w:hint="eastAsia" w:ascii="宋体" w:hAnsi="宋体" w:cs="新宋体"/>
                <w:color w:val="auto"/>
                <w:kern w:val="0"/>
                <w:szCs w:val="21"/>
                <w:highlight w:val="none"/>
              </w:rPr>
              <w:t>方案内容科学完整合理、具有可行性的，得</w:t>
            </w:r>
            <w:r>
              <w:rPr>
                <w:rFonts w:ascii="宋体" w:hAnsi="宋体" w:cs="新宋体"/>
                <w:color w:val="auto"/>
                <w:kern w:val="0"/>
                <w:szCs w:val="21"/>
                <w:highlight w:val="none"/>
              </w:rPr>
              <w:t>4-3</w:t>
            </w:r>
            <w:r>
              <w:rPr>
                <w:rFonts w:hint="eastAsia" w:ascii="宋体" w:hAnsi="宋体" w:cs="新宋体"/>
                <w:color w:val="auto"/>
                <w:kern w:val="0"/>
                <w:szCs w:val="21"/>
                <w:highlight w:val="none"/>
              </w:rPr>
              <w:t>分；方案基本合理、具有可行性的，得</w:t>
            </w:r>
            <w:r>
              <w:rPr>
                <w:rFonts w:ascii="宋体" w:hAnsi="宋体" w:cs="新宋体"/>
                <w:color w:val="auto"/>
                <w:kern w:val="0"/>
                <w:szCs w:val="21"/>
                <w:highlight w:val="none"/>
              </w:rPr>
              <w:t>3-2</w:t>
            </w:r>
            <w:r>
              <w:rPr>
                <w:rFonts w:hint="eastAsia" w:ascii="宋体" w:hAnsi="宋体" w:cs="新宋体"/>
                <w:color w:val="auto"/>
                <w:kern w:val="0"/>
                <w:szCs w:val="21"/>
                <w:highlight w:val="none"/>
              </w:rPr>
              <w:t>分；可行性一般的，得0分。</w:t>
            </w:r>
          </w:p>
          <w:p>
            <w:pPr>
              <w:numPr>
                <w:ilvl w:val="0"/>
                <w:numId w:val="42"/>
              </w:numPr>
              <w:spacing w:after="0"/>
              <w:ind w:firstLine="0" w:firstLineChars="0"/>
              <w:rPr>
                <w:rFonts w:hint="eastAsia" w:ascii="Calibri" w:hAnsi="Calibri"/>
                <w:color w:val="auto"/>
                <w:sz w:val="21"/>
                <w:szCs w:val="24"/>
                <w:highlight w:val="none"/>
              </w:rPr>
            </w:pPr>
            <w:r>
              <w:rPr>
                <w:rFonts w:hint="eastAsia" w:ascii="宋体" w:hAnsi="宋体" w:cs="新宋体"/>
                <w:b/>
                <w:bCs/>
                <w:color w:val="auto"/>
                <w:kern w:val="0"/>
                <w:szCs w:val="21"/>
                <w:highlight w:val="none"/>
              </w:rPr>
              <w:t>知识产权科技服务（0</w:t>
            </w:r>
            <w:r>
              <w:rPr>
                <w:rFonts w:ascii="宋体" w:hAnsi="宋体" w:cs="新宋体"/>
                <w:b/>
                <w:bCs/>
                <w:color w:val="auto"/>
                <w:kern w:val="0"/>
                <w:szCs w:val="21"/>
                <w:highlight w:val="none"/>
              </w:rPr>
              <w:t>-4</w:t>
            </w:r>
            <w:r>
              <w:rPr>
                <w:rFonts w:hint="eastAsia" w:ascii="宋体" w:hAnsi="宋体" w:cs="新宋体"/>
                <w:b/>
                <w:bCs/>
                <w:color w:val="auto"/>
                <w:kern w:val="0"/>
                <w:szCs w:val="21"/>
                <w:highlight w:val="none"/>
              </w:rPr>
              <w:t>分）：提供科学完整的知识产权服务方案等内容：</w:t>
            </w:r>
            <w:r>
              <w:rPr>
                <w:rFonts w:hint="eastAsia" w:ascii="宋体" w:hAnsi="宋体" w:cs="新宋体"/>
                <w:b w:val="0"/>
                <w:bCs w:val="0"/>
                <w:color w:val="auto"/>
                <w:kern w:val="0"/>
                <w:szCs w:val="21"/>
                <w:highlight w:val="none"/>
              </w:rPr>
              <w:t>方案内容科学完整合理、具有可行性的，得</w:t>
            </w:r>
            <w:r>
              <w:rPr>
                <w:rFonts w:ascii="宋体" w:hAnsi="宋体" w:cs="新宋体"/>
                <w:b w:val="0"/>
                <w:bCs w:val="0"/>
                <w:color w:val="auto"/>
                <w:kern w:val="0"/>
                <w:szCs w:val="21"/>
                <w:highlight w:val="none"/>
              </w:rPr>
              <w:t>4-3</w:t>
            </w:r>
            <w:r>
              <w:rPr>
                <w:rFonts w:hint="eastAsia" w:ascii="宋体" w:hAnsi="宋体" w:cs="新宋体"/>
                <w:b w:val="0"/>
                <w:bCs w:val="0"/>
                <w:color w:val="auto"/>
                <w:kern w:val="0"/>
                <w:szCs w:val="21"/>
                <w:highlight w:val="none"/>
              </w:rPr>
              <w:t>分；方案基本合理、具有可行性的，得</w:t>
            </w:r>
            <w:r>
              <w:rPr>
                <w:rFonts w:ascii="宋体" w:hAnsi="宋体" w:cs="新宋体"/>
                <w:b w:val="0"/>
                <w:bCs w:val="0"/>
                <w:color w:val="auto"/>
                <w:kern w:val="0"/>
                <w:szCs w:val="21"/>
                <w:highlight w:val="none"/>
              </w:rPr>
              <w:t>3-2</w:t>
            </w:r>
            <w:r>
              <w:rPr>
                <w:rFonts w:hint="eastAsia" w:ascii="宋体" w:hAnsi="宋体" w:cs="新宋体"/>
                <w:b w:val="0"/>
                <w:bCs w:val="0"/>
                <w:color w:val="auto"/>
                <w:kern w:val="0"/>
                <w:szCs w:val="21"/>
                <w:highlight w:val="none"/>
              </w:rPr>
              <w:t>分；可行性一般的，得0分。</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14</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0" w:type="dxa"/>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5</w:t>
            </w:r>
          </w:p>
        </w:tc>
        <w:tc>
          <w:tcPr>
            <w:tcW w:w="1460" w:type="dxa"/>
            <w:tcBorders>
              <w:top w:val="single" w:color="auto" w:sz="4" w:space="0"/>
              <w:bottom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品牌提升服务</w:t>
            </w:r>
          </w:p>
        </w:tc>
        <w:tc>
          <w:tcPr>
            <w:tcW w:w="5982" w:type="dxa"/>
            <w:noWrap w:val="0"/>
            <w:vAlign w:val="center"/>
          </w:tcPr>
          <w:p>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根据投标人提供的品牌服务方案进行打分，具体包括以下内容：</w:t>
            </w:r>
          </w:p>
          <w:p>
            <w:pPr>
              <w:pStyle w:val="2"/>
              <w:numPr>
                <w:ilvl w:val="0"/>
                <w:numId w:val="43"/>
              </w:numPr>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品牌活动（0-</w:t>
            </w:r>
            <w:r>
              <w:rPr>
                <w:rFonts w:ascii="宋体" w:hAnsi="宋体" w:cs="新宋体"/>
                <w:b/>
                <w:bCs/>
                <w:color w:val="auto"/>
                <w:sz w:val="21"/>
                <w:szCs w:val="21"/>
                <w:highlight w:val="none"/>
              </w:rPr>
              <w:t>6</w:t>
            </w:r>
            <w:r>
              <w:rPr>
                <w:rFonts w:hint="eastAsia" w:ascii="宋体" w:hAnsi="宋体" w:cs="新宋体"/>
                <w:b/>
                <w:bCs/>
                <w:color w:val="auto"/>
                <w:sz w:val="21"/>
                <w:szCs w:val="21"/>
                <w:highlight w:val="none"/>
              </w:rPr>
              <w:t>分）：根据项目需求建立活动体系，明确活动计划、活动功能类型、相关活动案例、管理办法等：</w:t>
            </w:r>
            <w:r>
              <w:rPr>
                <w:rFonts w:hint="eastAsia" w:ascii="宋体" w:hAnsi="宋体" w:cs="新宋体"/>
                <w:color w:val="auto"/>
                <w:sz w:val="21"/>
                <w:szCs w:val="21"/>
                <w:highlight w:val="none"/>
              </w:rPr>
              <w:t>品牌活动方案科学合理、针对性强的，得</w:t>
            </w:r>
            <w:r>
              <w:rPr>
                <w:rFonts w:ascii="宋体" w:hAnsi="宋体" w:cs="新宋体"/>
                <w:color w:val="auto"/>
                <w:sz w:val="21"/>
                <w:szCs w:val="21"/>
                <w:highlight w:val="none"/>
              </w:rPr>
              <w:t>6</w:t>
            </w:r>
            <w:r>
              <w:rPr>
                <w:rFonts w:hint="eastAsia" w:ascii="宋体" w:hAnsi="宋体" w:cs="新宋体"/>
                <w:color w:val="auto"/>
                <w:sz w:val="21"/>
                <w:szCs w:val="21"/>
                <w:highlight w:val="none"/>
              </w:rPr>
              <w:t>-</w:t>
            </w:r>
            <w:r>
              <w:rPr>
                <w:rFonts w:ascii="宋体" w:hAnsi="宋体" w:cs="新宋体"/>
                <w:color w:val="auto"/>
                <w:sz w:val="21"/>
                <w:szCs w:val="21"/>
                <w:highlight w:val="none"/>
              </w:rPr>
              <w:t>5</w:t>
            </w:r>
            <w:r>
              <w:rPr>
                <w:rFonts w:hint="eastAsia" w:ascii="宋体" w:hAnsi="宋体" w:cs="新宋体"/>
                <w:color w:val="auto"/>
                <w:sz w:val="21"/>
                <w:szCs w:val="21"/>
                <w:highlight w:val="none"/>
              </w:rPr>
              <w:t>分；基本科学合理、针对性强的，得</w:t>
            </w:r>
            <w:r>
              <w:rPr>
                <w:rFonts w:ascii="宋体" w:hAnsi="宋体" w:cs="新宋体"/>
                <w:color w:val="auto"/>
                <w:sz w:val="21"/>
                <w:szCs w:val="21"/>
                <w:highlight w:val="none"/>
              </w:rPr>
              <w:t>4</w:t>
            </w:r>
            <w:r>
              <w:rPr>
                <w:rFonts w:hint="eastAsia" w:ascii="宋体" w:hAnsi="宋体" w:cs="新宋体"/>
                <w:color w:val="auto"/>
                <w:sz w:val="21"/>
                <w:szCs w:val="21"/>
                <w:highlight w:val="none"/>
              </w:rPr>
              <w:t>-2分；一般或不合理的，得1-0分。</w:t>
            </w:r>
          </w:p>
          <w:p>
            <w:pPr>
              <w:pStyle w:val="2"/>
              <w:numPr>
                <w:ilvl w:val="0"/>
                <w:numId w:val="43"/>
              </w:numPr>
              <w:spacing w:after="0"/>
              <w:ind w:firstLine="0" w:firstLineChars="0"/>
              <w:rPr>
                <w:rFonts w:ascii="宋体" w:hAnsi="宋体"/>
                <w:color w:val="auto"/>
                <w:sz w:val="21"/>
                <w:szCs w:val="21"/>
                <w:highlight w:val="none"/>
              </w:rPr>
            </w:pPr>
            <w:r>
              <w:rPr>
                <w:rFonts w:hint="eastAsia" w:ascii="宋体" w:hAnsi="宋体" w:cs="新宋体"/>
                <w:b/>
                <w:bCs/>
                <w:color w:val="auto"/>
                <w:sz w:val="21"/>
                <w:szCs w:val="21"/>
                <w:highlight w:val="none"/>
              </w:rPr>
              <w:t>品牌宣传（</w:t>
            </w:r>
            <w:r>
              <w:rPr>
                <w:rFonts w:ascii="宋体" w:hAnsi="宋体" w:cs="新宋体"/>
                <w:b/>
                <w:bCs/>
                <w:color w:val="auto"/>
                <w:sz w:val="21"/>
                <w:szCs w:val="21"/>
                <w:highlight w:val="none"/>
              </w:rPr>
              <w:t>0-4</w:t>
            </w:r>
            <w:r>
              <w:rPr>
                <w:rFonts w:hint="eastAsia" w:ascii="宋体" w:hAnsi="宋体" w:cs="新宋体"/>
                <w:b/>
                <w:bCs/>
                <w:color w:val="auto"/>
                <w:sz w:val="21"/>
                <w:szCs w:val="21"/>
                <w:highlight w:val="none"/>
              </w:rPr>
              <w:t>分）：针对本项目的品牌宣传方案具备完善的新媒体运营机制和媒体宣传机制：</w:t>
            </w:r>
            <w:r>
              <w:rPr>
                <w:rFonts w:hint="eastAsia" w:ascii="宋体" w:hAnsi="宋体" w:cs="新宋体"/>
                <w:color w:val="auto"/>
                <w:sz w:val="21"/>
                <w:szCs w:val="21"/>
                <w:highlight w:val="none"/>
              </w:rPr>
              <w:t>品牌宣传方案科学合理、针对性强的，得</w:t>
            </w:r>
            <w:r>
              <w:rPr>
                <w:rFonts w:ascii="宋体" w:hAnsi="宋体" w:cs="新宋体"/>
                <w:color w:val="auto"/>
                <w:sz w:val="21"/>
                <w:szCs w:val="21"/>
                <w:highlight w:val="none"/>
              </w:rPr>
              <w:t>4-3</w:t>
            </w:r>
            <w:r>
              <w:rPr>
                <w:rFonts w:hint="eastAsia" w:ascii="宋体" w:hAnsi="宋体" w:cs="新宋体"/>
                <w:color w:val="auto"/>
                <w:sz w:val="21"/>
                <w:szCs w:val="21"/>
                <w:highlight w:val="none"/>
              </w:rPr>
              <w:t>分；基本科学合理、针对性强的，得</w:t>
            </w:r>
            <w:r>
              <w:rPr>
                <w:rFonts w:ascii="宋体" w:hAnsi="宋体" w:cs="新宋体"/>
                <w:color w:val="auto"/>
                <w:sz w:val="21"/>
                <w:szCs w:val="21"/>
                <w:highlight w:val="none"/>
              </w:rPr>
              <w:t>2-1</w:t>
            </w:r>
            <w:r>
              <w:rPr>
                <w:rFonts w:hint="eastAsia" w:ascii="宋体" w:hAnsi="宋体" w:cs="新宋体"/>
                <w:color w:val="auto"/>
                <w:sz w:val="21"/>
                <w:szCs w:val="21"/>
                <w:highlight w:val="none"/>
              </w:rPr>
              <w:t>分；一般或不合理的，得0分。</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10</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0" w:type="dxa"/>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6</w:t>
            </w:r>
          </w:p>
        </w:tc>
        <w:tc>
          <w:tcPr>
            <w:tcW w:w="1460" w:type="dxa"/>
            <w:tcBorders>
              <w:top w:val="single" w:color="auto" w:sz="4" w:space="0"/>
              <w:bottom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金融信息化服务与智慧平台建设</w:t>
            </w:r>
          </w:p>
        </w:tc>
        <w:tc>
          <w:tcPr>
            <w:tcW w:w="5982" w:type="dxa"/>
            <w:noWrap w:val="0"/>
            <w:vAlign w:val="center"/>
          </w:tcPr>
          <w:p>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根据投标人提供的金融信息化服务方案进行评分，包括以下内容：</w:t>
            </w:r>
          </w:p>
          <w:p>
            <w:pPr>
              <w:pStyle w:val="2"/>
              <w:spacing w:after="0"/>
              <w:ind w:firstLine="0" w:firstLineChars="0"/>
              <w:rPr>
                <w:rFonts w:ascii="宋体" w:hAnsi="宋体"/>
                <w:color w:val="auto"/>
                <w:sz w:val="21"/>
                <w:szCs w:val="21"/>
                <w:highlight w:val="none"/>
              </w:rPr>
            </w:pPr>
            <w:r>
              <w:rPr>
                <w:rFonts w:ascii="宋体" w:hAnsi="宋体"/>
                <w:b/>
                <w:bCs/>
                <w:color w:val="auto"/>
                <w:sz w:val="21"/>
                <w:szCs w:val="21"/>
                <w:highlight w:val="none"/>
              </w:rPr>
              <w:t>1</w:t>
            </w:r>
            <w:r>
              <w:rPr>
                <w:rFonts w:hint="eastAsia" w:ascii="宋体" w:hAnsi="宋体"/>
                <w:b/>
                <w:bCs/>
                <w:color w:val="auto"/>
                <w:sz w:val="21"/>
                <w:szCs w:val="21"/>
                <w:highlight w:val="none"/>
              </w:rPr>
              <w:t>、建设企业信息系统（0</w:t>
            </w:r>
            <w:r>
              <w:rPr>
                <w:rFonts w:ascii="宋体" w:hAnsi="宋体"/>
                <w:b/>
                <w:bCs/>
                <w:color w:val="auto"/>
                <w:sz w:val="21"/>
                <w:szCs w:val="21"/>
                <w:highlight w:val="none"/>
              </w:rPr>
              <w:t>-5</w:t>
            </w:r>
            <w:r>
              <w:rPr>
                <w:rFonts w:hint="eastAsia" w:ascii="宋体" w:hAnsi="宋体"/>
                <w:b/>
                <w:bCs/>
                <w:color w:val="auto"/>
                <w:sz w:val="21"/>
                <w:szCs w:val="21"/>
                <w:highlight w:val="none"/>
              </w:rPr>
              <w:t>分）：对本项目服务覆盖的企业信息和服务信息的采集汇聚（包括但不限于入驻企业完整的注册、入驻（退出）信息、空间信息、财税信息、科技信息、知识产权信息、人才信息、融资信息等）；对本项目运营和服务情况进行数据统计分析，并每月形成运营分析报告。</w:t>
            </w:r>
            <w:r>
              <w:rPr>
                <w:rFonts w:hint="eastAsia" w:ascii="宋体" w:hAnsi="宋体" w:cs="新宋体"/>
                <w:color w:val="auto"/>
                <w:sz w:val="21"/>
                <w:szCs w:val="21"/>
                <w:highlight w:val="none"/>
              </w:rPr>
              <w:t>方案内容科学合理、具有可行性的，得</w:t>
            </w:r>
            <w:r>
              <w:rPr>
                <w:rFonts w:ascii="宋体" w:hAnsi="宋体" w:cs="新宋体"/>
                <w:color w:val="auto"/>
                <w:sz w:val="21"/>
                <w:szCs w:val="21"/>
                <w:highlight w:val="none"/>
              </w:rPr>
              <w:t>5-4</w:t>
            </w:r>
            <w:r>
              <w:rPr>
                <w:rFonts w:hint="eastAsia" w:ascii="宋体" w:hAnsi="宋体" w:cs="新宋体"/>
                <w:color w:val="auto"/>
                <w:sz w:val="21"/>
                <w:szCs w:val="21"/>
                <w:highlight w:val="none"/>
              </w:rPr>
              <w:t>分；方案基本合理、具有可行性的，得</w:t>
            </w:r>
            <w:r>
              <w:rPr>
                <w:rFonts w:ascii="宋体" w:hAnsi="宋体" w:cs="新宋体"/>
                <w:color w:val="auto"/>
                <w:sz w:val="21"/>
                <w:szCs w:val="21"/>
                <w:highlight w:val="none"/>
              </w:rPr>
              <w:t>3-2</w:t>
            </w:r>
            <w:r>
              <w:rPr>
                <w:rFonts w:hint="eastAsia" w:ascii="宋体" w:hAnsi="宋体" w:cs="新宋体"/>
                <w:color w:val="auto"/>
                <w:sz w:val="21"/>
                <w:szCs w:val="21"/>
                <w:highlight w:val="none"/>
              </w:rPr>
              <w:t>分；方案一般或不具备可行性的，得1-0分。</w:t>
            </w:r>
          </w:p>
          <w:p>
            <w:pPr>
              <w:rPr>
                <w:rFonts w:ascii="宋体" w:hAnsi="宋体"/>
                <w:color w:val="auto"/>
                <w:kern w:val="0"/>
                <w:szCs w:val="21"/>
                <w:highlight w:val="none"/>
              </w:rPr>
            </w:pPr>
            <w:r>
              <w:rPr>
                <w:rFonts w:ascii="宋体" w:hAnsi="宋体"/>
                <w:b/>
                <w:bCs/>
                <w:color w:val="auto"/>
                <w:kern w:val="0"/>
                <w:szCs w:val="21"/>
                <w:highlight w:val="none"/>
              </w:rPr>
              <w:t>2</w:t>
            </w:r>
            <w:r>
              <w:rPr>
                <w:rFonts w:hint="eastAsia" w:ascii="宋体" w:hAnsi="宋体"/>
                <w:b/>
                <w:bCs/>
                <w:color w:val="auto"/>
                <w:kern w:val="0"/>
                <w:szCs w:val="21"/>
                <w:highlight w:val="none"/>
              </w:rPr>
              <w:t>、打造企业画像（0</w:t>
            </w:r>
            <w:r>
              <w:rPr>
                <w:rFonts w:ascii="宋体" w:hAnsi="宋体"/>
                <w:b/>
                <w:bCs/>
                <w:color w:val="auto"/>
                <w:kern w:val="0"/>
                <w:szCs w:val="21"/>
                <w:highlight w:val="none"/>
              </w:rPr>
              <w:t>-5</w:t>
            </w:r>
            <w:r>
              <w:rPr>
                <w:rFonts w:hint="eastAsia" w:ascii="宋体" w:hAnsi="宋体"/>
                <w:b/>
                <w:bCs/>
                <w:color w:val="auto"/>
                <w:kern w:val="0"/>
                <w:szCs w:val="21"/>
                <w:highlight w:val="none"/>
              </w:rPr>
              <w:t>分）：结合线上线下收集的数据，形成本项目服务覆盖企业完整的注册、入驻（退出）信息、空间信息、财税信息、科技信息、知识产权信息、融资信息、政策享受信息等数据库，根据需要能及时、精确、系统地调取、利用、统计、分析，形成企业画像分析报告。</w:t>
            </w:r>
            <w:r>
              <w:rPr>
                <w:rFonts w:hint="eastAsia" w:ascii="宋体" w:hAnsi="宋体" w:cs="新宋体"/>
                <w:color w:val="auto"/>
                <w:szCs w:val="21"/>
                <w:highlight w:val="none"/>
              </w:rPr>
              <w:t>方案内容科学合理、具有可行性的，得</w:t>
            </w:r>
            <w:r>
              <w:rPr>
                <w:rFonts w:ascii="宋体" w:hAnsi="宋体" w:cs="新宋体"/>
                <w:color w:val="auto"/>
                <w:szCs w:val="21"/>
                <w:highlight w:val="none"/>
              </w:rPr>
              <w:t>5-4</w:t>
            </w:r>
            <w:r>
              <w:rPr>
                <w:rFonts w:hint="eastAsia" w:ascii="宋体" w:hAnsi="宋体" w:cs="新宋体"/>
                <w:color w:val="auto"/>
                <w:szCs w:val="21"/>
                <w:highlight w:val="none"/>
              </w:rPr>
              <w:t>分；方案基本合理、具有可行性的，得</w:t>
            </w:r>
            <w:r>
              <w:rPr>
                <w:rFonts w:ascii="宋体" w:hAnsi="宋体" w:cs="新宋体"/>
                <w:color w:val="auto"/>
                <w:szCs w:val="21"/>
                <w:highlight w:val="none"/>
              </w:rPr>
              <w:t>3-2</w:t>
            </w:r>
            <w:r>
              <w:rPr>
                <w:rFonts w:hint="eastAsia" w:ascii="宋体" w:hAnsi="宋体" w:cs="新宋体"/>
                <w:color w:val="auto"/>
                <w:szCs w:val="21"/>
                <w:highlight w:val="none"/>
              </w:rPr>
              <w:t>分；方案一般或不具备可行性的，得1-0分。</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1</w:t>
            </w:r>
            <w:r>
              <w:rPr>
                <w:rFonts w:ascii="宋体" w:hAnsi="宋体" w:cs="新宋体"/>
                <w:color w:val="auto"/>
                <w:sz w:val="21"/>
                <w:szCs w:val="21"/>
                <w:highlight w:val="none"/>
              </w:rPr>
              <w:t>0</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7</w:t>
            </w:r>
          </w:p>
        </w:tc>
        <w:tc>
          <w:tcPr>
            <w:tcW w:w="1460" w:type="dxa"/>
            <w:tcBorders>
              <w:top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项目团队建设</w:t>
            </w:r>
          </w:p>
        </w:tc>
        <w:tc>
          <w:tcPr>
            <w:tcW w:w="5982" w:type="dxa"/>
            <w:noWrap w:val="0"/>
            <w:vAlign w:val="center"/>
          </w:tcPr>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根据投标人拟派项目运营团队建设进行打分：</w:t>
            </w:r>
          </w:p>
          <w:p>
            <w:pPr>
              <w:pStyle w:val="2"/>
              <w:spacing w:after="0"/>
              <w:ind w:firstLine="0" w:firstLineChars="0"/>
              <w:rPr>
                <w:rFonts w:ascii="宋体" w:hAnsi="宋体" w:cs="新宋体"/>
                <w:b/>
                <w:bCs/>
                <w:color w:val="auto"/>
                <w:sz w:val="21"/>
                <w:szCs w:val="21"/>
                <w:highlight w:val="none"/>
              </w:rPr>
            </w:pPr>
            <w:r>
              <w:rPr>
                <w:rFonts w:hint="eastAsia" w:ascii="宋体" w:hAnsi="宋体" w:cs="新宋体"/>
                <w:b/>
                <w:bCs/>
                <w:color w:val="auto"/>
                <w:sz w:val="21"/>
                <w:szCs w:val="21"/>
                <w:highlight w:val="none"/>
              </w:rPr>
              <w:t>1、团队管理负责人资格（</w:t>
            </w:r>
            <w:r>
              <w:rPr>
                <w:rFonts w:ascii="宋体" w:hAnsi="宋体" w:cs="新宋体"/>
                <w:b/>
                <w:bCs/>
                <w:color w:val="auto"/>
                <w:sz w:val="21"/>
                <w:szCs w:val="21"/>
                <w:highlight w:val="none"/>
              </w:rPr>
              <w:t>2</w:t>
            </w:r>
            <w:r>
              <w:rPr>
                <w:rFonts w:hint="eastAsia" w:ascii="宋体" w:hAnsi="宋体" w:cs="新宋体"/>
                <w:b/>
                <w:bCs/>
                <w:color w:val="auto"/>
                <w:sz w:val="21"/>
                <w:szCs w:val="21"/>
                <w:highlight w:val="none"/>
              </w:rPr>
              <w:t>分）</w:t>
            </w:r>
          </w:p>
          <w:p>
            <w:pPr>
              <w:pStyle w:val="2"/>
              <w:spacing w:after="0"/>
              <w:ind w:firstLine="0" w:firstLineChars="0"/>
              <w:rPr>
                <w:rFonts w:ascii="宋体" w:hAnsi="宋体" w:cs="新宋体"/>
                <w:b/>
                <w:bCs/>
                <w:color w:val="auto"/>
                <w:sz w:val="21"/>
                <w:szCs w:val="21"/>
                <w:highlight w:val="none"/>
              </w:rPr>
            </w:pPr>
            <w:r>
              <w:rPr>
                <w:rFonts w:hint="eastAsia" w:ascii="宋体" w:hAnsi="宋体" w:cs="新宋体"/>
                <w:b/>
                <w:bCs/>
                <w:color w:val="auto"/>
                <w:sz w:val="21"/>
                <w:szCs w:val="21"/>
                <w:highlight w:val="none"/>
              </w:rPr>
              <w:t>以下资质须同时具备：</w:t>
            </w:r>
          </w:p>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（1）具备本科及以上学历学位（须提供相应学历及学位证书</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w:t>
            </w:r>
          </w:p>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（2）具有三年以上地方金融产业平台项目的招商运营管理经验（须提供工作简历复印件、具有官方印章证明的证明材料</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w:t>
            </w:r>
          </w:p>
          <w:p>
            <w:pPr>
              <w:rPr>
                <w:rFonts w:ascii="宋体" w:hAnsi="宋体" w:cs="新宋体"/>
                <w:b/>
                <w:bCs/>
                <w:color w:val="auto"/>
                <w:szCs w:val="21"/>
                <w:highlight w:val="none"/>
              </w:rPr>
            </w:pPr>
            <w:r>
              <w:rPr>
                <w:rFonts w:hint="eastAsia" w:ascii="宋体" w:hAnsi="宋体" w:cs="新宋体"/>
                <w:b/>
                <w:bCs/>
                <w:color w:val="auto"/>
                <w:szCs w:val="21"/>
                <w:highlight w:val="none"/>
              </w:rPr>
              <w:t>2、核心管理骨干人员资格（</w:t>
            </w:r>
            <w:r>
              <w:rPr>
                <w:rFonts w:ascii="宋体" w:hAnsi="宋体" w:cs="新宋体"/>
                <w:b/>
                <w:bCs/>
                <w:color w:val="auto"/>
                <w:szCs w:val="21"/>
                <w:highlight w:val="none"/>
              </w:rPr>
              <w:t>2</w:t>
            </w:r>
            <w:r>
              <w:rPr>
                <w:rFonts w:hint="eastAsia" w:ascii="宋体" w:hAnsi="宋体" w:cs="新宋体"/>
                <w:b/>
                <w:bCs/>
                <w:color w:val="auto"/>
                <w:szCs w:val="21"/>
                <w:highlight w:val="none"/>
              </w:rPr>
              <w:t>分）</w:t>
            </w: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outlineLvl w:val="1"/>
              <w:rPr>
                <w:rFonts w:ascii="宋体" w:hAnsi="宋体" w:cs="新宋体"/>
                <w:color w:val="auto"/>
                <w:sz w:val="21"/>
                <w:szCs w:val="21"/>
                <w:highlight w:val="none"/>
              </w:rPr>
            </w:pPr>
            <w:bookmarkStart w:id="204" w:name="_Toc8883"/>
            <w:r>
              <w:rPr>
                <w:rFonts w:hint="eastAsia" w:ascii="宋体" w:hAnsi="宋体" w:cs="新宋体"/>
                <w:color w:val="auto"/>
                <w:sz w:val="21"/>
                <w:szCs w:val="21"/>
                <w:highlight w:val="none"/>
              </w:rPr>
              <w:t>以下资质须同时具备：</w:t>
            </w:r>
            <w:bookmarkEnd w:id="204"/>
          </w:p>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（1）具备本科及以上学历学位（须提供相应学历及学位证书</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w:t>
            </w:r>
          </w:p>
          <w:p>
            <w:pPr>
              <w:rPr>
                <w:rFonts w:ascii="宋体" w:hAnsi="宋体"/>
                <w:color w:val="auto"/>
                <w:szCs w:val="21"/>
                <w:highlight w:val="none"/>
              </w:rPr>
            </w:pPr>
            <w:r>
              <w:rPr>
                <w:rFonts w:hint="eastAsia" w:ascii="宋体" w:hAnsi="宋体" w:cs="新宋体"/>
                <w:color w:val="auto"/>
                <w:szCs w:val="21"/>
                <w:highlight w:val="none"/>
              </w:rPr>
              <w:t>（2）运营负责人、招商负责人具有2年及以上地方金融产业运营管理和金融产业招商管理经验的，每有一位负责人具备该项能力得</w:t>
            </w:r>
            <w:r>
              <w:rPr>
                <w:rFonts w:ascii="宋体" w:hAnsi="宋体" w:cs="新宋体"/>
                <w:color w:val="auto"/>
                <w:szCs w:val="21"/>
                <w:highlight w:val="none"/>
              </w:rPr>
              <w:t>1</w:t>
            </w:r>
            <w:r>
              <w:rPr>
                <w:rFonts w:hint="eastAsia" w:ascii="宋体" w:hAnsi="宋体" w:cs="新宋体"/>
                <w:color w:val="auto"/>
                <w:szCs w:val="21"/>
                <w:highlight w:val="none"/>
              </w:rPr>
              <w:t>分，最高得</w:t>
            </w:r>
            <w:r>
              <w:rPr>
                <w:rFonts w:ascii="宋体" w:hAnsi="宋体" w:cs="新宋体"/>
                <w:color w:val="auto"/>
                <w:szCs w:val="21"/>
                <w:highlight w:val="none"/>
              </w:rPr>
              <w:t>2</w:t>
            </w:r>
            <w:r>
              <w:rPr>
                <w:rFonts w:hint="eastAsia" w:ascii="宋体" w:hAnsi="宋体" w:cs="新宋体"/>
                <w:color w:val="auto"/>
                <w:szCs w:val="21"/>
                <w:highlight w:val="none"/>
              </w:rPr>
              <w:t>分（须提供工作简历复印件、具有官方印章证明的证明材料</w:t>
            </w:r>
            <w:r>
              <w:rPr>
                <w:rFonts w:hint="eastAsia" w:ascii="宋体" w:hAnsi="宋体" w:cs="新宋体"/>
                <w:color w:val="auto"/>
                <w:sz w:val="21"/>
                <w:szCs w:val="21"/>
                <w:highlight w:val="none"/>
                <w:lang w:val="en-US" w:eastAsia="zh-CN"/>
              </w:rPr>
              <w:t>扫描</w:t>
            </w:r>
            <w:r>
              <w:rPr>
                <w:rFonts w:hint="eastAsia" w:ascii="宋体" w:hAnsi="宋体" w:cs="新宋体"/>
                <w:color w:val="auto"/>
                <w:szCs w:val="21"/>
                <w:highlight w:val="none"/>
              </w:rPr>
              <w:t>件）</w:t>
            </w:r>
            <w:r>
              <w:rPr>
                <w:rFonts w:hint="eastAsia" w:ascii="宋体" w:hAnsi="宋体"/>
                <w:color w:val="auto"/>
                <w:szCs w:val="21"/>
                <w:highlight w:val="none"/>
              </w:rPr>
              <w:t>。</w:t>
            </w:r>
          </w:p>
          <w:p>
            <w:pPr>
              <w:pStyle w:val="2"/>
              <w:spacing w:after="0"/>
              <w:ind w:firstLine="0" w:firstLineChars="0"/>
              <w:rPr>
                <w:rFonts w:ascii="宋体" w:hAnsi="宋体" w:cs="新宋体"/>
                <w:color w:val="auto"/>
                <w:sz w:val="21"/>
                <w:szCs w:val="21"/>
                <w:highlight w:val="none"/>
              </w:rPr>
            </w:pPr>
            <w:r>
              <w:rPr>
                <w:rFonts w:hint="eastAsia" w:ascii="宋体" w:hAnsi="宋体" w:cs="新宋体"/>
                <w:b/>
                <w:bCs/>
                <w:color w:val="auto"/>
                <w:sz w:val="21"/>
                <w:szCs w:val="21"/>
                <w:highlight w:val="none"/>
              </w:rPr>
              <w:t>3、团队组织架构设置（0-</w:t>
            </w:r>
            <w:r>
              <w:rPr>
                <w:rFonts w:ascii="宋体" w:hAnsi="宋体" w:cs="新宋体"/>
                <w:b/>
                <w:bCs/>
                <w:color w:val="auto"/>
                <w:sz w:val="21"/>
                <w:szCs w:val="21"/>
                <w:highlight w:val="none"/>
              </w:rPr>
              <w:t>2</w:t>
            </w:r>
            <w:r>
              <w:rPr>
                <w:rFonts w:hint="eastAsia" w:ascii="宋体" w:hAnsi="宋体" w:cs="新宋体"/>
                <w:b/>
                <w:bCs/>
                <w:color w:val="auto"/>
                <w:sz w:val="21"/>
                <w:szCs w:val="21"/>
                <w:highlight w:val="none"/>
              </w:rPr>
              <w:t>分）：</w:t>
            </w:r>
            <w:r>
              <w:rPr>
                <w:rFonts w:hint="eastAsia" w:ascii="宋体" w:hAnsi="宋体" w:cs="新宋体"/>
                <w:color w:val="auto"/>
                <w:sz w:val="21"/>
                <w:szCs w:val="21"/>
                <w:highlight w:val="none"/>
              </w:rPr>
              <w:t>以团队组织架构配置合理、服务建设足够支撑运营规划等评分，包括但不限于团队学历、专业、职称、执业资格、从业时间、经验、能力等评委横向对比后赋分，缺项不得分。</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6</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vMerge w:val="restart"/>
            <w:noWrap w:val="0"/>
            <w:vAlign w:val="center"/>
          </w:tcPr>
          <w:p>
            <w:pPr>
              <w:pStyle w:val="2"/>
              <w:spacing w:after="0"/>
              <w:ind w:firstLine="211"/>
              <w:rPr>
                <w:rFonts w:ascii="宋体" w:hAnsi="宋体" w:cs="新宋体"/>
                <w:b/>
                <w:bCs/>
                <w:color w:val="auto"/>
                <w:sz w:val="21"/>
                <w:szCs w:val="21"/>
                <w:highlight w:val="none"/>
              </w:rPr>
            </w:pPr>
            <w:r>
              <w:rPr>
                <w:rFonts w:ascii="宋体" w:hAnsi="宋体" w:cs="新宋体"/>
                <w:b/>
                <w:bCs/>
                <w:color w:val="auto"/>
                <w:sz w:val="21"/>
                <w:szCs w:val="21"/>
                <w:highlight w:val="none"/>
              </w:rPr>
              <w:t>8</w:t>
            </w:r>
          </w:p>
        </w:tc>
        <w:tc>
          <w:tcPr>
            <w:tcW w:w="1460" w:type="dxa"/>
            <w:vMerge w:val="restart"/>
            <w:noWrap w:val="0"/>
            <w:vAlign w:val="center"/>
          </w:tcPr>
          <w:p>
            <w:pPr>
              <w:pStyle w:val="2"/>
              <w:spacing w:after="0"/>
              <w:ind w:firstLine="210"/>
              <w:jc w:val="center"/>
              <w:rPr>
                <w:rFonts w:ascii="宋体" w:hAnsi="宋体" w:cs="新宋体"/>
                <w:color w:val="auto"/>
                <w:sz w:val="21"/>
                <w:szCs w:val="21"/>
                <w:highlight w:val="none"/>
              </w:rPr>
            </w:pPr>
            <w:r>
              <w:rPr>
                <w:rFonts w:hint="eastAsia" w:ascii="宋体" w:hAnsi="宋体" w:cs="新宋体"/>
                <w:color w:val="auto"/>
                <w:sz w:val="21"/>
                <w:szCs w:val="21"/>
                <w:highlight w:val="none"/>
              </w:rPr>
              <w:t>公司业绩</w:t>
            </w:r>
          </w:p>
        </w:tc>
        <w:tc>
          <w:tcPr>
            <w:tcW w:w="5982" w:type="dxa"/>
            <w:noWrap w:val="0"/>
            <w:vAlign w:val="center"/>
          </w:tcPr>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1、自201</w:t>
            </w:r>
            <w:r>
              <w:rPr>
                <w:rFonts w:ascii="宋体" w:hAnsi="宋体" w:cs="新宋体"/>
                <w:color w:val="auto"/>
                <w:sz w:val="21"/>
                <w:szCs w:val="21"/>
                <w:highlight w:val="none"/>
              </w:rPr>
              <w:t>7</w:t>
            </w:r>
            <w:r>
              <w:rPr>
                <w:rFonts w:hint="eastAsia" w:ascii="宋体" w:hAnsi="宋体" w:cs="新宋体"/>
                <w:color w:val="auto"/>
                <w:sz w:val="21"/>
                <w:szCs w:val="21"/>
                <w:highlight w:val="none"/>
              </w:rPr>
              <w:t>年1月1日以来（以合同签订时间为准）投标人或其子公司具有地方政府产业金融类特色小镇、金融产业园等类似项目运营服务经验的，得0.5分。以上业绩不得为物业服务。</w:t>
            </w:r>
          </w:p>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lang w:val="en-US" w:eastAsia="zh-CN"/>
              </w:rPr>
              <w:t>注：</w:t>
            </w:r>
            <w:r>
              <w:rPr>
                <w:rFonts w:hint="eastAsia" w:ascii="宋体" w:hAnsi="宋体" w:cs="新宋体"/>
                <w:color w:val="auto"/>
                <w:sz w:val="21"/>
                <w:szCs w:val="21"/>
                <w:highlight w:val="none"/>
              </w:rPr>
              <w:t>需提供运营合同</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件和中标通知书</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件并加盖公司公章。</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vMerge w:val="continue"/>
            <w:noWrap w:val="0"/>
            <w:vAlign w:val="center"/>
          </w:tcPr>
          <w:p>
            <w:pPr>
              <w:pStyle w:val="2"/>
              <w:spacing w:after="0"/>
              <w:ind w:firstLine="211"/>
              <w:rPr>
                <w:rFonts w:ascii="宋体" w:hAnsi="宋体" w:cs="新宋体"/>
                <w:b/>
                <w:bCs/>
                <w:color w:val="auto"/>
                <w:sz w:val="21"/>
                <w:szCs w:val="21"/>
                <w:highlight w:val="none"/>
              </w:rPr>
            </w:pPr>
          </w:p>
        </w:tc>
        <w:tc>
          <w:tcPr>
            <w:tcW w:w="1460" w:type="dxa"/>
            <w:vMerge w:val="continue"/>
            <w:noWrap w:val="0"/>
            <w:vAlign w:val="center"/>
          </w:tcPr>
          <w:p>
            <w:pPr>
              <w:pStyle w:val="2"/>
              <w:spacing w:after="0"/>
              <w:ind w:firstLine="210"/>
              <w:jc w:val="center"/>
              <w:rPr>
                <w:rFonts w:ascii="宋体" w:hAnsi="宋体" w:cs="新宋体"/>
                <w:color w:val="auto"/>
                <w:sz w:val="21"/>
                <w:szCs w:val="21"/>
                <w:highlight w:val="none"/>
              </w:rPr>
            </w:pPr>
          </w:p>
        </w:tc>
        <w:tc>
          <w:tcPr>
            <w:tcW w:w="5982" w:type="dxa"/>
            <w:noWrap w:val="0"/>
            <w:vAlign w:val="center"/>
          </w:tcPr>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rPr>
              <w:t>2、自201</w:t>
            </w:r>
            <w:r>
              <w:rPr>
                <w:rFonts w:ascii="宋体" w:hAnsi="宋体" w:cs="新宋体"/>
                <w:color w:val="auto"/>
                <w:sz w:val="21"/>
                <w:szCs w:val="21"/>
                <w:highlight w:val="none"/>
              </w:rPr>
              <w:t>7</w:t>
            </w:r>
            <w:r>
              <w:rPr>
                <w:rFonts w:hint="eastAsia" w:ascii="宋体" w:hAnsi="宋体" w:cs="新宋体"/>
                <w:color w:val="auto"/>
                <w:sz w:val="21"/>
                <w:szCs w:val="21"/>
                <w:highlight w:val="none"/>
              </w:rPr>
              <w:t>年1月1日以来（以合同签订时间为准）投标人或其子公司承担过运营特色小镇或产业园区项目业绩（非物业服务），提供1个得0.</w:t>
            </w:r>
            <w:r>
              <w:rPr>
                <w:rFonts w:ascii="宋体" w:hAnsi="宋体" w:cs="新宋体"/>
                <w:color w:val="auto"/>
                <w:sz w:val="21"/>
                <w:szCs w:val="21"/>
                <w:highlight w:val="none"/>
              </w:rPr>
              <w:t>1</w:t>
            </w:r>
            <w:r>
              <w:rPr>
                <w:rFonts w:hint="eastAsia" w:ascii="宋体" w:hAnsi="宋体" w:cs="新宋体"/>
                <w:color w:val="auto"/>
                <w:sz w:val="21"/>
                <w:szCs w:val="21"/>
                <w:highlight w:val="none"/>
              </w:rPr>
              <w:t>分，最多得</w:t>
            </w:r>
            <w:r>
              <w:rPr>
                <w:rFonts w:ascii="宋体" w:hAnsi="宋体" w:cs="新宋体"/>
                <w:color w:val="auto"/>
                <w:sz w:val="21"/>
                <w:szCs w:val="21"/>
                <w:highlight w:val="none"/>
              </w:rPr>
              <w:t>0.5</w:t>
            </w:r>
            <w:r>
              <w:rPr>
                <w:rFonts w:hint="eastAsia" w:ascii="宋体" w:hAnsi="宋体" w:cs="新宋体"/>
                <w:color w:val="auto"/>
                <w:sz w:val="21"/>
                <w:szCs w:val="21"/>
                <w:highlight w:val="none"/>
              </w:rPr>
              <w:t>分。以上业绩不得为物业服务。</w:t>
            </w:r>
          </w:p>
          <w:p>
            <w:pPr>
              <w:pStyle w:val="2"/>
              <w:spacing w:after="0"/>
              <w:ind w:firstLine="0" w:firstLineChars="0"/>
              <w:rPr>
                <w:rFonts w:ascii="宋体" w:hAnsi="宋体" w:cs="新宋体"/>
                <w:color w:val="auto"/>
                <w:sz w:val="21"/>
                <w:szCs w:val="21"/>
                <w:highlight w:val="none"/>
              </w:rPr>
            </w:pPr>
            <w:r>
              <w:rPr>
                <w:rFonts w:hint="eastAsia" w:ascii="宋体" w:hAnsi="宋体" w:cs="新宋体"/>
                <w:color w:val="auto"/>
                <w:sz w:val="21"/>
                <w:szCs w:val="21"/>
                <w:highlight w:val="none"/>
                <w:lang w:val="en-US" w:eastAsia="zh-CN"/>
              </w:rPr>
              <w:t>注：</w:t>
            </w:r>
            <w:r>
              <w:rPr>
                <w:rFonts w:hint="eastAsia" w:ascii="宋体" w:hAnsi="宋体" w:cs="新宋体"/>
                <w:color w:val="auto"/>
                <w:sz w:val="21"/>
                <w:szCs w:val="21"/>
                <w:highlight w:val="none"/>
              </w:rPr>
              <w:t>需提供运营合同</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件和中标通知书</w:t>
            </w:r>
            <w:r>
              <w:rPr>
                <w:rFonts w:hint="eastAsia" w:ascii="宋体" w:hAnsi="宋体" w:cs="新宋体"/>
                <w:color w:val="auto"/>
                <w:sz w:val="21"/>
                <w:szCs w:val="21"/>
                <w:highlight w:val="none"/>
                <w:lang w:val="en-US" w:eastAsia="zh-CN"/>
              </w:rPr>
              <w:t>扫描</w:t>
            </w:r>
            <w:r>
              <w:rPr>
                <w:rFonts w:hint="eastAsia" w:ascii="宋体" w:hAnsi="宋体" w:cs="新宋体"/>
                <w:color w:val="auto"/>
                <w:sz w:val="21"/>
                <w:szCs w:val="21"/>
                <w:highlight w:val="none"/>
              </w:rPr>
              <w:t>件并加盖公司公章。</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0.5</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vMerge w:val="continue"/>
            <w:noWrap w:val="0"/>
            <w:vAlign w:val="center"/>
          </w:tcPr>
          <w:p>
            <w:pPr>
              <w:pStyle w:val="2"/>
              <w:spacing w:after="0"/>
              <w:ind w:firstLine="211"/>
              <w:rPr>
                <w:rFonts w:ascii="宋体" w:hAnsi="宋体" w:cs="新宋体"/>
                <w:b/>
                <w:bCs/>
                <w:color w:val="auto"/>
                <w:sz w:val="21"/>
                <w:szCs w:val="21"/>
                <w:highlight w:val="none"/>
              </w:rPr>
            </w:pPr>
          </w:p>
        </w:tc>
        <w:tc>
          <w:tcPr>
            <w:tcW w:w="1460" w:type="dxa"/>
            <w:vMerge w:val="restart"/>
            <w:noWrap w:val="0"/>
            <w:vAlign w:val="center"/>
          </w:tcPr>
          <w:p>
            <w:pPr>
              <w:pStyle w:val="2"/>
              <w:spacing w:after="0"/>
              <w:ind w:firstLine="0" w:firstLineChars="0"/>
              <w:jc w:val="center"/>
              <w:rPr>
                <w:rFonts w:hint="eastAsia" w:ascii="宋体" w:hAnsi="宋体" w:cs="新宋体"/>
                <w:color w:val="auto"/>
                <w:sz w:val="21"/>
                <w:szCs w:val="21"/>
                <w:highlight w:val="none"/>
              </w:rPr>
            </w:pPr>
            <w:r>
              <w:rPr>
                <w:rFonts w:hint="eastAsia" w:ascii="宋体" w:hAnsi="宋体" w:cs="新宋体"/>
                <w:color w:val="auto"/>
                <w:sz w:val="21"/>
                <w:szCs w:val="21"/>
                <w:highlight w:val="none"/>
              </w:rPr>
              <w:t>技术专业性</w:t>
            </w:r>
          </w:p>
        </w:tc>
        <w:tc>
          <w:tcPr>
            <w:tcW w:w="5982" w:type="dxa"/>
            <w:noWrap w:val="0"/>
            <w:vAlign w:val="center"/>
          </w:tcPr>
          <w:p>
            <w:pPr>
              <w:rPr>
                <w:rFonts w:ascii="宋体" w:hAnsi="宋体" w:cs="新宋体"/>
                <w:color w:val="auto"/>
                <w:kern w:val="0"/>
                <w:szCs w:val="21"/>
                <w:highlight w:val="none"/>
              </w:rPr>
            </w:pPr>
            <w:r>
              <w:rPr>
                <w:rFonts w:hint="eastAsia" w:ascii="宋体" w:hAnsi="宋体" w:cs="新宋体"/>
                <w:color w:val="auto"/>
                <w:kern w:val="0"/>
                <w:szCs w:val="21"/>
                <w:highlight w:val="none"/>
                <w:lang w:val="en-US" w:eastAsia="zh-CN"/>
              </w:rPr>
              <w:t>3</w:t>
            </w:r>
            <w:r>
              <w:rPr>
                <w:rFonts w:hint="eastAsia" w:ascii="宋体" w:hAnsi="宋体" w:cs="新宋体"/>
                <w:color w:val="auto"/>
                <w:kern w:val="0"/>
                <w:szCs w:val="21"/>
                <w:highlight w:val="none"/>
              </w:rPr>
              <w:t>、投标人或其子公司运营的产业金融平台项目获得过以下荣誉称号：</w:t>
            </w:r>
          </w:p>
          <w:p>
            <w:pPr>
              <w:rPr>
                <w:rFonts w:ascii="宋体" w:hAnsi="宋体" w:cs="新宋体"/>
                <w:color w:val="auto"/>
                <w:kern w:val="0"/>
                <w:szCs w:val="21"/>
                <w:highlight w:val="none"/>
              </w:rPr>
            </w:pPr>
            <w:r>
              <w:rPr>
                <w:rFonts w:hint="eastAsia" w:ascii="宋体" w:hAnsi="宋体" w:cs="新宋体"/>
                <w:color w:val="auto"/>
                <w:kern w:val="0"/>
                <w:szCs w:val="21"/>
                <w:highlight w:val="none"/>
              </w:rPr>
              <w:t>（1）获得国家级荣誉称号的，得</w:t>
            </w:r>
            <w:r>
              <w:rPr>
                <w:rFonts w:ascii="宋体" w:hAnsi="宋体" w:cs="新宋体"/>
                <w:color w:val="auto"/>
                <w:kern w:val="0"/>
                <w:szCs w:val="21"/>
                <w:highlight w:val="none"/>
              </w:rPr>
              <w:t>2</w:t>
            </w:r>
            <w:r>
              <w:rPr>
                <w:rFonts w:hint="eastAsia" w:ascii="宋体" w:hAnsi="宋体" w:cs="新宋体"/>
                <w:color w:val="auto"/>
                <w:kern w:val="0"/>
                <w:szCs w:val="21"/>
                <w:highlight w:val="none"/>
              </w:rPr>
              <w:t>分；</w:t>
            </w:r>
          </w:p>
          <w:p>
            <w:pPr>
              <w:rPr>
                <w:rFonts w:ascii="宋体" w:hAnsi="宋体" w:cs="新宋体"/>
                <w:color w:val="auto"/>
                <w:kern w:val="0"/>
                <w:szCs w:val="21"/>
                <w:highlight w:val="none"/>
              </w:rPr>
            </w:pPr>
            <w:r>
              <w:rPr>
                <w:rFonts w:hint="eastAsia" w:ascii="宋体" w:hAnsi="宋体" w:cs="新宋体"/>
                <w:color w:val="auto"/>
                <w:kern w:val="0"/>
                <w:szCs w:val="21"/>
                <w:highlight w:val="none"/>
              </w:rPr>
              <w:t>（2）获得省市级级荣誉称号的，得</w:t>
            </w:r>
            <w:r>
              <w:rPr>
                <w:rFonts w:ascii="宋体" w:hAnsi="宋体" w:cs="新宋体"/>
                <w:color w:val="auto"/>
                <w:kern w:val="0"/>
                <w:szCs w:val="21"/>
                <w:highlight w:val="none"/>
              </w:rPr>
              <w:t>1</w:t>
            </w:r>
            <w:r>
              <w:rPr>
                <w:rFonts w:hint="eastAsia" w:ascii="宋体" w:hAnsi="宋体" w:cs="新宋体"/>
                <w:color w:val="auto"/>
                <w:kern w:val="0"/>
                <w:szCs w:val="21"/>
                <w:highlight w:val="none"/>
              </w:rPr>
              <w:t>分。</w:t>
            </w:r>
          </w:p>
          <w:p>
            <w:pPr>
              <w:rPr>
                <w:rFonts w:ascii="宋体" w:hAnsi="宋体"/>
                <w:color w:val="auto"/>
                <w:szCs w:val="21"/>
                <w:highlight w:val="none"/>
              </w:rPr>
            </w:pPr>
            <w:r>
              <w:rPr>
                <w:rFonts w:hint="eastAsia" w:ascii="宋体" w:hAnsi="宋体" w:cs="新宋体"/>
                <w:color w:val="auto"/>
                <w:kern w:val="0"/>
                <w:szCs w:val="21"/>
                <w:highlight w:val="none"/>
                <w:lang w:val="en-US" w:eastAsia="zh-CN"/>
              </w:rPr>
              <w:t>注：</w:t>
            </w:r>
            <w:r>
              <w:rPr>
                <w:rFonts w:hint="eastAsia" w:ascii="宋体" w:hAnsi="宋体" w:cs="新宋体"/>
                <w:color w:val="auto"/>
                <w:kern w:val="0"/>
                <w:szCs w:val="21"/>
                <w:highlight w:val="none"/>
              </w:rPr>
              <w:t>此项最多得</w:t>
            </w:r>
            <w:r>
              <w:rPr>
                <w:rFonts w:ascii="宋体" w:hAnsi="宋体" w:cs="新宋体"/>
                <w:color w:val="auto"/>
                <w:kern w:val="0"/>
                <w:szCs w:val="21"/>
                <w:highlight w:val="none"/>
              </w:rPr>
              <w:t>3</w:t>
            </w:r>
            <w:r>
              <w:rPr>
                <w:rFonts w:hint="eastAsia" w:ascii="宋体" w:hAnsi="宋体" w:cs="新宋体"/>
                <w:color w:val="auto"/>
                <w:kern w:val="0"/>
                <w:szCs w:val="21"/>
                <w:highlight w:val="none"/>
              </w:rPr>
              <w:t>分。须提供政府颁发的相关荣誉证书或相关证明文件</w:t>
            </w:r>
            <w:r>
              <w:rPr>
                <w:rFonts w:hint="eastAsia" w:ascii="宋体" w:hAnsi="宋体" w:cs="新宋体"/>
                <w:color w:val="auto"/>
                <w:sz w:val="21"/>
                <w:szCs w:val="21"/>
                <w:highlight w:val="none"/>
                <w:lang w:val="en-US" w:eastAsia="zh-CN"/>
              </w:rPr>
              <w:t>扫描</w:t>
            </w:r>
            <w:r>
              <w:rPr>
                <w:rFonts w:hint="eastAsia" w:ascii="宋体" w:hAnsi="宋体" w:cs="新宋体"/>
                <w:color w:val="auto"/>
                <w:kern w:val="0"/>
                <w:szCs w:val="21"/>
                <w:highlight w:val="none"/>
              </w:rPr>
              <w:t>件并加盖公章。</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ascii="宋体" w:hAnsi="宋体" w:cs="新宋体"/>
                <w:color w:val="auto"/>
                <w:sz w:val="21"/>
                <w:szCs w:val="21"/>
                <w:highlight w:val="none"/>
              </w:rPr>
              <w:t>3</w:t>
            </w:r>
            <w:r>
              <w:rPr>
                <w:rFonts w:hint="eastAsia" w:ascii="宋体" w:hAnsi="宋体" w:cs="新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0" w:type="dxa"/>
            <w:vMerge w:val="continue"/>
            <w:noWrap w:val="0"/>
            <w:vAlign w:val="center"/>
          </w:tcPr>
          <w:p>
            <w:pPr>
              <w:pStyle w:val="2"/>
              <w:spacing w:after="0"/>
              <w:ind w:firstLine="211"/>
              <w:rPr>
                <w:rFonts w:ascii="宋体" w:hAnsi="宋体" w:cs="新宋体"/>
                <w:b/>
                <w:bCs/>
                <w:color w:val="auto"/>
                <w:sz w:val="21"/>
                <w:szCs w:val="21"/>
                <w:highlight w:val="none"/>
              </w:rPr>
            </w:pPr>
          </w:p>
        </w:tc>
        <w:tc>
          <w:tcPr>
            <w:tcW w:w="1460" w:type="dxa"/>
            <w:vMerge w:val="continue"/>
            <w:noWrap w:val="0"/>
            <w:vAlign w:val="center"/>
          </w:tcPr>
          <w:p>
            <w:pPr>
              <w:pStyle w:val="2"/>
              <w:spacing w:after="0"/>
              <w:ind w:firstLine="210"/>
              <w:jc w:val="center"/>
              <w:rPr>
                <w:rFonts w:ascii="宋体" w:hAnsi="宋体" w:cs="新宋体"/>
                <w:color w:val="auto"/>
                <w:sz w:val="21"/>
                <w:szCs w:val="21"/>
                <w:highlight w:val="none"/>
              </w:rPr>
            </w:pPr>
          </w:p>
        </w:tc>
        <w:tc>
          <w:tcPr>
            <w:tcW w:w="5982" w:type="dxa"/>
            <w:noWrap w:val="0"/>
            <w:vAlign w:val="center"/>
          </w:tcPr>
          <w:p>
            <w:pPr>
              <w:pStyle w:val="2"/>
              <w:spacing w:after="0"/>
              <w:ind w:firstLine="0" w:firstLineChars="0"/>
              <w:rPr>
                <w:rFonts w:ascii="宋体" w:hAnsi="宋体" w:cs="新宋体"/>
                <w:color w:val="auto"/>
                <w:sz w:val="21"/>
                <w:szCs w:val="21"/>
                <w:highlight w:val="none"/>
              </w:rPr>
            </w:pPr>
            <w:r>
              <w:rPr>
                <w:rFonts w:hint="eastAsia" w:ascii="宋体" w:hAnsi="宋体"/>
                <w:color w:val="auto"/>
                <w:kern w:val="2"/>
                <w:sz w:val="21"/>
                <w:szCs w:val="21"/>
                <w:highlight w:val="none"/>
                <w:lang w:val="en-US" w:eastAsia="zh-CN"/>
              </w:rPr>
              <w:t>4</w:t>
            </w:r>
            <w:r>
              <w:rPr>
                <w:rFonts w:hint="eastAsia" w:ascii="宋体" w:hAnsi="宋体"/>
                <w:color w:val="auto"/>
                <w:kern w:val="2"/>
                <w:sz w:val="21"/>
                <w:szCs w:val="21"/>
                <w:highlight w:val="none"/>
              </w:rPr>
              <w:t>、投标人同时具有“质量管理体系认证、环境管理体系认证、职业健康安全管理</w:t>
            </w:r>
            <w:bookmarkStart w:id="281" w:name="_GoBack"/>
            <w:bookmarkEnd w:id="281"/>
            <w:r>
              <w:rPr>
                <w:rFonts w:hint="eastAsia" w:ascii="宋体" w:hAnsi="宋体"/>
                <w:color w:val="auto"/>
                <w:kern w:val="2"/>
                <w:sz w:val="21"/>
                <w:szCs w:val="21"/>
                <w:highlight w:val="none"/>
              </w:rPr>
              <w:t>体系认证”证书的得3分，缺一项扣1分，扣完为止。</w:t>
            </w:r>
            <w:r>
              <w:rPr>
                <w:rFonts w:hint="eastAsia" w:ascii="宋体" w:hAnsi="宋体" w:cs="新宋体"/>
                <w:color w:val="auto"/>
                <w:kern w:val="0"/>
                <w:szCs w:val="21"/>
                <w:highlight w:val="none"/>
                <w:lang w:val="en-US" w:eastAsia="zh-CN"/>
              </w:rPr>
              <w:t>注：</w:t>
            </w:r>
            <w:r>
              <w:rPr>
                <w:rFonts w:hint="eastAsia" w:ascii="宋体" w:hAnsi="宋体" w:cs="新宋体"/>
                <w:color w:val="auto"/>
                <w:kern w:val="0"/>
                <w:szCs w:val="21"/>
                <w:highlight w:val="none"/>
              </w:rPr>
              <w:t>此项最多得</w:t>
            </w:r>
            <w:r>
              <w:rPr>
                <w:rFonts w:ascii="宋体" w:hAnsi="宋体" w:cs="新宋体"/>
                <w:color w:val="auto"/>
                <w:kern w:val="0"/>
                <w:szCs w:val="21"/>
                <w:highlight w:val="none"/>
              </w:rPr>
              <w:t>3</w:t>
            </w:r>
            <w:r>
              <w:rPr>
                <w:rFonts w:hint="eastAsia" w:ascii="宋体" w:hAnsi="宋体" w:cs="新宋体"/>
                <w:color w:val="auto"/>
                <w:kern w:val="0"/>
                <w:szCs w:val="21"/>
                <w:highlight w:val="none"/>
              </w:rPr>
              <w:t>分。须提供相关证明文件</w:t>
            </w:r>
            <w:r>
              <w:rPr>
                <w:rFonts w:hint="eastAsia" w:ascii="宋体" w:hAnsi="宋体" w:cs="新宋体"/>
                <w:color w:val="auto"/>
                <w:sz w:val="21"/>
                <w:szCs w:val="21"/>
                <w:highlight w:val="none"/>
                <w:lang w:val="en-US" w:eastAsia="zh-CN"/>
              </w:rPr>
              <w:t>扫描</w:t>
            </w:r>
            <w:r>
              <w:rPr>
                <w:rFonts w:hint="eastAsia" w:ascii="宋体" w:hAnsi="宋体" w:cs="新宋体"/>
                <w:color w:val="auto"/>
                <w:kern w:val="0"/>
                <w:szCs w:val="21"/>
                <w:highlight w:val="none"/>
              </w:rPr>
              <w:t>件并加盖公章。</w:t>
            </w:r>
          </w:p>
        </w:tc>
        <w:tc>
          <w:tcPr>
            <w:tcW w:w="1187" w:type="dxa"/>
            <w:tcBorders>
              <w:right w:val="single" w:color="auto" w:sz="4" w:space="0"/>
            </w:tcBorders>
            <w:noWrap w:val="0"/>
            <w:vAlign w:val="center"/>
          </w:tcPr>
          <w:p>
            <w:pPr>
              <w:pStyle w:val="2"/>
              <w:spacing w:after="0"/>
              <w:ind w:firstLine="0" w:firstLineChars="0"/>
              <w:jc w:val="center"/>
              <w:rPr>
                <w:rFonts w:ascii="宋体" w:hAnsi="宋体" w:cs="新宋体"/>
                <w:color w:val="auto"/>
                <w:sz w:val="21"/>
                <w:szCs w:val="21"/>
                <w:highlight w:val="none"/>
              </w:rPr>
            </w:pPr>
            <w:r>
              <w:rPr>
                <w:rFonts w:hint="eastAsia" w:ascii="宋体" w:hAnsi="宋体" w:cs="新宋体"/>
                <w:color w:val="auto"/>
                <w:sz w:val="21"/>
                <w:szCs w:val="21"/>
                <w:highlight w:val="none"/>
              </w:rPr>
              <w:t>3分</w:t>
            </w:r>
          </w:p>
        </w:tc>
      </w:tr>
    </w:tbl>
    <w:p>
      <w:pPr>
        <w:spacing w:line="400" w:lineRule="exact"/>
        <w:rPr>
          <w:rFonts w:ascii="宋体" w:hAnsi="宋体" w:cs="Arial"/>
          <w:color w:val="auto"/>
          <w:sz w:val="22"/>
          <w:highlight w:val="none"/>
        </w:rPr>
      </w:pPr>
      <w:r>
        <w:rPr>
          <w:rFonts w:hint="eastAsia" w:ascii="宋体" w:hAnsi="宋体" w:cs="Arial"/>
          <w:color w:val="auto"/>
          <w:sz w:val="22"/>
          <w:highlight w:val="none"/>
        </w:rPr>
        <w:t>2、</w:t>
      </w:r>
      <w:r>
        <w:rPr>
          <w:rFonts w:hint="eastAsia" w:ascii="宋体" w:hAnsi="宋体" w:cs="Arial"/>
          <w:b/>
          <w:color w:val="auto"/>
          <w:sz w:val="22"/>
          <w:highlight w:val="none"/>
        </w:rPr>
        <w:t>商务评分（</w:t>
      </w:r>
      <w:r>
        <w:rPr>
          <w:rFonts w:hint="eastAsia" w:ascii="宋体" w:hAnsi="宋体" w:cs="Arial"/>
          <w:b/>
          <w:color w:val="auto"/>
          <w:sz w:val="22"/>
          <w:highlight w:val="none"/>
          <w:lang w:val="en-US" w:eastAsia="zh-CN"/>
        </w:rPr>
        <w:t>10</w:t>
      </w:r>
      <w:r>
        <w:rPr>
          <w:rFonts w:hint="eastAsia" w:ascii="宋体" w:hAnsi="宋体" w:cs="Arial"/>
          <w:b/>
          <w:color w:val="auto"/>
          <w:sz w:val="22"/>
          <w:highlight w:val="none"/>
        </w:rPr>
        <w:t>分）</w:t>
      </w:r>
      <w:r>
        <w:rPr>
          <w:rFonts w:hint="eastAsia" w:ascii="宋体" w:hAnsi="宋体" w:cs="Arial"/>
          <w:color w:val="auto"/>
          <w:sz w:val="22"/>
          <w:highlight w:val="none"/>
        </w:rPr>
        <w:t>：</w:t>
      </w:r>
    </w:p>
    <w:p>
      <w:pPr>
        <w:spacing w:line="400" w:lineRule="exact"/>
        <w:ind w:left="328" w:leftChars="156"/>
        <w:rPr>
          <w:rFonts w:ascii="宋体" w:hAnsi="宋体" w:cs="Arial"/>
          <w:color w:val="auto"/>
          <w:sz w:val="22"/>
          <w:highlight w:val="none"/>
        </w:rPr>
      </w:pPr>
      <w:r>
        <w:rPr>
          <w:rFonts w:hint="eastAsia" w:ascii="宋体" w:hAnsi="宋体" w:cs="Arial"/>
          <w:color w:val="auto"/>
          <w:sz w:val="22"/>
          <w:highlight w:val="none"/>
        </w:rPr>
        <w:t>满足招标文件要求且报价最低的投标报价为评标基准价。</w:t>
      </w:r>
    </w:p>
    <w:p>
      <w:pPr>
        <w:spacing w:line="440" w:lineRule="exact"/>
        <w:ind w:firstLine="330" w:firstLineChars="150"/>
        <w:rPr>
          <w:rFonts w:hint="eastAsia" w:ascii="宋体" w:hAnsi="宋体"/>
          <w:color w:val="auto"/>
          <w:sz w:val="22"/>
          <w:highlight w:val="none"/>
          <w:lang w:val="en-US" w:eastAsia="zh-CN"/>
        </w:rPr>
      </w:pPr>
      <w:r>
        <w:rPr>
          <w:rFonts w:ascii="宋体" w:hAnsi="宋体"/>
          <w:color w:val="auto"/>
          <w:sz w:val="22"/>
          <w:highlight w:val="none"/>
        </w:rPr>
        <w:t>1</w:t>
      </w:r>
      <w:r>
        <w:rPr>
          <w:rFonts w:hint="eastAsia" w:ascii="宋体" w:hAnsi="宋体"/>
          <w:color w:val="auto"/>
          <w:sz w:val="22"/>
          <w:highlight w:val="none"/>
        </w:rPr>
        <w:t>）</w:t>
      </w:r>
      <w:r>
        <w:rPr>
          <w:rFonts w:hint="eastAsia" w:ascii="宋体" w:hAnsi="宋体"/>
          <w:color w:val="auto"/>
          <w:sz w:val="22"/>
          <w:highlight w:val="none"/>
          <w:lang w:val="en-US" w:eastAsia="zh-CN"/>
        </w:rPr>
        <w:t>本项目商务得</w:t>
      </w:r>
      <w:r>
        <w:rPr>
          <w:rFonts w:hint="eastAsia" w:ascii="宋体" w:hAnsi="宋体"/>
          <w:color w:val="auto"/>
          <w:sz w:val="22"/>
          <w:highlight w:val="none"/>
        </w:rPr>
        <w:t>分为满分</w:t>
      </w:r>
      <w:r>
        <w:rPr>
          <w:rFonts w:hint="eastAsia" w:ascii="宋体" w:hAnsi="宋体"/>
          <w:color w:val="auto"/>
          <w:sz w:val="22"/>
          <w:highlight w:val="none"/>
          <w:lang w:val="en-US" w:eastAsia="zh-CN"/>
        </w:rPr>
        <w:t>10</w:t>
      </w:r>
      <w:r>
        <w:rPr>
          <w:rFonts w:hint="eastAsia" w:ascii="宋体" w:hAnsi="宋体"/>
          <w:color w:val="auto"/>
          <w:sz w:val="22"/>
          <w:highlight w:val="none"/>
        </w:rPr>
        <w:t>分</w:t>
      </w:r>
      <w:r>
        <w:rPr>
          <w:rFonts w:hint="eastAsia" w:ascii="宋体" w:hAnsi="宋体"/>
          <w:color w:val="auto"/>
          <w:sz w:val="22"/>
          <w:highlight w:val="none"/>
          <w:lang w:val="en-US" w:eastAsia="zh-CN"/>
        </w:rPr>
        <w:t>。</w:t>
      </w:r>
    </w:p>
    <w:p>
      <w:pPr>
        <w:spacing w:line="440" w:lineRule="exact"/>
        <w:ind w:firstLine="330" w:firstLineChars="15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rPr>
        <w:t>）其他</w:t>
      </w:r>
      <w:r>
        <w:rPr>
          <w:rFonts w:hint="eastAsia" w:ascii="宋体" w:hAnsi="宋体"/>
          <w:color w:val="auto"/>
          <w:sz w:val="22"/>
          <w:highlight w:val="none"/>
          <w:lang w:eastAsia="zh-CN"/>
        </w:rPr>
        <w:t>投标人</w:t>
      </w:r>
      <w:r>
        <w:rPr>
          <w:rFonts w:hint="eastAsia" w:ascii="宋体" w:hAnsi="宋体"/>
          <w:color w:val="auto"/>
          <w:sz w:val="22"/>
          <w:highlight w:val="none"/>
        </w:rPr>
        <w:t>的价格分按以下公式计算：</w:t>
      </w:r>
    </w:p>
    <w:p>
      <w:pPr>
        <w:numPr>
          <w:ilvl w:val="0"/>
          <w:numId w:val="0"/>
        </w:numPr>
        <w:spacing w:line="440" w:lineRule="exact"/>
        <w:ind w:left="400" w:leftChars="0"/>
        <w:rPr>
          <w:rFonts w:hint="eastAsia" w:ascii="宋体" w:hAnsi="宋体"/>
          <w:color w:val="auto"/>
          <w:sz w:val="22"/>
          <w:highlight w:val="none"/>
        </w:rPr>
      </w:pPr>
      <w:r>
        <w:rPr>
          <w:rFonts w:hint="eastAsia" w:ascii="宋体" w:hAnsi="宋体"/>
          <w:color w:val="auto"/>
          <w:sz w:val="22"/>
          <w:highlight w:val="none"/>
        </w:rPr>
        <w:t>商务分得分</w:t>
      </w:r>
      <w:r>
        <w:rPr>
          <w:rFonts w:ascii="宋体" w:hAnsi="宋体"/>
          <w:color w:val="auto"/>
          <w:sz w:val="22"/>
          <w:highlight w:val="none"/>
        </w:rPr>
        <w:t>=</w:t>
      </w:r>
      <w:r>
        <w:rPr>
          <w:rFonts w:hint="eastAsia" w:ascii="宋体" w:hAnsi="宋体"/>
          <w:color w:val="auto"/>
          <w:sz w:val="22"/>
          <w:highlight w:val="none"/>
        </w:rPr>
        <w:t>（</w:t>
      </w:r>
      <w:r>
        <w:rPr>
          <w:rFonts w:hint="eastAsia" w:ascii="宋体" w:hAnsi="宋体"/>
          <w:color w:val="auto"/>
          <w:sz w:val="22"/>
          <w:highlight w:val="none"/>
          <w:lang w:val="en-US" w:eastAsia="zh-CN"/>
        </w:rPr>
        <w:t>评标</w:t>
      </w:r>
      <w:r>
        <w:rPr>
          <w:rFonts w:hint="eastAsia" w:ascii="宋体" w:hAnsi="宋体"/>
          <w:color w:val="auto"/>
          <w:sz w:val="22"/>
          <w:highlight w:val="none"/>
        </w:rPr>
        <w:t>基准价</w:t>
      </w:r>
      <w:r>
        <w:rPr>
          <w:rFonts w:ascii="宋体" w:hAnsi="宋体"/>
          <w:color w:val="auto"/>
          <w:sz w:val="22"/>
          <w:highlight w:val="none"/>
        </w:rPr>
        <w:t>/</w:t>
      </w:r>
      <w:r>
        <w:rPr>
          <w:rFonts w:hint="eastAsia" w:ascii="宋体" w:hAnsi="宋体"/>
          <w:color w:val="auto"/>
          <w:sz w:val="22"/>
          <w:highlight w:val="none"/>
          <w:lang w:eastAsia="zh-CN"/>
        </w:rPr>
        <w:t>投标</w:t>
      </w:r>
      <w:r>
        <w:rPr>
          <w:rFonts w:hint="eastAsia" w:ascii="宋体" w:hAnsi="宋体"/>
          <w:color w:val="auto"/>
          <w:sz w:val="22"/>
          <w:highlight w:val="none"/>
          <w:lang w:val="en-US" w:eastAsia="zh-CN"/>
        </w:rPr>
        <w:t>人投标</w:t>
      </w:r>
      <w:r>
        <w:rPr>
          <w:rFonts w:hint="eastAsia" w:ascii="宋体" w:hAnsi="宋体"/>
          <w:color w:val="auto"/>
          <w:sz w:val="22"/>
          <w:highlight w:val="none"/>
        </w:rPr>
        <w:t>报价）×</w:t>
      </w:r>
      <w:r>
        <w:rPr>
          <w:rFonts w:hint="eastAsia" w:ascii="宋体" w:hAnsi="宋体"/>
          <w:color w:val="auto"/>
          <w:sz w:val="22"/>
          <w:highlight w:val="none"/>
          <w:lang w:val="en-US" w:eastAsia="zh-CN"/>
        </w:rPr>
        <w:t>价格权值</w:t>
      </w:r>
      <w:r>
        <w:rPr>
          <w:rFonts w:ascii="宋体" w:hAnsi="宋体"/>
          <w:color w:val="auto"/>
          <w:sz w:val="22"/>
          <w:highlight w:val="none"/>
        </w:rPr>
        <w:t xml:space="preserve"> </w:t>
      </w:r>
      <w:r>
        <w:rPr>
          <w:rFonts w:hint="eastAsia" w:ascii="宋体" w:hAnsi="宋体"/>
          <w:color w:val="auto"/>
          <w:sz w:val="22"/>
          <w:highlight w:val="none"/>
        </w:rPr>
        <w:t>×</w:t>
      </w:r>
      <w:r>
        <w:rPr>
          <w:rFonts w:ascii="宋体" w:hAnsi="宋体"/>
          <w:color w:val="auto"/>
          <w:sz w:val="22"/>
          <w:highlight w:val="none"/>
        </w:rPr>
        <w:t>100</w:t>
      </w:r>
      <w:r>
        <w:rPr>
          <w:rFonts w:hint="eastAsia" w:ascii="宋体" w:hAnsi="宋体"/>
          <w:color w:val="auto"/>
          <w:sz w:val="22"/>
          <w:highlight w:val="none"/>
          <w:lang w:val="en-US" w:eastAsia="zh-CN"/>
        </w:rPr>
        <w:t>%</w:t>
      </w:r>
      <w:r>
        <w:rPr>
          <w:rFonts w:hint="eastAsia" w:ascii="宋体" w:hAnsi="宋体"/>
          <w:color w:val="auto"/>
          <w:sz w:val="22"/>
          <w:highlight w:val="none"/>
        </w:rPr>
        <w:t>（四舍五入后保留小数</w:t>
      </w:r>
      <w:r>
        <w:rPr>
          <w:rFonts w:ascii="宋体" w:hAnsi="宋体"/>
          <w:color w:val="auto"/>
          <w:sz w:val="22"/>
          <w:highlight w:val="none"/>
        </w:rPr>
        <w:t>2</w:t>
      </w:r>
      <w:r>
        <w:rPr>
          <w:rFonts w:hint="eastAsia" w:ascii="宋体" w:hAnsi="宋体"/>
          <w:color w:val="auto"/>
          <w:sz w:val="22"/>
          <w:highlight w:val="none"/>
        </w:rPr>
        <w:t>位）</w:t>
      </w:r>
    </w:p>
    <w:p>
      <w:pPr>
        <w:spacing w:line="440" w:lineRule="exact"/>
        <w:ind w:firstLine="330" w:firstLineChars="150"/>
        <w:rPr>
          <w:rFonts w:hint="eastAsia" w:ascii="宋体" w:hAnsi="宋体" w:cs="Times New Roman"/>
          <w:color w:val="auto"/>
          <w:sz w:val="22"/>
          <w:highlight w:val="none"/>
        </w:rPr>
      </w:pPr>
      <w:r>
        <w:rPr>
          <w:rFonts w:hint="eastAsia" w:ascii="宋体" w:hAnsi="宋体" w:cs="Times New Roman"/>
          <w:color w:val="auto"/>
          <w:sz w:val="22"/>
          <w:highlight w:val="none"/>
        </w:rPr>
        <w:t>3）本项目对符合招标文件规定条件的小、微企业（或监狱企业或残疾人福利性单位）所投的价格给予20%的扣除，用扣除后的价格参与评审，如中标签订合同时以其投标价作为签订合同价。在货物采购项目中，供应商提供的货物既有中小企业制造货物，也有大型企业制造货物的，不享受本办法规定的中小企业扶持政策。因落实政府采购政策进行价格调整的，以调整后的价格计算评标基准价和投标报价。</w:t>
      </w:r>
    </w:p>
    <w:p>
      <w:pPr>
        <w:spacing w:line="400" w:lineRule="exact"/>
        <w:ind w:firstLine="330" w:firstLineChars="150"/>
        <w:rPr>
          <w:rFonts w:hint="eastAsia" w:ascii="宋体" w:hAnsi="宋体" w:cs="Arial"/>
          <w:b/>
          <w:color w:val="auto"/>
          <w:sz w:val="22"/>
          <w:szCs w:val="22"/>
          <w:highlight w:val="none"/>
          <w:u w:val="single"/>
        </w:rPr>
      </w:pPr>
      <w:r>
        <w:rPr>
          <w:rFonts w:hint="eastAsia" w:ascii="宋体" w:hAnsi="宋体" w:cs="Arial"/>
          <w:color w:val="auto"/>
          <w:sz w:val="22"/>
          <w:highlight w:val="none"/>
        </w:rPr>
        <w:t>4）</w:t>
      </w:r>
      <w:r>
        <w:rPr>
          <w:rFonts w:hint="eastAsia" w:ascii="宋体" w:hAnsi="宋体" w:cs="Arial"/>
          <w:b/>
          <w:color w:val="auto"/>
          <w:sz w:val="22"/>
          <w:szCs w:val="22"/>
          <w:highlight w:val="none"/>
          <w:u w:val="single"/>
        </w:rPr>
        <w:t xml:space="preserve">本项目采购预算为 </w:t>
      </w:r>
      <w:r>
        <w:rPr>
          <w:rFonts w:hint="eastAsia" w:ascii="宋体" w:hAnsi="宋体" w:cs="Arial"/>
          <w:b/>
          <w:color w:val="auto"/>
          <w:sz w:val="22"/>
          <w:szCs w:val="22"/>
          <w:highlight w:val="none"/>
          <w:u w:val="single"/>
          <w:lang w:val="en-US" w:eastAsia="zh-CN"/>
        </w:rPr>
        <w:t>4200万</w:t>
      </w:r>
      <w:r>
        <w:rPr>
          <w:rFonts w:hint="eastAsia" w:ascii="宋体" w:hAnsi="宋体" w:cs="Arial"/>
          <w:b/>
          <w:color w:val="auto"/>
          <w:sz w:val="22"/>
          <w:szCs w:val="22"/>
          <w:highlight w:val="none"/>
          <w:u w:val="single"/>
        </w:rPr>
        <w:t>元。</w:t>
      </w:r>
    </w:p>
    <w:p>
      <w:pPr>
        <w:spacing w:line="400" w:lineRule="exact"/>
        <w:ind w:firstLine="330" w:firstLineChars="150"/>
        <w:rPr>
          <w:rFonts w:ascii="宋体" w:hAnsi="宋体" w:cs="Arial"/>
          <w:b/>
          <w:color w:val="auto"/>
          <w:sz w:val="22"/>
          <w:szCs w:val="22"/>
          <w:highlight w:val="none"/>
          <w:u w:val="single"/>
        </w:rPr>
      </w:pPr>
      <w:r>
        <w:rPr>
          <w:rFonts w:hint="eastAsia" w:ascii="宋体" w:hAnsi="宋体" w:cs="Arial"/>
          <w:color w:val="auto"/>
          <w:sz w:val="22"/>
          <w:highlight w:val="none"/>
          <w:lang w:val="en-US" w:eastAsia="zh-CN"/>
        </w:rPr>
        <w:t>5</w:t>
      </w:r>
      <w:r>
        <w:rPr>
          <w:rFonts w:hint="eastAsia" w:ascii="宋体" w:hAnsi="宋体" w:cs="Arial"/>
          <w:color w:val="auto"/>
          <w:sz w:val="22"/>
          <w:highlight w:val="none"/>
        </w:rPr>
        <w:t>）</w:t>
      </w:r>
      <w:r>
        <w:rPr>
          <w:rFonts w:hint="eastAsia" w:ascii="宋体" w:hAnsi="宋体"/>
          <w:b/>
          <w:bCs/>
          <w:color w:val="auto"/>
          <w:sz w:val="22"/>
          <w:szCs w:val="22"/>
          <w:highlight w:val="none"/>
        </w:rPr>
        <w:t>▲</w:t>
      </w:r>
      <w:r>
        <w:rPr>
          <w:rFonts w:hint="eastAsia" w:ascii="宋体" w:hAnsi="宋体"/>
          <w:b/>
          <w:bCs/>
          <w:color w:val="auto"/>
          <w:sz w:val="22"/>
          <w:szCs w:val="22"/>
          <w:highlight w:val="none"/>
          <w:u w:val="single"/>
          <w:lang w:val="en-US" w:eastAsia="zh-CN"/>
        </w:rPr>
        <w:t>本项目设有最高限价，运营服务费最高限价为4200万元，每年运营服务费最高限价为1400万元，3年共为4200万元</w:t>
      </w:r>
      <w:r>
        <w:rPr>
          <w:rFonts w:hint="eastAsia" w:ascii="宋体" w:hAnsi="宋体" w:eastAsia="宋体" w:cs="宋体"/>
          <w:color w:val="auto"/>
          <w:kern w:val="0"/>
          <w:sz w:val="22"/>
          <w:szCs w:val="22"/>
          <w:highlight w:val="none"/>
        </w:rPr>
        <w:t>。</w:t>
      </w:r>
      <w:r>
        <w:rPr>
          <w:rFonts w:hint="eastAsia" w:ascii="宋体" w:hAnsi="宋体"/>
          <w:b/>
          <w:color w:val="auto"/>
          <w:sz w:val="22"/>
          <w:szCs w:val="22"/>
          <w:highlight w:val="none"/>
          <w:u w:val="single"/>
        </w:rPr>
        <w:t>如</w:t>
      </w:r>
      <w:r>
        <w:rPr>
          <w:rFonts w:hint="eastAsia" w:ascii="宋体" w:hAnsi="宋体"/>
          <w:b/>
          <w:color w:val="auto"/>
          <w:sz w:val="22"/>
          <w:szCs w:val="22"/>
          <w:highlight w:val="none"/>
          <w:u w:val="single"/>
          <w:lang w:eastAsia="zh-CN"/>
        </w:rPr>
        <w:t>投标人</w:t>
      </w:r>
      <w:r>
        <w:rPr>
          <w:rFonts w:hint="eastAsia" w:ascii="宋体" w:hAnsi="宋体"/>
          <w:b/>
          <w:color w:val="auto"/>
          <w:sz w:val="22"/>
          <w:szCs w:val="22"/>
          <w:highlight w:val="none"/>
          <w:u w:val="single"/>
        </w:rPr>
        <w:t>报价超过</w:t>
      </w:r>
      <w:r>
        <w:rPr>
          <w:rFonts w:hint="eastAsia" w:ascii="宋体" w:hAnsi="宋体"/>
          <w:b/>
          <w:color w:val="auto"/>
          <w:sz w:val="22"/>
          <w:szCs w:val="22"/>
          <w:highlight w:val="none"/>
          <w:u w:val="single"/>
          <w:lang w:val="en-US" w:eastAsia="zh-CN"/>
        </w:rPr>
        <w:t>最高限价</w:t>
      </w:r>
      <w:r>
        <w:rPr>
          <w:rFonts w:hint="eastAsia" w:ascii="宋体" w:hAnsi="宋体"/>
          <w:b/>
          <w:color w:val="auto"/>
          <w:sz w:val="22"/>
          <w:szCs w:val="22"/>
          <w:highlight w:val="none"/>
          <w:u w:val="single"/>
        </w:rPr>
        <w:t>，其</w:t>
      </w:r>
      <w:r>
        <w:rPr>
          <w:rFonts w:hint="eastAsia" w:ascii="宋体" w:hAnsi="宋体"/>
          <w:b/>
          <w:color w:val="auto"/>
          <w:sz w:val="22"/>
          <w:szCs w:val="22"/>
          <w:highlight w:val="none"/>
          <w:u w:val="single"/>
          <w:lang w:eastAsia="zh-CN"/>
        </w:rPr>
        <w:t>投标文件</w:t>
      </w:r>
      <w:r>
        <w:rPr>
          <w:rFonts w:hint="eastAsia" w:ascii="宋体" w:hAnsi="宋体"/>
          <w:b/>
          <w:color w:val="auto"/>
          <w:sz w:val="22"/>
          <w:szCs w:val="22"/>
          <w:highlight w:val="none"/>
          <w:u w:val="single"/>
        </w:rPr>
        <w:t>作无效标处理</w:t>
      </w:r>
      <w:r>
        <w:rPr>
          <w:rFonts w:hint="eastAsia" w:ascii="宋体" w:hAnsi="宋体" w:cs="Arial"/>
          <w:color w:val="auto"/>
          <w:sz w:val="22"/>
          <w:highlight w:val="none"/>
        </w:rPr>
        <w:t>。</w:t>
      </w:r>
    </w:p>
    <w:p>
      <w:pPr>
        <w:spacing w:line="400" w:lineRule="exact"/>
        <w:ind w:firstLine="330" w:firstLineChars="150"/>
        <w:rPr>
          <w:rFonts w:ascii="宋体" w:hAnsi="宋体" w:cs="Arial"/>
          <w:color w:val="auto"/>
          <w:sz w:val="22"/>
          <w:highlight w:val="none"/>
        </w:rPr>
      </w:pPr>
      <w:r>
        <w:rPr>
          <w:rFonts w:hint="eastAsia" w:ascii="宋体" w:hAnsi="宋体" w:cs="Arial"/>
          <w:color w:val="auto"/>
          <w:sz w:val="22"/>
          <w:highlight w:val="none"/>
        </w:rPr>
        <w:t>6）</w:t>
      </w:r>
      <w:r>
        <w:rPr>
          <w:rFonts w:hint="eastAsia" w:ascii="宋体" w:hAnsi="宋体" w:cs="Arial"/>
          <w:color w:val="auto"/>
          <w:sz w:val="22"/>
          <w:szCs w:val="22"/>
          <w:highlight w:val="none"/>
        </w:rPr>
        <w:t>所有</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商务报价均超采购预算，</w:t>
      </w:r>
      <w:r>
        <w:rPr>
          <w:rFonts w:hint="eastAsia" w:ascii="宋体" w:hAnsi="宋体"/>
          <w:color w:val="auto"/>
          <w:sz w:val="22"/>
          <w:szCs w:val="22"/>
          <w:highlight w:val="none"/>
        </w:rPr>
        <w:t>采购人无法支付的,</w:t>
      </w:r>
      <w:r>
        <w:rPr>
          <w:rFonts w:hint="eastAsia" w:ascii="宋体" w:hAnsi="宋体" w:cs="Arial"/>
          <w:color w:val="auto"/>
          <w:sz w:val="22"/>
          <w:szCs w:val="22"/>
          <w:highlight w:val="none"/>
        </w:rPr>
        <w:t>重新组织招标</w:t>
      </w:r>
      <w:r>
        <w:rPr>
          <w:rFonts w:hint="eastAsia" w:ascii="宋体" w:hAnsi="宋体" w:cs="Arial"/>
          <w:color w:val="auto"/>
          <w:sz w:val="22"/>
          <w:highlight w:val="none"/>
        </w:rPr>
        <w:t>。</w:t>
      </w:r>
    </w:p>
    <w:p>
      <w:pPr>
        <w:spacing w:line="400" w:lineRule="exact"/>
        <w:rPr>
          <w:rFonts w:ascii="宋体" w:hAnsi="宋体" w:cs="宋体"/>
          <w:color w:val="auto"/>
          <w:kern w:val="0"/>
          <w:sz w:val="22"/>
          <w:szCs w:val="22"/>
          <w:highlight w:val="none"/>
        </w:rPr>
      </w:pPr>
      <w:r>
        <w:rPr>
          <w:rFonts w:hint="eastAsia" w:ascii="宋体" w:hAnsi="宋体" w:cs="Arial"/>
          <w:color w:val="auto"/>
          <w:sz w:val="22"/>
          <w:highlight w:val="none"/>
        </w:rPr>
        <w:t>3、 有效投标人的综合得分为技术资信分和商务（报价）分的总和。</w:t>
      </w:r>
      <w:bookmarkEnd w:id="202"/>
      <w:bookmarkEnd w:id="203"/>
      <w:bookmarkStart w:id="205" w:name="_Toc223716004"/>
      <w:bookmarkStart w:id="206" w:name="_Toc245191320"/>
      <w:bookmarkStart w:id="207" w:name="_Toc239145360"/>
      <w:bookmarkStart w:id="208" w:name="_Toc246261271"/>
      <w:bookmarkStart w:id="209" w:name="_Toc241404208"/>
      <w:bookmarkStart w:id="210" w:name="_Toc221423625"/>
      <w:bookmarkStart w:id="211" w:name="_Toc222114885"/>
      <w:bookmarkStart w:id="212" w:name="_Toc221356894"/>
      <w:bookmarkStart w:id="213" w:name="_Toc221374632"/>
      <w:bookmarkStart w:id="214" w:name="_Toc221356957"/>
      <w:bookmarkStart w:id="215" w:name="_Toc245722287"/>
    </w:p>
    <w:p>
      <w:pPr>
        <w:pStyle w:val="5"/>
        <w:rPr>
          <w:rFonts w:hint="eastAsia" w:ascii="宋体" w:hAnsi="宋体" w:eastAsia="宋体" w:cs="Arial"/>
          <w:color w:val="auto"/>
          <w:sz w:val="36"/>
          <w:szCs w:val="36"/>
          <w:highlight w:val="none"/>
        </w:rPr>
      </w:pPr>
      <w:r>
        <w:rPr>
          <w:rFonts w:hint="eastAsia" w:ascii="宋体" w:hAnsi="宋体" w:eastAsia="宋体"/>
          <w:color w:val="auto"/>
          <w:sz w:val="22"/>
          <w:highlight w:val="none"/>
        </w:rPr>
        <w:br w:type="page"/>
      </w:r>
      <w:bookmarkStart w:id="216" w:name="_Toc262105510"/>
      <w:bookmarkStart w:id="217" w:name="_Toc249758721"/>
      <w:bookmarkStart w:id="218" w:name="_Toc12858"/>
      <w:bookmarkStart w:id="219" w:name="_Toc262049425"/>
      <w:bookmarkStart w:id="220" w:name="_Toc249758871"/>
      <w:r>
        <w:rPr>
          <w:rFonts w:hint="eastAsia" w:ascii="宋体" w:hAnsi="宋体" w:eastAsia="宋体" w:cs="Arial"/>
          <w:color w:val="auto"/>
          <w:sz w:val="36"/>
          <w:szCs w:val="36"/>
          <w:highlight w:val="none"/>
        </w:rPr>
        <w:t>第四部分   合同主要条款</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5"/>
        <w:rPr>
          <w:rFonts w:hint="eastAsia" w:ascii="宋体" w:hAnsi="宋体" w:eastAsia="宋体" w:cs="Arial"/>
          <w:color w:val="auto"/>
          <w:sz w:val="36"/>
          <w:szCs w:val="36"/>
          <w:highlight w:val="none"/>
          <w:lang w:eastAsia="zh-CN"/>
        </w:rPr>
      </w:pPr>
      <w:bookmarkStart w:id="221" w:name="_Toc15649"/>
      <w:r>
        <w:rPr>
          <w:rFonts w:hint="eastAsia" w:ascii="宋体" w:hAnsi="宋体" w:eastAsia="宋体" w:cs="Arial"/>
          <w:color w:val="auto"/>
          <w:sz w:val="36"/>
          <w:szCs w:val="36"/>
          <w:highlight w:val="none"/>
          <w:lang w:eastAsia="zh-CN"/>
        </w:rPr>
        <w:t>（</w:t>
      </w:r>
      <w:r>
        <w:rPr>
          <w:rFonts w:hint="eastAsia" w:ascii="宋体" w:hAnsi="宋体" w:eastAsia="宋体" w:cs="Arial"/>
          <w:color w:val="auto"/>
          <w:sz w:val="36"/>
          <w:szCs w:val="36"/>
          <w:highlight w:val="none"/>
          <w:lang w:val="en-US" w:eastAsia="zh-CN"/>
        </w:rPr>
        <w:t>以最终合同为准</w:t>
      </w:r>
      <w:r>
        <w:rPr>
          <w:rFonts w:hint="eastAsia" w:ascii="宋体" w:hAnsi="宋体" w:eastAsia="宋体" w:cs="Arial"/>
          <w:color w:val="auto"/>
          <w:sz w:val="36"/>
          <w:szCs w:val="36"/>
          <w:highlight w:val="none"/>
          <w:lang w:eastAsia="zh-CN"/>
        </w:rPr>
        <w:t>）</w:t>
      </w:r>
      <w:bookmarkEnd w:id="221"/>
    </w:p>
    <w:p>
      <w:pPr>
        <w:rPr>
          <w:color w:val="auto"/>
          <w:highlight w:val="none"/>
        </w:rPr>
      </w:pPr>
      <w:bookmarkStart w:id="222" w:name="_Toc221356960"/>
      <w:bookmarkStart w:id="223" w:name="_Toc221374633"/>
      <w:bookmarkStart w:id="224" w:name="_Toc221356897"/>
    </w:p>
    <w:p>
      <w:pPr>
        <w:pStyle w:val="6"/>
        <w:ind w:firstLine="442" w:firstLineChars="200"/>
        <w:rPr>
          <w:rFonts w:hint="eastAsia"/>
          <w:color w:val="auto"/>
          <w:highlight w:val="none"/>
        </w:rPr>
      </w:pPr>
      <w:bookmarkStart w:id="225" w:name="_Toc19236"/>
      <w:r>
        <w:rPr>
          <w:rFonts w:hint="eastAsia" w:ascii="新宋体" w:hAnsi="新宋体" w:eastAsia="新宋体" w:cs="新宋体"/>
          <w:bCs/>
          <w:color w:val="auto"/>
          <w:sz w:val="22"/>
          <w:szCs w:val="22"/>
          <w:highlight w:val="none"/>
        </w:rPr>
        <w:t>本条款为甲乙双方必须遵守的基本条款，甲乙双方也可根据实际情况另签合同条款，正式合同以双方签字盖章的文本为准。</w:t>
      </w:r>
      <w:bookmarkEnd w:id="225"/>
    </w:p>
    <w:p>
      <w:pPr>
        <w:pStyle w:val="2"/>
        <w:spacing w:after="0"/>
        <w:ind w:firstLine="301"/>
        <w:jc w:val="center"/>
        <w:rPr>
          <w:rFonts w:hint="eastAsia" w:ascii="新宋体" w:hAnsi="新宋体" w:eastAsia="新宋体"/>
          <w:b/>
          <w:color w:val="auto"/>
          <w:kern w:val="2"/>
          <w:sz w:val="30"/>
          <w:szCs w:val="24"/>
          <w:highlight w:val="none"/>
        </w:rPr>
      </w:pPr>
      <w:bookmarkStart w:id="226" w:name="_Toc262105511"/>
      <w:bookmarkStart w:id="227" w:name="_Toc249758872"/>
      <w:bookmarkStart w:id="228" w:name="_Toc239145361"/>
      <w:bookmarkStart w:id="229" w:name="_Toc245722288"/>
      <w:bookmarkStart w:id="230" w:name="_Toc223716005"/>
      <w:bookmarkStart w:id="231" w:name="_Toc221423626"/>
      <w:bookmarkStart w:id="232" w:name="_Toc262049426"/>
      <w:bookmarkStart w:id="233" w:name="_Toc241404209"/>
      <w:bookmarkStart w:id="234" w:name="_Toc249758722"/>
      <w:bookmarkStart w:id="235" w:name="_Toc222114886"/>
      <w:bookmarkStart w:id="236" w:name="_Toc245191321"/>
      <w:bookmarkStart w:id="237" w:name="_Toc246261272"/>
      <w:r>
        <w:rPr>
          <w:rFonts w:hint="eastAsia" w:ascii="新宋体" w:hAnsi="新宋体" w:eastAsia="新宋体"/>
          <w:b/>
          <w:color w:val="auto"/>
          <w:kern w:val="2"/>
          <w:sz w:val="30"/>
          <w:szCs w:val="24"/>
          <w:highlight w:val="none"/>
        </w:rPr>
        <w:t>第一章 合同委托事项</w:t>
      </w:r>
    </w:p>
    <w:p>
      <w:pPr>
        <w:spacing w:line="360" w:lineRule="auto"/>
        <w:ind w:firstLine="562"/>
        <w:rPr>
          <w:rFonts w:ascii="仿宋" w:hAnsi="仿宋"/>
          <w:b/>
          <w:bCs/>
          <w:color w:val="auto"/>
          <w:highlight w:val="none"/>
        </w:rPr>
      </w:pPr>
      <w:r>
        <w:rPr>
          <w:rFonts w:hint="eastAsia" w:ascii="仿宋" w:hAnsi="仿宋"/>
          <w:b/>
          <w:bCs/>
          <w:color w:val="auto"/>
          <w:highlight w:val="none"/>
        </w:rPr>
        <w:t>第1条  运营标的</w:t>
      </w:r>
    </w:p>
    <w:p>
      <w:pPr>
        <w:spacing w:line="360" w:lineRule="auto"/>
        <w:ind w:firstLine="560"/>
        <w:rPr>
          <w:rFonts w:ascii="仿宋" w:hAnsi="仿宋" w:cs="仿宋"/>
          <w:color w:val="auto"/>
          <w:szCs w:val="32"/>
          <w:highlight w:val="none"/>
        </w:rPr>
      </w:pPr>
      <w:r>
        <w:rPr>
          <w:rFonts w:hint="eastAsia" w:ascii="仿宋" w:hAnsi="仿宋" w:cs="仿宋"/>
          <w:color w:val="auto"/>
          <w:szCs w:val="32"/>
          <w:highlight w:val="none"/>
        </w:rPr>
        <w:t>项目名称：温州大罗山基金（天使）村</w:t>
      </w:r>
    </w:p>
    <w:p>
      <w:pPr>
        <w:spacing w:line="360" w:lineRule="auto"/>
        <w:ind w:firstLine="560"/>
        <w:rPr>
          <w:rFonts w:ascii="仿宋" w:hAnsi="仿宋" w:cs="仿宋"/>
          <w:color w:val="auto"/>
          <w:szCs w:val="32"/>
          <w:highlight w:val="none"/>
        </w:rPr>
      </w:pPr>
      <w:r>
        <w:rPr>
          <w:rFonts w:hint="eastAsia" w:ascii="仿宋" w:hAnsi="仿宋" w:cs="仿宋"/>
          <w:color w:val="auto"/>
          <w:szCs w:val="32"/>
          <w:highlight w:val="none"/>
        </w:rPr>
        <w:t>项目地址：</w:t>
      </w:r>
    </w:p>
    <w:p>
      <w:pPr>
        <w:spacing w:line="360" w:lineRule="auto"/>
        <w:ind w:firstLine="560"/>
        <w:rPr>
          <w:rFonts w:ascii="仿宋" w:hAnsi="仿宋" w:cs="仿宋"/>
          <w:color w:val="auto"/>
          <w:szCs w:val="32"/>
          <w:highlight w:val="none"/>
        </w:rPr>
      </w:pPr>
      <w:r>
        <w:rPr>
          <w:rFonts w:ascii="仿宋" w:hAnsi="仿宋" w:cs="仿宋"/>
          <w:color w:val="auto"/>
          <w:szCs w:val="32"/>
          <w:highlight w:val="none"/>
        </w:rPr>
        <w:t>1.</w:t>
      </w:r>
      <w:r>
        <w:rPr>
          <w:rFonts w:hint="eastAsia" w:ascii="仿宋" w:hAnsi="仿宋" w:cs="仿宋"/>
          <w:color w:val="auto"/>
          <w:szCs w:val="32"/>
          <w:highlight w:val="none"/>
          <w:lang w:val="en-US" w:eastAsia="zh-CN"/>
        </w:rPr>
        <w:t>先导</w:t>
      </w:r>
      <w:r>
        <w:rPr>
          <w:rFonts w:hint="eastAsia" w:ascii="仿宋" w:hAnsi="仿宋" w:cs="仿宋"/>
          <w:color w:val="auto"/>
          <w:szCs w:val="32"/>
          <w:highlight w:val="none"/>
        </w:rPr>
        <w:t>区：温州市瓯海区温州大道1707号亨哈大厦</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cs="仿宋"/>
          <w:color w:val="auto"/>
          <w:szCs w:val="32"/>
          <w:highlight w:val="none"/>
        </w:rPr>
      </w:pPr>
      <w:r>
        <w:rPr>
          <w:rFonts w:ascii="仿宋" w:hAnsi="仿宋" w:cs="仿宋"/>
          <w:color w:val="auto"/>
          <w:szCs w:val="32"/>
          <w:highlight w:val="none"/>
        </w:rPr>
        <w:t>2.</w:t>
      </w:r>
      <w:r>
        <w:rPr>
          <w:rFonts w:hint="eastAsia" w:ascii="仿宋" w:hAnsi="仿宋" w:cs="仿宋"/>
          <w:color w:val="auto"/>
          <w:szCs w:val="32"/>
          <w:highlight w:val="none"/>
        </w:rPr>
        <w:t>核心区：温州市瓯</w:t>
      </w:r>
      <w:r>
        <w:rPr>
          <w:rFonts w:hint="eastAsia" w:ascii="Calibri" w:hAnsi="Calibri" w:eastAsia="宋体" w:cs="Calibri"/>
          <w:color w:val="auto"/>
          <w:highlight w:val="none"/>
        </w:rPr>
        <w:t>海区丽岙街道王宅村</w:t>
      </w:r>
      <w:r>
        <w:rPr>
          <w:rFonts w:hint="eastAsia" w:ascii="Calibri" w:hAnsi="Calibri" w:eastAsia="宋体" w:cs="Calibri"/>
          <w:color w:val="auto"/>
          <w:highlight w:val="none"/>
          <w:lang w:val="en-US" w:eastAsia="zh-CN"/>
        </w:rPr>
        <w:t>;温州市瓯海区</w:t>
      </w:r>
      <w:r>
        <w:rPr>
          <w:rFonts w:hint="eastAsia" w:ascii="Calibri" w:hAnsi="Calibri" w:eastAsia="宋体" w:cs="Calibri"/>
          <w:color w:val="auto"/>
          <w:highlight w:val="none"/>
        </w:rPr>
        <w:t>茶山街道山根音乐小村</w:t>
      </w:r>
      <w:r>
        <w:rPr>
          <w:rFonts w:hint="eastAsia" w:ascii="Calibri" w:hAnsi="Calibri" w:eastAsia="宋体" w:cs="Calibri"/>
          <w:color w:val="auto"/>
          <w:highlight w:val="none"/>
          <w:lang w:val="en-US" w:eastAsia="zh-CN"/>
        </w:rPr>
        <w:t>；温州市瓯海区泽雅源口老村；或其他选址</w:t>
      </w:r>
    </w:p>
    <w:p>
      <w:pPr>
        <w:spacing w:line="360" w:lineRule="auto"/>
        <w:ind w:firstLine="560"/>
        <w:rPr>
          <w:rFonts w:ascii="仿宋" w:hAnsi="仿宋" w:cs="仿宋"/>
          <w:color w:val="auto"/>
          <w:szCs w:val="32"/>
          <w:highlight w:val="none"/>
        </w:rPr>
      </w:pPr>
      <w:r>
        <w:rPr>
          <w:rFonts w:hint="eastAsia" w:ascii="仿宋" w:hAnsi="仿宋" w:cs="仿宋"/>
          <w:color w:val="auto"/>
          <w:szCs w:val="32"/>
          <w:highlight w:val="none"/>
        </w:rPr>
        <w:t>项目概况：项目</w:t>
      </w:r>
      <w:r>
        <w:rPr>
          <w:rFonts w:hint="eastAsia" w:ascii="仿宋" w:hAnsi="仿宋" w:cs="仿宋"/>
          <w:color w:val="auto"/>
          <w:szCs w:val="32"/>
          <w:highlight w:val="none"/>
          <w:lang w:val="en-US" w:eastAsia="zh-CN"/>
        </w:rPr>
        <w:t>先导</w:t>
      </w:r>
      <w:r>
        <w:rPr>
          <w:rFonts w:hint="eastAsia" w:ascii="仿宋" w:hAnsi="仿宋" w:cs="仿宋"/>
          <w:color w:val="auto"/>
          <w:szCs w:val="32"/>
          <w:highlight w:val="none"/>
        </w:rPr>
        <w:t>区为亨哈大厦，占地面积6</w:t>
      </w:r>
      <w:r>
        <w:rPr>
          <w:rFonts w:ascii="仿宋" w:hAnsi="仿宋" w:cs="仿宋"/>
          <w:color w:val="auto"/>
          <w:szCs w:val="32"/>
          <w:highlight w:val="none"/>
        </w:rPr>
        <w:t>741</w:t>
      </w:r>
      <w:r>
        <w:rPr>
          <w:rFonts w:hint="eastAsia" w:ascii="仿宋" w:hAnsi="仿宋" w:cs="仿宋"/>
          <w:color w:val="auto"/>
          <w:szCs w:val="32"/>
          <w:highlight w:val="none"/>
        </w:rPr>
        <w:t>平方米，楼高1</w:t>
      </w:r>
      <w:r>
        <w:rPr>
          <w:rFonts w:ascii="仿宋" w:hAnsi="仿宋" w:cs="仿宋"/>
          <w:color w:val="auto"/>
          <w:szCs w:val="32"/>
          <w:highlight w:val="none"/>
        </w:rPr>
        <w:t>2</w:t>
      </w:r>
      <w:r>
        <w:rPr>
          <w:rFonts w:hint="eastAsia" w:ascii="仿宋" w:hAnsi="仿宋" w:cs="仿宋"/>
          <w:color w:val="auto"/>
          <w:szCs w:val="32"/>
          <w:highlight w:val="none"/>
        </w:rPr>
        <w:t>层，建筑面积</w:t>
      </w:r>
      <w:r>
        <w:rPr>
          <w:rFonts w:ascii="仿宋" w:hAnsi="仿宋" w:cs="仿宋"/>
          <w:color w:val="auto"/>
          <w:szCs w:val="32"/>
          <w:highlight w:val="none"/>
        </w:rPr>
        <w:t>63131</w:t>
      </w:r>
      <w:r>
        <w:rPr>
          <w:rFonts w:hint="eastAsia" w:ascii="仿宋" w:hAnsi="仿宋" w:cs="仿宋"/>
          <w:color w:val="auto"/>
          <w:szCs w:val="32"/>
          <w:highlight w:val="none"/>
        </w:rPr>
        <w:t>平方米；项目核心</w:t>
      </w:r>
      <w:r>
        <w:rPr>
          <w:rFonts w:hint="eastAsia" w:ascii="仿宋" w:hAnsi="仿宋" w:eastAsia="宋体" w:cs="仿宋"/>
          <w:color w:val="auto"/>
          <w:szCs w:val="32"/>
          <w:highlight w:val="none"/>
          <w:u w:val="single"/>
        </w:rPr>
        <w:t>区</w:t>
      </w:r>
      <w:r>
        <w:rPr>
          <w:rFonts w:hint="eastAsia" w:ascii="仿宋" w:hAnsi="仿宋" w:eastAsia="宋体" w:cs="仿宋"/>
          <w:color w:val="auto"/>
          <w:szCs w:val="32"/>
          <w:highlight w:val="none"/>
          <w:u w:val="single"/>
          <w:lang w:eastAsia="zh-CN"/>
        </w:rPr>
        <w:t>拟定</w:t>
      </w:r>
      <w:r>
        <w:rPr>
          <w:rFonts w:hint="eastAsia" w:ascii="仿宋" w:hAnsi="仿宋" w:cs="仿宋"/>
          <w:color w:val="auto"/>
          <w:szCs w:val="32"/>
          <w:highlight w:val="none"/>
          <w:lang w:eastAsia="zh-CN"/>
        </w:rPr>
        <w:t>以下范围（以实际交付为准）：</w:t>
      </w:r>
      <w:r>
        <w:rPr>
          <w:rFonts w:hint="eastAsia" w:ascii="Calibri" w:hAnsi="Calibri" w:eastAsia="宋体" w:cs="Calibri"/>
          <w:color w:val="auto"/>
          <w:highlight w:val="none"/>
          <w:lang w:val="en-US" w:eastAsia="zh-CN"/>
        </w:rPr>
        <w:t>①丽岙街道王宅村，四至范围为西至丽塘路，南至丽塘河，东至肯恩二期教工宿舍（KN-2），北至肯恩二期学生宿舍（KN-1），合计用地面积约235.2亩（不含水域的规划用地面积为229.4亩），整体建筑面积约53316.9平方米，其中产业板块建筑面积约32631.9平方米；②茶山街道山根音乐小村一期、二期。四至范围西至温瑞塘河，南至大罗山，东至瓯越大道，北至环山路，占地面积613.49亩，现规划总建筑面积51500平方米；③泽雅源口老村，该区域商业地块5.44公顷、公园用地2.15公顷，其中源口老村商业地块西面依山，南至泽雅大道，东至温源线，北至通景路（周边将军岩地块45.4亩、崎云度假村63.02亩、泽南小区116.8亩可作为后续拓展区）；④其他选址（实际范围以项目图纸为准）。</w:t>
      </w:r>
    </w:p>
    <w:p>
      <w:pPr>
        <w:spacing w:line="360" w:lineRule="auto"/>
        <w:ind w:firstLine="560"/>
        <w:rPr>
          <w:rFonts w:hint="eastAsia" w:ascii="Calibri" w:hAnsi="Calibri" w:eastAsia="宋体" w:cs="Calibri"/>
          <w:color w:val="auto"/>
          <w:highlight w:val="none"/>
          <w:u w:val="single"/>
          <w:lang w:val="en-US" w:eastAsia="zh-CN"/>
        </w:rPr>
      </w:pPr>
      <w:r>
        <w:rPr>
          <w:rFonts w:hint="eastAsia"/>
          <w:color w:val="auto"/>
          <w:highlight w:val="none"/>
          <w:u w:val="single"/>
        </w:rPr>
        <w:t>运营标</w:t>
      </w:r>
      <w:r>
        <w:rPr>
          <w:rFonts w:hint="eastAsia" w:ascii="Calibri" w:hAnsi="Calibri" w:eastAsia="宋体" w:cs="Calibri"/>
          <w:color w:val="auto"/>
          <w:highlight w:val="none"/>
          <w:u w:val="single"/>
          <w:lang w:val="en-US" w:eastAsia="zh-CN"/>
        </w:rPr>
        <w:t>的：本合同约定的运营标的为温州大罗山基金（天使）村先导区及核心区产业板块，其中先导区产业板块按需交付，核心区产业板块以实际交付为准。</w:t>
      </w:r>
    </w:p>
    <w:p>
      <w:pPr>
        <w:spacing w:line="360" w:lineRule="auto"/>
        <w:ind w:firstLine="560"/>
        <w:rPr>
          <w:color w:val="auto"/>
          <w:highlight w:val="none"/>
        </w:rPr>
      </w:pPr>
      <w:r>
        <w:rPr>
          <w:rFonts w:hint="eastAsia" w:ascii="Calibri" w:hAnsi="Calibri" w:eastAsia="宋体" w:cs="Calibri"/>
          <w:color w:val="auto"/>
          <w:highlight w:val="none"/>
          <w:lang w:val="en-US" w:eastAsia="zh-CN"/>
        </w:rPr>
        <w:t>如本项目推广名、实际名称等内容发生变更，不影响本合同的履行。</w:t>
      </w:r>
    </w:p>
    <w:p>
      <w:pPr>
        <w:spacing w:line="360" w:lineRule="auto"/>
        <w:ind w:firstLine="562"/>
        <w:rPr>
          <w:rFonts w:ascii="仿宋" w:hAnsi="仿宋"/>
          <w:b/>
          <w:bCs/>
          <w:color w:val="auto"/>
          <w:highlight w:val="none"/>
        </w:rPr>
      </w:pPr>
      <w:r>
        <w:rPr>
          <w:rFonts w:hint="eastAsia" w:ascii="仿宋" w:hAnsi="仿宋"/>
          <w:b/>
          <w:bCs/>
          <w:color w:val="auto"/>
          <w:highlight w:val="none"/>
        </w:rPr>
        <w:t>第2条  运营标的物交付</w:t>
      </w:r>
    </w:p>
    <w:p>
      <w:pPr>
        <w:spacing w:line="360" w:lineRule="auto"/>
        <w:ind w:firstLine="560"/>
        <w:rPr>
          <w:color w:val="auto"/>
          <w:highlight w:val="none"/>
        </w:rPr>
      </w:pPr>
      <w:r>
        <w:rPr>
          <w:rFonts w:hint="eastAsia"/>
          <w:color w:val="auto"/>
          <w:highlight w:val="none"/>
        </w:rPr>
        <w:t>本项目物业（除商业配套所涉物业外）交付给乙方运营服务的标准为</w:t>
      </w:r>
      <w:r>
        <w:rPr>
          <w:rFonts w:hint="eastAsia"/>
          <w:color w:val="auto"/>
          <w:highlight w:val="none"/>
          <w:u w:val="single"/>
        </w:rPr>
        <w:t>毛坯简装</w:t>
      </w:r>
      <w:r>
        <w:rPr>
          <w:rFonts w:hint="eastAsia"/>
          <w:color w:val="auto"/>
          <w:highlight w:val="none"/>
        </w:rPr>
        <w:t>（以实际交付为准）。乙方在接收物业后并在甲方同意的情况下，享有本项目所涉物业的招商及运营管理权利。</w:t>
      </w:r>
    </w:p>
    <w:p>
      <w:pPr>
        <w:spacing w:line="360" w:lineRule="auto"/>
        <w:ind w:firstLine="560"/>
        <w:rPr>
          <w:color w:val="auto"/>
          <w:highlight w:val="none"/>
        </w:rPr>
      </w:pPr>
      <w:r>
        <w:rPr>
          <w:rFonts w:hint="eastAsia"/>
          <w:color w:val="auto"/>
          <w:highlight w:val="none"/>
        </w:rPr>
        <w:t>甲方于</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日前将本项目物业（除商业配套所涉物业外）统一交给乙方。</w:t>
      </w:r>
    </w:p>
    <w:p>
      <w:pPr>
        <w:spacing w:line="360" w:lineRule="auto"/>
        <w:ind w:firstLine="562"/>
        <w:rPr>
          <w:rFonts w:ascii="仿宋" w:hAnsi="仿宋"/>
          <w:b/>
          <w:bCs/>
          <w:color w:val="auto"/>
          <w:highlight w:val="none"/>
        </w:rPr>
      </w:pPr>
      <w:r>
        <w:rPr>
          <w:rFonts w:hint="eastAsia" w:ascii="仿宋" w:hAnsi="仿宋"/>
          <w:b/>
          <w:bCs/>
          <w:color w:val="auto"/>
          <w:highlight w:val="none"/>
        </w:rPr>
        <w:t>第3条 服务期限</w:t>
      </w:r>
    </w:p>
    <w:p>
      <w:pPr>
        <w:spacing w:line="360" w:lineRule="auto"/>
        <w:ind w:firstLine="560"/>
        <w:rPr>
          <w:rFonts w:ascii="仿宋" w:hAnsi="仿宋"/>
          <w:color w:val="auto"/>
          <w:highlight w:val="none"/>
        </w:rPr>
      </w:pPr>
      <w:r>
        <w:rPr>
          <w:rFonts w:hint="eastAsia" w:ascii="仿宋" w:hAnsi="仿宋"/>
          <w:color w:val="auto"/>
          <w:highlight w:val="none"/>
        </w:rPr>
        <w:t>双方约定，甲方以招商运营服务外包的方式购买乙方服务，合作期三年，采用“1+1+1”模式，合同每年一签。三年合作期满后，经双方协商一致，可续签合同。</w:t>
      </w:r>
    </w:p>
    <w:p>
      <w:pPr>
        <w:spacing w:line="360" w:lineRule="auto"/>
        <w:ind w:firstLine="560"/>
        <w:rPr>
          <w:rFonts w:ascii="仿宋" w:hAnsi="仿宋"/>
          <w:color w:val="auto"/>
          <w:highlight w:val="none"/>
        </w:rPr>
      </w:pPr>
      <w:r>
        <w:rPr>
          <w:rFonts w:hint="eastAsia" w:ascii="仿宋" w:hAnsi="仿宋"/>
          <w:color w:val="auto"/>
          <w:highlight w:val="none"/>
        </w:rPr>
        <w:t>本合同约定的服务期限自</w:t>
      </w:r>
      <w:r>
        <w:rPr>
          <w:rFonts w:ascii="仿宋" w:hAnsi="仿宋"/>
          <w:color w:val="auto"/>
          <w:highlight w:val="none"/>
        </w:rPr>
        <w:t>2022</w:t>
      </w:r>
      <w:r>
        <w:rPr>
          <w:rFonts w:hint="eastAsia" w:ascii="仿宋" w:hAnsi="仿宋"/>
          <w:color w:val="auto"/>
          <w:highlight w:val="none"/>
        </w:rPr>
        <w:t>年</w:t>
      </w:r>
      <w:r>
        <w:rPr>
          <w:rFonts w:ascii="仿宋" w:hAnsi="仿宋"/>
          <w:color w:val="auto"/>
          <w:highlight w:val="none"/>
          <w:u w:val="single"/>
        </w:rPr>
        <w:t xml:space="preserve">  </w:t>
      </w:r>
      <w:r>
        <w:rPr>
          <w:rFonts w:hint="eastAsia" w:ascii="仿宋" w:hAnsi="仿宋"/>
          <w:color w:val="auto"/>
          <w:highlight w:val="none"/>
        </w:rPr>
        <w:t>月</w:t>
      </w:r>
      <w:r>
        <w:rPr>
          <w:rFonts w:ascii="仿宋" w:hAnsi="仿宋"/>
          <w:color w:val="auto"/>
          <w:highlight w:val="none"/>
          <w:u w:val="single"/>
        </w:rPr>
        <w:t xml:space="preserve">  </w:t>
      </w:r>
      <w:r>
        <w:rPr>
          <w:rFonts w:hint="eastAsia" w:ascii="仿宋" w:hAnsi="仿宋"/>
          <w:color w:val="auto"/>
          <w:highlight w:val="none"/>
        </w:rPr>
        <w:t>日至</w:t>
      </w:r>
      <w:r>
        <w:rPr>
          <w:rFonts w:ascii="仿宋" w:hAnsi="仿宋"/>
          <w:color w:val="auto"/>
          <w:highlight w:val="none"/>
        </w:rPr>
        <w:t>202</w:t>
      </w:r>
      <w:r>
        <w:rPr>
          <w:rFonts w:hint="eastAsia" w:ascii="仿宋" w:hAnsi="仿宋"/>
          <w:color w:val="auto"/>
          <w:highlight w:val="none"/>
        </w:rPr>
        <w:t>3年</w:t>
      </w:r>
      <w:r>
        <w:rPr>
          <w:rFonts w:ascii="仿宋" w:hAnsi="仿宋"/>
          <w:color w:val="auto"/>
          <w:highlight w:val="none"/>
          <w:u w:val="single"/>
        </w:rPr>
        <w:t xml:space="preserve">  </w:t>
      </w:r>
      <w:r>
        <w:rPr>
          <w:rFonts w:hint="eastAsia" w:ascii="仿宋" w:hAnsi="仿宋"/>
          <w:color w:val="auto"/>
          <w:highlight w:val="none"/>
        </w:rPr>
        <w:t>月</w:t>
      </w:r>
      <w:r>
        <w:rPr>
          <w:rFonts w:ascii="仿宋" w:hAnsi="仿宋"/>
          <w:color w:val="auto"/>
          <w:highlight w:val="none"/>
          <w:u w:val="single"/>
        </w:rPr>
        <w:t xml:space="preserve">  </w:t>
      </w:r>
      <w:r>
        <w:rPr>
          <w:rFonts w:hint="eastAsia" w:ascii="仿宋" w:hAnsi="仿宋"/>
          <w:color w:val="auto"/>
          <w:highlight w:val="none"/>
        </w:rPr>
        <w:t>日止。</w:t>
      </w:r>
    </w:p>
    <w:p>
      <w:pPr>
        <w:spacing w:line="360" w:lineRule="auto"/>
        <w:ind w:firstLine="562"/>
        <w:rPr>
          <w:rFonts w:ascii="仿宋" w:hAnsi="仿宋"/>
          <w:b/>
          <w:bCs/>
          <w:color w:val="auto"/>
          <w:highlight w:val="none"/>
        </w:rPr>
      </w:pPr>
      <w:r>
        <w:rPr>
          <w:rFonts w:hint="eastAsia" w:ascii="仿宋" w:hAnsi="仿宋"/>
          <w:b/>
          <w:bCs/>
          <w:color w:val="auto"/>
          <w:highlight w:val="none"/>
        </w:rPr>
        <w:t>第4条 运营目标</w:t>
      </w:r>
    </w:p>
    <w:p>
      <w:pPr>
        <w:spacing w:line="360" w:lineRule="auto"/>
        <w:ind w:firstLine="560"/>
        <w:rPr>
          <w:rFonts w:ascii="仿宋" w:hAnsi="仿宋"/>
          <w:color w:val="auto"/>
          <w:highlight w:val="none"/>
          <w:u w:val="single"/>
        </w:rPr>
      </w:pPr>
      <w:r>
        <w:rPr>
          <w:rFonts w:hint="eastAsia" w:ascii="仿宋" w:hAnsi="仿宋"/>
          <w:color w:val="auto"/>
          <w:highlight w:val="none"/>
        </w:rPr>
        <w:t>甲乙双方将与政府一同构建“政府主导、国资参与、市场运作”的高效合作机制，以《温州市国民经济和社会发展第十四个五年规划和二〇三五年远景目标纲要》中明确的“全力做强第三极，力争万亿</w:t>
      </w:r>
      <w:r>
        <w:rPr>
          <w:rFonts w:ascii="仿宋" w:hAnsi="仿宋"/>
          <w:color w:val="auto"/>
          <w:highlight w:val="none"/>
        </w:rPr>
        <w:t>GDP</w:t>
      </w:r>
      <w:r>
        <w:rPr>
          <w:rFonts w:hint="eastAsia" w:ascii="仿宋" w:hAnsi="仿宋"/>
          <w:color w:val="auto"/>
          <w:highlight w:val="none"/>
        </w:rPr>
        <w:t>”总体目标为指导，依托温州雄厚的产业基础，</w:t>
      </w:r>
      <w:r>
        <w:rPr>
          <w:rFonts w:hint="eastAsia"/>
          <w:color w:val="auto"/>
          <w:highlight w:val="none"/>
          <w:u w:val="single"/>
        </w:rPr>
        <w:t>以“一年打基础、三年成中心”为要求，</w:t>
      </w:r>
      <w:r>
        <w:rPr>
          <w:rFonts w:hint="eastAsia" w:ascii="仿宋" w:hAnsi="仿宋"/>
          <w:color w:val="auto"/>
          <w:highlight w:val="none"/>
          <w:u w:val="single"/>
        </w:rPr>
        <w:t>力争通过三年时间，累计引入基金类企业不少于2</w:t>
      </w:r>
      <w:r>
        <w:rPr>
          <w:rFonts w:ascii="仿宋" w:hAnsi="仿宋"/>
          <w:color w:val="auto"/>
          <w:highlight w:val="none"/>
          <w:u w:val="single"/>
        </w:rPr>
        <w:t>00</w:t>
      </w:r>
      <w:r>
        <w:rPr>
          <w:rFonts w:hint="eastAsia" w:ascii="仿宋" w:hAnsi="仿宋"/>
          <w:color w:val="auto"/>
          <w:highlight w:val="none"/>
          <w:u w:val="single"/>
        </w:rPr>
        <w:t>家或累计集聚基金注册规模不低于2</w:t>
      </w:r>
      <w:r>
        <w:rPr>
          <w:rFonts w:ascii="仿宋" w:hAnsi="仿宋"/>
          <w:color w:val="auto"/>
          <w:highlight w:val="none"/>
          <w:u w:val="single"/>
        </w:rPr>
        <w:t>00</w:t>
      </w:r>
      <w:r>
        <w:rPr>
          <w:rFonts w:hint="eastAsia" w:ascii="仿宋" w:hAnsi="仿宋"/>
          <w:color w:val="auto"/>
          <w:highlight w:val="none"/>
          <w:u w:val="single"/>
        </w:rPr>
        <w:t>亿元；累计引入基金管理机构不少于3</w:t>
      </w:r>
      <w:r>
        <w:rPr>
          <w:rFonts w:ascii="仿宋" w:hAnsi="仿宋"/>
          <w:color w:val="auto"/>
          <w:highlight w:val="none"/>
          <w:u w:val="single"/>
        </w:rPr>
        <w:t>0</w:t>
      </w:r>
      <w:r>
        <w:rPr>
          <w:rFonts w:hint="eastAsia" w:ascii="仿宋" w:hAnsi="仿宋"/>
          <w:color w:val="auto"/>
          <w:highlight w:val="none"/>
          <w:u w:val="single"/>
        </w:rPr>
        <w:t>家；累计引入基金实缴规模不低于6</w:t>
      </w:r>
      <w:r>
        <w:rPr>
          <w:rFonts w:ascii="仿宋" w:hAnsi="仿宋"/>
          <w:color w:val="auto"/>
          <w:highlight w:val="none"/>
          <w:u w:val="single"/>
        </w:rPr>
        <w:t>5</w:t>
      </w:r>
      <w:r>
        <w:rPr>
          <w:rFonts w:hint="eastAsia" w:ascii="仿宋" w:hAnsi="仿宋"/>
          <w:color w:val="auto"/>
          <w:highlight w:val="none"/>
          <w:u w:val="single"/>
        </w:rPr>
        <w:t>亿元，累计带动产业投资效益不低于3</w:t>
      </w:r>
      <w:r>
        <w:rPr>
          <w:rFonts w:ascii="仿宋" w:hAnsi="仿宋"/>
          <w:color w:val="auto"/>
          <w:highlight w:val="none"/>
          <w:u w:val="single"/>
        </w:rPr>
        <w:t>0</w:t>
      </w:r>
      <w:r>
        <w:rPr>
          <w:rFonts w:hint="eastAsia" w:ascii="仿宋" w:hAnsi="仿宋"/>
          <w:color w:val="auto"/>
          <w:highlight w:val="none"/>
          <w:u w:val="single"/>
        </w:rPr>
        <w:t>亿元。</w:t>
      </w: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第二章  合作内容</w:t>
      </w:r>
    </w:p>
    <w:p>
      <w:pPr>
        <w:spacing w:line="360" w:lineRule="auto"/>
        <w:ind w:firstLine="562"/>
        <w:rPr>
          <w:rFonts w:ascii="仿宋" w:hAnsi="仿宋"/>
          <w:b/>
          <w:bCs/>
          <w:color w:val="auto"/>
          <w:highlight w:val="none"/>
        </w:rPr>
      </w:pPr>
      <w:r>
        <w:rPr>
          <w:rFonts w:hint="eastAsia" w:ascii="仿宋" w:hAnsi="仿宋"/>
          <w:b/>
          <w:bCs/>
          <w:color w:val="auto"/>
          <w:highlight w:val="none"/>
        </w:rPr>
        <w:t>第</w:t>
      </w:r>
      <w:r>
        <w:rPr>
          <w:rFonts w:ascii="仿宋" w:hAnsi="仿宋"/>
          <w:b/>
          <w:bCs/>
          <w:color w:val="auto"/>
          <w:highlight w:val="none"/>
        </w:rPr>
        <w:t>5</w:t>
      </w:r>
      <w:r>
        <w:rPr>
          <w:rFonts w:hint="eastAsia" w:ascii="仿宋" w:hAnsi="仿宋"/>
          <w:b/>
          <w:bCs/>
          <w:color w:val="auto"/>
          <w:highlight w:val="none"/>
        </w:rPr>
        <w:t>条</w:t>
      </w:r>
      <w:r>
        <w:rPr>
          <w:rFonts w:ascii="仿宋" w:hAnsi="仿宋"/>
          <w:b/>
          <w:bCs/>
          <w:color w:val="auto"/>
          <w:highlight w:val="none"/>
        </w:rPr>
        <w:t xml:space="preserve"> </w:t>
      </w:r>
      <w:r>
        <w:rPr>
          <w:rFonts w:hint="eastAsia" w:ascii="仿宋" w:hAnsi="仿宋"/>
          <w:b/>
          <w:bCs/>
          <w:color w:val="auto"/>
          <w:highlight w:val="none"/>
        </w:rPr>
        <w:t>服务内容</w:t>
      </w:r>
    </w:p>
    <w:p>
      <w:pPr>
        <w:spacing w:line="360" w:lineRule="auto"/>
        <w:ind w:firstLine="560"/>
        <w:rPr>
          <w:color w:val="auto"/>
          <w:highlight w:val="none"/>
        </w:rPr>
      </w:pPr>
      <w:r>
        <w:rPr>
          <w:rFonts w:hint="eastAsia"/>
          <w:color w:val="auto"/>
          <w:highlight w:val="none"/>
        </w:rPr>
        <w:t>为适应本项目的建设起步期、快速发展期、成熟运营期三大发展阶段，乙方将围绕本项目发展目标，提供顶层设计咨询、资源导入与招商、金融运营体系建设、品牌建设等全方位的服务，逐步构建创投产业集聚、创投氛围突出、创投业务活跃的股权投资要素集聚区。</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一、顶层设计咨询</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 xml:space="preserve">1.项目发展规划建议 </w:t>
      </w:r>
    </w:p>
    <w:p>
      <w:pPr>
        <w:spacing w:line="360" w:lineRule="auto"/>
        <w:ind w:firstLine="562"/>
        <w:rPr>
          <w:color w:val="auto"/>
          <w:highlight w:val="none"/>
        </w:rPr>
      </w:pPr>
      <w:r>
        <w:rPr>
          <w:rFonts w:hint="eastAsia"/>
          <w:b/>
          <w:bCs/>
          <w:color w:val="auto"/>
          <w:highlight w:val="none"/>
        </w:rPr>
        <w:t xml:space="preserve"> </w:t>
      </w:r>
      <w:r>
        <w:rPr>
          <w:rFonts w:hint="eastAsia"/>
          <w:color w:val="auto"/>
          <w:highlight w:val="none"/>
        </w:rPr>
        <w:t>乙方根据本项目的发展定位与发展目标，从区位优势、规划范围、产业发展现状、现行政策等进行剖析，为本项目提供项目运营规划，协助甲方明确项目发展目标。</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2.项目发展路径设计</w:t>
      </w:r>
    </w:p>
    <w:p>
      <w:pPr>
        <w:spacing w:line="360" w:lineRule="auto"/>
        <w:ind w:firstLine="560"/>
        <w:rPr>
          <w:color w:val="auto"/>
          <w:highlight w:val="none"/>
        </w:rPr>
      </w:pPr>
      <w:r>
        <w:rPr>
          <w:rFonts w:hint="eastAsia"/>
          <w:color w:val="auto"/>
          <w:highlight w:val="none"/>
        </w:rPr>
        <w:t>依据本项目定位和发展目标，乙方将提供政策体系设计、政府与市场合作机制设计、竞品调研分析等服务。</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1</w:t>
      </w:r>
      <w:r>
        <w:rPr>
          <w:rFonts w:hint="eastAsia" w:ascii="仿宋" w:hAnsi="仿宋"/>
          <w:color w:val="auto"/>
          <w:highlight w:val="none"/>
        </w:rPr>
        <w:t>）政策体系设计：提出适应本项目且富有竞争力的政策建议。</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2</w:t>
      </w:r>
      <w:r>
        <w:rPr>
          <w:rFonts w:hint="eastAsia" w:ascii="仿宋" w:hAnsi="仿宋"/>
          <w:color w:val="auto"/>
          <w:highlight w:val="none"/>
        </w:rPr>
        <w:t>）政府与市场合作界面设计：设计政府与市场合作的权责界面及合作机制。</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3</w:t>
      </w:r>
      <w:r>
        <w:rPr>
          <w:rFonts w:hint="eastAsia" w:ascii="仿宋" w:hAnsi="仿宋"/>
          <w:color w:val="auto"/>
          <w:highlight w:val="none"/>
        </w:rPr>
        <w:t>）竞品调研分析：对国内与本项目构成竞争关系的基金小镇、产业园区等同类型集聚区进行调研，结合本项目实际进行对比分析，形成本项目的发展路径。</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3.载体空间功能规划与建议</w:t>
      </w:r>
    </w:p>
    <w:p>
      <w:pPr>
        <w:spacing w:line="360" w:lineRule="auto"/>
        <w:ind w:firstLine="560"/>
        <w:rPr>
          <w:color w:val="auto"/>
          <w:highlight w:val="none"/>
        </w:rPr>
      </w:pPr>
      <w:r>
        <w:rPr>
          <w:rFonts w:hint="eastAsia"/>
          <w:color w:val="auto"/>
          <w:highlight w:val="none"/>
        </w:rPr>
        <w:t>乙方从功能布局与形态风格等维度切入，向甲方提交项目空间功能规划建议，协助甲方完成本项目的载体空间功能规划，提出装修设计与工程要求，指导并监管装修设计和工程单位按要求完成载体建设。</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宋体" w:hAnsi="宋体" w:cs="宋体"/>
          <w:b/>
          <w:bCs/>
          <w:color w:val="auto"/>
          <w:highlight w:val="none"/>
        </w:rPr>
      </w:pPr>
      <w:r>
        <w:rPr>
          <w:rFonts w:hint="eastAsia" w:ascii="宋体" w:hAnsi="宋体" w:cs="宋体"/>
          <w:b/>
          <w:bCs/>
          <w:color w:val="auto"/>
          <w:highlight w:val="none"/>
        </w:rPr>
        <w:t>二、资源导入与招商</w:t>
      </w:r>
    </w:p>
    <w:p>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color w:val="auto"/>
          <w:highlight w:val="none"/>
        </w:rPr>
      </w:pPr>
      <w:r>
        <w:rPr>
          <w:rFonts w:hint="eastAsia" w:ascii="Calibri" w:hAnsi="Calibri" w:eastAsia="宋体" w:cs="Calibri"/>
          <w:color w:val="auto"/>
          <w:highlight w:val="none"/>
        </w:rPr>
        <w:t>乙方将以各类股权投资机构、金融服务机构为招引目标，负责组建团队，构建全方位的招商服务体系。</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1.制定股权投资招商策略</w:t>
      </w:r>
    </w:p>
    <w:p>
      <w:pPr>
        <w:spacing w:line="360" w:lineRule="auto"/>
        <w:ind w:firstLine="560"/>
        <w:rPr>
          <w:color w:val="auto"/>
          <w:highlight w:val="none"/>
        </w:rPr>
      </w:pPr>
      <w:r>
        <w:rPr>
          <w:rFonts w:hint="eastAsia"/>
          <w:color w:val="auto"/>
          <w:highlight w:val="none"/>
        </w:rPr>
        <w:t>围绕本项目发展定位与发展目标，结合温州发展实际和股权投资基金发展特点，提出适应本项目且富有竞争力、差异性的政策建议。</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2.打造专业的股权投资招商运营队伍</w:t>
      </w:r>
    </w:p>
    <w:p>
      <w:pPr>
        <w:spacing w:line="360" w:lineRule="auto"/>
        <w:ind w:firstLine="560"/>
        <w:rPr>
          <w:rFonts w:hint="eastAsia" w:ascii="Calibri" w:hAnsi="Calibri" w:eastAsia="宋体" w:cs="Calibri"/>
          <w:color w:val="auto"/>
          <w:highlight w:val="none"/>
        </w:rPr>
      </w:pPr>
      <w:r>
        <w:rPr>
          <w:rFonts w:hint="eastAsia" w:ascii="Calibri" w:hAnsi="Calibri" w:eastAsia="宋体" w:cs="Calibri"/>
          <w:color w:val="auto"/>
          <w:highlight w:val="none"/>
        </w:rPr>
        <w:t>建设专业化股权投资招商运营队伍，实现招商的全域化布局。</w:t>
      </w:r>
    </w:p>
    <w:p>
      <w:pPr>
        <w:spacing w:line="360" w:lineRule="auto"/>
        <w:ind w:firstLine="560"/>
        <w:rPr>
          <w:rFonts w:hint="eastAsia" w:ascii="Calibri" w:hAnsi="Calibri" w:eastAsia="宋体" w:cs="Calibri"/>
          <w:color w:val="auto"/>
          <w:highlight w:val="none"/>
        </w:rPr>
      </w:pPr>
      <w:r>
        <w:rPr>
          <w:rFonts w:hint="eastAsia" w:ascii="Calibri" w:hAnsi="Calibri" w:eastAsia="宋体" w:cs="Calibri"/>
          <w:color w:val="auto"/>
          <w:highlight w:val="none"/>
        </w:rPr>
        <w:t>（1）设立专属驻外招商中心：在杭州、上海、大湾区设置面向本项目的招商中心。</w:t>
      </w:r>
    </w:p>
    <w:p>
      <w:pPr>
        <w:spacing w:line="360" w:lineRule="auto"/>
        <w:ind w:firstLine="560"/>
        <w:rPr>
          <w:rFonts w:hint="eastAsia" w:ascii="Calibri" w:hAnsi="Calibri" w:eastAsia="宋体" w:cs="Calibri"/>
          <w:color w:val="auto"/>
          <w:highlight w:val="none"/>
        </w:rPr>
      </w:pPr>
      <w:r>
        <w:rPr>
          <w:rFonts w:hint="eastAsia" w:ascii="Calibri" w:hAnsi="Calibri" w:eastAsia="宋体" w:cs="Calibri"/>
          <w:color w:val="auto"/>
          <w:highlight w:val="none"/>
        </w:rPr>
        <w:t>（2）本地招商运营团队：在温州本地设立招商运营团队（全职人员不少于15人），统筹开展招商运营工作。</w:t>
      </w:r>
    </w:p>
    <w:p>
      <w:pPr>
        <w:spacing w:line="360" w:lineRule="auto"/>
        <w:ind w:firstLine="560"/>
        <w:rPr>
          <w:rFonts w:hint="eastAsia" w:ascii="Calibri" w:hAnsi="Calibri" w:eastAsia="宋体" w:cs="Calibri"/>
          <w:color w:val="auto"/>
          <w:highlight w:val="none"/>
        </w:rPr>
      </w:pPr>
      <w:r>
        <w:rPr>
          <w:rFonts w:hint="eastAsia" w:ascii="Calibri" w:hAnsi="Calibri" w:eastAsia="宋体" w:cs="Calibri"/>
          <w:color w:val="auto"/>
          <w:highlight w:val="none"/>
        </w:rPr>
        <w:t>（3）借力全国招商资源。</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3.打通第三方机构合作招商渠道</w:t>
      </w:r>
    </w:p>
    <w:p>
      <w:pPr>
        <w:spacing w:line="360" w:lineRule="auto"/>
        <w:ind w:firstLine="560"/>
        <w:rPr>
          <w:rFonts w:ascii="宋体" w:hAnsi="宋体" w:cs="宋体"/>
          <w:color w:val="auto"/>
          <w:kern w:val="0"/>
          <w:highlight w:val="none"/>
        </w:rPr>
      </w:pPr>
      <w:r>
        <w:rPr>
          <w:rFonts w:hint="eastAsia" w:ascii="宋体" w:hAnsi="宋体" w:cs="宋体"/>
          <w:color w:val="auto"/>
          <w:kern w:val="0"/>
          <w:highlight w:val="none"/>
        </w:rPr>
        <w:t>打通与全国知名私募基金行业服务机构的沟通渠道形成合作招商机制，提升招商精准度和成功率。</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4.招商活动的组织与实施</w:t>
      </w:r>
    </w:p>
    <w:p>
      <w:pPr>
        <w:spacing w:line="360" w:lineRule="auto"/>
        <w:ind w:firstLine="560"/>
        <w:rPr>
          <w:color w:val="auto"/>
          <w:highlight w:val="none"/>
        </w:rPr>
      </w:pPr>
      <w:r>
        <w:rPr>
          <w:rFonts w:hint="eastAsia" w:ascii="宋体" w:hAnsi="宋体" w:cs="宋体"/>
          <w:color w:val="auto"/>
          <w:kern w:val="0"/>
          <w:highlight w:val="none"/>
        </w:rPr>
        <w:t>通过各类招商活动的开展，提升本项目的品牌知名度。</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三、金融运营体系建设</w:t>
      </w:r>
    </w:p>
    <w:p>
      <w:pPr>
        <w:spacing w:line="360" w:lineRule="auto"/>
        <w:ind w:firstLine="560"/>
        <w:rPr>
          <w:color w:val="auto"/>
          <w:highlight w:val="none"/>
        </w:rPr>
      </w:pPr>
      <w:r>
        <w:rPr>
          <w:rFonts w:hint="eastAsia"/>
          <w:color w:val="auto"/>
          <w:highlight w:val="none"/>
        </w:rPr>
        <w:t>以本项目为着力点，从构建多层次金融服务体系、打造优质营商环境、建设高效政策服务等方面打造全方位、立体式运营服务体系，以运营服务搭建资本链接、技术链接、创新链接。</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1.构建多层次金融服务体系</w:t>
      </w:r>
    </w:p>
    <w:p>
      <w:pPr>
        <w:spacing w:line="360" w:lineRule="auto"/>
        <w:ind w:firstLine="560"/>
        <w:rPr>
          <w:color w:val="auto"/>
          <w:highlight w:val="none"/>
        </w:rPr>
      </w:pPr>
      <w:r>
        <w:rPr>
          <w:rFonts w:hint="eastAsia"/>
          <w:color w:val="auto"/>
          <w:highlight w:val="none"/>
        </w:rPr>
        <w:t>乙方根据本项目定位，面向本项目股权投资机构、金融服务机构、金融人才等，提供体系化金融服务。</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1</w:t>
      </w:r>
      <w:r>
        <w:rPr>
          <w:rFonts w:hint="eastAsia" w:ascii="仿宋" w:hAnsi="仿宋"/>
          <w:color w:val="auto"/>
          <w:highlight w:val="none"/>
        </w:rPr>
        <w:t>）结合当地产业重点发展方向，为政府产业引导基金（母基金）的设立运作提供咨询服务，并结合实际需求，积极引荐对接优质的市场化基金管理机构参与政府产业引导基金（母基金）。</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2</w:t>
      </w:r>
      <w:r>
        <w:rPr>
          <w:rFonts w:hint="eastAsia" w:ascii="仿宋" w:hAnsi="仿宋"/>
          <w:color w:val="auto"/>
          <w:highlight w:val="none"/>
        </w:rPr>
        <w:t>）协助优化基金类企业登记注册流程。构提供优质、高效、便捷的注册服务。</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3</w:t>
      </w:r>
      <w:r>
        <w:rPr>
          <w:rFonts w:hint="eastAsia" w:ascii="仿宋" w:hAnsi="仿宋"/>
          <w:color w:val="auto"/>
          <w:highlight w:val="none"/>
        </w:rPr>
        <w:t>）建设</w:t>
      </w:r>
      <w:r>
        <w:rPr>
          <w:rFonts w:ascii="仿宋" w:hAnsi="仿宋"/>
          <w:color w:val="auto"/>
          <w:highlight w:val="none"/>
        </w:rPr>
        <w:t>投融资</w:t>
      </w:r>
      <w:r>
        <w:rPr>
          <w:rFonts w:hint="eastAsia" w:ascii="仿宋" w:hAnsi="仿宋"/>
          <w:color w:val="auto"/>
          <w:highlight w:val="none"/>
        </w:rPr>
        <w:t>服务</w:t>
      </w:r>
      <w:r>
        <w:rPr>
          <w:rFonts w:ascii="仿宋" w:hAnsi="仿宋"/>
          <w:color w:val="auto"/>
          <w:highlight w:val="none"/>
        </w:rPr>
        <w:t>平台</w:t>
      </w:r>
      <w:r>
        <w:rPr>
          <w:rFonts w:hint="eastAsia" w:ascii="仿宋" w:hAnsi="仿宋"/>
          <w:color w:val="auto"/>
          <w:highlight w:val="none"/>
        </w:rPr>
        <w:t>。</w:t>
      </w:r>
    </w:p>
    <w:p>
      <w:pPr>
        <w:spacing w:line="360" w:lineRule="auto"/>
        <w:ind w:firstLine="560"/>
        <w:rPr>
          <w:rFonts w:ascii="仿宋" w:hAnsi="仿宋"/>
          <w:color w:val="auto"/>
          <w:highlight w:val="none"/>
        </w:rPr>
      </w:pPr>
      <w:r>
        <w:rPr>
          <w:rFonts w:hint="eastAsia" w:ascii="仿宋" w:hAnsi="仿宋"/>
          <w:color w:val="auto"/>
          <w:highlight w:val="none"/>
        </w:rPr>
        <w:t>（</w:t>
      </w:r>
      <w:r>
        <w:rPr>
          <w:rFonts w:ascii="仿宋" w:hAnsi="仿宋"/>
          <w:color w:val="auto"/>
          <w:highlight w:val="none"/>
        </w:rPr>
        <w:t>4</w:t>
      </w:r>
      <w:r>
        <w:rPr>
          <w:rFonts w:hint="eastAsia" w:ascii="仿宋" w:hAnsi="仿宋"/>
          <w:color w:val="auto"/>
          <w:highlight w:val="none"/>
        </w:rPr>
        <w:t>）构建基金扶持政策服务体系。</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2.打造优质营商环境</w:t>
      </w:r>
    </w:p>
    <w:p>
      <w:pPr>
        <w:spacing w:line="360" w:lineRule="auto"/>
        <w:ind w:firstLine="560"/>
        <w:rPr>
          <w:color w:val="auto"/>
          <w:highlight w:val="none"/>
        </w:rPr>
      </w:pPr>
      <w:r>
        <w:rPr>
          <w:rFonts w:hint="eastAsia"/>
          <w:color w:val="auto"/>
          <w:highlight w:val="none"/>
        </w:rPr>
        <w:t>针对本项目内企业、人才以及服务机构等主体的日常经营需求，提供 “一站式”服务、第三方公共服务体系建设、政商接待服务、智能化建设服务、配套机构管理等服务，降低企业日常经营的时间与金钱成本，打造优质营商环境。</w:t>
      </w:r>
    </w:p>
    <w:p>
      <w:pPr>
        <w:spacing w:line="360" w:lineRule="auto"/>
        <w:ind w:firstLine="561"/>
        <w:rPr>
          <w:rFonts w:ascii="宋体" w:hAnsi="宋体" w:cs="宋体"/>
          <w:b/>
          <w:bCs/>
          <w:color w:val="auto"/>
          <w:highlight w:val="none"/>
        </w:rPr>
      </w:pPr>
      <w:r>
        <w:rPr>
          <w:rFonts w:hint="eastAsia" w:ascii="宋体" w:hAnsi="宋体" w:cs="宋体"/>
          <w:b/>
          <w:bCs/>
          <w:color w:val="auto"/>
          <w:highlight w:val="none"/>
        </w:rPr>
        <w:t>四、品牌建设</w:t>
      </w:r>
    </w:p>
    <w:p>
      <w:pPr>
        <w:spacing w:line="360" w:lineRule="auto"/>
        <w:ind w:firstLine="560"/>
        <w:rPr>
          <w:color w:val="auto"/>
          <w:sz w:val="24"/>
          <w:highlight w:val="none"/>
        </w:rPr>
      </w:pPr>
      <w:r>
        <w:rPr>
          <w:rFonts w:hint="eastAsia" w:ascii="仿宋" w:hAnsi="仿宋"/>
          <w:color w:val="auto"/>
          <w:highlight w:val="none"/>
        </w:rPr>
        <w:t>根据本项目发展需要，乙方将为甲方提供品牌服务，具体包括本项目品牌形象策划、品牌宣传推广、品牌活动策划与实施等工作内容。</w:t>
      </w:r>
    </w:p>
    <w:p>
      <w:pPr>
        <w:spacing w:line="360" w:lineRule="auto"/>
        <w:ind w:firstLine="561"/>
        <w:rPr>
          <w:rFonts w:ascii="宋体" w:hAns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.项目品牌形象策划</w:t>
      </w:r>
    </w:p>
    <w:p>
      <w:pPr>
        <w:spacing w:line="360" w:lineRule="auto"/>
        <w:ind w:firstLine="560"/>
        <w:rPr>
          <w:rFonts w:ascii="仿宋" w:hAnsi="仿宋"/>
          <w:color w:val="auto"/>
          <w:highlight w:val="none"/>
        </w:rPr>
      </w:pPr>
      <w:r>
        <w:rPr>
          <w:rFonts w:hint="eastAsia" w:ascii="仿宋" w:hAnsi="仿宋"/>
          <w:color w:val="auto"/>
          <w:highlight w:val="none"/>
        </w:rPr>
        <w:t>根据本项目发展定位，乙方明确项目品牌定位和理念，提出符合本项目发展定位的品牌体系，监督并指导设计和施工单位按要求完成本项目品牌氛围营造、品牌化</w:t>
      </w:r>
      <w:r>
        <w:rPr>
          <w:rFonts w:ascii="仿宋" w:hAnsi="仿宋"/>
          <w:color w:val="auto"/>
          <w:highlight w:val="none"/>
        </w:rPr>
        <w:t>VI</w:t>
      </w:r>
      <w:r>
        <w:rPr>
          <w:rFonts w:hint="eastAsia" w:ascii="仿宋" w:hAnsi="仿宋"/>
          <w:color w:val="auto"/>
          <w:highlight w:val="none"/>
        </w:rPr>
        <w:t>应用等相关内容的设计与实施。</w:t>
      </w:r>
    </w:p>
    <w:p>
      <w:pPr>
        <w:spacing w:line="360" w:lineRule="auto"/>
        <w:ind w:firstLine="561"/>
        <w:rPr>
          <w:rFonts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.品牌宣传推广</w:t>
      </w:r>
    </w:p>
    <w:p>
      <w:pPr>
        <w:spacing w:line="360" w:lineRule="auto"/>
        <w:ind w:firstLine="211" w:firstLineChars="100"/>
        <w:rPr>
          <w:rFonts w:ascii="仿宋" w:hAnsi="仿宋"/>
          <w:color w:val="auto"/>
          <w:highlight w:val="none"/>
        </w:rPr>
      </w:pPr>
      <w:r>
        <w:rPr>
          <w:rFonts w:ascii="仿宋" w:hAnsi="仿宋" w:cs="楷体"/>
          <w:b/>
          <w:bCs/>
          <w:color w:val="auto"/>
          <w:highlight w:val="none"/>
        </w:rPr>
        <w:t xml:space="preserve"> </w:t>
      </w:r>
      <w:r>
        <w:rPr>
          <w:rFonts w:hint="eastAsia" w:ascii="仿宋" w:hAnsi="仿宋"/>
          <w:b/>
          <w:bCs/>
          <w:color w:val="auto"/>
          <w:highlight w:val="none"/>
        </w:rPr>
        <w:t xml:space="preserve"> </w:t>
      </w:r>
      <w:r>
        <w:rPr>
          <w:rFonts w:hint="eastAsia" w:ascii="仿宋" w:hAnsi="仿宋"/>
          <w:color w:val="auto"/>
          <w:highlight w:val="none"/>
        </w:rPr>
        <w:t>围绕品牌定位、理念建设、</w:t>
      </w:r>
      <w:r>
        <w:rPr>
          <w:rFonts w:ascii="仿宋" w:hAnsi="仿宋"/>
          <w:color w:val="auto"/>
          <w:highlight w:val="none"/>
        </w:rPr>
        <w:t>SEO</w:t>
      </w:r>
      <w:r>
        <w:rPr>
          <w:rFonts w:hint="eastAsia" w:ascii="仿宋" w:hAnsi="仿宋"/>
          <w:color w:val="auto"/>
          <w:highlight w:val="none"/>
        </w:rPr>
        <w:t>优化、媒体运营等核心结构，分阶段推进宣传工作。</w:t>
      </w:r>
    </w:p>
    <w:p>
      <w:pPr>
        <w:spacing w:line="360" w:lineRule="auto"/>
        <w:ind w:firstLine="561"/>
        <w:rPr>
          <w:rFonts w:ascii="宋体" w:hAns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 xml:space="preserve">.品牌活动策划与实施  </w:t>
      </w:r>
    </w:p>
    <w:p>
      <w:pPr>
        <w:spacing w:line="360" w:lineRule="auto"/>
        <w:ind w:firstLine="560"/>
        <w:rPr>
          <w:rFonts w:ascii="仿宋" w:hAnsi="仿宋"/>
          <w:color w:val="auto"/>
          <w:highlight w:val="none"/>
        </w:rPr>
      </w:pPr>
      <w:r>
        <w:rPr>
          <w:rFonts w:ascii="仿宋" w:hAnsi="仿宋"/>
          <w:color w:val="auto"/>
          <w:highlight w:val="none"/>
        </w:rPr>
        <w:t>针对本项目</w:t>
      </w:r>
      <w:r>
        <w:rPr>
          <w:rFonts w:hint="eastAsia" w:ascii="仿宋" w:hAnsi="仿宋"/>
          <w:color w:val="auto"/>
          <w:highlight w:val="none"/>
        </w:rPr>
        <w:t>股权投资</w:t>
      </w:r>
      <w:r>
        <w:rPr>
          <w:rFonts w:ascii="仿宋" w:hAnsi="仿宋"/>
          <w:color w:val="auto"/>
          <w:highlight w:val="none"/>
        </w:rPr>
        <w:t>机构、</w:t>
      </w:r>
      <w:r>
        <w:rPr>
          <w:rFonts w:hint="eastAsia" w:ascii="仿宋" w:hAnsi="仿宋"/>
          <w:color w:val="auto"/>
          <w:highlight w:val="none"/>
        </w:rPr>
        <w:t>创新创业项目等</w:t>
      </w:r>
      <w:r>
        <w:rPr>
          <w:rFonts w:ascii="仿宋" w:hAnsi="仿宋"/>
          <w:color w:val="auto"/>
          <w:highlight w:val="none"/>
        </w:rPr>
        <w:t>的需求，</w:t>
      </w:r>
      <w:r>
        <w:rPr>
          <w:rFonts w:hint="eastAsia" w:ascii="仿宋" w:hAnsi="仿宋"/>
          <w:color w:val="auto"/>
          <w:highlight w:val="none"/>
        </w:rPr>
        <w:t>每年举办各类行业活动不少于</w:t>
      </w:r>
      <w:r>
        <w:rPr>
          <w:rFonts w:ascii="仿宋" w:hAnsi="仿宋"/>
          <w:color w:val="auto"/>
          <w:highlight w:val="none"/>
        </w:rPr>
        <w:t>30</w:t>
      </w:r>
      <w:r>
        <w:rPr>
          <w:rFonts w:hint="eastAsia" w:ascii="仿宋" w:hAnsi="仿宋"/>
          <w:color w:val="auto"/>
          <w:highlight w:val="none"/>
        </w:rPr>
        <w:t>场，其中投融资对接路演活动不少于</w:t>
      </w:r>
      <w:r>
        <w:rPr>
          <w:rFonts w:ascii="仿宋" w:hAnsi="仿宋"/>
          <w:color w:val="auto"/>
          <w:highlight w:val="none"/>
        </w:rPr>
        <w:t>12</w:t>
      </w:r>
      <w:r>
        <w:rPr>
          <w:rFonts w:hint="eastAsia" w:ascii="仿宋" w:hAnsi="仿宋"/>
          <w:color w:val="auto"/>
          <w:highlight w:val="none"/>
        </w:rPr>
        <w:t>场，以提升项目的创投氛围，促进项目投融资更高效对接</w:t>
      </w:r>
      <w:r>
        <w:rPr>
          <w:rFonts w:ascii="仿宋" w:hAnsi="仿宋"/>
          <w:color w:val="auto"/>
          <w:highlight w:val="none"/>
        </w:rPr>
        <w:t>。</w:t>
      </w:r>
    </w:p>
    <w:p>
      <w:pPr>
        <w:spacing w:line="360" w:lineRule="auto"/>
        <w:ind w:firstLine="560"/>
        <w:rPr>
          <w:rFonts w:ascii="仿宋" w:hAnsi="仿宋"/>
          <w:b/>
          <w:bCs/>
          <w:color w:val="auto"/>
          <w:highlight w:val="none"/>
        </w:rPr>
      </w:pPr>
      <w:r>
        <w:rPr>
          <w:rFonts w:hint="eastAsia" w:ascii="仿宋" w:hAnsi="仿宋"/>
          <w:b/>
          <w:bCs/>
          <w:color w:val="auto"/>
          <w:highlight w:val="none"/>
        </w:rPr>
        <w:t>五、物业管理</w:t>
      </w:r>
    </w:p>
    <w:p>
      <w:pPr>
        <w:spacing w:line="360" w:lineRule="auto"/>
        <w:ind w:firstLine="560"/>
        <w:rPr>
          <w:rFonts w:hint="eastAsia" w:ascii="仿宋" w:hAnsi="仿宋" w:eastAsia="宋体" w:cs="Calibri"/>
          <w:color w:val="auto"/>
          <w:highlight w:val="none"/>
        </w:rPr>
      </w:pPr>
      <w:r>
        <w:rPr>
          <w:rFonts w:hint="eastAsia" w:ascii="仿宋" w:hAnsi="仿宋" w:eastAsia="宋体" w:cs="Calibri"/>
          <w:color w:val="auto"/>
          <w:highlight w:val="none"/>
        </w:rPr>
        <w:t>1.在合同有效期限内，甲方委托第三方物业公司负责本项目内的物业管理服务，甲方授权乙方负责对物业公司进行管理。乙方须尽职尽责履行管理物业公司的义务，督促物业公司提高园区内安全保障、环境清洁维护、公共区域基础设施维护与管理、工程维修维护与保障、电梯设施维护与管理等物业服务的服务质量。</w:t>
      </w:r>
    </w:p>
    <w:p>
      <w:pPr>
        <w:spacing w:line="360" w:lineRule="auto"/>
        <w:ind w:firstLine="560"/>
        <w:rPr>
          <w:rFonts w:hint="eastAsia"/>
          <w:color w:val="auto"/>
          <w:highlight w:val="none"/>
        </w:rPr>
      </w:pPr>
      <w:r>
        <w:rPr>
          <w:rFonts w:hint="eastAsia" w:ascii="仿宋" w:hAnsi="仿宋" w:eastAsia="宋体" w:cs="Calibri"/>
          <w:color w:val="auto"/>
          <w:highlight w:val="none"/>
        </w:rPr>
        <w:t>2.乙方协助甲方制订本项目的租赁方案，协助甲方与入驻本项目内的招引企业签订租赁合同并协助甲方收取租金。租金水平参照周边物业租赁价格，由甲方于每个合同年度初聘请中介机构参考周边物业租赁价格，制定租金水平的标准线及其浮动率。</w:t>
      </w: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第三章  合作方式</w:t>
      </w:r>
    </w:p>
    <w:p>
      <w:pPr>
        <w:spacing w:line="360" w:lineRule="auto"/>
        <w:ind w:firstLine="562"/>
        <w:rPr>
          <w:rFonts w:ascii="仿宋" w:hAnsi="仿宋"/>
          <w:b/>
          <w:bCs/>
          <w:color w:val="auto"/>
          <w:highlight w:val="none"/>
        </w:rPr>
      </w:pPr>
      <w:r>
        <w:rPr>
          <w:rFonts w:hint="eastAsia" w:ascii="仿宋" w:hAnsi="仿宋"/>
          <w:b/>
          <w:bCs/>
          <w:color w:val="auto"/>
          <w:highlight w:val="none"/>
        </w:rPr>
        <w:t>第6条 合作费用约定</w:t>
      </w:r>
    </w:p>
    <w:p>
      <w:pPr>
        <w:spacing w:line="360" w:lineRule="auto"/>
        <w:ind w:firstLine="560"/>
        <w:rPr>
          <w:b/>
          <w:bCs/>
          <w:color w:val="auto"/>
          <w:highlight w:val="none"/>
        </w:rPr>
      </w:pPr>
      <w:r>
        <w:rPr>
          <w:rFonts w:hint="eastAsia"/>
          <w:color w:val="auto"/>
          <w:highlight w:val="none"/>
        </w:rPr>
        <w:t>合作期限内，甲方每年支付给乙方年度招商运营服务总费用</w:t>
      </w:r>
      <w:r>
        <w:rPr>
          <w:rFonts w:hint="eastAsia" w:ascii="宋体" w:hAnsi="宋体"/>
          <w:color w:val="auto"/>
          <w:highlight w:val="none"/>
        </w:rPr>
        <w:t>¥</w:t>
      </w:r>
      <w:r>
        <w:rPr>
          <w:rFonts w:hint="eastAsia"/>
          <w:color w:val="auto"/>
          <w:highlight w:val="none"/>
          <w:u w:val="single"/>
        </w:rPr>
        <w:t xml:space="preserve">     </w:t>
      </w:r>
      <w:r>
        <w:rPr>
          <w:rFonts w:hint="eastAsia"/>
          <w:color w:val="auto"/>
          <w:highlight w:val="none"/>
        </w:rPr>
        <w:t>万元/年，其中年度基础招商运营服务费用为总费用的</w:t>
      </w:r>
      <w:r>
        <w:rPr>
          <w:rFonts w:ascii="仿宋" w:hAnsi="仿宋"/>
          <w:color w:val="auto"/>
          <w:highlight w:val="none"/>
        </w:rPr>
        <w:t>50%</w:t>
      </w:r>
      <w:r>
        <w:rPr>
          <w:rFonts w:hint="eastAsia"/>
          <w:color w:val="auto"/>
          <w:highlight w:val="none"/>
        </w:rPr>
        <w:t>，即</w:t>
      </w:r>
      <w:r>
        <w:rPr>
          <w:rFonts w:hint="eastAsia" w:ascii="宋体" w:hAnsi="宋体"/>
          <w:color w:val="auto"/>
          <w:highlight w:val="none"/>
        </w:rPr>
        <w:t>¥</w:t>
      </w:r>
      <w:r>
        <w:rPr>
          <w:rFonts w:hint="eastAsia"/>
          <w:color w:val="auto"/>
          <w:highlight w:val="none"/>
          <w:u w:val="single"/>
        </w:rPr>
        <w:t xml:space="preserve">     </w:t>
      </w:r>
      <w:r>
        <w:rPr>
          <w:rFonts w:hint="eastAsia"/>
          <w:color w:val="auto"/>
          <w:highlight w:val="none"/>
        </w:rPr>
        <w:t>万元/年；年度考核费用为总费用的</w:t>
      </w:r>
      <w:r>
        <w:rPr>
          <w:rFonts w:ascii="仿宋" w:hAnsi="仿宋"/>
          <w:color w:val="auto"/>
          <w:highlight w:val="none"/>
        </w:rPr>
        <w:t>50%</w:t>
      </w:r>
      <w:r>
        <w:rPr>
          <w:rFonts w:hint="eastAsia"/>
          <w:color w:val="auto"/>
          <w:highlight w:val="none"/>
        </w:rPr>
        <w:t>，即</w:t>
      </w:r>
      <w:r>
        <w:rPr>
          <w:rFonts w:hint="eastAsia" w:ascii="宋体" w:hAnsi="宋体"/>
          <w:color w:val="auto"/>
          <w:highlight w:val="none"/>
        </w:rPr>
        <w:t>¥</w:t>
      </w:r>
      <w:r>
        <w:rPr>
          <w:rFonts w:hint="eastAsia"/>
          <w:color w:val="auto"/>
          <w:highlight w:val="none"/>
          <w:u w:val="single"/>
        </w:rPr>
        <w:t xml:space="preserve">     </w:t>
      </w:r>
      <w:r>
        <w:rPr>
          <w:rFonts w:hint="eastAsia"/>
          <w:color w:val="auto"/>
          <w:highlight w:val="none"/>
        </w:rPr>
        <w:t>万元/年。</w:t>
      </w:r>
    </w:p>
    <w:p>
      <w:pPr>
        <w:numPr>
          <w:ilvl w:val="0"/>
          <w:numId w:val="44"/>
        </w:numPr>
        <w:spacing w:line="360" w:lineRule="auto"/>
        <w:ind w:firstLine="562"/>
        <w:rPr>
          <w:rFonts w:hint="eastAsia" w:ascii="仿宋" w:hAnsi="仿宋"/>
          <w:b/>
          <w:bCs/>
          <w:color w:val="auto"/>
          <w:highlight w:val="none"/>
        </w:rPr>
      </w:pPr>
      <w:r>
        <w:rPr>
          <w:rFonts w:hint="eastAsia" w:ascii="仿宋" w:hAnsi="仿宋"/>
          <w:b/>
          <w:bCs/>
          <w:color w:val="auto"/>
          <w:highlight w:val="none"/>
        </w:rPr>
        <w:t>基础招商运营服务费用支付方式</w:t>
      </w:r>
    </w:p>
    <w:p>
      <w:pPr>
        <w:spacing w:line="360" w:lineRule="auto"/>
        <w:ind w:firstLine="560"/>
        <w:rPr>
          <w:rFonts w:hint="eastAsia" w:ascii="Calibri" w:hAnsi="Calibri" w:eastAsia="宋体" w:cs="Calibri"/>
          <w:color w:val="auto"/>
          <w:highlight w:val="none"/>
        </w:rPr>
      </w:pPr>
      <w:r>
        <w:rPr>
          <w:rFonts w:hint="eastAsia" w:ascii="Calibri" w:hAnsi="Calibri" w:eastAsia="宋体" w:cs="Calibri"/>
          <w:color w:val="auto"/>
          <w:highlight w:val="none"/>
        </w:rPr>
        <w:t>第1年（2022年  月  日至2023年  月  日）：本合同签订之日起14个工作日内，甲方支付乙方年度基础招商运营费用的50%，即¥     万元作为本项目运营启动费用；合同年半年度到期后14个工作日内，甲方支付乙方剩余基础招商运营费，即¥     万元，基准日为本合同签订之日。</w:t>
      </w:r>
    </w:p>
    <w:p>
      <w:pPr>
        <w:spacing w:line="360" w:lineRule="auto"/>
        <w:ind w:firstLine="560"/>
        <w:rPr>
          <w:rFonts w:hint="eastAsia" w:ascii="Calibri" w:hAnsi="Calibri" w:eastAsia="宋体" w:cs="Calibri"/>
          <w:color w:val="auto"/>
          <w:highlight w:val="none"/>
        </w:rPr>
      </w:pPr>
      <w:r>
        <w:rPr>
          <w:rFonts w:hint="eastAsia" w:ascii="Calibri" w:hAnsi="Calibri" w:eastAsia="宋体" w:cs="Calibri"/>
          <w:color w:val="auto"/>
          <w:highlight w:val="none"/>
        </w:rPr>
        <w:t>第2至3年（2023年  月  日至2025年  月  日）：每合同年度开始后14个工作日内，甲方按季支付乙方当年基础招商运营费用，每笔金额为¥     万元，基准日为本合同签订之日。</w:t>
      </w:r>
    </w:p>
    <w:p>
      <w:pPr>
        <w:spacing w:line="360" w:lineRule="auto"/>
        <w:ind w:firstLine="562"/>
        <w:rPr>
          <w:rFonts w:ascii="仿宋" w:hAnsi="仿宋"/>
          <w:b/>
          <w:bCs/>
          <w:color w:val="auto"/>
          <w:highlight w:val="none"/>
        </w:rPr>
      </w:pPr>
      <w:r>
        <w:rPr>
          <w:rFonts w:hint="eastAsia" w:ascii="仿宋" w:hAnsi="仿宋"/>
          <w:b/>
          <w:bCs/>
          <w:color w:val="auto"/>
          <w:highlight w:val="none"/>
        </w:rPr>
        <w:t>第</w:t>
      </w:r>
      <w:r>
        <w:rPr>
          <w:rFonts w:ascii="仿宋" w:hAnsi="仿宋"/>
          <w:b/>
          <w:bCs/>
          <w:color w:val="auto"/>
          <w:highlight w:val="none"/>
        </w:rPr>
        <w:t>8</w:t>
      </w:r>
      <w:r>
        <w:rPr>
          <w:rFonts w:hint="eastAsia" w:ascii="仿宋" w:hAnsi="仿宋"/>
          <w:b/>
          <w:bCs/>
          <w:color w:val="auto"/>
          <w:highlight w:val="none"/>
        </w:rPr>
        <w:t>条 考核办法与考核费用支付方式</w:t>
      </w:r>
    </w:p>
    <w:p>
      <w:pPr>
        <w:spacing w:line="360" w:lineRule="auto"/>
        <w:ind w:firstLine="560"/>
        <w:rPr>
          <w:rFonts w:ascii="仿宋" w:hAnsi="仿宋" w:cs="仿宋"/>
          <w:color w:val="auto"/>
          <w:highlight w:val="none"/>
        </w:rPr>
      </w:pPr>
      <w:r>
        <w:rPr>
          <w:rFonts w:hint="eastAsia" w:ascii="仿宋" w:hAnsi="仿宋" w:cs="仿宋"/>
          <w:color w:val="auto"/>
          <w:highlight w:val="none"/>
        </w:rPr>
        <w:t>甲方在合同签订生效后，每个考核周期结束后按照考核办法（详见附件一《项目招商运营考核办法》）对乙方进行考核，并于考核结束后2</w:t>
      </w:r>
      <w:r>
        <w:rPr>
          <w:rFonts w:ascii="仿宋" w:hAnsi="仿宋" w:cs="仿宋"/>
          <w:color w:val="auto"/>
          <w:highlight w:val="none"/>
        </w:rPr>
        <w:t>0</w:t>
      </w:r>
      <w:r>
        <w:rPr>
          <w:rFonts w:hint="eastAsia" w:ascii="仿宋" w:hAnsi="仿宋" w:cs="仿宋"/>
          <w:color w:val="auto"/>
          <w:highlight w:val="none"/>
        </w:rPr>
        <w:t>个工作日内支付对应年度考核费用。每年以年度总费用的50%即</w:t>
      </w:r>
      <w:r>
        <w:rPr>
          <w:rFonts w:hint="eastAsia" w:ascii="宋体" w:hAnsi="宋体" w:cs="仿宋"/>
          <w:color w:val="auto"/>
          <w:highlight w:val="none"/>
        </w:rPr>
        <w:t>¥</w:t>
      </w:r>
      <w:r>
        <w:rPr>
          <w:rFonts w:hint="eastAsia" w:ascii="仿宋" w:hAnsi="仿宋" w:cs="仿宋"/>
          <w:color w:val="auto"/>
          <w:highlight w:val="none"/>
          <w:u w:val="single"/>
        </w:rPr>
        <w:t xml:space="preserve">     </w:t>
      </w:r>
      <w:r>
        <w:rPr>
          <w:rFonts w:hint="eastAsia" w:ascii="仿宋" w:hAnsi="仿宋" w:cs="仿宋"/>
          <w:color w:val="auto"/>
          <w:highlight w:val="none"/>
        </w:rPr>
        <w:t>万元作为当年考核费用基础，按照考核分值与总分值比例进行该年度考核费用结算。考核费用计算方式如下：</w:t>
      </w:r>
    </w:p>
    <w:p>
      <w:pPr>
        <w:numPr>
          <w:ilvl w:val="0"/>
          <w:numId w:val="45"/>
        </w:numPr>
        <w:adjustRightInd w:val="0"/>
        <w:snapToGrid w:val="0"/>
        <w:spacing w:line="360" w:lineRule="auto"/>
        <w:ind w:firstLine="420" w:firstLineChars="200"/>
        <w:rPr>
          <w:rFonts w:ascii="仿宋" w:hAnsi="仿宋" w:cs="仿宋"/>
          <w:color w:val="auto"/>
          <w:highlight w:val="none"/>
        </w:rPr>
      </w:pPr>
      <w:r>
        <w:rPr>
          <w:rFonts w:hint="eastAsia" w:ascii="仿宋" w:hAnsi="仿宋" w:cs="仿宋"/>
          <w:color w:val="auto"/>
          <w:highlight w:val="none"/>
        </w:rPr>
        <w:t>年度考核分数达到90分及以上即为优秀，支付乙方年度考核费用全款；</w:t>
      </w:r>
    </w:p>
    <w:p>
      <w:pPr>
        <w:numPr>
          <w:ilvl w:val="0"/>
          <w:numId w:val="45"/>
        </w:numPr>
        <w:adjustRightInd w:val="0"/>
        <w:snapToGrid w:val="0"/>
        <w:spacing w:line="360" w:lineRule="auto"/>
        <w:ind w:firstLine="420" w:firstLineChars="200"/>
        <w:rPr>
          <w:rFonts w:ascii="仿宋" w:hAnsi="仿宋" w:cs="仿宋"/>
          <w:color w:val="auto"/>
          <w:highlight w:val="none"/>
        </w:rPr>
      </w:pPr>
      <w:r>
        <w:rPr>
          <w:rFonts w:hint="eastAsia" w:ascii="仿宋" w:hAnsi="仿宋" w:cs="仿宋"/>
          <w:color w:val="auto"/>
          <w:highlight w:val="none"/>
        </w:rPr>
        <w:t>年度考核分数低于90分的，每低1分，扣年度考核奖励的1%；</w:t>
      </w:r>
    </w:p>
    <w:p>
      <w:pPr>
        <w:numPr>
          <w:ilvl w:val="0"/>
          <w:numId w:val="45"/>
        </w:numPr>
        <w:adjustRightInd w:val="0"/>
        <w:snapToGrid w:val="0"/>
        <w:spacing w:line="360" w:lineRule="auto"/>
        <w:ind w:firstLine="420" w:firstLineChars="200"/>
        <w:rPr>
          <w:rFonts w:ascii="仿宋" w:hAnsi="仿宋" w:cs="仿宋"/>
          <w:color w:val="auto"/>
          <w:highlight w:val="none"/>
        </w:rPr>
      </w:pPr>
      <w:r>
        <w:rPr>
          <w:rFonts w:hint="eastAsia" w:ascii="仿宋" w:hAnsi="仿宋" w:cs="仿宋"/>
          <w:color w:val="auto"/>
          <w:highlight w:val="none"/>
        </w:rPr>
        <w:t>年度考核项“促进产业投资”未得到满分的，按照该单项得分率（单项得分率=单项得分/单项总分值），暂扣部分年度考核费用（暂扣费用=（1-单项得分率）*年度考核总得分*年度考核费用），乙方在后续考核周期内完成该考核项的，甲方支付暂扣的年度考核费用；</w:t>
      </w:r>
    </w:p>
    <w:p>
      <w:pPr>
        <w:numPr>
          <w:ilvl w:val="0"/>
          <w:numId w:val="45"/>
        </w:numPr>
        <w:adjustRightInd w:val="0"/>
        <w:snapToGrid w:val="0"/>
        <w:spacing w:line="360" w:lineRule="auto"/>
        <w:ind w:firstLine="420" w:firstLineChars="200"/>
        <w:rPr>
          <w:rFonts w:ascii="仿宋" w:hAnsi="仿宋" w:cs="仿宋"/>
          <w:color w:val="auto"/>
          <w:highlight w:val="none"/>
        </w:rPr>
      </w:pPr>
      <w:r>
        <w:rPr>
          <w:rFonts w:hint="eastAsia" w:ascii="仿宋" w:hAnsi="仿宋" w:cs="仿宋"/>
          <w:color w:val="auto"/>
          <w:highlight w:val="none"/>
        </w:rPr>
        <w:t>年度考核分数低于70分的，则为考核不合格，扣除该年度目标考核奖励，且甲方给予乙方警告。如连续两年出现运营结果考核低于70分的，甲方有权单方面解除本合同。</w:t>
      </w:r>
    </w:p>
    <w:p>
      <w:pPr>
        <w:spacing w:line="360" w:lineRule="auto"/>
        <w:ind w:firstLine="560"/>
        <w:rPr>
          <w:color w:val="auto"/>
          <w:highlight w:val="none"/>
          <w:shd w:val="clear" w:color="auto" w:fill="FFFFFF"/>
        </w:rPr>
      </w:pP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第四章  甲乙方权利与义务</w:t>
      </w:r>
    </w:p>
    <w:p>
      <w:pPr>
        <w:spacing w:line="360" w:lineRule="auto"/>
        <w:ind w:firstLine="562"/>
        <w:rPr>
          <w:rFonts w:ascii="仿宋" w:hAnsi="仿宋"/>
          <w:b/>
          <w:bCs/>
          <w:color w:val="auto"/>
          <w:highlight w:val="none"/>
        </w:rPr>
      </w:pPr>
      <w:r>
        <w:rPr>
          <w:rFonts w:hint="eastAsia" w:ascii="仿宋" w:hAnsi="仿宋"/>
          <w:b/>
          <w:bCs/>
          <w:color w:val="auto"/>
          <w:highlight w:val="none"/>
        </w:rPr>
        <w:t>第9条 甲方权利与义务</w:t>
      </w:r>
    </w:p>
    <w:p>
      <w:pPr>
        <w:spacing w:line="360" w:lineRule="auto"/>
        <w:ind w:firstLine="560"/>
        <w:rPr>
          <w:rFonts w:hint="eastAsia" w:ascii="仿宋" w:hAnsi="仿宋" w:eastAsia="宋体" w:cs="仿宋"/>
          <w:color w:val="auto"/>
          <w:highlight w:val="none"/>
        </w:rPr>
      </w:pPr>
      <w:r>
        <w:rPr>
          <w:rFonts w:hint="eastAsia" w:ascii="仿宋" w:hAnsi="仿宋" w:eastAsia="宋体" w:cs="仿宋"/>
          <w:color w:val="auto"/>
          <w:highlight w:val="none"/>
        </w:rPr>
        <w:t>1.甲方承诺在</w:t>
      </w:r>
      <w:r>
        <w:rPr>
          <w:rFonts w:hint="eastAsia" w:ascii="仿宋" w:hAnsi="仿宋" w:eastAsia="宋体" w:cs="仿宋"/>
          <w:color w:val="auto"/>
          <w:highlight w:val="none"/>
          <w:u w:val="single"/>
        </w:rPr>
        <w:t xml:space="preserve">    </w:t>
      </w:r>
      <w:r>
        <w:rPr>
          <w:rFonts w:hint="eastAsia" w:ascii="仿宋" w:hAnsi="仿宋" w:eastAsia="宋体" w:cs="仿宋"/>
          <w:color w:val="auto"/>
          <w:highlight w:val="none"/>
        </w:rPr>
        <w:t>年</w:t>
      </w:r>
      <w:r>
        <w:rPr>
          <w:rFonts w:hint="eastAsia" w:ascii="仿宋" w:hAnsi="仿宋" w:eastAsia="宋体" w:cs="仿宋"/>
          <w:color w:val="auto"/>
          <w:highlight w:val="none"/>
          <w:u w:val="single"/>
        </w:rPr>
        <w:t xml:space="preserve">   </w:t>
      </w:r>
      <w:r>
        <w:rPr>
          <w:rFonts w:hint="eastAsia" w:ascii="仿宋" w:hAnsi="仿宋" w:eastAsia="宋体" w:cs="仿宋"/>
          <w:color w:val="auto"/>
          <w:highlight w:val="none"/>
        </w:rPr>
        <w:t>月</w:t>
      </w:r>
      <w:r>
        <w:rPr>
          <w:rFonts w:hint="eastAsia" w:ascii="仿宋" w:hAnsi="仿宋" w:eastAsia="宋体" w:cs="仿宋"/>
          <w:color w:val="auto"/>
          <w:highlight w:val="none"/>
          <w:u w:val="single"/>
        </w:rPr>
        <w:t xml:space="preserve">   </w:t>
      </w:r>
      <w:r>
        <w:rPr>
          <w:rFonts w:hint="eastAsia" w:ascii="仿宋" w:hAnsi="仿宋" w:eastAsia="宋体" w:cs="仿宋"/>
          <w:color w:val="auto"/>
          <w:highlight w:val="none"/>
        </w:rPr>
        <w:t>日按约定的交付标准交付本项目物业（除商业配套所涉物业外）。若载体逾期交付，则考核日期相应顺延。</w:t>
      </w:r>
    </w:p>
    <w:p>
      <w:pPr>
        <w:spacing w:line="360" w:lineRule="auto"/>
        <w:ind w:firstLine="560"/>
        <w:rPr>
          <w:rFonts w:hint="eastAsia" w:ascii="仿宋" w:hAnsi="仿宋" w:eastAsia="宋体" w:cs="仿宋"/>
          <w:color w:val="auto"/>
          <w:highlight w:val="none"/>
        </w:rPr>
      </w:pPr>
      <w:r>
        <w:rPr>
          <w:rFonts w:hint="eastAsia" w:ascii="仿宋" w:hAnsi="仿宋" w:eastAsia="宋体" w:cs="仿宋"/>
          <w:color w:val="auto"/>
          <w:highlight w:val="none"/>
        </w:rPr>
        <w:t>2.甲方需为乙方提供不少于300平方米的免费精装修的办公空间作为办公场地（包括办公家具等），能耗费等由乙方自行承担。</w:t>
      </w:r>
    </w:p>
    <w:p>
      <w:pPr>
        <w:spacing w:line="360" w:lineRule="auto"/>
        <w:ind w:firstLine="560"/>
        <w:rPr>
          <w:rFonts w:ascii="仿宋" w:hAnsi="仿宋" w:cs="仿宋"/>
          <w:color w:val="auto"/>
          <w:highlight w:val="none"/>
        </w:rPr>
      </w:pPr>
      <w:r>
        <w:rPr>
          <w:rFonts w:hint="eastAsia" w:ascii="仿宋" w:hAnsi="仿宋" w:cs="仿宋"/>
          <w:color w:val="auto"/>
          <w:highlight w:val="none"/>
        </w:rPr>
        <w:t>3.甲方应向乙方提供本项目所涉物业现有或将来取得的有关证照、许可证的复印件，并提供原件核对（包括但不限于国有土地使用证、房地产权证、不动产登记证、建设用地规划许可证、建设工程规划许可证、建设工程施工许可证、主体工程竣工验收报告、主体工程消防验收合格证、备案登记证明等）。</w:t>
      </w:r>
    </w:p>
    <w:p>
      <w:pPr>
        <w:spacing w:line="360" w:lineRule="auto"/>
        <w:ind w:firstLine="560"/>
        <w:rPr>
          <w:rFonts w:ascii="仿宋" w:hAnsi="仿宋" w:cs="仿宋"/>
          <w:color w:val="auto"/>
          <w:highlight w:val="none"/>
        </w:rPr>
      </w:pPr>
      <w:r>
        <w:rPr>
          <w:rFonts w:hint="eastAsia" w:ascii="仿宋" w:hAnsi="仿宋" w:cs="仿宋"/>
          <w:color w:val="auto"/>
          <w:highlight w:val="none"/>
        </w:rPr>
        <w:t>4.在项目运营中，甲方起监督作用并有权利审核乙方的运营管理工作方案。甲方设立专职部门，指定</w:t>
      </w:r>
      <w:r>
        <w:rPr>
          <w:rFonts w:hint="eastAsia" w:ascii="仿宋" w:hAnsi="仿宋" w:cs="仿宋"/>
          <w:color w:val="auto"/>
          <w:highlight w:val="none"/>
          <w:u w:val="single"/>
        </w:rPr>
        <w:t xml:space="preserve">                </w:t>
      </w:r>
      <w:r>
        <w:rPr>
          <w:rFonts w:hint="eastAsia" w:ascii="仿宋" w:hAnsi="仿宋" w:cs="仿宋"/>
          <w:color w:val="auto"/>
          <w:highlight w:val="none"/>
        </w:rPr>
        <w:t>为甲方的联系工作代表，积极协调本项目相关单位与资源，以对接乙方的运营服务工作，尽力保障本项目减障碍、低成本、高效率地运营。</w:t>
      </w:r>
    </w:p>
    <w:p>
      <w:pPr>
        <w:spacing w:line="360" w:lineRule="auto"/>
        <w:ind w:firstLine="560"/>
        <w:rPr>
          <w:rFonts w:ascii="仿宋" w:hAnsi="仿宋" w:cs="仿宋"/>
          <w:color w:val="auto"/>
          <w:highlight w:val="none"/>
        </w:rPr>
      </w:pPr>
      <w:r>
        <w:rPr>
          <w:rFonts w:hint="eastAsia" w:ascii="仿宋" w:hAnsi="仿宋" w:cs="仿宋"/>
          <w:color w:val="auto"/>
          <w:highlight w:val="none"/>
        </w:rPr>
        <w:t>5.甲方应保障本项目发展所必须的硬件投入，包括但不限于本项目载体的建设、内部办公空间、公共服务空间、展厅等空间的装修投入，本项目范围内智慧园区等系统的建设投入等。</w:t>
      </w:r>
    </w:p>
    <w:p>
      <w:pPr>
        <w:spacing w:line="360" w:lineRule="auto"/>
        <w:ind w:firstLine="560"/>
        <w:rPr>
          <w:rFonts w:ascii="仿宋" w:hAnsi="仿宋" w:cs="仿宋"/>
          <w:color w:val="auto"/>
          <w:highlight w:val="none"/>
        </w:rPr>
      </w:pPr>
      <w:r>
        <w:rPr>
          <w:rFonts w:hint="eastAsia" w:ascii="仿宋" w:hAnsi="仿宋" w:cs="仿宋"/>
          <w:color w:val="auto"/>
          <w:highlight w:val="none"/>
        </w:rPr>
        <w:t>6.甲方应保障本项目发展所必须的软件投入：</w:t>
      </w:r>
    </w:p>
    <w:p>
      <w:pPr>
        <w:spacing w:line="360" w:lineRule="auto"/>
        <w:ind w:firstLine="560"/>
        <w:rPr>
          <w:rFonts w:ascii="仿宋" w:hAnsi="仿宋" w:cs="仿宋"/>
          <w:color w:val="auto"/>
          <w:highlight w:val="none"/>
        </w:rPr>
      </w:pPr>
      <w:r>
        <w:rPr>
          <w:rFonts w:hint="eastAsia" w:ascii="仿宋" w:hAnsi="仿宋" w:cs="仿宋"/>
          <w:color w:val="auto"/>
          <w:highlight w:val="none"/>
        </w:rPr>
        <w:t>（1）甲方应尽力整合现有政策资源体系，在乙方提供的政策建议下，协调有关部门制定支持本项目招商的扶持政策，并尽力提供相应资源。甲方须推动有关部门在本合同签订三个月内出台该政策，若扶持政策延期出台，则双方可通过补充协议或其他具有同等法律效力的书面形式，协商运营考核顺延或考核办法调整等事宜。</w:t>
      </w:r>
    </w:p>
    <w:p>
      <w:pPr>
        <w:spacing w:line="360" w:lineRule="auto"/>
        <w:ind w:firstLine="560"/>
        <w:rPr>
          <w:rFonts w:ascii="仿宋" w:hAnsi="仿宋" w:cs="仿宋"/>
          <w:color w:val="auto"/>
          <w:highlight w:val="none"/>
        </w:rPr>
      </w:pPr>
      <w:r>
        <w:rPr>
          <w:rFonts w:hint="eastAsia" w:ascii="仿宋" w:hAnsi="仿宋" w:cs="仿宋"/>
          <w:color w:val="auto"/>
          <w:highlight w:val="none"/>
        </w:rPr>
        <w:t>（2）甲方应协调推动在项目登记注册的母基金或政府产业引导基金正常成立，若考核周期内未落地，则双方可通过补充协议或其他具有同等法律效力的书面形式，协商运营考核顺延或考核办法调整等事宜。</w:t>
      </w:r>
    </w:p>
    <w:p>
      <w:pPr>
        <w:spacing w:line="360" w:lineRule="auto"/>
        <w:ind w:firstLine="560"/>
        <w:rPr>
          <w:rFonts w:ascii="仿宋" w:hAnsi="仿宋" w:cs="仿宋"/>
          <w:color w:val="auto"/>
          <w:highlight w:val="none"/>
        </w:rPr>
      </w:pPr>
      <w:r>
        <w:rPr>
          <w:rFonts w:hint="eastAsia" w:ascii="仿宋" w:hAnsi="仿宋" w:cs="仿宋"/>
          <w:color w:val="auto"/>
          <w:highlight w:val="none"/>
        </w:rPr>
        <w:t>7.在项目招商前，甲方需与乙方明确项目发展产业、招商目标，制定招商政策。</w:t>
      </w:r>
    </w:p>
    <w:p>
      <w:pPr>
        <w:spacing w:line="360" w:lineRule="auto"/>
        <w:ind w:firstLine="560"/>
        <w:rPr>
          <w:rFonts w:ascii="仿宋" w:hAnsi="仿宋" w:cs="仿宋"/>
          <w:color w:val="auto"/>
          <w:highlight w:val="none"/>
        </w:rPr>
      </w:pPr>
      <w:r>
        <w:rPr>
          <w:rFonts w:hint="eastAsia" w:ascii="仿宋" w:hAnsi="仿宋" w:cs="仿宋"/>
          <w:color w:val="auto"/>
          <w:highlight w:val="none"/>
        </w:rPr>
        <w:t>8.甲方有权审核乙方所提供的本项目运营规划并作出决策；甲方有权审核乙方所提供的政策体系设计、政府与市场合作界面设计等并作出决策。</w:t>
      </w:r>
    </w:p>
    <w:p>
      <w:pPr>
        <w:spacing w:line="360" w:lineRule="auto"/>
        <w:ind w:firstLine="560"/>
        <w:rPr>
          <w:rFonts w:ascii="仿宋" w:hAnsi="仿宋" w:cs="仿宋"/>
          <w:color w:val="auto"/>
          <w:kern w:val="0"/>
          <w:highlight w:val="none"/>
        </w:rPr>
      </w:pPr>
      <w:r>
        <w:rPr>
          <w:rFonts w:hint="eastAsia" w:ascii="仿宋" w:hAnsi="仿宋" w:cs="仿宋"/>
          <w:color w:val="auto"/>
          <w:highlight w:val="none"/>
        </w:rPr>
        <w:t>9.甲方有权审核乙方提供的项目空间功能规划设计建议方案、</w:t>
      </w:r>
      <w:r>
        <w:rPr>
          <w:rFonts w:hint="eastAsia" w:ascii="仿宋" w:hAnsi="仿宋" w:cs="仿宋"/>
          <w:color w:val="auto"/>
          <w:kern w:val="0"/>
          <w:highlight w:val="none"/>
        </w:rPr>
        <w:t>装修设计需求方案。</w:t>
      </w:r>
    </w:p>
    <w:p>
      <w:pPr>
        <w:spacing w:line="360" w:lineRule="auto"/>
        <w:ind w:firstLine="560"/>
        <w:rPr>
          <w:rFonts w:ascii="仿宋" w:hAnsi="仿宋" w:cs="仿宋"/>
          <w:color w:val="auto"/>
          <w:highlight w:val="none"/>
        </w:rPr>
      </w:pPr>
      <w:r>
        <w:rPr>
          <w:rFonts w:hint="eastAsia" w:ascii="仿宋" w:hAnsi="仿宋" w:cs="仿宋"/>
          <w:color w:val="auto"/>
          <w:kern w:val="0"/>
          <w:highlight w:val="none"/>
        </w:rPr>
        <w:t>10.</w:t>
      </w:r>
      <w:r>
        <w:rPr>
          <w:rFonts w:hint="eastAsia" w:ascii="仿宋" w:hAnsi="仿宋" w:cs="仿宋"/>
          <w:color w:val="auto"/>
          <w:highlight w:val="none"/>
        </w:rPr>
        <w:t>甲方授权乙方负责本项目载体的入驻企业和配套服务单位的管理服务工作。以上单位获得准入资格后，乙方须及时与其签署入驻管理协议，并根据协议内容对其提供服务。</w:t>
      </w:r>
    </w:p>
    <w:p>
      <w:pPr>
        <w:spacing w:line="360" w:lineRule="auto"/>
        <w:ind w:firstLine="560"/>
        <w:rPr>
          <w:rFonts w:ascii="仿宋" w:hAnsi="仿宋" w:cs="仿宋"/>
          <w:color w:val="auto"/>
          <w:highlight w:val="none"/>
        </w:rPr>
      </w:pPr>
      <w:r>
        <w:rPr>
          <w:rFonts w:hint="eastAsia" w:ascii="仿宋" w:hAnsi="仿宋" w:cs="仿宋"/>
          <w:color w:val="auto"/>
          <w:highlight w:val="none"/>
          <w:u w:val="single"/>
        </w:rPr>
        <w:t>11.对本项目公共服务空间（包括但不限于服务大厅、展示中心、会议室、室外空间等），乙方承担日常管理工作并有免费使用权。公共服务空间产生的物业费、水电费、能耗费等运行费用将由甲方承担，但乙方应当尽责配合、协助甲方降低公共能耗。</w:t>
      </w:r>
    </w:p>
    <w:p>
      <w:pPr>
        <w:spacing w:line="360" w:lineRule="auto"/>
        <w:ind w:firstLine="560"/>
        <w:rPr>
          <w:rFonts w:ascii="仿宋" w:hAnsi="仿宋" w:cs="仿宋"/>
          <w:color w:val="auto"/>
          <w:highlight w:val="none"/>
        </w:rPr>
      </w:pPr>
      <w:r>
        <w:rPr>
          <w:rFonts w:hint="eastAsia" w:ascii="仿宋" w:hAnsi="仿宋" w:cs="仿宋"/>
          <w:color w:val="auto"/>
          <w:highlight w:val="none"/>
        </w:rPr>
        <w:t>12.合作期间，甲方有权要求乙方协助制定其他创新类、运营类活动方案，但方案执行过程产生的相关费用由甲方承担。</w:t>
      </w:r>
    </w:p>
    <w:p>
      <w:pPr>
        <w:spacing w:line="360" w:lineRule="auto"/>
        <w:ind w:firstLine="560"/>
        <w:rPr>
          <w:rFonts w:ascii="仿宋" w:hAnsi="仿宋" w:cs="仿宋"/>
          <w:color w:val="auto"/>
          <w:highlight w:val="none"/>
        </w:rPr>
      </w:pPr>
      <w:r>
        <w:rPr>
          <w:rFonts w:hint="eastAsia" w:ascii="仿宋" w:hAnsi="仿宋" w:cs="仿宋"/>
          <w:color w:val="auto"/>
          <w:highlight w:val="none"/>
        </w:rPr>
        <w:t>13.甲方应积极协助乙方整合并提供本地或国家、省市宣传媒体资源，同时积极与乙方协同推动政府相关部门支持。</w:t>
      </w:r>
    </w:p>
    <w:p>
      <w:pPr>
        <w:spacing w:line="360" w:lineRule="auto"/>
        <w:ind w:firstLine="560"/>
        <w:rPr>
          <w:rFonts w:ascii="仿宋" w:hAnsi="仿宋" w:cs="仿宋"/>
          <w:color w:val="auto"/>
          <w:highlight w:val="none"/>
        </w:rPr>
      </w:pPr>
      <w:r>
        <w:rPr>
          <w:rFonts w:hint="eastAsia" w:ascii="仿宋" w:hAnsi="仿宋" w:cs="仿宋"/>
          <w:color w:val="auto"/>
          <w:highlight w:val="none"/>
        </w:rPr>
        <w:t>14.甲方应按照本合同约定，按时支付年度运营费用给乙方。</w:t>
      </w:r>
    </w:p>
    <w:p>
      <w:pPr>
        <w:spacing w:line="360" w:lineRule="auto"/>
        <w:ind w:firstLine="560"/>
        <w:rPr>
          <w:rFonts w:ascii="仿宋" w:hAnsi="仿宋" w:cs="仿宋"/>
          <w:color w:val="auto"/>
          <w:highlight w:val="none"/>
        </w:rPr>
      </w:pPr>
      <w:r>
        <w:rPr>
          <w:rFonts w:hint="eastAsia" w:ascii="仿宋" w:hAnsi="仿宋" w:cs="仿宋"/>
          <w:color w:val="auto"/>
          <w:highlight w:val="none"/>
        </w:rPr>
        <w:t>15.</w:t>
      </w:r>
      <w:r>
        <w:rPr>
          <w:rFonts w:hint="eastAsia" w:ascii="仿宋" w:hAnsi="仿宋" w:cs="仿宋"/>
          <w:color w:val="auto"/>
          <w:highlight w:val="none"/>
          <w:u w:val="single"/>
        </w:rPr>
        <w:t>甲方有权根据附件《项目年度招商运营服务考核办法》在每个考核周期结束后一个月内考核乙方，并于考核结束后2</w:t>
      </w:r>
      <w:r>
        <w:rPr>
          <w:rFonts w:ascii="仿宋" w:hAnsi="仿宋" w:cs="仿宋"/>
          <w:color w:val="auto"/>
          <w:highlight w:val="none"/>
          <w:u w:val="single"/>
        </w:rPr>
        <w:t>0</w:t>
      </w:r>
      <w:r>
        <w:rPr>
          <w:rFonts w:hint="eastAsia" w:ascii="仿宋" w:hAnsi="仿宋" w:cs="仿宋"/>
          <w:color w:val="auto"/>
          <w:highlight w:val="none"/>
          <w:u w:val="single"/>
        </w:rPr>
        <w:t>个工作日内按时支付相应考核费用给乙方。</w:t>
      </w:r>
    </w:p>
    <w:p>
      <w:pPr>
        <w:spacing w:line="360" w:lineRule="auto"/>
        <w:ind w:firstLine="560"/>
        <w:rPr>
          <w:rFonts w:ascii="仿宋" w:hAnsi="仿宋" w:cs="仿宋"/>
          <w:color w:val="auto"/>
          <w:highlight w:val="none"/>
        </w:rPr>
      </w:pPr>
      <w:r>
        <w:rPr>
          <w:rFonts w:hint="eastAsia" w:ascii="仿宋" w:hAnsi="仿宋" w:cs="仿宋"/>
          <w:color w:val="auto"/>
          <w:highlight w:val="none"/>
        </w:rPr>
        <w:t>16.甲方有权在每个考核周期结束后，对下一运营年度的考核办法进行调整，双方需另行签订补充协议或具有同等法律效力的书面文件。</w:t>
      </w:r>
    </w:p>
    <w:p>
      <w:pPr>
        <w:spacing w:line="360" w:lineRule="auto"/>
        <w:ind w:firstLine="560"/>
        <w:rPr>
          <w:rFonts w:ascii="仿宋" w:hAnsi="仿宋" w:cs="仿宋"/>
          <w:color w:val="auto"/>
          <w:highlight w:val="none"/>
        </w:rPr>
      </w:pPr>
      <w:r>
        <w:rPr>
          <w:rFonts w:hint="eastAsia" w:ascii="仿宋" w:hAnsi="仿宋" w:eastAsia="宋体" w:cs="仿宋"/>
          <w:color w:val="auto"/>
          <w:highlight w:val="none"/>
        </w:rPr>
        <w:t>17</w:t>
      </w:r>
      <w:r>
        <w:rPr>
          <w:rFonts w:hint="eastAsia" w:ascii="仿宋" w:hAnsi="仿宋" w:eastAsia="宋体" w:cs="仿宋"/>
          <w:color w:val="auto"/>
          <w:highlight w:val="none"/>
          <w:lang w:val="en-US" w:eastAsia="zh-CN"/>
        </w:rPr>
        <w:t>.</w:t>
      </w:r>
      <w:r>
        <w:rPr>
          <w:rFonts w:hint="eastAsia" w:ascii="仿宋" w:hAnsi="仿宋" w:eastAsia="宋体" w:cs="仿宋"/>
          <w:color w:val="auto"/>
          <w:highlight w:val="none"/>
        </w:rPr>
        <w:t>甲乙双方在运营服务活动中应保守所知悉的对方的所有商业秘密，甲方不得向任何第三方透露</w:t>
      </w:r>
      <w:r>
        <w:rPr>
          <w:rFonts w:hint="eastAsia" w:ascii="仿宋" w:hAnsi="仿宋" w:eastAsia="宋体" w:cs="仿宋"/>
          <w:color w:val="auto"/>
          <w:highlight w:val="none"/>
          <w:lang w:eastAsia="zh-CN"/>
        </w:rPr>
        <w:t>，</w:t>
      </w:r>
      <w:r>
        <w:rPr>
          <w:rFonts w:hint="eastAsia" w:ascii="仿宋" w:hAnsi="仿宋" w:eastAsia="宋体" w:cs="仿宋"/>
          <w:color w:val="auto"/>
          <w:highlight w:val="none"/>
          <w:lang w:val="en-US" w:eastAsia="zh-CN"/>
        </w:rPr>
        <w:t>但除该项目进行过程中需要了解的上级部门及享有知情权人员以外</w:t>
      </w:r>
      <w:r>
        <w:rPr>
          <w:rFonts w:hint="eastAsia" w:ascii="仿宋" w:hAnsi="仿宋" w:eastAsia="宋体" w:cs="仿宋"/>
          <w:color w:val="auto"/>
          <w:highlight w:val="none"/>
        </w:rPr>
        <w:t>。</w:t>
      </w:r>
    </w:p>
    <w:p>
      <w:pPr>
        <w:spacing w:line="360" w:lineRule="auto"/>
        <w:ind w:firstLine="562"/>
        <w:rPr>
          <w:rFonts w:ascii="仿宋" w:hAnsi="仿宋"/>
          <w:b/>
          <w:bCs/>
          <w:color w:val="auto"/>
          <w:highlight w:val="none"/>
        </w:rPr>
      </w:pPr>
      <w:r>
        <w:rPr>
          <w:rFonts w:hint="eastAsia" w:ascii="仿宋" w:hAnsi="仿宋"/>
          <w:b/>
          <w:bCs/>
          <w:color w:val="auto"/>
          <w:highlight w:val="none"/>
        </w:rPr>
        <w:t>第10条 乙方权利与义务</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1.乙方应严格按合同约定，遵守相关法律法规及甲方的具体要求，积极完成运营服务工作，配合甲方做好其他各项相关工作。</w:t>
      </w:r>
    </w:p>
    <w:p>
      <w:pPr>
        <w:spacing w:line="360" w:lineRule="auto"/>
        <w:ind w:firstLine="560"/>
        <w:jc w:val="left"/>
        <w:rPr>
          <w:rFonts w:ascii="仿宋" w:hAnsi="仿宋" w:cs="仿宋"/>
          <w:color w:val="auto"/>
          <w:szCs w:val="28"/>
          <w:highlight w:val="none"/>
        </w:rPr>
      </w:pPr>
      <w:r>
        <w:rPr>
          <w:rFonts w:hint="eastAsia" w:ascii="仿宋" w:hAnsi="仿宋" w:cs="仿宋"/>
          <w:color w:val="auto"/>
          <w:szCs w:val="28"/>
          <w:highlight w:val="none"/>
        </w:rPr>
        <w:t>2.乙方按本合同约定提供运营服务，但不承担对业主、承租户及其经营者、消费者的人身、财产的保管保险义务。</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3.乙方须按本合同约定为本项目提供顶层设计咨询、资源导入与招商服务、金融运营体系建设、品牌打造等全方位的服务。</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4.依据本合同的约定，对本项目实施运营，收取运营服务费用。</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5.依据本项目运营服务目标、内容和运营要求，乙方承诺配置不少于2</w:t>
      </w:r>
      <w:r>
        <w:rPr>
          <w:rFonts w:ascii="仿宋" w:hAnsi="仿宋" w:cs="仿宋"/>
          <w:color w:val="auto"/>
          <w:szCs w:val="28"/>
          <w:highlight w:val="none"/>
        </w:rPr>
        <w:t>0</w:t>
      </w:r>
      <w:r>
        <w:rPr>
          <w:rFonts w:hint="eastAsia" w:ascii="仿宋" w:hAnsi="仿宋" w:cs="仿宋"/>
          <w:color w:val="auto"/>
          <w:szCs w:val="28"/>
          <w:highlight w:val="none"/>
        </w:rPr>
        <w:t>人的招商运营团队,</w:t>
      </w:r>
      <w:r>
        <w:rPr>
          <w:rFonts w:hint="eastAsia" w:ascii="仿宋" w:hAnsi="仿宋" w:cs="仿宋"/>
          <w:color w:val="auto"/>
          <w:szCs w:val="28"/>
          <w:highlight w:val="none"/>
          <w:u w:val="single"/>
        </w:rPr>
        <w:t>包括在温州搭建招商运营团队并在上海、杭州、大湾区区域配置驻外招商团队</w:t>
      </w:r>
      <w:r>
        <w:rPr>
          <w:rFonts w:hint="eastAsia" w:ascii="仿宋" w:hAnsi="仿宋" w:cs="仿宋"/>
          <w:color w:val="auto"/>
          <w:szCs w:val="28"/>
          <w:highlight w:val="none"/>
        </w:rPr>
        <w:t>，团队成员须达到以下要求：</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（1）团队负责人具有本科及以上学历，并拥有</w:t>
      </w:r>
      <w:r>
        <w:rPr>
          <w:rFonts w:ascii="仿宋" w:hAnsi="仿宋" w:cs="仿宋"/>
          <w:color w:val="auto"/>
          <w:szCs w:val="28"/>
          <w:highlight w:val="none"/>
        </w:rPr>
        <w:t>3</w:t>
      </w:r>
      <w:r>
        <w:rPr>
          <w:rFonts w:hint="eastAsia" w:ascii="仿宋" w:hAnsi="仿宋" w:cs="仿宋"/>
          <w:color w:val="auto"/>
          <w:szCs w:val="28"/>
          <w:highlight w:val="none"/>
        </w:rPr>
        <w:t>年及以上地方金融产业平台（金融产业园、金融类特色小镇等）招商运营管理经验。</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（2）部门负责人具有本科及以上学历，并拥有2年及以上地方金融产业运营管理和金融产业招商管理经验。</w:t>
      </w:r>
    </w:p>
    <w:p>
      <w:pPr>
        <w:spacing w:line="360" w:lineRule="auto"/>
        <w:ind w:firstLine="560"/>
        <w:rPr>
          <w:rFonts w:ascii="仿宋" w:hAnsi="仿宋" w:cs="仿宋"/>
          <w:color w:val="auto"/>
          <w:szCs w:val="28"/>
          <w:highlight w:val="none"/>
          <w:u w:val="single"/>
        </w:rPr>
      </w:pPr>
      <w:r>
        <w:rPr>
          <w:rFonts w:hint="eastAsia" w:ascii="仿宋" w:hAnsi="仿宋" w:cs="仿宋"/>
          <w:color w:val="auto"/>
          <w:szCs w:val="28"/>
          <w:highlight w:val="none"/>
        </w:rPr>
        <w:t>乙方承诺本合同签订之日起1个月内，</w:t>
      </w:r>
      <w:r>
        <w:rPr>
          <w:rFonts w:hint="eastAsia" w:ascii="仿宋" w:hAnsi="仿宋"/>
          <w:color w:val="auto"/>
          <w:szCs w:val="28"/>
          <w:highlight w:val="none"/>
        </w:rPr>
        <w:t>核心管理团队（项目负责人、部门负责人）配置到位；本合同签订之日起3个月内，2</w:t>
      </w:r>
      <w:r>
        <w:rPr>
          <w:rFonts w:ascii="仿宋" w:hAnsi="仿宋"/>
          <w:color w:val="auto"/>
          <w:szCs w:val="28"/>
          <w:highlight w:val="none"/>
        </w:rPr>
        <w:t>0</w:t>
      </w:r>
      <w:r>
        <w:rPr>
          <w:rFonts w:hint="eastAsia" w:ascii="仿宋" w:hAnsi="仿宋"/>
          <w:color w:val="auto"/>
          <w:szCs w:val="28"/>
          <w:highlight w:val="none"/>
        </w:rPr>
        <w:t>人招商运营团队全部到位。</w:t>
      </w:r>
      <w:r>
        <w:rPr>
          <w:rFonts w:hint="eastAsia" w:ascii="仿宋" w:hAnsi="仿宋"/>
          <w:color w:val="auto"/>
          <w:szCs w:val="28"/>
          <w:highlight w:val="none"/>
          <w:u w:val="single"/>
        </w:rPr>
        <w:t>若团队配置与本合同约定不符，甲方有权提出整改意见，酌情扣除部分运营费；若乙方在书面意见接收日起1个月内（接收形式包括但不限于书面文件、邮件、微信文字告知等），乙方未及时整改至符合合同约定，甲方有权单方面解除本合同，并不负有违约责任。</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6.就甲方针对乙方提报的各类咨询建议反馈的意见，乙方应及时回应，并结合规划与运营实际作出合理修改。</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7.甲方投入的办公设施设备、园区IT智能化设施设备、公共配套设施设备、展厅相关设施设备等，乙方具有使用权和管理权，并需配合甲方以及相关单位进行维保。</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8.乙方以本项目发展规划为重点方向，负责设置年度企业准入与退出标准，经甲方评审通过后，授权乙方对企业入驻与退出进行核定和审批，并向甲方及时报备。</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9.乙方负责提出符合项目定位与需求的大型招商活动、品牌活动（100人以上）方案，但相关费用由甲方承担，乙方不承担方案执行过程产生的费用。</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10.合作期间，乙方须做好企业有关登记、数据统计、企业服务等工作，定期向甲方进行工作汇报。对甲方提出的运营服务要求，乙方应及时落实，在运营工作中，如甲方需要了解项目相关情况的，乙方应积极配合。</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11.乙方定期向甲方进行工作汇报，每半年向甲方提交详尽的运营服务工作汇报。在运营工作中，如甲方需要了解项目相关情况的，乙方应积极配合。</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12.乙方有义务在每个考核周期结束后一个月内接受甲方根据附件《项目年度招商运营服务考核办法》的考核。在考核结束后，乙方有权利收取相应考核费用。</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13.乙方承担本项目运营公司在经营当中所产生的一切费用，包括但不限于工资、奖金、福利、住宿差旅、工伤赔偿、违约金等所有相关费用和经营费用。</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14.在本合同有效期内，乙方应遵守中华人民共和国法律，代表甲方执行所有在本项目管理及市场推广范围内的相关工作任务，乙方除与项目运营所须的辅助性、附加活动外，不得在项目内从事其它活动。</w:t>
      </w:r>
    </w:p>
    <w:p>
      <w:pPr>
        <w:spacing w:line="360" w:lineRule="auto"/>
        <w:ind w:firstLine="560"/>
        <w:rPr>
          <w:rFonts w:ascii="仿宋" w:hAnsi="仿宋" w:cs="仿宋"/>
          <w:color w:val="auto"/>
          <w:szCs w:val="28"/>
          <w:highlight w:val="none"/>
        </w:rPr>
      </w:pPr>
      <w:r>
        <w:rPr>
          <w:rFonts w:hint="eastAsia" w:ascii="仿宋" w:hAnsi="仿宋" w:cs="仿宋"/>
          <w:color w:val="auto"/>
          <w:szCs w:val="28"/>
          <w:highlight w:val="none"/>
        </w:rPr>
        <w:t>15.甲乙双方在运营服务活动中应保守所知悉的对方的所有商业秘密，乙方不得向任何第三方透露。</w:t>
      </w:r>
    </w:p>
    <w:p>
      <w:pPr>
        <w:spacing w:line="360" w:lineRule="auto"/>
        <w:ind w:firstLine="560"/>
        <w:rPr>
          <w:rFonts w:ascii="仿宋" w:hAnsi="仿宋" w:cs="仿宋"/>
          <w:color w:val="auto"/>
          <w:szCs w:val="28"/>
          <w:highlight w:val="none"/>
          <w:lang w:val="zh-CN"/>
        </w:rPr>
      </w:pP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第五章 免责条款</w:t>
      </w:r>
    </w:p>
    <w:p>
      <w:pPr>
        <w:spacing w:line="360" w:lineRule="auto"/>
        <w:ind w:firstLine="562"/>
        <w:rPr>
          <w:rFonts w:ascii="仿宋" w:hAnsi="仿宋"/>
          <w:color w:val="auto"/>
          <w:highlight w:val="none"/>
        </w:rPr>
      </w:pPr>
      <w:r>
        <w:rPr>
          <w:rFonts w:hint="eastAsia" w:ascii="仿宋" w:hAnsi="仿宋"/>
          <w:b/>
          <w:bCs/>
          <w:color w:val="auto"/>
          <w:highlight w:val="none"/>
        </w:rPr>
        <w:t xml:space="preserve">第11条 </w:t>
      </w:r>
      <w:r>
        <w:rPr>
          <w:rFonts w:hint="eastAsia" w:ascii="仿宋" w:hAnsi="仿宋"/>
          <w:color w:val="auto"/>
          <w:highlight w:val="none"/>
        </w:rPr>
        <w:t>合作期间内，甲方未提供以下条件造成乙方无法完成约定运营目标，则甲乙双方须协商调整考核目标或顺延考核：</w:t>
      </w:r>
    </w:p>
    <w:p>
      <w:pPr>
        <w:spacing w:line="360" w:lineRule="auto"/>
        <w:ind w:firstLine="560"/>
        <w:rPr>
          <w:color w:val="auto"/>
          <w:highlight w:val="none"/>
        </w:rPr>
      </w:pPr>
      <w:r>
        <w:rPr>
          <w:rFonts w:hint="eastAsia" w:ascii="仿宋" w:hAnsi="仿宋"/>
          <w:color w:val="auto"/>
          <w:highlight w:val="none"/>
        </w:rPr>
        <w:t>1.若甲方未按照本合同约定，于</w:t>
      </w:r>
      <w:r>
        <w:rPr>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rPr>
        <w:t>日</w:t>
      </w:r>
      <w:r>
        <w:rPr>
          <w:color w:val="auto"/>
          <w:highlight w:val="none"/>
        </w:rPr>
        <w:t>按约定的交付标准交付</w:t>
      </w:r>
      <w:r>
        <w:rPr>
          <w:rFonts w:hint="eastAsia"/>
          <w:color w:val="auto"/>
          <w:highlight w:val="none"/>
        </w:rPr>
        <w:t>本项目物业载体，则甲方对乙方的考核顺延。</w:t>
      </w:r>
    </w:p>
    <w:p>
      <w:pPr>
        <w:spacing w:line="360" w:lineRule="auto"/>
        <w:ind w:firstLine="560"/>
        <w:rPr>
          <w:rFonts w:ascii="仿宋" w:hAnsi="仿宋"/>
          <w:color w:val="auto"/>
          <w:highlight w:val="none"/>
        </w:rPr>
      </w:pPr>
      <w:r>
        <w:rPr>
          <w:rFonts w:hint="eastAsia" w:ascii="仿宋" w:hAnsi="仿宋"/>
          <w:color w:val="auto"/>
          <w:highlight w:val="none"/>
        </w:rPr>
        <w:t>2.甲方按照乙方政策建议推动有关部门出台本项目扶持政策，以支撑本项目招商运营工作。</w:t>
      </w:r>
      <w:r>
        <w:rPr>
          <w:rFonts w:hint="eastAsia" w:ascii="仿宋" w:hAnsi="仿宋" w:cs="仿宋"/>
          <w:color w:val="auto"/>
          <w:highlight w:val="none"/>
        </w:rPr>
        <w:t>若扶持政策延期出台，则双方可通过补充协议或其他具有同等法律效力的书面形式，协商运营考核顺延或考核办法调整等事宜。</w:t>
      </w:r>
    </w:p>
    <w:p>
      <w:pPr>
        <w:spacing w:line="360" w:lineRule="auto"/>
        <w:ind w:firstLine="560"/>
        <w:rPr>
          <w:rFonts w:ascii="仿宋" w:hAnsi="仿宋"/>
          <w:color w:val="auto"/>
          <w:highlight w:val="none"/>
        </w:rPr>
      </w:pPr>
      <w:r>
        <w:rPr>
          <w:rFonts w:hint="eastAsia" w:ascii="仿宋" w:hAnsi="仿宋"/>
          <w:color w:val="auto"/>
          <w:highlight w:val="none"/>
        </w:rPr>
        <w:t>3.若考核周期内</w:t>
      </w:r>
      <w:r>
        <w:rPr>
          <w:rFonts w:hint="eastAsia" w:ascii="仿宋" w:hAnsi="仿宋" w:cs="仿宋"/>
          <w:color w:val="auto"/>
          <w:highlight w:val="none"/>
        </w:rPr>
        <w:t>相关母基金或政府产业引导基金未落地，则双方可通过补充协议或其他具有同等法律效力的书面形式，协商运营考核顺延或考核办法调整等事宜。</w:t>
      </w:r>
    </w:p>
    <w:p>
      <w:pPr>
        <w:spacing w:line="360" w:lineRule="auto"/>
        <w:ind w:firstLine="562"/>
        <w:rPr>
          <w:rFonts w:ascii="仿宋" w:hAnsi="仿宋"/>
          <w:color w:val="auto"/>
          <w:highlight w:val="none"/>
        </w:rPr>
      </w:pPr>
      <w:r>
        <w:rPr>
          <w:rFonts w:hint="eastAsia" w:ascii="仿宋" w:hAnsi="仿宋"/>
          <w:b/>
          <w:bCs/>
          <w:color w:val="auto"/>
          <w:highlight w:val="none"/>
        </w:rPr>
        <w:t xml:space="preserve">第12条 </w:t>
      </w:r>
      <w:r>
        <w:rPr>
          <w:rFonts w:hint="eastAsia" w:ascii="仿宋" w:hAnsi="仿宋"/>
          <w:color w:val="auto"/>
          <w:highlight w:val="none"/>
        </w:rPr>
        <w:t>因不可抗力而令双方未能执行其根据本合同规定必要</w:t>
      </w:r>
    </w:p>
    <w:p>
      <w:pPr>
        <w:spacing w:line="360" w:lineRule="auto"/>
        <w:rPr>
          <w:rFonts w:ascii="仿宋" w:hAnsi="仿宋"/>
          <w:color w:val="auto"/>
          <w:highlight w:val="none"/>
        </w:rPr>
      </w:pPr>
      <w:r>
        <w:rPr>
          <w:rFonts w:hint="eastAsia" w:ascii="仿宋" w:hAnsi="仿宋"/>
          <w:color w:val="auto"/>
          <w:highlight w:val="none"/>
        </w:rPr>
        <w:t>执行的职责，双方对此可免其咎。</w:t>
      </w:r>
    </w:p>
    <w:p>
      <w:pPr>
        <w:spacing w:line="360" w:lineRule="auto"/>
        <w:ind w:firstLine="562"/>
        <w:rPr>
          <w:rFonts w:ascii="仿宋" w:hAnsi="仿宋"/>
          <w:color w:val="auto"/>
          <w:highlight w:val="none"/>
        </w:rPr>
      </w:pPr>
      <w:r>
        <w:rPr>
          <w:rFonts w:hint="eastAsia" w:ascii="仿宋" w:hAnsi="仿宋"/>
          <w:b/>
          <w:bCs/>
          <w:color w:val="auto"/>
          <w:highlight w:val="none"/>
        </w:rPr>
        <w:t xml:space="preserve">第13条 </w:t>
      </w:r>
      <w:r>
        <w:rPr>
          <w:rFonts w:hint="eastAsia" w:ascii="仿宋" w:hAnsi="仿宋"/>
          <w:color w:val="auto"/>
          <w:highlight w:val="none"/>
        </w:rPr>
        <w:t>下述情况均构成不可抗力之事件：</w:t>
      </w:r>
    </w:p>
    <w:p>
      <w:pPr>
        <w:spacing w:line="360" w:lineRule="auto"/>
        <w:ind w:firstLine="560"/>
        <w:rPr>
          <w:rFonts w:ascii="仿宋" w:hAnsi="仿宋"/>
          <w:color w:val="auto"/>
          <w:highlight w:val="none"/>
        </w:rPr>
      </w:pPr>
      <w:r>
        <w:rPr>
          <w:rFonts w:ascii="仿宋" w:hAnsi="仿宋"/>
          <w:color w:val="auto"/>
          <w:highlight w:val="none"/>
        </w:rPr>
        <w:t>1.</w:t>
      </w:r>
      <w:r>
        <w:rPr>
          <w:rFonts w:hint="eastAsia" w:ascii="仿宋" w:hAnsi="仿宋"/>
          <w:color w:val="auto"/>
          <w:highlight w:val="none"/>
        </w:rPr>
        <w:t>战争、侵略、反叛、暴动及内战；</w:t>
      </w:r>
    </w:p>
    <w:p>
      <w:pPr>
        <w:spacing w:line="360" w:lineRule="auto"/>
        <w:ind w:firstLine="560"/>
        <w:rPr>
          <w:rFonts w:ascii="仿宋" w:hAnsi="仿宋"/>
          <w:color w:val="auto"/>
          <w:highlight w:val="none"/>
        </w:rPr>
      </w:pPr>
      <w:r>
        <w:rPr>
          <w:rFonts w:ascii="仿宋" w:hAnsi="仿宋"/>
          <w:color w:val="auto"/>
          <w:highlight w:val="none"/>
        </w:rPr>
        <w:t>2.</w:t>
      </w:r>
      <w:r>
        <w:rPr>
          <w:rFonts w:hint="eastAsia" w:ascii="仿宋" w:hAnsi="仿宋"/>
          <w:color w:val="auto"/>
          <w:highlight w:val="none"/>
        </w:rPr>
        <w:t>地震或任何因自然力量发生而被影响及不可合理预测或抗拒的事故。</w:t>
      </w: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第六章  项目公司</w:t>
      </w:r>
    </w:p>
    <w:p>
      <w:pPr>
        <w:spacing w:line="360" w:lineRule="auto"/>
        <w:ind w:firstLine="562"/>
        <w:rPr>
          <w:rFonts w:hint="eastAsia" w:ascii="仿宋" w:hAnsi="仿宋" w:eastAsia="宋体" w:cs="Calibri"/>
          <w:color w:val="auto"/>
          <w:highlight w:val="none"/>
        </w:rPr>
      </w:pPr>
      <w:bookmarkStart w:id="238" w:name="_Ref434583534"/>
      <w:r>
        <w:rPr>
          <w:rFonts w:hint="eastAsia" w:ascii="仿宋" w:hAnsi="仿宋" w:eastAsia="宋体" w:cs="Calibri"/>
          <w:b/>
          <w:bCs/>
          <w:color w:val="auto"/>
          <w:highlight w:val="none"/>
        </w:rPr>
        <w:t>第14条</w:t>
      </w:r>
      <w:r>
        <w:rPr>
          <w:rFonts w:hint="eastAsia" w:ascii="仿宋" w:hAnsi="仿宋" w:eastAsia="宋体" w:cs="Calibri"/>
          <w:color w:val="auto"/>
          <w:highlight w:val="none"/>
        </w:rPr>
        <w:t>项目公司成立</w:t>
      </w:r>
    </w:p>
    <w:p>
      <w:pPr>
        <w:spacing w:line="360" w:lineRule="auto"/>
        <w:ind w:firstLine="560"/>
        <w:rPr>
          <w:rFonts w:hint="eastAsia" w:ascii="仿宋" w:hAnsi="仿宋" w:eastAsia="宋体" w:cs="Calibri"/>
          <w:color w:val="auto"/>
          <w:highlight w:val="none"/>
        </w:rPr>
      </w:pPr>
      <w:r>
        <w:rPr>
          <w:rFonts w:hint="eastAsia" w:ascii="仿宋" w:hAnsi="仿宋" w:eastAsia="宋体" w:cs="Calibri"/>
          <w:color w:val="auto"/>
          <w:highlight w:val="none"/>
        </w:rPr>
        <w:t>本合同签署之日起九十（90）日内,乙方应与甲方指定的温州瓯海经济开发区建设投资集团有限公司或其子公司在瓯海区行政范围内出资成立项目公司，其中乙方占80%的股权比例，温州瓯海经济开发区建设投资集团有限公司占20%的股权比例。</w:t>
      </w:r>
    </w:p>
    <w:p>
      <w:pPr>
        <w:spacing w:line="360" w:lineRule="auto"/>
        <w:ind w:firstLine="560"/>
        <w:rPr>
          <w:rFonts w:hint="eastAsia" w:ascii="仿宋" w:hAnsi="仿宋" w:eastAsia="宋体" w:cs="Calibri"/>
          <w:color w:val="auto"/>
          <w:highlight w:val="none"/>
        </w:rPr>
      </w:pPr>
      <w:r>
        <w:rPr>
          <w:rFonts w:hint="eastAsia" w:ascii="仿宋" w:hAnsi="仿宋" w:eastAsia="宋体" w:cs="Calibri"/>
          <w:color w:val="auto"/>
          <w:highlight w:val="none"/>
        </w:rPr>
        <w:t>项目公司应在任何股东会决议、董事会决议和涉及项目公司经营的重大决策作出后十（10）个工作日内，报送甲方备案。</w:t>
      </w:r>
    </w:p>
    <w:p>
      <w:pPr>
        <w:spacing w:line="360" w:lineRule="auto"/>
        <w:ind w:firstLine="560"/>
        <w:rPr>
          <w:rFonts w:hint="eastAsia" w:ascii="仿宋" w:hAnsi="仿宋" w:eastAsia="宋体" w:cs="Calibri"/>
          <w:color w:val="auto"/>
          <w:highlight w:val="none"/>
        </w:rPr>
      </w:pPr>
      <w:r>
        <w:rPr>
          <w:rFonts w:hint="eastAsia" w:ascii="仿宋" w:hAnsi="仿宋" w:eastAsia="宋体" w:cs="Calibri"/>
          <w:color w:val="auto"/>
          <w:highlight w:val="none"/>
        </w:rPr>
        <w:t>项目公司应在其成立后三十（30）个工作日内，通过与甲方、乙方签订三方承继合同的方式，承继本合同项下明确由乙方享有和承担的权利和义务。</w:t>
      </w:r>
    </w:p>
    <w:bookmarkEnd w:id="238"/>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第七章  合同解除</w:t>
      </w:r>
    </w:p>
    <w:p>
      <w:pPr>
        <w:spacing w:line="360" w:lineRule="auto"/>
        <w:ind w:firstLine="562"/>
        <w:rPr>
          <w:rFonts w:hint="eastAsia" w:ascii="Calibri" w:hAnsi="Calibri" w:eastAsia="宋体" w:cs="Calibri"/>
          <w:color w:val="auto"/>
          <w:highlight w:val="none"/>
        </w:rPr>
      </w:pPr>
      <w:r>
        <w:rPr>
          <w:rFonts w:hint="eastAsia" w:ascii="仿宋" w:hAnsi="仿宋" w:eastAsia="宋体" w:cs="Calibri"/>
          <w:b/>
          <w:bCs/>
          <w:color w:val="auto"/>
          <w:highlight w:val="none"/>
        </w:rPr>
        <w:t>第15条</w:t>
      </w:r>
      <w:r>
        <w:rPr>
          <w:rFonts w:hint="eastAsia" w:ascii="Calibri" w:hAnsi="Calibri" w:eastAsia="宋体" w:cs="Calibri"/>
          <w:color w:val="auto"/>
          <w:highlight w:val="none"/>
        </w:rPr>
        <w:t xml:space="preserve"> 如乙方运营期间因违反有关法律、法规对甲方造成实质损失，或发生以下情况之一，甲方可单方面终止合同，由乙方承担相关责任：</w:t>
      </w:r>
    </w:p>
    <w:p>
      <w:pPr>
        <w:spacing w:line="360" w:lineRule="auto"/>
        <w:ind w:firstLine="562"/>
        <w:rPr>
          <w:rFonts w:hint="eastAsia" w:ascii="Calibri" w:hAnsi="Calibri" w:eastAsia="宋体" w:cs="Calibri"/>
          <w:color w:val="auto"/>
          <w:highlight w:val="none"/>
        </w:rPr>
      </w:pPr>
      <w:r>
        <w:rPr>
          <w:rFonts w:hint="eastAsia" w:ascii="Calibri" w:hAnsi="Calibri" w:eastAsia="宋体" w:cs="Calibri"/>
          <w:color w:val="auto"/>
          <w:highlight w:val="none"/>
        </w:rPr>
        <w:t>1.乙方母公司或项目公司实控人、管理层发生犯罪、违法、侵权等行为的；</w:t>
      </w:r>
    </w:p>
    <w:p>
      <w:pPr>
        <w:spacing w:line="360" w:lineRule="auto"/>
        <w:ind w:firstLine="562"/>
        <w:rPr>
          <w:rFonts w:hint="eastAsia" w:ascii="Calibri" w:hAnsi="Calibri" w:eastAsia="宋体" w:cs="Calibri"/>
          <w:color w:val="auto"/>
          <w:highlight w:val="none"/>
        </w:rPr>
      </w:pPr>
      <w:r>
        <w:rPr>
          <w:rFonts w:hint="eastAsia" w:ascii="Calibri" w:hAnsi="Calibri" w:eastAsia="宋体" w:cs="Calibri"/>
          <w:color w:val="auto"/>
          <w:highlight w:val="none"/>
        </w:rPr>
        <w:t>2.乙方项目公司实控人、管理层发生变更，需提前三十（30）日向甲方报备，未及时报备的，视为违约；</w:t>
      </w:r>
    </w:p>
    <w:p>
      <w:pPr>
        <w:spacing w:line="360" w:lineRule="auto"/>
        <w:ind w:firstLine="562"/>
        <w:rPr>
          <w:rFonts w:hint="eastAsia" w:ascii="Calibri" w:hAnsi="Calibri" w:eastAsia="宋体" w:cs="Calibri"/>
          <w:color w:val="auto"/>
          <w:highlight w:val="none"/>
        </w:rPr>
      </w:pPr>
      <w:r>
        <w:rPr>
          <w:rFonts w:hint="eastAsia" w:ascii="Calibri" w:hAnsi="Calibri" w:eastAsia="宋体" w:cs="Calibri"/>
          <w:color w:val="auto"/>
          <w:highlight w:val="none"/>
        </w:rPr>
        <w:t>3.乙方团队配置不符要求、不到位，工作配合度低，经甲方通知整改不到位的；</w:t>
      </w:r>
    </w:p>
    <w:p>
      <w:pPr>
        <w:spacing w:line="360" w:lineRule="auto"/>
        <w:ind w:firstLine="562"/>
        <w:rPr>
          <w:rFonts w:hint="eastAsia" w:ascii="Calibri" w:hAnsi="Calibri" w:eastAsia="宋体" w:cs="Calibri"/>
          <w:color w:val="auto"/>
          <w:highlight w:val="none"/>
        </w:rPr>
      </w:pPr>
      <w:r>
        <w:rPr>
          <w:rFonts w:hint="eastAsia" w:ascii="Calibri" w:hAnsi="Calibri" w:eastAsia="宋体" w:cs="Calibri"/>
          <w:color w:val="auto"/>
          <w:highlight w:val="none"/>
        </w:rPr>
        <w:t>4.乙方连续两年运营考核不合格；</w:t>
      </w:r>
    </w:p>
    <w:p>
      <w:pPr>
        <w:spacing w:line="360" w:lineRule="auto"/>
        <w:ind w:firstLine="562"/>
        <w:rPr>
          <w:rFonts w:hint="eastAsia" w:ascii="Calibri" w:hAnsi="Calibri" w:eastAsia="宋体" w:cs="Calibri"/>
          <w:color w:val="auto"/>
          <w:highlight w:val="none"/>
        </w:rPr>
      </w:pPr>
      <w:r>
        <w:rPr>
          <w:rFonts w:hint="eastAsia" w:ascii="Calibri" w:hAnsi="Calibri" w:eastAsia="宋体" w:cs="Calibri"/>
          <w:color w:val="auto"/>
          <w:highlight w:val="none"/>
        </w:rPr>
        <w:t>5.乙方阶段性考核严重不达标，且经甲方督促整改仍不符合要求的；</w:t>
      </w:r>
    </w:p>
    <w:p>
      <w:pPr>
        <w:spacing w:line="360" w:lineRule="auto"/>
        <w:ind w:firstLine="562"/>
        <w:rPr>
          <w:rFonts w:hint="eastAsia" w:ascii="Calibri" w:hAnsi="Calibri" w:eastAsia="宋体" w:cs="Calibri"/>
          <w:color w:val="auto"/>
          <w:highlight w:val="none"/>
        </w:rPr>
      </w:pPr>
      <w:r>
        <w:rPr>
          <w:rFonts w:hint="eastAsia" w:ascii="Calibri" w:hAnsi="Calibri" w:eastAsia="宋体" w:cs="Calibri"/>
          <w:color w:val="auto"/>
          <w:highlight w:val="none"/>
        </w:rPr>
        <w:t>6.乙方运营期间出现重大工作事故，造成不良社会影响的；</w:t>
      </w:r>
    </w:p>
    <w:p>
      <w:pPr>
        <w:spacing w:line="360" w:lineRule="auto"/>
        <w:ind w:firstLine="560"/>
        <w:rPr>
          <w:color w:val="auto"/>
          <w:highlight w:val="none"/>
        </w:rPr>
      </w:pPr>
      <w:r>
        <w:rPr>
          <w:rFonts w:hint="eastAsia" w:ascii="仿宋" w:hAnsi="仿宋"/>
          <w:b/>
          <w:bCs/>
          <w:color w:val="auto"/>
          <w:highlight w:val="none"/>
        </w:rPr>
        <w:t>第16条</w:t>
      </w:r>
      <w:r>
        <w:rPr>
          <w:rFonts w:hint="eastAsia"/>
          <w:color w:val="auto"/>
          <w:highlight w:val="none"/>
        </w:rPr>
        <w:t xml:space="preserve"> </w:t>
      </w:r>
      <w:r>
        <w:rPr>
          <w:rFonts w:hint="eastAsia" w:ascii="仿宋" w:hAnsi="仿宋" w:cs="仿宋"/>
          <w:color w:val="auto"/>
          <w:szCs w:val="32"/>
          <w:highlight w:val="none"/>
        </w:rPr>
        <w:t>若甲方因不可抗力或政策因素须对本项目物业载体进行变更的，则双方可协商解除合同或采取补充协议协商交付内容或交付标准等事宜。</w:t>
      </w: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第八章  合同争议</w:t>
      </w:r>
    </w:p>
    <w:p>
      <w:pPr>
        <w:spacing w:line="360" w:lineRule="auto"/>
        <w:ind w:firstLine="562"/>
        <w:rPr>
          <w:color w:val="auto"/>
          <w:highlight w:val="none"/>
        </w:rPr>
      </w:pPr>
      <w:r>
        <w:rPr>
          <w:rFonts w:hint="eastAsia" w:ascii="仿宋" w:hAnsi="仿宋"/>
          <w:b/>
          <w:bCs/>
          <w:color w:val="auto"/>
          <w:highlight w:val="none"/>
        </w:rPr>
        <w:t>第17条</w:t>
      </w:r>
      <w:r>
        <w:rPr>
          <w:rFonts w:hint="eastAsia"/>
          <w:color w:val="auto"/>
          <w:highlight w:val="none"/>
        </w:rPr>
        <w:t xml:space="preserve"> </w:t>
      </w:r>
      <w:r>
        <w:rPr>
          <w:rFonts w:hint="eastAsia" w:ascii="仿宋" w:hAnsi="仿宋"/>
          <w:color w:val="auto"/>
          <w:highlight w:val="none"/>
        </w:rPr>
        <w:t>如果双方就本合同的解释、有效性、终止或履行方面有争议的，应尽最大的努力协商解决有关问题。</w:t>
      </w:r>
    </w:p>
    <w:p>
      <w:pPr>
        <w:spacing w:line="360" w:lineRule="auto"/>
        <w:ind w:firstLine="562"/>
        <w:rPr>
          <w:color w:val="auto"/>
          <w:highlight w:val="none"/>
        </w:rPr>
      </w:pPr>
      <w:r>
        <w:rPr>
          <w:rFonts w:hint="eastAsia" w:ascii="仿宋" w:hAnsi="仿宋"/>
          <w:b/>
          <w:bCs/>
          <w:color w:val="auto"/>
          <w:highlight w:val="none"/>
        </w:rPr>
        <w:t>第18条</w:t>
      </w:r>
      <w:r>
        <w:rPr>
          <w:rFonts w:hint="eastAsia"/>
          <w:color w:val="auto"/>
          <w:highlight w:val="none"/>
        </w:rPr>
        <w:t xml:space="preserve"> </w:t>
      </w:r>
      <w:r>
        <w:rPr>
          <w:rFonts w:hint="eastAsia" w:ascii="仿宋" w:hAnsi="仿宋"/>
          <w:color w:val="auto"/>
          <w:highlight w:val="none"/>
        </w:rPr>
        <w:t>如双方不能协商解决与本合同有关的或由本合同引起的任何争议，任何一方可依法向本项目所在地的人民法院起诉。</w:t>
      </w:r>
    </w:p>
    <w:p>
      <w:pPr>
        <w:pStyle w:val="2"/>
        <w:spacing w:after="0" w:line="360" w:lineRule="auto"/>
        <w:ind w:firstLine="301"/>
        <w:jc w:val="center"/>
        <w:rPr>
          <w:rFonts w:ascii="新宋体" w:hAnsi="新宋体" w:eastAsia="新宋体"/>
          <w:b/>
          <w:color w:val="auto"/>
          <w:kern w:val="2"/>
          <w:sz w:val="30"/>
          <w:szCs w:val="24"/>
          <w:highlight w:val="none"/>
        </w:rPr>
      </w:pPr>
      <w:r>
        <w:rPr>
          <w:rFonts w:hint="eastAsia" w:ascii="新宋体" w:hAnsi="新宋体" w:eastAsia="新宋体"/>
          <w:b/>
          <w:color w:val="auto"/>
          <w:kern w:val="2"/>
          <w:sz w:val="30"/>
          <w:szCs w:val="24"/>
          <w:highlight w:val="none"/>
        </w:rPr>
        <w:t>第九章  其他</w:t>
      </w:r>
    </w:p>
    <w:p>
      <w:pPr>
        <w:spacing w:line="360" w:lineRule="auto"/>
        <w:ind w:firstLine="562"/>
        <w:rPr>
          <w:color w:val="auto"/>
          <w:sz w:val="24"/>
          <w:highlight w:val="none"/>
        </w:rPr>
      </w:pPr>
      <w:r>
        <w:rPr>
          <w:rFonts w:hint="eastAsia" w:ascii="仿宋" w:hAnsi="仿宋"/>
          <w:b/>
          <w:bCs/>
          <w:color w:val="auto"/>
          <w:highlight w:val="none"/>
        </w:rPr>
        <w:t>第19条</w:t>
      </w:r>
      <w:r>
        <w:rPr>
          <w:rFonts w:hint="eastAsia"/>
          <w:b/>
          <w:color w:val="auto"/>
          <w:highlight w:val="none"/>
        </w:rPr>
        <w:t xml:space="preserve"> </w:t>
      </w:r>
      <w:r>
        <w:rPr>
          <w:rFonts w:hint="eastAsia" w:ascii="仿宋" w:hAnsi="仿宋" w:eastAsia="宋体" w:cs="仿宋"/>
          <w:color w:val="auto"/>
          <w:highlight w:val="none"/>
        </w:rPr>
        <w:t>本合同</w:t>
      </w:r>
      <w:r>
        <w:rPr>
          <w:rFonts w:hint="eastAsia" w:ascii="仿宋" w:hAnsi="仿宋" w:eastAsia="宋体" w:cs="仿宋"/>
          <w:color w:val="auto"/>
          <w:highlight w:val="none"/>
          <w:lang w:val="en-US" w:eastAsia="zh-CN"/>
        </w:rPr>
        <w:t>自双方法定代表人或委托代理人签字并加盖公章之日起生效</w:t>
      </w:r>
      <w:r>
        <w:rPr>
          <w:rFonts w:hint="eastAsia" w:ascii="仿宋" w:hAnsi="仿宋" w:eastAsia="宋体" w:cs="仿宋"/>
          <w:color w:val="auto"/>
          <w:highlight w:val="none"/>
        </w:rPr>
        <w:t>。</w:t>
      </w:r>
    </w:p>
    <w:p>
      <w:pPr>
        <w:spacing w:line="360" w:lineRule="auto"/>
        <w:ind w:firstLine="562"/>
        <w:rPr>
          <w:color w:val="auto"/>
          <w:szCs w:val="28"/>
          <w:highlight w:val="none"/>
        </w:rPr>
      </w:pPr>
      <w:r>
        <w:rPr>
          <w:rFonts w:hint="eastAsia" w:ascii="仿宋" w:hAnsi="仿宋"/>
          <w:b/>
          <w:bCs/>
          <w:color w:val="auto"/>
          <w:highlight w:val="none"/>
        </w:rPr>
        <w:t xml:space="preserve">第20条 </w:t>
      </w:r>
      <w:r>
        <w:rPr>
          <w:rFonts w:hint="eastAsia" w:ascii="仿宋" w:hAnsi="仿宋"/>
          <w:color w:val="auto"/>
          <w:highlight w:val="none"/>
        </w:rPr>
        <w:t>凡发生下列情况之一者，本合同可以协商变更：</w:t>
      </w:r>
    </w:p>
    <w:p>
      <w:pPr>
        <w:spacing w:line="360" w:lineRule="auto"/>
        <w:ind w:firstLine="560"/>
        <w:rPr>
          <w:rFonts w:ascii="仿宋" w:hAnsi="仿宋" w:cs="仿宋"/>
          <w:color w:val="auto"/>
          <w:highlight w:val="none"/>
        </w:rPr>
      </w:pPr>
      <w:r>
        <w:rPr>
          <w:rFonts w:hint="eastAsia" w:ascii="仿宋" w:hAnsi="仿宋" w:cs="仿宋"/>
          <w:color w:val="auto"/>
          <w:highlight w:val="none"/>
        </w:rPr>
        <w:t>1.甲、乙双方协商同意并签订书面补充协议的。</w:t>
      </w:r>
    </w:p>
    <w:p>
      <w:pPr>
        <w:spacing w:line="360" w:lineRule="auto"/>
        <w:ind w:firstLine="560"/>
        <w:rPr>
          <w:rFonts w:ascii="仿宋" w:hAnsi="仿宋" w:cs="仿宋"/>
          <w:color w:val="auto"/>
          <w:highlight w:val="none"/>
        </w:rPr>
      </w:pPr>
      <w:r>
        <w:rPr>
          <w:rFonts w:hint="eastAsia" w:ascii="仿宋" w:hAnsi="仿宋" w:cs="仿宋"/>
          <w:color w:val="auto"/>
          <w:highlight w:val="none"/>
        </w:rPr>
        <w:t>2.由于不可抗力致使本合同的部分义务不能履行。</w:t>
      </w:r>
    </w:p>
    <w:p>
      <w:pPr>
        <w:spacing w:line="360" w:lineRule="auto"/>
        <w:ind w:firstLine="562"/>
        <w:rPr>
          <w:color w:val="auto"/>
          <w:highlight w:val="none"/>
        </w:rPr>
      </w:pPr>
      <w:r>
        <w:rPr>
          <w:rFonts w:hint="eastAsia" w:ascii="仿宋" w:hAnsi="仿宋"/>
          <w:b/>
          <w:bCs/>
          <w:color w:val="auto"/>
          <w:highlight w:val="none"/>
        </w:rPr>
        <w:t xml:space="preserve">第21条 </w:t>
      </w:r>
      <w:r>
        <w:rPr>
          <w:rFonts w:hint="eastAsia" w:ascii="仿宋" w:hAnsi="仿宋"/>
          <w:color w:val="auto"/>
          <w:highlight w:val="none"/>
        </w:rPr>
        <w:t>本合同所涉及的条款，如有未尽事宜，甲、乙双方可协商签订补充协议；补充协议如与本合同不一致的，则以补充协议为准。</w:t>
      </w:r>
    </w:p>
    <w:p>
      <w:pPr>
        <w:spacing w:line="360" w:lineRule="auto"/>
        <w:rPr>
          <w:color w:val="auto"/>
          <w:highlight w:val="none"/>
        </w:rPr>
      </w:pPr>
      <w:r>
        <w:rPr>
          <w:rFonts w:hint="eastAsia" w:ascii="仿宋" w:hAnsi="仿宋"/>
          <w:b/>
          <w:bCs/>
          <w:color w:val="auto"/>
          <w:highlight w:val="none"/>
        </w:rPr>
        <w:t xml:space="preserve">第22条 </w:t>
      </w:r>
      <w:r>
        <w:rPr>
          <w:rFonts w:hint="eastAsia" w:ascii="仿宋" w:hAnsi="仿宋"/>
          <w:color w:val="auto"/>
          <w:highlight w:val="none"/>
        </w:rPr>
        <w:t>本合同一式肆份，甲乙双方各执贰份，各份均具同等效力。</w:t>
      </w:r>
    </w:p>
    <w:p>
      <w:pPr>
        <w:spacing w:line="360" w:lineRule="auto"/>
        <w:ind w:firstLine="560"/>
        <w:rPr>
          <w:rFonts w:hint="eastAsia" w:ascii="仿宋" w:hAnsi="仿宋"/>
          <w:color w:val="auto"/>
          <w:highlight w:val="none"/>
        </w:rPr>
      </w:pPr>
    </w:p>
    <w:p>
      <w:pPr>
        <w:spacing w:line="360" w:lineRule="auto"/>
        <w:ind w:firstLine="560"/>
        <w:rPr>
          <w:rFonts w:ascii="仿宋" w:hAnsi="仿宋"/>
          <w:color w:val="auto"/>
          <w:highlight w:val="none"/>
        </w:rPr>
      </w:pPr>
      <w:r>
        <w:rPr>
          <w:rFonts w:hint="eastAsia" w:ascii="仿宋" w:hAnsi="仿宋"/>
          <w:color w:val="auto"/>
          <w:highlight w:val="none"/>
        </w:rPr>
        <w:t>本合同包含：</w:t>
      </w:r>
    </w:p>
    <w:p>
      <w:pPr>
        <w:spacing w:line="360" w:lineRule="auto"/>
        <w:ind w:firstLine="560"/>
        <w:rPr>
          <w:rFonts w:ascii="仿宋" w:hAnsi="仿宋"/>
          <w:color w:val="auto"/>
          <w:highlight w:val="none"/>
        </w:rPr>
      </w:pPr>
      <w:r>
        <w:rPr>
          <w:rFonts w:hint="eastAsia" w:ascii="仿宋" w:hAnsi="仿宋"/>
          <w:color w:val="auto"/>
          <w:highlight w:val="none"/>
        </w:rPr>
        <w:t>附件1《项目年度考核办法》</w:t>
      </w:r>
    </w:p>
    <w:p>
      <w:pPr>
        <w:spacing w:line="360" w:lineRule="auto"/>
        <w:ind w:firstLine="560"/>
        <w:rPr>
          <w:rFonts w:ascii="仿宋" w:hAnsi="仿宋"/>
          <w:color w:val="auto"/>
          <w:highlight w:val="none"/>
        </w:rPr>
      </w:pPr>
      <w:r>
        <w:rPr>
          <w:rFonts w:hint="eastAsia" w:ascii="仿宋" w:hAnsi="仿宋"/>
          <w:color w:val="auto"/>
          <w:highlight w:val="none"/>
        </w:rPr>
        <w:t>附件2《承继合同》</w:t>
      </w:r>
    </w:p>
    <w:p>
      <w:pPr>
        <w:spacing w:line="360" w:lineRule="auto"/>
        <w:ind w:firstLine="420" w:firstLineChars="200"/>
        <w:jc w:val="both"/>
        <w:rPr>
          <w:rFonts w:hint="eastAsia" w:ascii="仿宋" w:hAnsi="仿宋"/>
          <w:color w:val="auto"/>
          <w:kern w:val="0"/>
          <w:szCs w:val="20"/>
          <w:highlight w:val="none"/>
        </w:rPr>
      </w:pPr>
      <w:bookmarkStart w:id="239" w:name="_Hlk37366146"/>
    </w:p>
    <w:p>
      <w:pPr>
        <w:spacing w:line="360" w:lineRule="auto"/>
        <w:ind w:firstLine="420" w:firstLineChars="200"/>
        <w:jc w:val="both"/>
        <w:rPr>
          <w:rFonts w:hint="eastAsia" w:ascii="仿宋" w:hAnsi="仿宋"/>
          <w:color w:val="auto"/>
          <w:kern w:val="0"/>
          <w:szCs w:val="20"/>
          <w:highlight w:val="none"/>
        </w:rPr>
      </w:pPr>
      <w:r>
        <w:rPr>
          <w:rFonts w:hint="eastAsia" w:ascii="仿宋" w:hAnsi="仿宋"/>
          <w:color w:val="auto"/>
          <w:kern w:val="0"/>
          <w:szCs w:val="20"/>
          <w:highlight w:val="none"/>
        </w:rPr>
        <w:t>甲方：</w:t>
      </w:r>
      <w:bookmarkEnd w:id="239"/>
      <w:r>
        <w:rPr>
          <w:rFonts w:hint="eastAsia" w:ascii="仿宋" w:hAnsi="仿宋"/>
          <w:color w:val="auto"/>
          <w:kern w:val="0"/>
          <w:szCs w:val="20"/>
          <w:highlight w:val="none"/>
          <w:lang w:val="en-US" w:eastAsia="zh-CN"/>
        </w:rPr>
        <w:t xml:space="preserve">                                      </w:t>
      </w:r>
      <w:r>
        <w:rPr>
          <w:rFonts w:hint="eastAsia" w:ascii="仿宋" w:hAnsi="仿宋"/>
          <w:color w:val="auto"/>
          <w:kern w:val="0"/>
          <w:szCs w:val="20"/>
          <w:highlight w:val="none"/>
        </w:rPr>
        <w:t>乙方：</w:t>
      </w:r>
    </w:p>
    <w:p>
      <w:pPr>
        <w:spacing w:line="360" w:lineRule="auto"/>
        <w:ind w:firstLine="420" w:firstLineChars="200"/>
        <w:rPr>
          <w:color w:val="auto"/>
          <w:kern w:val="0"/>
          <w:szCs w:val="20"/>
          <w:highlight w:val="none"/>
        </w:rPr>
      </w:pPr>
      <w:r>
        <w:rPr>
          <w:rFonts w:hint="eastAsia" w:ascii="仿宋" w:hAnsi="仿宋"/>
          <w:color w:val="auto"/>
          <w:kern w:val="0"/>
          <w:szCs w:val="20"/>
          <w:highlight w:val="none"/>
        </w:rPr>
        <w:t>代表人签字：</w:t>
      </w:r>
      <w:r>
        <w:rPr>
          <w:rFonts w:hint="eastAsia" w:ascii="仿宋" w:hAnsi="仿宋"/>
          <w:color w:val="auto"/>
          <w:kern w:val="0"/>
          <w:szCs w:val="20"/>
          <w:highlight w:val="none"/>
          <w:lang w:val="en-US" w:eastAsia="zh-CN"/>
        </w:rPr>
        <w:t xml:space="preserve">                                </w:t>
      </w:r>
      <w:r>
        <w:rPr>
          <w:rFonts w:hint="eastAsia" w:ascii="仿宋" w:hAnsi="仿宋"/>
          <w:color w:val="auto"/>
          <w:kern w:val="0"/>
          <w:szCs w:val="20"/>
          <w:highlight w:val="none"/>
        </w:rPr>
        <w:t>代表人签字：</w:t>
      </w:r>
    </w:p>
    <w:p>
      <w:pPr>
        <w:spacing w:line="360" w:lineRule="auto"/>
        <w:ind w:firstLine="420" w:firstLineChars="200"/>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851" w:gutter="0"/>
          <w:pgNumType w:fmt="decimal"/>
          <w:cols w:space="720" w:num="1"/>
          <w:titlePg/>
          <w:docGrid w:linePitch="312" w:charSpace="0"/>
        </w:sectPr>
      </w:pPr>
      <w:r>
        <w:rPr>
          <w:rFonts w:hint="eastAsia" w:ascii="仿宋" w:hAnsi="仿宋"/>
          <w:color w:val="auto"/>
          <w:kern w:val="0"/>
          <w:szCs w:val="20"/>
          <w:highlight w:val="none"/>
        </w:rPr>
        <w:t>日期：    年  月  日</w:t>
      </w:r>
      <w:r>
        <w:rPr>
          <w:rFonts w:hint="eastAsia" w:ascii="仿宋" w:hAnsi="仿宋"/>
          <w:color w:val="auto"/>
          <w:kern w:val="0"/>
          <w:szCs w:val="20"/>
          <w:highlight w:val="none"/>
          <w:lang w:val="en-US" w:eastAsia="zh-CN"/>
        </w:rPr>
        <w:t xml:space="preserve">                        </w:t>
      </w:r>
      <w:r>
        <w:rPr>
          <w:rFonts w:hint="eastAsia" w:ascii="仿宋" w:hAnsi="仿宋"/>
          <w:color w:val="auto"/>
          <w:kern w:val="0"/>
          <w:szCs w:val="20"/>
          <w:highlight w:val="none"/>
        </w:rPr>
        <w:t>日期：    年  月  日</w:t>
      </w:r>
    </w:p>
    <w:p>
      <w:pPr>
        <w:spacing w:line="576" w:lineRule="exact"/>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 xml:space="preserve">附件1                           </w:t>
      </w:r>
      <w:r>
        <w:rPr>
          <w:rFonts w:hint="eastAsia" w:ascii="方正小标宋简体" w:hAnsi="方正小标宋简体" w:eastAsia="方正小标宋简体" w:cs="方正小标宋简体"/>
          <w:color w:val="auto"/>
          <w:sz w:val="44"/>
          <w:szCs w:val="44"/>
          <w:highlight w:val="none"/>
        </w:rPr>
        <w:t>项目年度考核办法</w:t>
      </w:r>
    </w:p>
    <w:p>
      <w:pPr>
        <w:ind w:firstLine="64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三年运营考核目标（第一年）</w:t>
      </w:r>
    </w:p>
    <w:tbl>
      <w:tblPr>
        <w:tblStyle w:val="62"/>
        <w:tblW w:w="15074" w:type="dxa"/>
        <w:tblInd w:w="-295" w:type="dxa"/>
        <w:tblLayout w:type="fixed"/>
        <w:tblCellMar>
          <w:top w:w="0" w:type="dxa"/>
          <w:left w:w="108" w:type="dxa"/>
          <w:bottom w:w="0" w:type="dxa"/>
          <w:right w:w="108" w:type="dxa"/>
        </w:tblCellMar>
      </w:tblPr>
      <w:tblGrid>
        <w:gridCol w:w="894"/>
        <w:gridCol w:w="1270"/>
        <w:gridCol w:w="1499"/>
        <w:gridCol w:w="1238"/>
        <w:gridCol w:w="6130"/>
        <w:gridCol w:w="4043"/>
      </w:tblGrid>
      <w:tr>
        <w:tblPrEx>
          <w:tblCellMar>
            <w:top w:w="0" w:type="dxa"/>
            <w:left w:w="108" w:type="dxa"/>
            <w:bottom w:w="0" w:type="dxa"/>
            <w:right w:w="108" w:type="dxa"/>
          </w:tblCellMar>
        </w:tblPrEx>
        <w:trPr>
          <w:trHeight w:val="380" w:hRule="atLeast"/>
          <w:tblHeader/>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序号</w:t>
            </w:r>
          </w:p>
        </w:tc>
        <w:tc>
          <w:tcPr>
            <w:tcW w:w="276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考核项目</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分数</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考核办法</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考核依据</w:t>
            </w:r>
          </w:p>
        </w:tc>
      </w:tr>
      <w:tr>
        <w:tblPrEx>
          <w:tblCellMar>
            <w:top w:w="0" w:type="dxa"/>
            <w:left w:w="108" w:type="dxa"/>
            <w:bottom w:w="0" w:type="dxa"/>
            <w:right w:w="108" w:type="dxa"/>
          </w:tblCellMar>
        </w:tblPrEx>
        <w:trPr>
          <w:trHeight w:val="848"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运营能力</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（25%）</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运营团队配置</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实际配置运营团队成员不少于20人（每月出勤率达到90%）。</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少1人扣1分，扣完为止。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乙方需提供成员名单、身份证、原始出勤登记表、在温社保缴纳证明等供甲方查验核实。</w:t>
            </w:r>
          </w:p>
        </w:tc>
      </w:tr>
      <w:tr>
        <w:tblPrEx>
          <w:tblCellMar>
            <w:top w:w="0" w:type="dxa"/>
            <w:left w:w="108" w:type="dxa"/>
            <w:bottom w:w="0" w:type="dxa"/>
            <w:right w:w="108" w:type="dxa"/>
          </w:tblCellMar>
        </w:tblPrEx>
        <w:trPr>
          <w:trHeight w:val="835"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项目规划与设计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乙方在项目交付前的建设期内向甲方提交《项目展厅设计方案》、《项目运营方案》共计2项。</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少1份方案扣2.5分，扣完为止。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以甲方出具相应确认书为考核依据。</w:t>
            </w:r>
          </w:p>
        </w:tc>
      </w:tr>
      <w:tr>
        <w:tblPrEx>
          <w:tblCellMar>
            <w:top w:w="0" w:type="dxa"/>
            <w:left w:w="108" w:type="dxa"/>
            <w:bottom w:w="0" w:type="dxa"/>
            <w:right w:w="108" w:type="dxa"/>
          </w:tblCellMar>
        </w:tblPrEx>
        <w:trPr>
          <w:trHeight w:val="104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工作能力及态度</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乙方定期向甲方汇报运营进展，确保沟通畅通。工作汇报文稿内容详尽明确。文稿质量差，不足以体现合同目标和要求的，每次扣1分；相关运营服务，经甲方催办未按要求履行的，每次扣1分；扣完为止。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以乙方提供的工作汇报文稿为考核依据。</w:t>
            </w:r>
          </w:p>
        </w:tc>
      </w:tr>
      <w:tr>
        <w:tblPrEx>
          <w:tblCellMar>
            <w:top w:w="0" w:type="dxa"/>
            <w:left w:w="108" w:type="dxa"/>
            <w:bottom w:w="0" w:type="dxa"/>
            <w:right w:w="108" w:type="dxa"/>
          </w:tblCellMar>
        </w:tblPrEx>
        <w:trPr>
          <w:trHeight w:val="15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运营咨询服务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定期对国内与项目构成竞争关系的同类型基金小镇、产业园区等产业集聚区进行调研和分析，结合运营实际经验提出符合本项目发展的政策建议或制度优化建议等，协助政府完成本项目专属基金政策的制定工作、开展面向相关企业的政策解读、资料审查、优化完善项目相关招商工作制度、管理服务制度、一站式服务机制等。</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以乙方提供的《政策建议书》、制度优化建议等各类方案为考核依据。</w:t>
            </w:r>
          </w:p>
        </w:tc>
      </w:tr>
      <w:tr>
        <w:tblPrEx>
          <w:tblCellMar>
            <w:top w:w="0" w:type="dxa"/>
            <w:left w:w="108" w:type="dxa"/>
            <w:bottom w:w="0" w:type="dxa"/>
            <w:right w:w="108" w:type="dxa"/>
          </w:tblCellMar>
        </w:tblPrEx>
        <w:trPr>
          <w:trHeight w:val="1135"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项目招商能力（45%）</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新增基金注册规模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新增引入基金类企业数量不少于50家，或集聚基金注册规模累计不低于50亿。</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每低于目标3家或低于目标3亿扣1分，扣完为止。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每超过目标3家或超过目标3亿加1分，加分不超过5分。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以中基协备案信息为依据。</w:t>
            </w:r>
          </w:p>
        </w:tc>
      </w:tr>
      <w:tr>
        <w:tblPrEx>
          <w:tblCellMar>
            <w:top w:w="0" w:type="dxa"/>
            <w:left w:w="108" w:type="dxa"/>
            <w:bottom w:w="0" w:type="dxa"/>
            <w:right w:w="108" w:type="dxa"/>
          </w:tblCellMar>
        </w:tblPrEx>
        <w:trPr>
          <w:trHeight w:val="8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6</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新增基金实缴规模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eastAsia"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新增基金实缴规模累计不低于10亿</w:t>
            </w:r>
            <w:r>
              <w:rPr>
                <w:rFonts w:hint="eastAsia" w:ascii="宋体" w:hAnsi="宋体" w:eastAsia="宋体" w:cs="仿宋"/>
                <w:color w:val="auto"/>
                <w:kern w:val="0"/>
                <w:sz w:val="22"/>
                <w:szCs w:val="22"/>
                <w:highlight w:val="none"/>
                <w:lang w:eastAsia="zh-CN" w:bidi="ar"/>
              </w:rPr>
              <w:t>（除政府出资部分之外的社会资本实缴规模）</w:t>
            </w:r>
            <w:r>
              <w:rPr>
                <w:rFonts w:hint="eastAsia" w:ascii="宋体" w:hAnsi="宋体" w:eastAsia="宋体" w:cs="仿宋"/>
                <w:color w:val="auto"/>
                <w:kern w:val="0"/>
                <w:sz w:val="22"/>
                <w:szCs w:val="22"/>
                <w:highlight w:val="none"/>
                <w:lang w:bidi="ar"/>
              </w:rPr>
              <w:t>。</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每低于目标1亿扣1分，扣完为止。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每高于目标1亿加1分，加分不超过5分。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以基金提供的佐证材料为依据。</w:t>
            </w:r>
          </w:p>
        </w:tc>
      </w:tr>
      <w:tr>
        <w:tblPrEx>
          <w:tblCellMar>
            <w:top w:w="0" w:type="dxa"/>
            <w:left w:w="108" w:type="dxa"/>
            <w:bottom w:w="0" w:type="dxa"/>
            <w:right w:w="108" w:type="dxa"/>
          </w:tblCellMar>
        </w:tblPrEx>
        <w:trPr>
          <w:trHeight w:val="81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7</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新增基金管理机构数量</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新增注册在项目园区内的基金管理机构不少于10家。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每少1家扣1.5分，扣完为止。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每多1家加1.5分，加分不超过5分。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以机构注册的营业执照为依据。</w:t>
            </w:r>
          </w:p>
        </w:tc>
      </w:tr>
      <w:tr>
        <w:tblPrEx>
          <w:tblCellMar>
            <w:top w:w="0" w:type="dxa"/>
            <w:left w:w="108" w:type="dxa"/>
            <w:bottom w:w="0" w:type="dxa"/>
            <w:right w:w="108" w:type="dxa"/>
          </w:tblCellMar>
        </w:tblPrEx>
        <w:trPr>
          <w:trHeight w:val="573"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8</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重点区域招商推介</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到北京、上海、深圳、广州等一线城市或其他产业集聚程度较高地区拜访头部机构、知名企业不少于50家。</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以乙方提供的活动照片、新闻报道、合作协议等相关材料为依据。</w:t>
            </w:r>
          </w:p>
        </w:tc>
      </w:tr>
      <w:tr>
        <w:tblPrEx>
          <w:tblCellMar>
            <w:top w:w="0" w:type="dxa"/>
            <w:left w:w="108" w:type="dxa"/>
            <w:bottom w:w="0" w:type="dxa"/>
            <w:right w:w="108" w:type="dxa"/>
          </w:tblCellMar>
        </w:tblPrEx>
        <w:trPr>
          <w:trHeight w:val="7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9</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产业带动效益（15%）</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吸引社会资本</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协助政府引荐社会资本参与政府产业引导基金，引荐机构不少于10家。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每低于目标1家扣0.5分，扣完为止。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以乙方提供的合作协议等相关材料为依据。</w:t>
            </w:r>
          </w:p>
        </w:tc>
      </w:tr>
      <w:tr>
        <w:tblPrEx>
          <w:tblCellMar>
            <w:top w:w="0" w:type="dxa"/>
            <w:left w:w="108" w:type="dxa"/>
            <w:bottom w:w="0" w:type="dxa"/>
            <w:right w:w="108" w:type="dxa"/>
          </w:tblCellMar>
        </w:tblPrEx>
        <w:trPr>
          <w:trHeight w:val="10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促进产业投资</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注册在园区内的基金或基金管理机构投资温州项目（本地项目或新迁入项目）累计不少于5亿元。</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每低于目标5000万元扣1分，扣完为止；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每高于目标5000万元加1分，加分不超过5分。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以企业提供的佐证材料为依据。</w:t>
            </w:r>
          </w:p>
        </w:tc>
      </w:tr>
      <w:tr>
        <w:tblPrEx>
          <w:tblCellMar>
            <w:top w:w="0" w:type="dxa"/>
            <w:left w:w="108" w:type="dxa"/>
            <w:bottom w:w="0" w:type="dxa"/>
            <w:right w:w="108" w:type="dxa"/>
          </w:tblCellMar>
        </w:tblPrEx>
        <w:trPr>
          <w:trHeight w:val="15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11</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行业集聚效益（7%）</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形成行业生态</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引入符合项目要求的金融机构（包括各级分支机构）、融资租赁公司、商业保理公司、科技金融公司、生产性服务业机构、科技类公司、投资咨询机构、金融中介服务机构、金融类行业协会及其他与项目业态相关的第三方咨询服务机构，不少于8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以机构注册营业执照为依据。</w:t>
            </w:r>
          </w:p>
        </w:tc>
      </w:tr>
      <w:tr>
        <w:tblPrEx>
          <w:tblCellMar>
            <w:top w:w="0" w:type="dxa"/>
            <w:left w:w="108" w:type="dxa"/>
            <w:bottom w:w="0" w:type="dxa"/>
            <w:right w:w="108" w:type="dxa"/>
          </w:tblCellMar>
        </w:tblPrEx>
        <w:trPr>
          <w:trHeight w:val="907"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12</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吸引人才集聚</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要求引入的基金、基金管理机构常驻管理人员（投资经理及以上职位）不少于15人。</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每少1人扣0.2分，扣完为止。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以企业提供的成员名单等为依据。</w:t>
            </w:r>
          </w:p>
        </w:tc>
      </w:tr>
      <w:tr>
        <w:tblPrEx>
          <w:tblCellMar>
            <w:top w:w="0" w:type="dxa"/>
            <w:left w:w="108" w:type="dxa"/>
            <w:bottom w:w="0" w:type="dxa"/>
            <w:right w:w="108" w:type="dxa"/>
          </w:tblCellMar>
        </w:tblPrEx>
        <w:trPr>
          <w:trHeight w:val="7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13</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园区品牌效益（8%）</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营造行业氛围</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举办行业活动不少于30场（其中投融资对接路演活动不少于12场）。</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每少1场扣0.5分，扣完为止。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以乙方提供的报备资料、活动照片、人员签到等作为考核依据。</w:t>
            </w:r>
          </w:p>
        </w:tc>
      </w:tr>
      <w:tr>
        <w:tblPrEx>
          <w:tblCellMar>
            <w:top w:w="0" w:type="dxa"/>
            <w:left w:w="108" w:type="dxa"/>
            <w:bottom w:w="0" w:type="dxa"/>
            <w:right w:w="108" w:type="dxa"/>
          </w:tblCellMar>
        </w:tblPrEx>
        <w:trPr>
          <w:trHeight w:val="780" w:hRule="atLeast"/>
        </w:trPr>
        <w:tc>
          <w:tcPr>
            <w:tcW w:w="89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14</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宣传园区形象</w:t>
            </w:r>
          </w:p>
        </w:tc>
        <w:tc>
          <w:tcPr>
            <w:tcW w:w="123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发布省部级以上主流媒体通讯稿、宣传稿不少于2篇。</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每少1篇扣2分，扣完为止。</w:t>
            </w:r>
          </w:p>
        </w:tc>
        <w:tc>
          <w:tcPr>
            <w:tcW w:w="404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提供纸质或电子刊物、原稿件为考核依据。</w:t>
            </w:r>
          </w:p>
        </w:tc>
      </w:tr>
      <w:tr>
        <w:tblPrEx>
          <w:tblCellMar>
            <w:top w:w="0" w:type="dxa"/>
            <w:left w:w="108" w:type="dxa"/>
            <w:bottom w:w="0" w:type="dxa"/>
            <w:right w:w="108" w:type="dxa"/>
          </w:tblCellMar>
        </w:tblPrEx>
        <w:trPr>
          <w:trHeight w:val="285" w:hRule="atLeast"/>
        </w:trPr>
        <w:tc>
          <w:tcPr>
            <w:tcW w:w="366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总计</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100</w:t>
            </w:r>
          </w:p>
        </w:tc>
        <w:tc>
          <w:tcPr>
            <w:tcW w:w="1017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r>
    </w:tbl>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color w:val="auto"/>
          <w:kern w:val="0"/>
          <w:sz w:val="32"/>
          <w:szCs w:val="32"/>
          <w:highlight w:val="none"/>
          <w:lang w:bidi="ar"/>
        </w:rPr>
      </w:pPr>
      <w:r>
        <w:rPr>
          <w:rFonts w:hint="eastAsia" w:ascii="宋体" w:hAnsi="宋体" w:eastAsia="宋体" w:cs="宋体"/>
          <w:b/>
          <w:bCs/>
          <w:color w:val="auto"/>
          <w:kern w:val="0"/>
          <w:sz w:val="32"/>
          <w:szCs w:val="32"/>
          <w:highlight w:val="none"/>
          <w:lang w:bidi="ar"/>
        </w:rPr>
        <w:t>三年运营考核目标（第二年）</w:t>
      </w:r>
    </w:p>
    <w:tbl>
      <w:tblPr>
        <w:tblStyle w:val="62"/>
        <w:tblW w:w="15074" w:type="dxa"/>
        <w:tblInd w:w="-295" w:type="dxa"/>
        <w:tblLayout w:type="fixed"/>
        <w:tblCellMar>
          <w:top w:w="0" w:type="dxa"/>
          <w:left w:w="108" w:type="dxa"/>
          <w:bottom w:w="0" w:type="dxa"/>
          <w:right w:w="108" w:type="dxa"/>
        </w:tblCellMar>
      </w:tblPr>
      <w:tblGrid>
        <w:gridCol w:w="894"/>
        <w:gridCol w:w="1270"/>
        <w:gridCol w:w="1499"/>
        <w:gridCol w:w="1238"/>
        <w:gridCol w:w="6130"/>
        <w:gridCol w:w="4043"/>
      </w:tblGrid>
      <w:tr>
        <w:tblPrEx>
          <w:tblCellMar>
            <w:top w:w="0" w:type="dxa"/>
            <w:left w:w="108" w:type="dxa"/>
            <w:bottom w:w="0" w:type="dxa"/>
            <w:right w:w="108" w:type="dxa"/>
          </w:tblCellMar>
        </w:tblPrEx>
        <w:trPr>
          <w:trHeight w:val="423" w:hRule="atLeast"/>
          <w:tblHeader/>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序号</w:t>
            </w:r>
          </w:p>
        </w:tc>
        <w:tc>
          <w:tcPr>
            <w:tcW w:w="276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考核项目</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分数</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考核办法</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考核依据</w:t>
            </w:r>
          </w:p>
        </w:tc>
      </w:tr>
      <w:tr>
        <w:tblPrEx>
          <w:tblCellMar>
            <w:top w:w="0" w:type="dxa"/>
            <w:left w:w="108" w:type="dxa"/>
            <w:bottom w:w="0" w:type="dxa"/>
            <w:right w:w="108" w:type="dxa"/>
          </w:tblCellMar>
        </w:tblPrEx>
        <w:trPr>
          <w:trHeight w:val="848"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运营能力</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（20%）</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运营团队配置</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实际配置运营团队成员不少于20人（每月出勤率达到90%）。</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少1人扣1分，扣完为止。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乙方需提供成员名单、身份证、原始出勤登记表、在温社保缴纳证明等供甲方查验核实。</w:t>
            </w:r>
          </w:p>
        </w:tc>
      </w:tr>
      <w:tr>
        <w:tblPrEx>
          <w:tblCellMar>
            <w:top w:w="0" w:type="dxa"/>
            <w:left w:w="108" w:type="dxa"/>
            <w:bottom w:w="0" w:type="dxa"/>
            <w:right w:w="108" w:type="dxa"/>
          </w:tblCellMar>
        </w:tblPrEx>
        <w:trPr>
          <w:trHeight w:val="835"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工作能力及态度</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乙方定期向甲方汇报运营进展，确保沟通畅通。工作汇报文稿内容详尽明确。文稿质量差，不足以体现合同目标和要求的，每次扣1分；相关运营服务，经甲方催办未按要求履行的，每次扣1分；扣完为止。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以乙方提供的工作汇报文稿为考核依据。</w:t>
            </w:r>
          </w:p>
        </w:tc>
      </w:tr>
      <w:tr>
        <w:tblPrEx>
          <w:tblCellMar>
            <w:top w:w="0" w:type="dxa"/>
            <w:left w:w="108" w:type="dxa"/>
            <w:bottom w:w="0" w:type="dxa"/>
            <w:right w:w="108" w:type="dxa"/>
          </w:tblCellMar>
        </w:tblPrEx>
        <w:trPr>
          <w:trHeight w:val="104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入驻企业管理</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月对入驻企业信息进行汇总、更新，配合甲方要求制定明确的入驻企业管理制度并定期向甲方汇报入驻企业情况。每季度对入驻项目进行回访和风险排查，并形成分析报告。若发现风险情况，及时报告甲方和相关政府部门，配合完成甲方或相关政府部门对入驻项目的相关管理要求。</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以乙方提供的企业档案、相关汇报材料或报告为依据。</w:t>
            </w:r>
          </w:p>
        </w:tc>
      </w:tr>
      <w:tr>
        <w:tblPrEx>
          <w:tblCellMar>
            <w:top w:w="0" w:type="dxa"/>
            <w:left w:w="108" w:type="dxa"/>
            <w:bottom w:w="0" w:type="dxa"/>
            <w:right w:w="108" w:type="dxa"/>
          </w:tblCellMar>
        </w:tblPrEx>
        <w:trPr>
          <w:trHeight w:val="15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运营咨询服务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定期对国内与项目构成竞争关系的同类型基金小镇、产业园区等产业集聚区进行调研和分析，结合运营实际经验提出符合本项目发展的政策建议或制度优化建议等，协助政府完成本项目专属基金政策的制定工作、开展面向相关企业的政策解读、资料审查、优化完善项目相关招商工作制度、管理服务制度、一站式服务机制等。</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以乙方提供的《政策建议书》、制度优化建议等各类方案为考核依据。</w:t>
            </w:r>
          </w:p>
        </w:tc>
      </w:tr>
      <w:tr>
        <w:tblPrEx>
          <w:tblCellMar>
            <w:top w:w="0" w:type="dxa"/>
            <w:left w:w="108" w:type="dxa"/>
            <w:bottom w:w="0" w:type="dxa"/>
            <w:right w:w="108" w:type="dxa"/>
          </w:tblCellMar>
        </w:tblPrEx>
        <w:trPr>
          <w:trHeight w:val="1135"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项目招商能力（45%）</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新增基金注册规模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累计引入基金类企业数量不少于110家，或累计集聚基金注册规模累计不低于110亿。</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每低于目标4家或低于目标4亿扣1分，扣完为止。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每超过目标4家或超过目标4亿加1分，加分不超过5分。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以中基协备案信息为依据。</w:t>
            </w:r>
          </w:p>
        </w:tc>
      </w:tr>
      <w:tr>
        <w:tblPrEx>
          <w:tblCellMar>
            <w:top w:w="0" w:type="dxa"/>
            <w:left w:w="108" w:type="dxa"/>
            <w:bottom w:w="0" w:type="dxa"/>
            <w:right w:w="108" w:type="dxa"/>
          </w:tblCellMar>
        </w:tblPrEx>
        <w:trPr>
          <w:trHeight w:val="8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6</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新增基金实缴规模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项目范围内基金实缴规模累计不低于30亿</w:t>
            </w:r>
            <w:r>
              <w:rPr>
                <w:rFonts w:hint="eastAsia" w:ascii="宋体" w:hAnsi="宋体" w:eastAsia="宋体" w:cs="仿宋"/>
                <w:color w:val="auto"/>
                <w:kern w:val="0"/>
                <w:sz w:val="22"/>
                <w:szCs w:val="22"/>
                <w:highlight w:val="none"/>
                <w:lang w:eastAsia="zh-CN" w:bidi="ar"/>
              </w:rPr>
              <w:t>（除政府出资部分之外的社会资本实缴规模）</w:t>
            </w:r>
            <w:r>
              <w:rPr>
                <w:rFonts w:hint="eastAsia" w:ascii="宋体" w:hAnsi="宋体" w:eastAsia="宋体" w:cs="仿宋"/>
                <w:color w:val="auto"/>
                <w:kern w:val="0"/>
                <w:sz w:val="22"/>
                <w:szCs w:val="22"/>
                <w:highlight w:val="none"/>
                <w:lang w:bidi="ar"/>
              </w:rPr>
              <w:t>。</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每低于目标1亿扣0.5分，扣完为止。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每高于目标1亿加0.5分，加分不超过5分。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以基金提供的佐证材料为依据。</w:t>
            </w:r>
          </w:p>
        </w:tc>
      </w:tr>
      <w:tr>
        <w:tblPrEx>
          <w:tblCellMar>
            <w:top w:w="0" w:type="dxa"/>
            <w:left w:w="108" w:type="dxa"/>
            <w:bottom w:w="0" w:type="dxa"/>
            <w:right w:w="108" w:type="dxa"/>
          </w:tblCellMar>
        </w:tblPrEx>
        <w:trPr>
          <w:trHeight w:val="81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7</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新增基金管理机构数量</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注册在项目园区内的基金管理机构数量累计不少于20家。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每少1家扣2分，扣完为止。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每少1家扣1.5分，扣完为止。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每多1家加1.5分，加分不超过5分。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以机构注册的营业执照为依据。</w:t>
            </w:r>
          </w:p>
        </w:tc>
      </w:tr>
      <w:tr>
        <w:tblPrEx>
          <w:tblCellMar>
            <w:top w:w="0" w:type="dxa"/>
            <w:left w:w="108" w:type="dxa"/>
            <w:bottom w:w="0" w:type="dxa"/>
            <w:right w:w="108" w:type="dxa"/>
          </w:tblCellMar>
        </w:tblPrEx>
        <w:trPr>
          <w:trHeight w:val="573"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8</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重点区域招商推介</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到北京、上海、深圳、广州等一线城市或其他产业集聚程度较高地区拜访头部机构、知名企业不少于100家。</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以乙方提供的活动照片、新闻报道、合作协议等相关材料为依据。</w:t>
            </w:r>
          </w:p>
        </w:tc>
      </w:tr>
      <w:tr>
        <w:tblPrEx>
          <w:tblCellMar>
            <w:top w:w="0" w:type="dxa"/>
            <w:left w:w="108" w:type="dxa"/>
            <w:bottom w:w="0" w:type="dxa"/>
            <w:right w:w="108" w:type="dxa"/>
          </w:tblCellMar>
        </w:tblPrEx>
        <w:trPr>
          <w:trHeight w:val="7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9</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产业带动效益（20%）</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吸引社会资本</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协助政府引荐社会资本参与政府产业引导基金，引荐机构不少于10家。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每低于目标1家扣0.5分，扣完为止。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以乙方提供的合作协议等相关材料为依据。</w:t>
            </w:r>
          </w:p>
        </w:tc>
      </w:tr>
      <w:tr>
        <w:tblPrEx>
          <w:tblCellMar>
            <w:top w:w="0" w:type="dxa"/>
            <w:left w:w="108" w:type="dxa"/>
            <w:bottom w:w="0" w:type="dxa"/>
            <w:right w:w="108" w:type="dxa"/>
          </w:tblCellMar>
        </w:tblPrEx>
        <w:trPr>
          <w:trHeight w:val="10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促进产业投资</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注册在园区内的基金或基金管理机构投资温州项目（本地项目或新迁入项目）累计不少于10亿元。</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每少3300万扣1分，扣完为止；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每多3300万加1分，加分不超过5分。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以企业提供的佐证材料为依据。</w:t>
            </w:r>
          </w:p>
        </w:tc>
      </w:tr>
      <w:tr>
        <w:tblPrEx>
          <w:tblCellMar>
            <w:top w:w="0" w:type="dxa"/>
            <w:left w:w="108" w:type="dxa"/>
            <w:bottom w:w="0" w:type="dxa"/>
            <w:right w:w="108" w:type="dxa"/>
          </w:tblCellMar>
        </w:tblPrEx>
        <w:trPr>
          <w:trHeight w:val="15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11</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行业集聚效益（7%）</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形成行业生态</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引入符合项目要求的金融机构（包括各级分支机构）、融资租赁公司、商业保理公司、科技金融公司、生产性服务业机构、科技类公司、投资咨询机构、金融中介服务机构、金融类行业协会及其他与项目业态相关的第三方咨询服务机构，不少于18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以机构注册营业执照为依据。</w:t>
            </w:r>
          </w:p>
        </w:tc>
      </w:tr>
      <w:tr>
        <w:tblPrEx>
          <w:tblCellMar>
            <w:top w:w="0" w:type="dxa"/>
            <w:left w:w="108" w:type="dxa"/>
            <w:bottom w:w="0" w:type="dxa"/>
            <w:right w:w="108" w:type="dxa"/>
          </w:tblCellMar>
        </w:tblPrEx>
        <w:trPr>
          <w:trHeight w:val="907"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12</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吸引人才集聚</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要求引入的基金、基金管理机构常驻管理人员（投资经理及以上职位）不少于25人。</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每少1人扣0.2分，扣完为止。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以企业提供的成员名单等为依据。</w:t>
            </w:r>
          </w:p>
        </w:tc>
      </w:tr>
      <w:tr>
        <w:tblPrEx>
          <w:tblCellMar>
            <w:top w:w="0" w:type="dxa"/>
            <w:left w:w="108" w:type="dxa"/>
            <w:bottom w:w="0" w:type="dxa"/>
            <w:right w:w="108" w:type="dxa"/>
          </w:tblCellMar>
        </w:tblPrEx>
        <w:trPr>
          <w:trHeight w:val="7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13</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园区品牌效益（8%）</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营造行业氛围</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举办行业活动不少于30场（其中投融资对接路演活动不少于12场）。</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每少1场扣0.5分，扣完为止。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以乙方提供的报备资料、活动照片、人员签到等作为考核依据。</w:t>
            </w:r>
          </w:p>
        </w:tc>
      </w:tr>
      <w:tr>
        <w:tblPrEx>
          <w:tblCellMar>
            <w:top w:w="0" w:type="dxa"/>
            <w:left w:w="108" w:type="dxa"/>
            <w:bottom w:w="0" w:type="dxa"/>
            <w:right w:w="108" w:type="dxa"/>
          </w:tblCellMar>
        </w:tblPrEx>
        <w:trPr>
          <w:trHeight w:val="780" w:hRule="atLeast"/>
        </w:trPr>
        <w:tc>
          <w:tcPr>
            <w:tcW w:w="89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14</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宣传园区形象</w:t>
            </w:r>
          </w:p>
        </w:tc>
        <w:tc>
          <w:tcPr>
            <w:tcW w:w="123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发布省部级以上主流媒体通讯稿、宣传稿不少于2篇。</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每少1篇扣2分，扣完为止。</w:t>
            </w:r>
          </w:p>
        </w:tc>
        <w:tc>
          <w:tcPr>
            <w:tcW w:w="404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提供纸质或电子刊物、原稿件为考核依据。</w:t>
            </w:r>
          </w:p>
        </w:tc>
      </w:tr>
      <w:tr>
        <w:tblPrEx>
          <w:tblCellMar>
            <w:top w:w="0" w:type="dxa"/>
            <w:left w:w="108" w:type="dxa"/>
            <w:bottom w:w="0" w:type="dxa"/>
            <w:right w:w="108" w:type="dxa"/>
          </w:tblCellMar>
        </w:tblPrEx>
        <w:trPr>
          <w:trHeight w:val="285" w:hRule="atLeast"/>
        </w:trPr>
        <w:tc>
          <w:tcPr>
            <w:tcW w:w="366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总计</w:t>
            </w:r>
          </w:p>
        </w:tc>
        <w:tc>
          <w:tcPr>
            <w:tcW w:w="12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100</w:t>
            </w:r>
          </w:p>
        </w:tc>
        <w:tc>
          <w:tcPr>
            <w:tcW w:w="1017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r>
    </w:tbl>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宋体" w:hAnsi="宋体" w:eastAsia="宋体" w:cs="宋体"/>
          <w:b/>
          <w:bCs/>
          <w:color w:val="auto"/>
          <w:kern w:val="0"/>
          <w:sz w:val="32"/>
          <w:szCs w:val="32"/>
          <w:highlight w:val="none"/>
          <w:lang w:bidi="ar"/>
        </w:rPr>
      </w:pPr>
      <w:r>
        <w:rPr>
          <w:rFonts w:hint="eastAsia" w:ascii="宋体" w:hAnsi="宋体" w:eastAsia="宋体" w:cs="宋体"/>
          <w:b/>
          <w:bCs/>
          <w:color w:val="auto"/>
          <w:kern w:val="0"/>
          <w:sz w:val="32"/>
          <w:szCs w:val="32"/>
          <w:highlight w:val="none"/>
          <w:lang w:bidi="ar"/>
        </w:rPr>
        <w:t>三年运营考核目标（第三年）</w:t>
      </w:r>
    </w:p>
    <w:tbl>
      <w:tblPr>
        <w:tblStyle w:val="62"/>
        <w:tblW w:w="15074" w:type="dxa"/>
        <w:tblInd w:w="-295" w:type="dxa"/>
        <w:tblLayout w:type="fixed"/>
        <w:tblCellMar>
          <w:top w:w="0" w:type="dxa"/>
          <w:left w:w="108" w:type="dxa"/>
          <w:bottom w:w="0" w:type="dxa"/>
          <w:right w:w="108" w:type="dxa"/>
        </w:tblCellMar>
      </w:tblPr>
      <w:tblGrid>
        <w:gridCol w:w="894"/>
        <w:gridCol w:w="1270"/>
        <w:gridCol w:w="1499"/>
        <w:gridCol w:w="1238"/>
        <w:gridCol w:w="6130"/>
        <w:gridCol w:w="4043"/>
      </w:tblGrid>
      <w:tr>
        <w:tblPrEx>
          <w:tblCellMar>
            <w:top w:w="0" w:type="dxa"/>
            <w:left w:w="108" w:type="dxa"/>
            <w:bottom w:w="0" w:type="dxa"/>
            <w:right w:w="108" w:type="dxa"/>
          </w:tblCellMar>
        </w:tblPrEx>
        <w:trPr>
          <w:trHeight w:val="283" w:hRule="atLeast"/>
          <w:tblHeader/>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序号</w:t>
            </w:r>
          </w:p>
        </w:tc>
        <w:tc>
          <w:tcPr>
            <w:tcW w:w="276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考核项目</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分数</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考核办法</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hint="default" w:ascii="宋体" w:hAnsi="宋体" w:eastAsia="宋体" w:cs="仿宋"/>
                <w:b/>
                <w:bCs/>
                <w:color w:val="auto"/>
                <w:kern w:val="0"/>
                <w:sz w:val="22"/>
                <w:szCs w:val="22"/>
                <w:highlight w:val="none"/>
                <w:lang w:bidi="ar"/>
              </w:rPr>
            </w:pPr>
            <w:r>
              <w:rPr>
                <w:rFonts w:hint="eastAsia" w:ascii="宋体" w:hAnsi="宋体" w:eastAsia="宋体" w:cs="仿宋"/>
                <w:b/>
                <w:bCs/>
                <w:color w:val="auto"/>
                <w:kern w:val="0"/>
                <w:sz w:val="22"/>
                <w:szCs w:val="22"/>
                <w:highlight w:val="none"/>
                <w:lang w:bidi="ar"/>
              </w:rPr>
              <w:t>考核依据</w:t>
            </w:r>
          </w:p>
        </w:tc>
      </w:tr>
      <w:tr>
        <w:tblPrEx>
          <w:tblCellMar>
            <w:top w:w="0" w:type="dxa"/>
            <w:left w:w="108" w:type="dxa"/>
            <w:bottom w:w="0" w:type="dxa"/>
            <w:right w:w="108" w:type="dxa"/>
          </w:tblCellMar>
        </w:tblPrEx>
        <w:trPr>
          <w:trHeight w:val="848"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运营能力</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（20%）</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运营团队配置</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实际配置运营团队成员不少于20人（每月出勤率达到90%）。</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少1人扣1分，扣完为止。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乙方需提供成员名单、身份证、原始出勤登记表、在温社保缴纳证明等供甲方查验核实。</w:t>
            </w:r>
          </w:p>
        </w:tc>
      </w:tr>
      <w:tr>
        <w:tblPrEx>
          <w:tblCellMar>
            <w:top w:w="0" w:type="dxa"/>
            <w:left w:w="108" w:type="dxa"/>
            <w:bottom w:w="0" w:type="dxa"/>
            <w:right w:w="108" w:type="dxa"/>
          </w:tblCellMar>
        </w:tblPrEx>
        <w:trPr>
          <w:trHeight w:val="1473"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工作能力及态度</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乙方定期向甲方汇报运营进展，确保沟通畅通。工作汇报文稿内容详尽明确。文稿质量差，不足以体现合同目标和要求的，每次扣1分；相关运营服务，经甲方催办未按要求履行的，每次扣1分；扣完为止。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以乙方提供的工作汇报文稿为考核依据。</w:t>
            </w:r>
          </w:p>
        </w:tc>
      </w:tr>
      <w:tr>
        <w:tblPrEx>
          <w:tblCellMar>
            <w:top w:w="0" w:type="dxa"/>
            <w:left w:w="108" w:type="dxa"/>
            <w:bottom w:w="0" w:type="dxa"/>
            <w:right w:w="108" w:type="dxa"/>
          </w:tblCellMar>
        </w:tblPrEx>
        <w:trPr>
          <w:trHeight w:val="104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入驻企业管理</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月对入驻企业信息进行汇总、更新，配合甲方要求制定明确的入驻企业管理制度并定期向甲方汇报入驻企业情况。每季度对入驻项目进行回访和风险排查，并形成分析报告。若发现风险情况，及时报告甲方和相关政府部门，配合完成甲方或相关政府部门对入驻项目的相关管理要求。</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以乙方提供的企业档案、相关汇报材料或报告为依据。</w:t>
            </w:r>
          </w:p>
        </w:tc>
      </w:tr>
      <w:tr>
        <w:tblPrEx>
          <w:tblCellMar>
            <w:top w:w="0" w:type="dxa"/>
            <w:left w:w="108" w:type="dxa"/>
            <w:bottom w:w="0" w:type="dxa"/>
            <w:right w:w="108" w:type="dxa"/>
          </w:tblCellMar>
        </w:tblPrEx>
        <w:trPr>
          <w:trHeight w:val="1701"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运营咨询服务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3</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定期对国内与项目构成竞争关系的同类型基金小镇、产业园区等产业集聚区进行调研和分析，结合运营实际经验提出符合本项目发展的政策建议或制度优化建议等，协助政府完成本项目专属基金政策的制定工作、开展面向相关企业的政策解读、资料审查、优化完善项目相关招商工作制度、管理服务制度、一站式服务机制等。</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以乙方提供的《政策建议书》、制度优化建议等各类方案为考核依据。</w:t>
            </w:r>
          </w:p>
        </w:tc>
      </w:tr>
      <w:tr>
        <w:tblPrEx>
          <w:tblCellMar>
            <w:top w:w="0" w:type="dxa"/>
            <w:left w:w="108" w:type="dxa"/>
            <w:bottom w:w="0" w:type="dxa"/>
            <w:right w:w="108" w:type="dxa"/>
          </w:tblCellMar>
        </w:tblPrEx>
        <w:trPr>
          <w:trHeight w:val="1135"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项目招商能力（40%）</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新增基金注册规模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累计引入基金类企业数量不少于200家，或累计集聚基金注册规模累计不低于200亿。</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每低于目标9家或低于目标9亿扣1分，扣完为止。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每超过目标9家或超过目标9亿加1分，加分不超过5分。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以中基协备案信息为依据。</w:t>
            </w:r>
          </w:p>
        </w:tc>
      </w:tr>
      <w:tr>
        <w:tblPrEx>
          <w:tblCellMar>
            <w:top w:w="0" w:type="dxa"/>
            <w:left w:w="108" w:type="dxa"/>
            <w:bottom w:w="0" w:type="dxa"/>
            <w:right w:w="108" w:type="dxa"/>
          </w:tblCellMar>
        </w:tblPrEx>
        <w:trPr>
          <w:trHeight w:val="8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6</w:t>
            </w:r>
          </w:p>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新增基金实缴规模</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项目范围内基金实缴规模累计不低于65亿</w:t>
            </w:r>
            <w:r>
              <w:rPr>
                <w:rFonts w:hint="eastAsia" w:ascii="宋体" w:hAnsi="宋体" w:eastAsia="宋体" w:cs="仿宋"/>
                <w:color w:val="auto"/>
                <w:kern w:val="0"/>
                <w:sz w:val="22"/>
                <w:szCs w:val="22"/>
                <w:highlight w:val="none"/>
                <w:lang w:eastAsia="zh-CN" w:bidi="ar"/>
              </w:rPr>
              <w:t>（除政府出资部分之外的社会资本实缴规模）</w:t>
            </w:r>
            <w:r>
              <w:rPr>
                <w:rFonts w:hint="eastAsia" w:ascii="宋体" w:hAnsi="宋体" w:eastAsia="宋体" w:cs="仿宋"/>
                <w:color w:val="auto"/>
                <w:kern w:val="0"/>
                <w:sz w:val="22"/>
                <w:szCs w:val="22"/>
                <w:highlight w:val="none"/>
                <w:lang w:bidi="ar"/>
              </w:rPr>
              <w:t>。</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每低于目标2亿扣1分，扣完为止。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每高于目标2亿加1分，加分不超过5分。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以基金提供的佐证材料为依据。</w:t>
            </w:r>
          </w:p>
        </w:tc>
      </w:tr>
      <w:tr>
        <w:tblPrEx>
          <w:tblCellMar>
            <w:top w:w="0" w:type="dxa"/>
            <w:left w:w="108" w:type="dxa"/>
            <w:bottom w:w="0" w:type="dxa"/>
            <w:right w:w="108" w:type="dxa"/>
          </w:tblCellMar>
        </w:tblPrEx>
        <w:trPr>
          <w:trHeight w:val="81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7</w:t>
            </w:r>
          </w:p>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新增基金管理机构数量</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注册在项目园区内的基金管理机构数量累计不少于30家。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每多1家加1分，加分不超过5分。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以机构注册的营业执照为依据。</w:t>
            </w:r>
          </w:p>
        </w:tc>
      </w:tr>
      <w:tr>
        <w:tblPrEx>
          <w:tblCellMar>
            <w:top w:w="0" w:type="dxa"/>
            <w:left w:w="108" w:type="dxa"/>
            <w:bottom w:w="0" w:type="dxa"/>
            <w:right w:w="108" w:type="dxa"/>
          </w:tblCellMar>
        </w:tblPrEx>
        <w:trPr>
          <w:trHeight w:val="573"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8</w:t>
            </w:r>
          </w:p>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重点区域招商推介</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到北京、上海、深圳、广州等一线城市或其他产业集聚程度较高地区拜访头部机构、知名企业不少于100家。</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以乙方提供的活动照片、新闻报道、合作协议等相关材料为依据。</w:t>
            </w:r>
          </w:p>
        </w:tc>
      </w:tr>
      <w:tr>
        <w:tblPrEx>
          <w:tblCellMar>
            <w:top w:w="0" w:type="dxa"/>
            <w:left w:w="108" w:type="dxa"/>
            <w:bottom w:w="0" w:type="dxa"/>
            <w:right w:w="108" w:type="dxa"/>
          </w:tblCellMar>
        </w:tblPrEx>
        <w:trPr>
          <w:trHeight w:val="7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9</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产业带动效益（25%）</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吸引社会资本</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协助政府引荐社会资本参与政府产业引导基金，引荐机构不少于10家。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每低于目标1家扣0.5分，扣完为止。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以乙方提供的合作协议等相关材料为依据。</w:t>
            </w:r>
          </w:p>
        </w:tc>
      </w:tr>
      <w:tr>
        <w:tblPrEx>
          <w:tblCellMar>
            <w:top w:w="0" w:type="dxa"/>
            <w:left w:w="108" w:type="dxa"/>
            <w:bottom w:w="0" w:type="dxa"/>
            <w:right w:w="108" w:type="dxa"/>
          </w:tblCellMar>
        </w:tblPrEx>
        <w:trPr>
          <w:trHeight w:val="10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w:t>
            </w:r>
          </w:p>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促进产业投资</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20</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注册在园区内的基金或基金管理机构投资温州项目（本地项目或新迁入项目）累计不少于30亿元。</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每少1亿扣1分，扣完为止；</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每多1亿加1分，加分不超过5分。</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以企业提供的佐证材料为依据。</w:t>
            </w:r>
          </w:p>
        </w:tc>
      </w:tr>
      <w:tr>
        <w:tblPrEx>
          <w:tblCellMar>
            <w:top w:w="0" w:type="dxa"/>
            <w:left w:w="108" w:type="dxa"/>
            <w:bottom w:w="0" w:type="dxa"/>
            <w:right w:w="108" w:type="dxa"/>
          </w:tblCellMar>
        </w:tblPrEx>
        <w:trPr>
          <w:trHeight w:val="156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11</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行业集聚效益（7%）</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形成行业生态</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5</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引入符合项目要求的金融机构（包括各级分支机构）、融资租赁公司、商业保理公司、科技金融公司、生产性服务业机构、科技类公司、投资咨询机构、金融中介服务机构、金融类行业协会及其他与项目业态相关的第三方咨询服务机构，不少于30家。</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每少1家扣0.5分，扣完为止。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以机构注册营业执照为依据。</w:t>
            </w:r>
          </w:p>
        </w:tc>
      </w:tr>
      <w:tr>
        <w:tblPrEx>
          <w:tblCellMar>
            <w:top w:w="0" w:type="dxa"/>
            <w:left w:w="108" w:type="dxa"/>
            <w:bottom w:w="0" w:type="dxa"/>
            <w:right w:w="108" w:type="dxa"/>
          </w:tblCellMar>
        </w:tblPrEx>
        <w:trPr>
          <w:trHeight w:val="907"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12</w:t>
            </w:r>
          </w:p>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吸引人才集聚</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2</w:t>
            </w:r>
          </w:p>
        </w:tc>
        <w:tc>
          <w:tcPr>
            <w:tcW w:w="613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要求引入的基金、基金管理机构常驻管理人员（投资经理及以上职位）不少于40人。</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每少1人扣0.2分，扣完为止。</w:t>
            </w:r>
          </w:p>
        </w:tc>
        <w:tc>
          <w:tcPr>
            <w:tcW w:w="404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以企业提供的成员名单等为依据。</w:t>
            </w:r>
          </w:p>
        </w:tc>
      </w:tr>
      <w:tr>
        <w:tblPrEx>
          <w:tblCellMar>
            <w:top w:w="0" w:type="dxa"/>
            <w:left w:w="108" w:type="dxa"/>
            <w:bottom w:w="0" w:type="dxa"/>
            <w:right w:w="108" w:type="dxa"/>
          </w:tblCellMar>
        </w:tblPrEx>
        <w:trPr>
          <w:trHeight w:val="7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13</w:t>
            </w:r>
          </w:p>
        </w:tc>
        <w:tc>
          <w:tcPr>
            <w:tcW w:w="12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园区品牌效益（8%）</w:t>
            </w: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营造行业氛围</w:t>
            </w:r>
          </w:p>
        </w:tc>
        <w:tc>
          <w:tcPr>
            <w:tcW w:w="1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举办行业活动不少于30场（其中投融资对接路演活动不少于12场）。</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每少1场扣0.5分，扣完为止。</w:t>
            </w:r>
          </w:p>
        </w:tc>
        <w:tc>
          <w:tcPr>
            <w:tcW w:w="404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以乙方提供的报备资料、活动照片、人员签到等作为考核依据。</w:t>
            </w:r>
          </w:p>
        </w:tc>
      </w:tr>
      <w:tr>
        <w:tblPrEx>
          <w:tblCellMar>
            <w:top w:w="0" w:type="dxa"/>
            <w:left w:w="108" w:type="dxa"/>
            <w:bottom w:w="0" w:type="dxa"/>
            <w:right w:w="108" w:type="dxa"/>
          </w:tblCellMar>
        </w:tblPrEx>
        <w:trPr>
          <w:trHeight w:val="780"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14</w:t>
            </w:r>
          </w:p>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27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宣传园区形象</w:t>
            </w:r>
          </w:p>
        </w:tc>
        <w:tc>
          <w:tcPr>
            <w:tcW w:w="1238"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4</w:t>
            </w:r>
          </w:p>
        </w:tc>
        <w:tc>
          <w:tcPr>
            <w:tcW w:w="6130" w:type="dxa"/>
            <w:tcBorders>
              <w:top w:val="single" w:color="auto" w:sz="4" w:space="0"/>
              <w:left w:val="single" w:color="auto"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发布省部级以上主流媒体通讯稿、宣传稿不少于2篇。</w:t>
            </w:r>
          </w:p>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每少1篇扣2分，扣完为止。</w:t>
            </w:r>
          </w:p>
        </w:tc>
        <w:tc>
          <w:tcPr>
            <w:tcW w:w="4043" w:type="dxa"/>
            <w:tcBorders>
              <w:top w:val="single" w:color="auto" w:sz="4" w:space="0"/>
              <w:left w:val="single" w:color="000000" w:sz="4" w:space="0"/>
              <w:bottom w:val="single" w:color="000000" w:sz="4" w:space="0"/>
              <w:right w:val="single" w:color="auto"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提供纸质或电子刊物、原稿件为考核依据。</w:t>
            </w:r>
          </w:p>
        </w:tc>
      </w:tr>
      <w:tr>
        <w:tblPrEx>
          <w:tblCellMar>
            <w:top w:w="0" w:type="dxa"/>
            <w:left w:w="108" w:type="dxa"/>
            <w:bottom w:w="0" w:type="dxa"/>
            <w:right w:w="108" w:type="dxa"/>
          </w:tblCellMar>
        </w:tblPrEx>
        <w:trPr>
          <w:trHeight w:val="285" w:hRule="atLeast"/>
        </w:trPr>
        <w:tc>
          <w:tcPr>
            <w:tcW w:w="366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总计</w:t>
            </w:r>
          </w:p>
        </w:tc>
        <w:tc>
          <w:tcPr>
            <w:tcW w:w="1238"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r>
              <w:rPr>
                <w:rFonts w:hint="eastAsia" w:ascii="宋体" w:hAnsi="宋体" w:eastAsia="宋体" w:cs="仿宋"/>
                <w:color w:val="auto"/>
                <w:kern w:val="0"/>
                <w:sz w:val="22"/>
                <w:szCs w:val="22"/>
                <w:highlight w:val="none"/>
                <w:lang w:bidi="ar"/>
              </w:rPr>
              <w:t>100</w:t>
            </w:r>
          </w:p>
        </w:tc>
        <w:tc>
          <w:tcPr>
            <w:tcW w:w="10173" w:type="dxa"/>
            <w:gridSpan w:val="2"/>
            <w:tcBorders>
              <w:top w:val="single" w:color="000000"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hint="default" w:ascii="宋体" w:hAnsi="宋体" w:eastAsia="宋体" w:cs="仿宋"/>
                <w:color w:val="auto"/>
                <w:kern w:val="0"/>
                <w:sz w:val="22"/>
                <w:szCs w:val="22"/>
                <w:highlight w:val="none"/>
                <w:lang w:bidi="ar"/>
              </w:rPr>
            </w:pPr>
          </w:p>
        </w:tc>
      </w:tr>
    </w:tbl>
    <w:p>
      <w:pPr>
        <w:ind w:firstLine="420" w:firstLineChars="200"/>
        <w:rPr>
          <w:color w:val="auto"/>
          <w:highlight w:val="none"/>
        </w:rPr>
      </w:pPr>
    </w:p>
    <w:p>
      <w:pPr>
        <w:pStyle w:val="2"/>
        <w:rPr>
          <w:color w:val="auto"/>
          <w:highlight w:val="none"/>
        </w:rPr>
        <w:sectPr>
          <w:pgSz w:w="16838" w:h="11906" w:orient="landscape"/>
          <w:pgMar w:top="1440" w:right="1080" w:bottom="1440" w:left="1080" w:header="851" w:footer="851" w:gutter="0"/>
          <w:pgNumType w:fmt="decimal"/>
          <w:cols w:space="720" w:num="1"/>
          <w:titlePg/>
          <w:docGrid w:linePitch="312" w:charSpace="0"/>
        </w:sectPr>
      </w:pPr>
    </w:p>
    <w:p>
      <w:pPr>
        <w:pStyle w:val="609"/>
        <w:spacing w:before="190" w:beforeLines="50" w:after="190" w:line="300" w:lineRule="auto"/>
        <w:ind w:firstLine="0" w:firstLineChars="0"/>
        <w:rPr>
          <w:rFonts w:hint="eastAsia" w:hAnsi="仿宋_GB2312" w:eastAsia="仿宋_GB2312" w:cs="仿宋_GB2312"/>
          <w:color w:val="auto"/>
          <w:sz w:val="32"/>
          <w:szCs w:val="32"/>
          <w:highlight w:val="none"/>
        </w:rPr>
      </w:pPr>
      <w:bookmarkStart w:id="240" w:name="_Toc12546168"/>
      <w:r>
        <w:rPr>
          <w:rFonts w:hint="eastAsia" w:ascii="黑体" w:hAnsi="黑体" w:eastAsia="黑体" w:cs="黑体"/>
          <w:color w:val="auto"/>
          <w:sz w:val="32"/>
          <w:szCs w:val="32"/>
          <w:highlight w:val="none"/>
        </w:rPr>
        <w:t>附件二</w:t>
      </w:r>
      <w:r>
        <w:rPr>
          <w:rFonts w:hint="eastAsia" w:hAnsi="仿宋_GB2312" w:eastAsia="仿宋_GB2312" w:cs="仿宋_GB2312"/>
          <w:color w:val="auto"/>
          <w:sz w:val="32"/>
          <w:szCs w:val="32"/>
          <w:highlight w:val="none"/>
        </w:rPr>
        <w:t xml:space="preserve">            </w:t>
      </w:r>
    </w:p>
    <w:p>
      <w:pPr>
        <w:pStyle w:val="609"/>
        <w:spacing w:before="190" w:beforeLines="50" w:after="190" w:line="300" w:lineRule="auto"/>
        <w:ind w:firstLine="0" w:firstLineChars="0"/>
        <w:jc w:val="center"/>
        <w:rPr>
          <w:rFonts w:hAnsi="仿宋_GB2312" w:eastAsia="仿宋_GB2312" w:cs="仿宋_GB2312"/>
          <w:color w:val="auto"/>
          <w:sz w:val="32"/>
          <w:szCs w:val="32"/>
          <w:highlight w:val="none"/>
        </w:rPr>
      </w:pPr>
      <w:r>
        <w:rPr>
          <w:rFonts w:hint="eastAsia" w:hAnsi="仿宋_GB2312" w:eastAsia="仿宋_GB2312" w:cs="仿宋_GB2312"/>
          <w:color w:val="auto"/>
          <w:sz w:val="44"/>
          <w:szCs w:val="44"/>
          <w:highlight w:val="none"/>
        </w:rPr>
        <w:t>承继合同（参考）</w:t>
      </w:r>
      <w:bookmarkEnd w:id="240"/>
    </w:p>
    <w:p>
      <w:pPr>
        <w:autoSpaceDE w:val="0"/>
        <w:autoSpaceDN w:val="0"/>
        <w:spacing w:before="190" w:beforeLines="50" w:after="190" w:afterLines="50" w:line="30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本承继合同于     年</w:t>
      </w:r>
      <w:r>
        <w:rPr>
          <w:rFonts w:hint="eastAsia" w:ascii="宋体" w:hAnsi="宋体" w:eastAsia="宋体" w:cs="宋体"/>
          <w:b/>
          <w:color w:val="auto"/>
          <w:kern w:val="0"/>
          <w:sz w:val="28"/>
          <w:szCs w:val="28"/>
          <w:highlight w:val="none"/>
        </w:rPr>
        <w:t xml:space="preserve">    </w:t>
      </w:r>
      <w:r>
        <w:rPr>
          <w:rFonts w:hint="eastAsia" w:ascii="宋体" w:hAnsi="宋体" w:eastAsia="宋体" w:cs="宋体"/>
          <w:color w:val="auto"/>
          <w:kern w:val="0"/>
          <w:sz w:val="28"/>
          <w:szCs w:val="28"/>
          <w:highlight w:val="none"/>
        </w:rPr>
        <w:t>月</w:t>
      </w:r>
      <w:r>
        <w:rPr>
          <w:rFonts w:hint="eastAsia" w:ascii="宋体" w:hAnsi="宋体" w:eastAsia="宋体" w:cs="宋体"/>
          <w:b/>
          <w:color w:val="auto"/>
          <w:kern w:val="0"/>
          <w:sz w:val="28"/>
          <w:szCs w:val="28"/>
          <w:highlight w:val="none"/>
        </w:rPr>
        <w:t xml:space="preserve">    </w:t>
      </w:r>
      <w:r>
        <w:rPr>
          <w:rFonts w:hint="eastAsia" w:ascii="宋体" w:hAnsi="宋体" w:eastAsia="宋体" w:cs="宋体"/>
          <w:color w:val="auto"/>
          <w:kern w:val="0"/>
          <w:sz w:val="28"/>
          <w:szCs w:val="28"/>
          <w:highlight w:val="none"/>
        </w:rPr>
        <w:t>日由以下各方订立：</w:t>
      </w:r>
    </w:p>
    <w:p>
      <w:pPr>
        <w:autoSpaceDE w:val="0"/>
        <w:autoSpaceDN w:val="0"/>
        <w:spacing w:before="190" w:beforeLines="50" w:after="190" w:afterLines="50" w:line="30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 </w:t>
      </w:r>
      <w:r>
        <w:rPr>
          <w:rFonts w:hint="eastAsia" w:ascii="宋体" w:hAnsi="宋体" w:eastAsia="宋体" w:cs="宋体"/>
          <w:b/>
          <w:color w:val="auto"/>
          <w:kern w:val="0"/>
          <w:sz w:val="28"/>
          <w:szCs w:val="28"/>
          <w:highlight w:val="none"/>
        </w:rPr>
        <w:t>甲方：</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单位负责人：</w:t>
      </w:r>
    </w:p>
    <w:p>
      <w:pPr>
        <w:autoSpaceDE w:val="0"/>
        <w:autoSpaceDN w:val="0"/>
        <w:spacing w:before="190" w:beforeLines="50" w:after="190" w:afterLines="50" w:line="30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(2) </w:t>
      </w:r>
      <w:r>
        <w:rPr>
          <w:rFonts w:hint="eastAsia" w:ascii="宋体" w:hAnsi="宋体" w:eastAsia="宋体" w:cs="宋体"/>
          <w:b/>
          <w:color w:val="auto"/>
          <w:kern w:val="0"/>
          <w:sz w:val="28"/>
          <w:szCs w:val="28"/>
          <w:highlight w:val="none"/>
        </w:rPr>
        <w:t>乙方：</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p>
    <w:p>
      <w:pPr>
        <w:autoSpaceDE w:val="0"/>
        <w:autoSpaceDN w:val="0"/>
        <w:spacing w:before="190" w:beforeLines="50" w:after="190" w:afterLines="50" w:line="30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(3) </w:t>
      </w:r>
      <w:r>
        <w:rPr>
          <w:rFonts w:hint="eastAsia" w:ascii="宋体" w:hAnsi="宋体" w:eastAsia="宋体" w:cs="宋体"/>
          <w:b/>
          <w:color w:val="auto"/>
          <w:kern w:val="0"/>
          <w:sz w:val="28"/>
          <w:szCs w:val="28"/>
          <w:highlight w:val="none"/>
        </w:rPr>
        <w:t>丙方：</w:t>
      </w:r>
      <w:r>
        <w:rPr>
          <w:rFonts w:hint="eastAsia" w:ascii="宋体" w:hAnsi="宋体" w:eastAsia="宋体" w:cs="宋体"/>
          <w:color w:val="auto"/>
          <w:kern w:val="0"/>
          <w:sz w:val="28"/>
          <w:szCs w:val="28"/>
          <w:highlight w:val="none"/>
        </w:rPr>
        <w:t>（以下称“丙方”或“项目公司”）</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p>
    <w:p>
      <w:pPr>
        <w:autoSpaceDE w:val="0"/>
        <w:autoSpaceDN w:val="0"/>
        <w:spacing w:before="190" w:beforeLines="50" w:after="190" w:afterLines="50" w:line="30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鉴于：</w:t>
      </w:r>
    </w:p>
    <w:p>
      <w:pPr>
        <w:pStyle w:val="818"/>
        <w:widowControl/>
        <w:tabs>
          <w:tab w:val="left" w:pos="993"/>
        </w:tabs>
        <w:autoSpaceDE w:val="0"/>
        <w:autoSpaceDN w:val="0"/>
        <w:adjustRightInd w:val="0"/>
        <w:snapToGrid w:val="0"/>
        <w:spacing w:beforeLines="50" w:afterLines="50" w:line="576"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（1）甲方已通过公开招标的方式选择乙方作为</w:t>
      </w:r>
      <w:r>
        <w:rPr>
          <w:rFonts w:hint="eastAsia" w:ascii="宋体" w:hAnsi="宋体" w:eastAsia="宋体" w:cs="宋体"/>
          <w:color w:val="auto"/>
          <w:sz w:val="28"/>
          <w:szCs w:val="28"/>
          <w:highlight w:val="none"/>
          <w:u w:val="single"/>
        </w:rPr>
        <w:t xml:space="preserve"> 温州大罗山基金（天使）村项目 </w:t>
      </w:r>
      <w:r>
        <w:rPr>
          <w:rFonts w:hint="eastAsia" w:ascii="宋体" w:hAnsi="宋体" w:eastAsia="宋体" w:cs="宋体"/>
          <w:color w:val="auto"/>
          <w:sz w:val="28"/>
          <w:szCs w:val="28"/>
          <w:highlight w:val="none"/>
        </w:rPr>
        <w:t>（以下简称“本项目”）运营方，并于年月日与乙方签署了《</w:t>
      </w:r>
      <w:r>
        <w:rPr>
          <w:rFonts w:hint="eastAsia" w:ascii="宋体" w:hAnsi="宋体" w:eastAsia="宋体" w:cs="宋体"/>
          <w:color w:val="auto"/>
          <w:sz w:val="28"/>
          <w:szCs w:val="28"/>
          <w:highlight w:val="none"/>
          <w:u w:val="single"/>
        </w:rPr>
        <w:t xml:space="preserve"> 温州大罗山基金（天使）村项目招商运营合作协议 </w:t>
      </w:r>
      <w:r>
        <w:rPr>
          <w:rFonts w:hint="eastAsia" w:ascii="宋体" w:hAnsi="宋体" w:eastAsia="宋体" w:cs="宋体"/>
          <w:color w:val="auto"/>
          <w:sz w:val="28"/>
          <w:szCs w:val="28"/>
          <w:highlight w:val="none"/>
        </w:rPr>
        <w:t>》（以下称“原合同”）。</w:t>
      </w:r>
    </w:p>
    <w:p>
      <w:pPr>
        <w:pStyle w:val="818"/>
        <w:widowControl/>
        <w:tabs>
          <w:tab w:val="left" w:pos="993"/>
        </w:tabs>
        <w:autoSpaceDE w:val="0"/>
        <w:autoSpaceDN w:val="0"/>
        <w:adjustRightInd w:val="0"/>
        <w:snapToGrid w:val="0"/>
        <w:spacing w:beforeLines="50" w:afterLines="50" w:line="576"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（2）原合同中约定，待乙方按照相关法律法规的要求在瓯海区投资设立项目公司后，由项目公司通过签署承继合同全面承继乙方在原合同项下的权利和义务。</w:t>
      </w:r>
    </w:p>
    <w:p>
      <w:pPr>
        <w:pStyle w:val="818"/>
        <w:widowControl/>
        <w:tabs>
          <w:tab w:val="left" w:pos="993"/>
        </w:tabs>
        <w:autoSpaceDE w:val="0"/>
        <w:autoSpaceDN w:val="0"/>
        <w:adjustRightInd w:val="0"/>
        <w:snapToGrid w:val="0"/>
        <w:spacing w:beforeLines="50" w:afterLines="50" w:line="576"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（3）乙方已按照原合同的约定依法设立了项目公司，即本承继合同之丙方。</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现各方根据原合同、《中华人民共和国民法典》以及其他有关现行法律、法规的规定，在平等、自愿的基础上，订立本承继合同如下：</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自本承继合同生效日起，除本承继合同另有约定外，丙方将成为原合同的一方，按如下约定承继乙方在原合同下的权利和义务：</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自本承继合同生效日起，原合同中约定由乙方享有和承担的权利义务由丙方承继（本承继合同另有约定的除外），但丙方承继上述权利义务不应影响乙方作为项目公司股东方应享有或承担的权利与义务，包括但不限于对项目公司出资，股权转让限制，股东表决权、委派董事、分红权等作为项目公司股东的权利和义务，以及在项目公司融资不能时以合法方式确保项目公司融资到位等。</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二、原合同中已明确仅由乙享有或承担的权利和义务，在本承继合同生效日后，继续由本承继合同乙方享有和承担。</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三、本承继合同中相关词语或术语之定义或涵义若无特别约定，则与原合同中相关词语或术语之定义或涵义相同。</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如本承继合同的约定与原合同相关条款的约定之间有任何不一致或相互矛盾之处，即视为本承继合同的约定对原合同的相关约定进行了修改，并以本承继合同的约定为准；但原合同未被本承继合同涉及的各项条款和条件仍应持续、完整、合法有效，并对各方均具有法律约束力。本承继合同未尽事宜应遵守原合同的相关约定。</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五、为本承继合同之目的，各方承诺其已依法取得为签署并全面履行本承继合同所必需的全部批准、同意、授权和许可，保证具有合法的权力和权利签署并全面履行本承继合同。</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六、本承继合同经各方签署盖章后立即生效，并对各方具有法律约束力。</w:t>
      </w:r>
    </w:p>
    <w:p>
      <w:pPr>
        <w:autoSpaceDE w:val="0"/>
        <w:autoSpaceDN w:val="0"/>
        <w:spacing w:beforeLines="50" w:afterLines="50" w:line="576" w:lineRule="exact"/>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七、本承继合同以中文书写，一式    份，各方各执    份，每一份具有同等法律效力。</w:t>
      </w:r>
    </w:p>
    <w:p>
      <w:pPr>
        <w:rPr>
          <w:rFonts w:hint="eastAsia" w:ascii="宋体" w:hAnsi="宋体" w:eastAsia="宋体" w:cs="宋体"/>
          <w:color w:val="auto"/>
          <w:sz w:val="28"/>
          <w:szCs w:val="28"/>
          <w:highlight w:val="none"/>
        </w:rPr>
      </w:pPr>
    </w:p>
    <w:p>
      <w:pPr>
        <w:autoSpaceDE w:val="0"/>
        <w:autoSpaceDN w:val="0"/>
        <w:spacing w:before="190" w:beforeLines="50" w:after="190" w:afterLines="50" w:line="300" w:lineRule="auto"/>
        <w:ind w:firstLine="64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（以下无正文）</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甲方：</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单位负责人或授权代表：</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乙方：</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法定代表人或授权代表：</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丙方：</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法定代表人或授权代表：</w:t>
      </w:r>
    </w:p>
    <w:p>
      <w:pPr>
        <w:autoSpaceDE w:val="0"/>
        <w:autoSpaceDN w:val="0"/>
        <w:spacing w:before="190" w:beforeLines="50" w:after="190" w:afterLines="50" w:line="300" w:lineRule="auto"/>
        <w:ind w:firstLine="64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pPr>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p>
    <w:p>
      <w:pPr>
        <w:pStyle w:val="2"/>
        <w:rPr>
          <w:rFonts w:hint="eastAsia"/>
          <w:color w:val="auto"/>
          <w:highlight w:val="none"/>
        </w:rPr>
      </w:pPr>
    </w:p>
    <w:p>
      <w:pPr>
        <w:pStyle w:val="5"/>
        <w:rPr>
          <w:rFonts w:hint="eastAsia" w:ascii="宋体" w:hAnsi="宋体" w:eastAsia="宋体" w:cs="Arial"/>
          <w:color w:val="auto"/>
          <w:sz w:val="36"/>
          <w:szCs w:val="36"/>
          <w:highlight w:val="none"/>
          <w:lang w:eastAsia="zh-CN"/>
        </w:rPr>
      </w:pPr>
      <w:bookmarkStart w:id="241" w:name="_Toc17249"/>
      <w:r>
        <w:rPr>
          <w:rFonts w:hint="eastAsia" w:ascii="宋体" w:hAnsi="宋体" w:eastAsia="宋体" w:cs="Arial"/>
          <w:color w:val="auto"/>
          <w:sz w:val="36"/>
          <w:szCs w:val="36"/>
          <w:highlight w:val="none"/>
        </w:rPr>
        <w:t xml:space="preserve">第五部分   </w:t>
      </w:r>
      <w:bookmarkEnd w:id="222"/>
      <w:bookmarkEnd w:id="223"/>
      <w:bookmarkEnd w:id="224"/>
      <w:bookmarkEnd w:id="226"/>
      <w:bookmarkEnd w:id="227"/>
      <w:bookmarkEnd w:id="228"/>
      <w:bookmarkEnd w:id="229"/>
      <w:bookmarkEnd w:id="230"/>
      <w:bookmarkEnd w:id="231"/>
      <w:bookmarkEnd w:id="232"/>
      <w:bookmarkEnd w:id="233"/>
      <w:bookmarkEnd w:id="234"/>
      <w:bookmarkEnd w:id="235"/>
      <w:bookmarkEnd w:id="236"/>
      <w:bookmarkEnd w:id="237"/>
      <w:r>
        <w:rPr>
          <w:rFonts w:hint="eastAsia" w:ascii="宋体" w:hAnsi="宋体" w:eastAsia="宋体" w:cs="Arial"/>
          <w:color w:val="auto"/>
          <w:sz w:val="36"/>
          <w:szCs w:val="36"/>
          <w:highlight w:val="none"/>
          <w:lang w:val="en-US" w:eastAsia="zh-CN"/>
        </w:rPr>
        <w:t>附件</w:t>
      </w:r>
      <w:bookmarkEnd w:id="241"/>
    </w:p>
    <w:p>
      <w:pPr>
        <w:rPr>
          <w:rFonts w:ascii="宋体" w:hAnsi="宋体"/>
          <w:color w:val="auto"/>
          <w:highlight w:val="none"/>
        </w:rPr>
      </w:pPr>
    </w:p>
    <w:p>
      <w:pPr>
        <w:spacing w:line="460" w:lineRule="exact"/>
        <w:rPr>
          <w:rFonts w:ascii="宋体" w:hAnsi="宋体"/>
          <w:b/>
          <w:bCs/>
          <w:color w:val="auto"/>
          <w:sz w:val="22"/>
          <w:szCs w:val="22"/>
          <w:highlight w:val="none"/>
        </w:rPr>
      </w:pPr>
      <w:r>
        <w:rPr>
          <w:rFonts w:hint="eastAsia" w:ascii="宋体" w:hAnsi="宋体"/>
          <w:b/>
          <w:bCs/>
          <w:color w:val="auto"/>
          <w:sz w:val="22"/>
          <w:szCs w:val="22"/>
          <w:highlight w:val="none"/>
        </w:rPr>
        <w:t>附件一</w:t>
      </w:r>
    </w:p>
    <w:p>
      <w:pPr>
        <w:spacing w:line="460" w:lineRule="exact"/>
        <w:jc w:val="center"/>
        <w:rPr>
          <w:rFonts w:ascii="宋体" w:hAnsi="宋体" w:cs="仿宋"/>
          <w:b/>
          <w:bCs/>
          <w:color w:val="auto"/>
          <w:sz w:val="28"/>
          <w:szCs w:val="28"/>
          <w:highlight w:val="none"/>
        </w:rPr>
      </w:pPr>
      <w:r>
        <w:rPr>
          <w:rFonts w:hint="eastAsia" w:ascii="宋体" w:hAnsi="宋体" w:cs="仿宋"/>
          <w:b/>
          <w:bCs/>
          <w:color w:val="auto"/>
          <w:sz w:val="28"/>
          <w:szCs w:val="28"/>
          <w:highlight w:val="none"/>
        </w:rPr>
        <w:t>资格审查料</w:t>
      </w:r>
    </w:p>
    <w:p>
      <w:pPr>
        <w:spacing w:line="460" w:lineRule="exact"/>
        <w:jc w:val="center"/>
        <w:rPr>
          <w:rFonts w:ascii="宋体" w:hAnsi="宋体" w:cs="仿宋"/>
          <w:color w:val="auto"/>
          <w:sz w:val="28"/>
          <w:szCs w:val="28"/>
          <w:highlight w:val="none"/>
        </w:rPr>
      </w:pPr>
    </w:p>
    <w:p>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（1-1）法定代表人声明书</w:t>
      </w:r>
    </w:p>
    <w:p>
      <w:pPr>
        <w:spacing w:line="400" w:lineRule="exact"/>
        <w:rPr>
          <w:rFonts w:ascii="宋体" w:hAnsi="宋体"/>
          <w:color w:val="auto"/>
          <w:highlight w:val="none"/>
        </w:rPr>
      </w:pPr>
    </w:p>
    <w:p>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温州市高教新区发展中心</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华诚工程咨询集团有限公司</w:t>
      </w:r>
      <w:r>
        <w:rPr>
          <w:rFonts w:hint="eastAsia" w:ascii="宋体" w:hAnsi="宋体"/>
          <w:color w:val="auto"/>
          <w:sz w:val="22"/>
          <w:szCs w:val="22"/>
          <w:highlight w:val="none"/>
        </w:rPr>
        <w:t>：</w:t>
      </w:r>
    </w:p>
    <w:p>
      <w:pPr>
        <w:spacing w:line="460" w:lineRule="exact"/>
        <w:rPr>
          <w:rFonts w:ascii="宋体" w:hAnsi="宋体"/>
          <w:color w:val="auto"/>
          <w:sz w:val="22"/>
          <w:szCs w:val="22"/>
          <w:highlight w:val="none"/>
          <w:u w:val="single"/>
        </w:rPr>
      </w:pPr>
    </w:p>
    <w:p>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本人</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为</w:t>
      </w: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的法定代表人。我公司参加贵处组织的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的招标活动，由我本人全权代表我方处理招标活动中的一切事宜。联系方式如下：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60" w:lineRule="exact"/>
        <w:ind w:firstLine="3971" w:firstLineChars="1805"/>
        <w:rPr>
          <w:rFonts w:ascii="宋体" w:hAnsi="宋体"/>
          <w:color w:val="auto"/>
          <w:sz w:val="22"/>
          <w:szCs w:val="22"/>
          <w:highlight w:val="none"/>
        </w:rPr>
      </w:pP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pPr>
        <w:spacing w:line="460" w:lineRule="exact"/>
        <w:rPr>
          <w:rFonts w:ascii="宋体" w:hAnsi="宋体"/>
          <w:color w:val="auto"/>
          <w:sz w:val="22"/>
          <w:szCs w:val="22"/>
          <w:highlight w:val="none"/>
        </w:rPr>
      </w:pPr>
    </w:p>
    <w:p>
      <w:pPr>
        <w:widowControl/>
        <w:jc w:val="left"/>
        <w:rPr>
          <w:rFonts w:ascii="Arial" w:hAnsi="Arial" w:cs="Arial"/>
          <w:color w:val="auto"/>
          <w:szCs w:val="21"/>
          <w:highlight w:val="none"/>
        </w:rPr>
      </w:pPr>
    </w:p>
    <w:p>
      <w:pPr>
        <w:widowControl/>
        <w:jc w:val="left"/>
        <w:rPr>
          <w:rFonts w:ascii="Arial" w:hAnsi="Arial" w:cs="Arial"/>
          <w:color w:val="auto"/>
          <w:szCs w:val="21"/>
          <w:highlight w:val="none"/>
        </w:rPr>
      </w:pPr>
    </w:p>
    <w:p>
      <w:pPr>
        <w:widowControl/>
        <w:jc w:val="left"/>
        <w:rPr>
          <w:rFonts w:ascii="Arial" w:hAnsi="Arial" w:cs="Arial"/>
          <w:color w:val="auto"/>
          <w:szCs w:val="21"/>
          <w:highlight w:val="none"/>
        </w:rPr>
      </w:pPr>
      <w:r>
        <w:rPr>
          <w:rFonts w:hint="eastAsia" w:ascii="宋体" w:hAnsi="宋体"/>
          <w:b/>
          <w:color w:val="auto"/>
          <w:sz w:val="22"/>
          <w:szCs w:val="22"/>
          <w:highlight w:val="none"/>
        </w:rPr>
        <w:t>附：法定代表人</w:t>
      </w:r>
      <w:r>
        <w:rPr>
          <w:rFonts w:ascii="宋体" w:hAnsi="宋体"/>
          <w:b/>
          <w:color w:val="auto"/>
          <w:sz w:val="22"/>
          <w:szCs w:val="22"/>
          <w:highlight w:val="none"/>
        </w:rPr>
        <w:t>身</w:t>
      </w:r>
      <w:r>
        <w:rPr>
          <w:rFonts w:ascii="宋体" w:hAnsi="宋体" w:cs="Courier New"/>
          <w:b/>
          <w:color w:val="auto"/>
          <w:sz w:val="22"/>
          <w:szCs w:val="22"/>
          <w:highlight w:val="none"/>
        </w:rPr>
        <w:t>份证正反面复印件</w:t>
      </w:r>
      <w:r>
        <w:rPr>
          <w:rFonts w:ascii="Arial" w:hAnsi="Arial" w:cs="Arial"/>
          <w:color w:val="auto"/>
          <w:szCs w:val="21"/>
          <w:highlight w:val="none"/>
        </w:rPr>
        <w:br w:type="page"/>
      </w:r>
    </w:p>
    <w:p>
      <w:pPr>
        <w:spacing w:line="360" w:lineRule="exact"/>
        <w:rPr>
          <w:rFonts w:ascii="Arial" w:hAnsi="Arial" w:cs="Arial"/>
          <w:color w:val="auto"/>
          <w:szCs w:val="21"/>
          <w:highlight w:val="none"/>
        </w:rPr>
      </w:pPr>
    </w:p>
    <w:p>
      <w:pPr>
        <w:spacing w:line="380" w:lineRule="exact"/>
        <w:jc w:val="center"/>
        <w:rPr>
          <w:rFonts w:ascii="宋体" w:hAnsi="宋体" w:cs="仿宋"/>
          <w:b/>
          <w:color w:val="auto"/>
          <w:sz w:val="22"/>
          <w:szCs w:val="22"/>
          <w:highlight w:val="none"/>
        </w:rPr>
      </w:pPr>
    </w:p>
    <w:p>
      <w:pPr>
        <w:spacing w:line="380" w:lineRule="exact"/>
        <w:jc w:val="center"/>
        <w:rPr>
          <w:rFonts w:ascii="宋体" w:hAnsi="宋体" w:cs="仿宋"/>
          <w:b/>
          <w:color w:val="auto"/>
          <w:sz w:val="22"/>
          <w:szCs w:val="22"/>
          <w:highlight w:val="none"/>
        </w:rPr>
      </w:pPr>
      <w:r>
        <w:rPr>
          <w:rFonts w:hint="eastAsia" w:ascii="宋体" w:hAnsi="宋体" w:cs="仿宋"/>
          <w:b/>
          <w:color w:val="auto"/>
          <w:sz w:val="22"/>
          <w:szCs w:val="22"/>
          <w:highlight w:val="none"/>
        </w:rPr>
        <w:t>（1-2）法定代表人授权书</w:t>
      </w:r>
    </w:p>
    <w:p>
      <w:pPr>
        <w:spacing w:line="400" w:lineRule="exact"/>
        <w:jc w:val="center"/>
        <w:rPr>
          <w:rFonts w:ascii="宋体" w:hAnsi="宋体"/>
          <w:b/>
          <w:bCs/>
          <w:color w:val="auto"/>
          <w:sz w:val="28"/>
          <w:szCs w:val="28"/>
          <w:highlight w:val="none"/>
        </w:rPr>
      </w:pPr>
    </w:p>
    <w:p>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温州市高教新区发展中心</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华诚工程咨询集团有限公司</w:t>
      </w:r>
      <w:r>
        <w:rPr>
          <w:rFonts w:hint="eastAsia" w:ascii="宋体" w:hAnsi="宋体"/>
          <w:color w:val="auto"/>
          <w:sz w:val="22"/>
          <w:szCs w:val="22"/>
          <w:highlight w:val="none"/>
        </w:rPr>
        <w:t>：</w:t>
      </w:r>
    </w:p>
    <w:p>
      <w:pPr>
        <w:spacing w:line="460" w:lineRule="exact"/>
        <w:rPr>
          <w:rFonts w:ascii="宋体" w:hAnsi="宋体"/>
          <w:color w:val="auto"/>
          <w:sz w:val="22"/>
          <w:szCs w:val="22"/>
          <w:highlight w:val="none"/>
          <w:u w:val="single"/>
        </w:rPr>
      </w:pPr>
    </w:p>
    <w:p>
      <w:pPr>
        <w:spacing w:line="4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u w:val="single"/>
        </w:rPr>
        <w:t>（投标人全称）</w:t>
      </w:r>
      <w:r>
        <w:rPr>
          <w:rFonts w:hint="eastAsia" w:ascii="宋体" w:hAnsi="宋体"/>
          <w:color w:val="auto"/>
          <w:sz w:val="22"/>
          <w:szCs w:val="22"/>
          <w:highlight w:val="none"/>
        </w:rPr>
        <w:t xml:space="preserve">法定代表人 </w:t>
      </w:r>
      <w:r>
        <w:rPr>
          <w:rFonts w:hint="eastAsia" w:ascii="宋体" w:hAnsi="宋体"/>
          <w:color w:val="auto"/>
          <w:sz w:val="22"/>
          <w:szCs w:val="22"/>
          <w:highlight w:val="none"/>
          <w:u w:val="single"/>
        </w:rPr>
        <w:t>（法定代表人姓名）</w:t>
      </w:r>
      <w:r>
        <w:rPr>
          <w:rFonts w:hint="eastAsia" w:ascii="宋体" w:hAnsi="宋体"/>
          <w:color w:val="auto"/>
          <w:sz w:val="22"/>
          <w:szCs w:val="22"/>
          <w:highlight w:val="none"/>
        </w:rPr>
        <w:t xml:space="preserve"> 授权</w:t>
      </w:r>
      <w:r>
        <w:rPr>
          <w:rFonts w:hint="eastAsia" w:ascii="宋体" w:hAnsi="宋体"/>
          <w:color w:val="auto"/>
          <w:sz w:val="22"/>
          <w:szCs w:val="22"/>
          <w:highlight w:val="none"/>
          <w:u w:val="single"/>
        </w:rPr>
        <w:t>（全权代表姓名）</w:t>
      </w:r>
      <w:r>
        <w:rPr>
          <w:rFonts w:hint="eastAsia" w:ascii="宋体" w:hAnsi="宋体"/>
          <w:color w:val="auto"/>
          <w:sz w:val="22"/>
          <w:szCs w:val="22"/>
          <w:highlight w:val="none"/>
        </w:rPr>
        <w:t>为本项目全权代表，参加贵处组织的</w:t>
      </w:r>
      <w:r>
        <w:rPr>
          <w:rFonts w:hint="eastAsia" w:ascii="宋体" w:hAnsi="宋体"/>
          <w:color w:val="auto"/>
          <w:sz w:val="22"/>
          <w:szCs w:val="22"/>
          <w:highlight w:val="none"/>
          <w:u w:val="single"/>
        </w:rPr>
        <w:t>（招标项目名称、招标编号）</w:t>
      </w:r>
      <w:r>
        <w:rPr>
          <w:rFonts w:hint="eastAsia" w:ascii="宋体" w:hAnsi="宋体"/>
          <w:color w:val="auto"/>
          <w:sz w:val="22"/>
          <w:szCs w:val="22"/>
          <w:highlight w:val="none"/>
        </w:rPr>
        <w:t>的招标活动，全权代表我方处理招标活动中的一切事宜。联系方式如下：</w:t>
      </w:r>
      <w:r>
        <w:rPr>
          <w:rFonts w:hint="eastAsia" w:ascii="宋体" w:hAnsi="宋体"/>
          <w:color w:val="auto"/>
          <w:sz w:val="22"/>
          <w:szCs w:val="22"/>
          <w:highlight w:val="none"/>
          <w:u w:val="single"/>
        </w:rPr>
        <w:t xml:space="preserve">手机号码：       联系邮箱:         详细通讯地址：             </w:t>
      </w:r>
      <w:r>
        <w:rPr>
          <w:rFonts w:hint="eastAsia" w:ascii="宋体" w:hAnsi="宋体"/>
          <w:color w:val="auto"/>
          <w:sz w:val="22"/>
          <w:szCs w:val="22"/>
          <w:highlight w:val="none"/>
        </w:rPr>
        <w:t xml:space="preserve"> 。  </w:t>
      </w:r>
    </w:p>
    <w:p>
      <w:pPr>
        <w:spacing w:line="460" w:lineRule="exact"/>
        <w:ind w:firstLine="220" w:firstLineChars="100"/>
        <w:rPr>
          <w:rFonts w:ascii="宋体" w:hAnsi="宋体"/>
          <w:color w:val="auto"/>
          <w:sz w:val="22"/>
          <w:szCs w:val="22"/>
          <w:highlight w:val="none"/>
        </w:rPr>
      </w:pPr>
    </w:p>
    <w:p>
      <w:pPr>
        <w:spacing w:line="460" w:lineRule="exact"/>
        <w:ind w:firstLine="550" w:firstLineChars="250"/>
        <w:rPr>
          <w:rFonts w:ascii="宋体" w:hAnsi="宋体"/>
          <w:color w:val="auto"/>
          <w:sz w:val="22"/>
          <w:szCs w:val="22"/>
          <w:highlight w:val="none"/>
        </w:rPr>
      </w:pPr>
    </w:p>
    <w:p>
      <w:pPr>
        <w:spacing w:line="460" w:lineRule="exact"/>
        <w:ind w:firstLine="2955"/>
        <w:rPr>
          <w:rFonts w:ascii="宋体" w:hAnsi="宋体"/>
          <w:color w:val="auto"/>
          <w:sz w:val="22"/>
          <w:szCs w:val="22"/>
          <w:highlight w:val="none"/>
        </w:rPr>
      </w:pPr>
    </w:p>
    <w:p>
      <w:pPr>
        <w:spacing w:line="460" w:lineRule="exact"/>
        <w:ind w:firstLine="3971" w:firstLineChars="1805"/>
        <w:rPr>
          <w:rFonts w:ascii="宋体" w:hAnsi="宋体"/>
          <w:color w:val="auto"/>
          <w:sz w:val="22"/>
          <w:szCs w:val="22"/>
          <w:highlight w:val="none"/>
        </w:rPr>
      </w:pPr>
      <w:r>
        <w:rPr>
          <w:rFonts w:hint="eastAsia" w:ascii="宋体" w:hAnsi="宋体"/>
          <w:color w:val="auto"/>
          <w:sz w:val="22"/>
          <w:szCs w:val="22"/>
          <w:highlight w:val="none"/>
        </w:rPr>
        <w:t>法定代表人 (签字或盖章)：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投标人全称（公章）：</w:t>
      </w:r>
    </w:p>
    <w:p>
      <w:pPr>
        <w:spacing w:line="460" w:lineRule="exact"/>
        <w:ind w:firstLine="2955"/>
        <w:rPr>
          <w:rFonts w:ascii="宋体" w:hAnsi="宋体"/>
          <w:color w:val="auto"/>
          <w:sz w:val="22"/>
          <w:szCs w:val="22"/>
          <w:highlight w:val="none"/>
        </w:rPr>
      </w:pPr>
      <w:r>
        <w:rPr>
          <w:rFonts w:hint="eastAsia" w:ascii="宋体" w:hAnsi="宋体"/>
          <w:color w:val="auto"/>
          <w:sz w:val="22"/>
          <w:szCs w:val="22"/>
          <w:highlight w:val="none"/>
        </w:rPr>
        <w:t xml:space="preserve">         日期：     年    月   日</w:t>
      </w:r>
    </w:p>
    <w:p>
      <w:pPr>
        <w:spacing w:line="460" w:lineRule="exact"/>
        <w:rPr>
          <w:rFonts w:ascii="宋体" w:hAnsi="宋体"/>
          <w:color w:val="auto"/>
          <w:sz w:val="22"/>
          <w:szCs w:val="22"/>
          <w:highlight w:val="none"/>
        </w:rPr>
      </w:pPr>
    </w:p>
    <w:p>
      <w:pPr>
        <w:spacing w:line="460" w:lineRule="exact"/>
        <w:rPr>
          <w:rFonts w:ascii="宋体" w:hAnsi="宋体"/>
          <w:color w:val="auto"/>
          <w:sz w:val="22"/>
          <w:szCs w:val="22"/>
          <w:highlight w:val="none"/>
        </w:rPr>
      </w:pPr>
    </w:p>
    <w:p>
      <w:pPr>
        <w:spacing w:line="460" w:lineRule="exact"/>
        <w:rPr>
          <w:rFonts w:ascii="宋体" w:hAnsi="宋体"/>
          <w:color w:val="auto"/>
          <w:sz w:val="22"/>
          <w:szCs w:val="22"/>
          <w:highlight w:val="none"/>
        </w:rPr>
      </w:pPr>
      <w:r>
        <w:rPr>
          <w:rFonts w:hint="eastAsia" w:ascii="宋体" w:hAnsi="宋体"/>
          <w:b/>
          <w:color w:val="auto"/>
          <w:sz w:val="22"/>
          <w:szCs w:val="22"/>
          <w:highlight w:val="none"/>
        </w:rPr>
        <w:t>附：法定代表人及授权代表的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widowControl/>
        <w:jc w:val="left"/>
        <w:rPr>
          <w:rFonts w:ascii="宋体" w:hAnsi="宋体"/>
          <w:b/>
          <w:bCs/>
          <w:color w:val="auto"/>
          <w:highlight w:val="none"/>
        </w:rPr>
      </w:pPr>
    </w:p>
    <w:p>
      <w:pPr>
        <w:spacing w:line="460" w:lineRule="exact"/>
        <w:rPr>
          <w:rFonts w:ascii="宋体" w:hAnsi="宋体"/>
          <w:color w:val="auto"/>
          <w:sz w:val="22"/>
          <w:szCs w:val="22"/>
          <w:highlight w:val="none"/>
        </w:rPr>
      </w:pPr>
      <w:r>
        <w:rPr>
          <w:rFonts w:hint="eastAsia" w:ascii="宋体" w:hAnsi="宋体"/>
          <w:color w:val="auto"/>
          <w:sz w:val="22"/>
          <w:szCs w:val="22"/>
          <w:highlight w:val="none"/>
        </w:rPr>
        <w:t>说明：</w:t>
      </w:r>
    </w:p>
    <w:p>
      <w:pPr>
        <w:spacing w:line="460" w:lineRule="exact"/>
        <w:rPr>
          <w:rFonts w:ascii="宋体" w:hAnsi="宋体"/>
          <w:color w:val="auto"/>
          <w:sz w:val="22"/>
          <w:szCs w:val="22"/>
          <w:highlight w:val="none"/>
        </w:rPr>
      </w:pPr>
      <w:r>
        <w:rPr>
          <w:rFonts w:hint="eastAsia" w:ascii="宋体" w:hAnsi="宋体" w:cs="Courier New"/>
          <w:b/>
          <w:color w:val="auto"/>
          <w:sz w:val="22"/>
          <w:szCs w:val="22"/>
          <w:highlight w:val="none"/>
        </w:rPr>
        <w:t>1、</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，应提供</w:t>
      </w:r>
      <w:r>
        <w:rPr>
          <w:rFonts w:hint="eastAsia" w:ascii="宋体" w:hAnsi="宋体" w:cs="Courier New"/>
          <w:b/>
          <w:color w:val="auto"/>
          <w:sz w:val="22"/>
          <w:szCs w:val="22"/>
          <w:highlight w:val="none"/>
        </w:rPr>
        <w:t>声明</w:t>
      </w:r>
      <w:r>
        <w:rPr>
          <w:rFonts w:ascii="宋体" w:hAnsi="宋体" w:cs="Courier New"/>
          <w:b/>
          <w:color w:val="auto"/>
          <w:sz w:val="22"/>
          <w:szCs w:val="22"/>
          <w:highlight w:val="none"/>
        </w:rPr>
        <w:t>书（1-1）</w:t>
      </w:r>
      <w:r>
        <w:rPr>
          <w:rFonts w:hint="eastAsia" w:ascii="宋体" w:hAnsi="宋体" w:cs="Courier New"/>
          <w:b/>
          <w:color w:val="auto"/>
          <w:sz w:val="22"/>
          <w:szCs w:val="22"/>
          <w:highlight w:val="none"/>
        </w:rPr>
        <w:t>并提</w:t>
      </w:r>
      <w:r>
        <w:rPr>
          <w:rFonts w:ascii="宋体" w:hAnsi="宋体" w:cs="Courier New"/>
          <w:b/>
          <w:color w:val="auto"/>
          <w:sz w:val="22"/>
          <w:szCs w:val="22"/>
          <w:highlight w:val="none"/>
        </w:rPr>
        <w:t>交</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身份证正反面复印件</w:t>
      </w:r>
      <w:r>
        <w:rPr>
          <w:rFonts w:hint="eastAsia" w:ascii="宋体" w:hAnsi="宋体"/>
          <w:b/>
          <w:color w:val="auto"/>
          <w:sz w:val="22"/>
          <w:szCs w:val="22"/>
          <w:highlight w:val="none"/>
        </w:rPr>
        <w:t>；</w:t>
      </w:r>
    </w:p>
    <w:p>
      <w:pPr>
        <w:spacing w:line="460" w:lineRule="exact"/>
        <w:rPr>
          <w:rFonts w:ascii="宋体" w:hAnsi="宋体"/>
          <w:color w:val="auto"/>
          <w:sz w:val="22"/>
          <w:szCs w:val="22"/>
          <w:highlight w:val="none"/>
        </w:rPr>
      </w:pPr>
      <w:r>
        <w:rPr>
          <w:rFonts w:ascii="宋体" w:hAnsi="宋体" w:cs="Courier New"/>
          <w:b/>
          <w:color w:val="auto"/>
          <w:sz w:val="22"/>
          <w:szCs w:val="22"/>
          <w:highlight w:val="none"/>
        </w:rPr>
        <w:t>2</w:t>
      </w:r>
      <w:r>
        <w:rPr>
          <w:rFonts w:hint="eastAsia" w:ascii="宋体" w:hAnsi="宋体" w:cs="Courier New"/>
          <w:b/>
          <w:color w:val="auto"/>
          <w:sz w:val="22"/>
          <w:szCs w:val="22"/>
          <w:highlight w:val="none"/>
        </w:rPr>
        <w:t>、</w:t>
      </w:r>
      <w:r>
        <w:rPr>
          <w:rFonts w:ascii="宋体" w:hAnsi="宋体" w:cs="Courier New"/>
          <w:b/>
          <w:color w:val="auto"/>
          <w:sz w:val="22"/>
          <w:szCs w:val="22"/>
          <w:highlight w:val="none"/>
        </w:rPr>
        <w:t>若投标人代表为</w:t>
      </w:r>
      <w:r>
        <w:rPr>
          <w:rFonts w:hint="eastAsia" w:ascii="宋体" w:hAnsi="宋体"/>
          <w:b/>
          <w:color w:val="auto"/>
          <w:sz w:val="22"/>
          <w:szCs w:val="22"/>
          <w:highlight w:val="none"/>
        </w:rPr>
        <w:t>法定代表人</w:t>
      </w:r>
      <w:r>
        <w:rPr>
          <w:rFonts w:ascii="宋体" w:hAnsi="宋体" w:cs="Courier New"/>
          <w:b/>
          <w:color w:val="auto"/>
          <w:sz w:val="22"/>
          <w:szCs w:val="22"/>
          <w:highlight w:val="none"/>
        </w:rPr>
        <w:t>授权的委托代理人，应提供授权书（1-2）</w:t>
      </w:r>
      <w:r>
        <w:rPr>
          <w:rFonts w:hint="eastAsia" w:ascii="宋体" w:hAnsi="宋体" w:cs="Courier New"/>
          <w:b/>
          <w:color w:val="auto"/>
          <w:sz w:val="22"/>
          <w:szCs w:val="22"/>
          <w:highlight w:val="none"/>
        </w:rPr>
        <w:t>，并附</w:t>
      </w:r>
      <w:r>
        <w:rPr>
          <w:rFonts w:hint="eastAsia" w:ascii="宋体" w:hAnsi="宋体"/>
          <w:b/>
          <w:color w:val="auto"/>
          <w:sz w:val="22"/>
          <w:szCs w:val="22"/>
          <w:highlight w:val="none"/>
        </w:rPr>
        <w:t>法定代表人及授权代表的</w:t>
      </w:r>
      <w:r>
        <w:rPr>
          <w:rFonts w:ascii="宋体" w:hAnsi="宋体" w:cs="Courier New"/>
          <w:b/>
          <w:color w:val="auto"/>
          <w:sz w:val="22"/>
          <w:szCs w:val="22"/>
          <w:highlight w:val="none"/>
        </w:rPr>
        <w:t>身份证</w:t>
      </w:r>
      <w:r>
        <w:rPr>
          <w:rFonts w:hint="eastAsia" w:ascii="宋体" w:hAnsi="宋体"/>
          <w:b/>
          <w:color w:val="auto"/>
          <w:sz w:val="22"/>
          <w:szCs w:val="22"/>
          <w:highlight w:val="none"/>
        </w:rPr>
        <w:t>正反面复印件</w:t>
      </w:r>
      <w:r>
        <w:rPr>
          <w:rFonts w:hint="eastAsia" w:ascii="宋体" w:hAnsi="宋体" w:cs="Courier New"/>
          <w:b/>
          <w:color w:val="auto"/>
          <w:sz w:val="22"/>
          <w:szCs w:val="22"/>
          <w:highlight w:val="none"/>
        </w:rPr>
        <w:t>。</w:t>
      </w:r>
    </w:p>
    <w:p>
      <w:pPr>
        <w:spacing w:line="460" w:lineRule="exact"/>
        <w:rPr>
          <w:rFonts w:ascii="宋体" w:hAnsi="宋体"/>
          <w:color w:val="auto"/>
          <w:sz w:val="22"/>
          <w:szCs w:val="22"/>
          <w:highlight w:val="none"/>
        </w:rPr>
      </w:pPr>
    </w:p>
    <w:p>
      <w:pPr>
        <w:spacing w:line="380" w:lineRule="exact"/>
        <w:jc w:val="center"/>
        <w:rPr>
          <w:rFonts w:ascii="宋体" w:hAnsi="宋体"/>
          <w:b/>
          <w:bCs/>
          <w:color w:val="auto"/>
          <w:sz w:val="32"/>
          <w:highlight w:val="none"/>
        </w:rPr>
      </w:pPr>
      <w:r>
        <w:rPr>
          <w:rFonts w:hint="eastAsia" w:ascii="宋体" w:hAnsi="宋体"/>
          <w:b/>
          <w:bCs/>
          <w:color w:val="auto"/>
          <w:sz w:val="32"/>
          <w:highlight w:val="none"/>
        </w:rPr>
        <w:br w:type="page"/>
      </w:r>
    </w:p>
    <w:p>
      <w:pPr>
        <w:spacing w:line="380" w:lineRule="exact"/>
        <w:jc w:val="center"/>
        <w:rPr>
          <w:rFonts w:ascii="宋体" w:hAnsi="宋体"/>
          <w:b/>
          <w:bCs/>
          <w:color w:val="auto"/>
          <w:sz w:val="32"/>
          <w:highlight w:val="none"/>
        </w:rPr>
      </w:pPr>
    </w:p>
    <w:p>
      <w:pPr>
        <w:widowControl/>
        <w:adjustRightInd w:val="0"/>
        <w:snapToGrid w:val="0"/>
        <w:spacing w:line="360" w:lineRule="auto"/>
        <w:jc w:val="center"/>
        <w:rPr>
          <w:rFonts w:ascii="宋体" w:hAnsi="宋体"/>
          <w:b/>
          <w:color w:val="auto"/>
          <w:sz w:val="22"/>
          <w:szCs w:val="22"/>
          <w:highlight w:val="none"/>
        </w:rPr>
      </w:pPr>
      <w:r>
        <w:rPr>
          <w:rFonts w:hint="eastAsia" w:ascii="宋体" w:hAnsi="宋体"/>
          <w:b/>
          <w:color w:val="auto"/>
          <w:sz w:val="22"/>
          <w:szCs w:val="22"/>
          <w:highlight w:val="none"/>
        </w:rPr>
        <w:t>（</w:t>
      </w:r>
      <w:r>
        <w:rPr>
          <w:rFonts w:ascii="宋体" w:hAnsi="宋体"/>
          <w:b/>
          <w:color w:val="auto"/>
          <w:sz w:val="22"/>
          <w:szCs w:val="22"/>
          <w:highlight w:val="none"/>
        </w:rPr>
        <w:t>2</w:t>
      </w:r>
      <w:r>
        <w:rPr>
          <w:rFonts w:hint="eastAsia" w:ascii="宋体" w:hAnsi="宋体"/>
          <w:b/>
          <w:color w:val="auto"/>
          <w:sz w:val="22"/>
          <w:szCs w:val="22"/>
          <w:highlight w:val="none"/>
        </w:rPr>
        <w:t>）投标</w:t>
      </w:r>
      <w:r>
        <w:rPr>
          <w:rFonts w:hint="eastAsia" w:ascii="宋体" w:hAnsi="宋体"/>
          <w:b/>
          <w:color w:val="auto"/>
          <w:sz w:val="22"/>
          <w:szCs w:val="22"/>
          <w:highlight w:val="none"/>
          <w:lang w:eastAsia="zh-CN"/>
        </w:rPr>
        <w:t>投标人</w:t>
      </w:r>
      <w:r>
        <w:rPr>
          <w:rFonts w:hint="eastAsia" w:ascii="宋体" w:hAnsi="宋体"/>
          <w:b/>
          <w:color w:val="auto"/>
          <w:sz w:val="22"/>
          <w:szCs w:val="22"/>
          <w:highlight w:val="none"/>
        </w:rPr>
        <w:t>参与政府采购活动投标资格声明函</w:t>
      </w:r>
    </w:p>
    <w:p>
      <w:pPr>
        <w:widowControl/>
        <w:adjustRightInd w:val="0"/>
        <w:snapToGrid w:val="0"/>
        <w:spacing w:line="360" w:lineRule="auto"/>
        <w:jc w:val="left"/>
        <w:rPr>
          <w:rFonts w:ascii="宋体" w:hAnsi="宋体" w:cs="新宋体"/>
          <w:color w:val="auto"/>
          <w:kern w:val="0"/>
          <w:sz w:val="22"/>
          <w:szCs w:val="22"/>
          <w:highlight w:val="none"/>
        </w:rPr>
      </w:pPr>
    </w:p>
    <w:p>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olor w:val="auto"/>
          <w:sz w:val="22"/>
          <w:szCs w:val="22"/>
          <w:highlight w:val="none"/>
          <w:lang w:eastAsia="zh-CN"/>
        </w:rPr>
        <w:t>温州市高教新区发展中心</w:t>
      </w:r>
      <w:r>
        <w:rPr>
          <w:rFonts w:hint="eastAsia" w:ascii="宋体" w:hAnsi="宋体" w:cs="宋体"/>
          <w:color w:val="auto"/>
          <w:kern w:val="0"/>
          <w:sz w:val="22"/>
          <w:szCs w:val="22"/>
          <w:highlight w:val="none"/>
        </w:rPr>
        <w:t>：</w:t>
      </w:r>
    </w:p>
    <w:p>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华诚工程咨询集团有限公司</w:t>
      </w:r>
      <w:r>
        <w:rPr>
          <w:rFonts w:hint="eastAsia" w:ascii="宋体" w:hAnsi="宋体" w:cs="宋体"/>
          <w:color w:val="auto"/>
          <w:kern w:val="0"/>
          <w:sz w:val="22"/>
          <w:szCs w:val="22"/>
          <w:highlight w:val="none"/>
        </w:rPr>
        <w:t>：</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w:t>
      </w:r>
      <w:r>
        <w:rPr>
          <w:rFonts w:hint="eastAsia" w:ascii="宋体" w:hAnsi="宋体" w:cs="宋体"/>
          <w:color w:val="auto"/>
          <w:kern w:val="0"/>
          <w:sz w:val="22"/>
          <w:szCs w:val="22"/>
          <w:highlight w:val="none"/>
          <w:lang w:eastAsia="zh-CN"/>
        </w:rPr>
        <w:t>投标人</w:t>
      </w:r>
      <w:r>
        <w:rPr>
          <w:rFonts w:hint="eastAsia" w:ascii="宋体" w:hAnsi="宋体" w:cs="宋体"/>
          <w:color w:val="auto"/>
          <w:kern w:val="0"/>
          <w:sz w:val="22"/>
          <w:szCs w:val="22"/>
          <w:highlight w:val="none"/>
        </w:rPr>
        <w:t>，一起参加本项目的政府采购活动。</w:t>
      </w:r>
    </w:p>
    <w:p>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的要求，并在谈判响应文件中提供了相应的证明材料（采购文件没有要求特定资格条件的，本条款空格处可以空白）</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pPr>
        <w:widowControl/>
        <w:adjustRightInd w:val="0"/>
        <w:snapToGrid w:val="0"/>
        <w:spacing w:line="360" w:lineRule="auto"/>
        <w:ind w:firstLine="440" w:firstLineChars="200"/>
        <w:jc w:val="left"/>
        <w:rPr>
          <w:rFonts w:ascii="宋体" w:hAnsi="宋体" w:cs="新宋体"/>
          <w:color w:val="auto"/>
          <w:kern w:val="0"/>
          <w:sz w:val="22"/>
          <w:szCs w:val="22"/>
          <w:highlight w:val="none"/>
        </w:rPr>
      </w:pPr>
    </w:p>
    <w:p>
      <w:pPr>
        <w:pStyle w:val="3"/>
        <w:rPr>
          <w:color w:val="auto"/>
          <w:highlight w:val="none"/>
        </w:rPr>
      </w:pP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pPr>
        <w:pStyle w:val="3"/>
        <w:rPr>
          <w:color w:val="auto"/>
          <w:highlight w:val="none"/>
        </w:rPr>
      </w:pPr>
    </w:p>
    <w:p>
      <w:pPr>
        <w:widowControl/>
        <w:adjustRightInd w:val="0"/>
        <w:snapToGrid w:val="0"/>
        <w:spacing w:line="360" w:lineRule="auto"/>
        <w:jc w:val="left"/>
        <w:rPr>
          <w:rFonts w:ascii="宋体" w:hAnsi="宋体"/>
          <w:color w:val="auto"/>
          <w:sz w:val="22"/>
          <w:szCs w:val="22"/>
          <w:highlight w:val="none"/>
        </w:rPr>
      </w:pPr>
      <w:r>
        <w:rPr>
          <w:rFonts w:ascii="宋体" w:hAnsi="宋体" w:cs="新宋体"/>
          <w:color w:val="auto"/>
          <w:kern w:val="0"/>
          <w:sz w:val="22"/>
          <w:szCs w:val="22"/>
          <w:highlight w:val="none"/>
        </w:rPr>
        <w:br w:type="page"/>
      </w:r>
    </w:p>
    <w:p>
      <w:pPr>
        <w:pStyle w:val="34"/>
        <w:snapToGrid w:val="0"/>
        <w:spacing w:line="324" w:lineRule="auto"/>
        <w:jc w:val="center"/>
        <w:rPr>
          <w:rFonts w:hAnsi="宋体"/>
          <w:b/>
          <w:bCs/>
          <w:color w:val="auto"/>
          <w:sz w:val="22"/>
          <w:szCs w:val="22"/>
          <w:highlight w:val="none"/>
        </w:rPr>
      </w:pPr>
      <w:r>
        <w:rPr>
          <w:rFonts w:hint="eastAsia" w:hAnsi="宋体"/>
          <w:b/>
          <w:bCs/>
          <w:color w:val="auto"/>
          <w:sz w:val="22"/>
          <w:szCs w:val="22"/>
          <w:highlight w:val="none"/>
        </w:rPr>
        <w:t>（3）诚信投标承诺书</w:t>
      </w:r>
    </w:p>
    <w:p>
      <w:pPr>
        <w:ind w:right="-153" w:rightChars="-73"/>
        <w:jc w:val="center"/>
        <w:rPr>
          <w:rFonts w:ascii="宋体" w:hAnsi="宋体"/>
          <w:color w:val="auto"/>
          <w:sz w:val="22"/>
          <w:szCs w:val="22"/>
          <w:highlight w:val="none"/>
        </w:rPr>
      </w:pPr>
    </w:p>
    <w:p>
      <w:pPr>
        <w:spacing w:line="520" w:lineRule="exact"/>
        <w:ind w:right="-153" w:rightChars="-73"/>
        <w:rPr>
          <w:rFonts w:ascii="宋体" w:hAnsi="宋体"/>
          <w:color w:val="auto"/>
          <w:sz w:val="22"/>
          <w:szCs w:val="22"/>
          <w:highlight w:val="none"/>
        </w:rPr>
      </w:pPr>
      <w:r>
        <w:rPr>
          <w:rFonts w:hint="eastAsia" w:ascii="宋体" w:hAnsi="宋体"/>
          <w:color w:val="auto"/>
          <w:sz w:val="22"/>
          <w:szCs w:val="22"/>
          <w:highlight w:val="none"/>
        </w:rPr>
        <w:t>本企业郑重承诺：</w:t>
      </w:r>
    </w:p>
    <w:p>
      <w:pPr>
        <w:spacing w:line="5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为了积极配合贵公司组织的</w:t>
      </w:r>
      <w:r>
        <w:rPr>
          <w:rFonts w:hint="eastAsia" w:ascii="宋体" w:hAnsi="宋体"/>
          <w:color w:val="auto"/>
          <w:sz w:val="22"/>
          <w:szCs w:val="22"/>
          <w:highlight w:val="none"/>
          <w:u w:val="single"/>
        </w:rPr>
        <w:t xml:space="preserve"> （项目名称） </w:t>
      </w:r>
      <w:r>
        <w:rPr>
          <w:rFonts w:hint="eastAsia" w:ascii="宋体" w:hAnsi="宋体"/>
          <w:color w:val="auto"/>
          <w:sz w:val="22"/>
          <w:szCs w:val="22"/>
          <w:highlight w:val="none"/>
        </w:rPr>
        <w:t>招标工作，有效遏制不公平竞争和违规违纪问题的发生，确保招标工作的公平、公正、公开，我们保证认真贯彻</w:t>
      </w:r>
      <w:r>
        <w:rPr>
          <w:rFonts w:hint="eastAsia" w:ascii="宋体" w:hAnsi="宋体" w:cs="Century Gothic"/>
          <w:color w:val="auto"/>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color w:val="auto"/>
          <w:sz w:val="22"/>
          <w:szCs w:val="22"/>
          <w:highlight w:val="none"/>
        </w:rPr>
        <w:t>相关规定以及有关廉洁要求，特承诺如下事项：</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自觉遵守国家法律法规及有关廉政建设制度。</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主动了解采购人招投标纪律，积极配合采购人执行招投标廉政建设的有关规定。</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不使用不正当手段妨碍、排挤其它投标人或串通投标。</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按照本招标文件规定的方式进行投标，不隐瞒本单位投标资质的真实情况，投标资质符合规定。</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不向采购人及个人购置或提供通讯工具、交通工具和高档办公用品等。</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不向采购人涉及招标的人员的配偶、子女分包此次招标项目。</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不向采购人及个人支付好处费、介绍费。</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一旦发现相关人员在招标过程中的索要财物等不廉洁行为，坚决予以抵制，并及时向有关纪检监察部门举报。</w:t>
      </w:r>
    </w:p>
    <w:p>
      <w:pPr>
        <w:numPr>
          <w:ilvl w:val="0"/>
          <w:numId w:val="46"/>
        </w:numPr>
        <w:snapToGrid w:val="0"/>
        <w:spacing w:line="500" w:lineRule="exact"/>
        <w:ind w:left="0" w:firstLine="385"/>
        <w:rPr>
          <w:rFonts w:ascii="宋体" w:hAnsi="宋体"/>
          <w:color w:val="auto"/>
          <w:sz w:val="22"/>
          <w:szCs w:val="22"/>
          <w:highlight w:val="none"/>
        </w:rPr>
      </w:pPr>
      <w:r>
        <w:rPr>
          <w:rFonts w:hint="eastAsia" w:ascii="宋体" w:hAnsi="宋体"/>
          <w:color w:val="auto"/>
          <w:sz w:val="22"/>
          <w:szCs w:val="22"/>
          <w:highlight w:val="none"/>
        </w:rPr>
        <w:t>我们若违反上述承诺，愿接受取消投标人资格及其他任何形式的处理。</w:t>
      </w:r>
    </w:p>
    <w:p>
      <w:pPr>
        <w:snapToGrid w:val="0"/>
        <w:spacing w:line="500" w:lineRule="exact"/>
        <w:ind w:firstLine="385" w:firstLineChars="175"/>
        <w:rPr>
          <w:rFonts w:ascii="宋体" w:hAnsi="宋体"/>
          <w:color w:val="auto"/>
          <w:sz w:val="22"/>
          <w:szCs w:val="22"/>
          <w:highlight w:val="none"/>
        </w:rPr>
      </w:pP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投标人名称（盖章）</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法定代表人（负责人）或其授权代表（签字或盖章）：</w:t>
      </w:r>
    </w:p>
    <w:p>
      <w:pPr>
        <w:widowControl/>
        <w:adjustRightInd w:val="0"/>
        <w:snapToGrid w:val="0"/>
        <w:spacing w:line="440" w:lineRule="exact"/>
        <w:ind w:firstLine="440" w:firstLineChars="200"/>
        <w:jc w:val="left"/>
        <w:rPr>
          <w:rFonts w:ascii="宋体" w:cs="Arial"/>
          <w:color w:val="auto"/>
          <w:kern w:val="0"/>
          <w:sz w:val="22"/>
          <w:szCs w:val="22"/>
          <w:highlight w:val="none"/>
        </w:rPr>
      </w:pPr>
      <w:r>
        <w:rPr>
          <w:rFonts w:hint="eastAsia" w:ascii="宋体" w:hAnsi="宋体" w:cs="Arial"/>
          <w:color w:val="auto"/>
          <w:kern w:val="0"/>
          <w:sz w:val="22"/>
          <w:szCs w:val="22"/>
          <w:highlight w:val="none"/>
        </w:rPr>
        <w:t>日期：</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年</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月</w:t>
      </w:r>
      <w:r>
        <w:rPr>
          <w:rFonts w:ascii="宋体" w:hAnsi="宋体" w:cs="Arial"/>
          <w:color w:val="auto"/>
          <w:kern w:val="0"/>
          <w:sz w:val="22"/>
          <w:szCs w:val="22"/>
          <w:highlight w:val="none"/>
        </w:rPr>
        <w:t xml:space="preserve">  </w:t>
      </w:r>
      <w:r>
        <w:rPr>
          <w:rFonts w:hint="eastAsia" w:ascii="宋体" w:hAnsi="宋体" w:cs="Arial"/>
          <w:color w:val="auto"/>
          <w:kern w:val="0"/>
          <w:sz w:val="22"/>
          <w:szCs w:val="22"/>
          <w:highlight w:val="none"/>
        </w:rPr>
        <w:t>日</w:t>
      </w:r>
    </w:p>
    <w:p>
      <w:pPr>
        <w:rPr>
          <w:rFonts w:ascii="宋体"/>
          <w:b/>
          <w:bCs/>
          <w:color w:val="auto"/>
          <w:sz w:val="22"/>
          <w:szCs w:val="22"/>
          <w:highlight w:val="none"/>
        </w:rPr>
      </w:pPr>
      <w:r>
        <w:rPr>
          <w:rFonts w:ascii="宋体"/>
          <w:b/>
          <w:bCs/>
          <w:color w:val="auto"/>
          <w:sz w:val="22"/>
          <w:szCs w:val="22"/>
          <w:highlight w:val="none"/>
        </w:rPr>
        <w:br w:type="page"/>
      </w:r>
    </w:p>
    <w:p>
      <w:pPr>
        <w:spacing w:line="440" w:lineRule="atLeast"/>
        <w:jc w:val="center"/>
        <w:rPr>
          <w:rFonts w:hint="eastAsia" w:ascii="宋体" w:hAnsi="宋体" w:eastAsia="宋体" w:cs="宋体"/>
          <w:b/>
          <w:color w:val="auto"/>
          <w:sz w:val="22"/>
          <w:szCs w:val="22"/>
          <w:highlight w:val="none"/>
        </w:rPr>
      </w:pPr>
      <w:r>
        <w:rPr>
          <w:rFonts w:hint="eastAsia" w:hAnsi="宋体"/>
          <w:b/>
          <w:bCs/>
          <w:color w:val="auto"/>
          <w:sz w:val="22"/>
          <w:szCs w:val="22"/>
          <w:highlight w:val="none"/>
        </w:rPr>
        <w:t>（</w:t>
      </w:r>
      <w:r>
        <w:rPr>
          <w:rFonts w:hint="eastAsia" w:hAnsi="宋体"/>
          <w:b/>
          <w:bCs/>
          <w:color w:val="auto"/>
          <w:sz w:val="22"/>
          <w:szCs w:val="22"/>
          <w:highlight w:val="none"/>
          <w:lang w:val="en-US" w:eastAsia="zh-CN"/>
        </w:rPr>
        <w:t>4</w:t>
      </w:r>
      <w:r>
        <w:rPr>
          <w:rFonts w:hint="eastAsia" w:hAnsi="宋体"/>
          <w:b/>
          <w:bCs/>
          <w:color w:val="auto"/>
          <w:sz w:val="22"/>
          <w:szCs w:val="22"/>
          <w:highlight w:val="none"/>
        </w:rPr>
        <w:t>）</w:t>
      </w:r>
      <w:r>
        <w:rPr>
          <w:rFonts w:hint="eastAsia" w:ascii="宋体" w:hAnsi="宋体" w:eastAsia="宋体" w:cs="宋体"/>
          <w:b/>
          <w:color w:val="auto"/>
          <w:sz w:val="22"/>
          <w:szCs w:val="22"/>
          <w:highlight w:val="none"/>
        </w:rPr>
        <w:t>中小企业声明函</w:t>
      </w:r>
    </w:p>
    <w:p>
      <w:pPr>
        <w:spacing w:after="12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中小企业声明函（工程、服务）</w:t>
      </w:r>
    </w:p>
    <w:p>
      <w:pPr>
        <w:spacing w:before="5" w:after="120" w:line="440" w:lineRule="exact"/>
        <w:rPr>
          <w:rFonts w:hint="eastAsia" w:ascii="宋体" w:hAnsi="宋体" w:eastAsia="宋体" w:cs="宋体"/>
          <w:b/>
          <w:color w:val="auto"/>
          <w:sz w:val="22"/>
          <w:szCs w:val="22"/>
          <w:highlight w:val="none"/>
        </w:rPr>
      </w:pPr>
    </w:p>
    <w:p>
      <w:pPr>
        <w:spacing w:after="120" w:line="480" w:lineRule="exact"/>
        <w:ind w:right="-1"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本公司（联合体）郑重声明，根据《政府采购促进中小企业发展管理办法》（财库﹝2020﹞46号）的规定，本公司（联合体）参加</w:t>
      </w:r>
      <w:r>
        <w:rPr>
          <w:rFonts w:hint="eastAsia" w:ascii="宋体" w:hAnsi="宋体" w:eastAsia="宋体" w:cs="宋体"/>
          <w:i/>
          <w:iCs/>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i/>
          <w:iCs/>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21"/>
        <w:tabs>
          <w:tab w:val="left" w:pos="1025"/>
        </w:tabs>
        <w:spacing w:line="48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i/>
          <w:iCs/>
          <w:color w:val="auto"/>
          <w:sz w:val="22"/>
          <w:szCs w:val="22"/>
          <w:highlight w:val="none"/>
          <w:u w:val="single"/>
        </w:rPr>
        <w:t>（标的名称）</w:t>
      </w:r>
      <w:r>
        <w:rPr>
          <w:rFonts w:hint="eastAsia" w:ascii="宋体" w:hAnsi="宋体" w:eastAsia="宋体" w:cs="宋体"/>
          <w:color w:val="auto"/>
          <w:sz w:val="22"/>
          <w:szCs w:val="22"/>
          <w:highlight w:val="none"/>
        </w:rPr>
        <w:t>，属于</w:t>
      </w:r>
      <w:r>
        <w:rPr>
          <w:rFonts w:hint="eastAsia" w:ascii="宋体" w:hAnsi="宋体" w:eastAsia="宋体" w:cs="宋体"/>
          <w:i/>
          <w:iCs/>
          <w:color w:val="auto"/>
          <w:sz w:val="22"/>
          <w:szCs w:val="22"/>
          <w:highlight w:val="none"/>
          <w:u w:val="single"/>
        </w:rPr>
        <w:t>（招标文件中明确的所属行业）</w:t>
      </w:r>
      <w:r>
        <w:rPr>
          <w:rFonts w:hint="eastAsia" w:ascii="宋体" w:hAnsi="宋体" w:eastAsia="宋体" w:cs="宋体"/>
          <w:color w:val="auto"/>
          <w:sz w:val="22"/>
          <w:szCs w:val="22"/>
          <w:highlight w:val="none"/>
        </w:rPr>
        <w:t>；承建（承接）企业为</w:t>
      </w:r>
      <w:r>
        <w:rPr>
          <w:rFonts w:hint="eastAsia" w:ascii="宋体" w:hAnsi="宋体" w:eastAsia="宋体" w:cs="宋体"/>
          <w:i/>
          <w:iCs/>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i/>
          <w:iCs/>
          <w:color w:val="auto"/>
          <w:sz w:val="22"/>
          <w:szCs w:val="22"/>
          <w:highlight w:val="none"/>
          <w:u w:val="single"/>
        </w:rPr>
        <w:t>（中型企业、小型企业、微型企业）</w:t>
      </w:r>
      <w:r>
        <w:rPr>
          <w:rFonts w:hint="eastAsia" w:ascii="宋体" w:hAnsi="宋体" w:eastAsia="宋体" w:cs="宋体"/>
          <w:color w:val="auto"/>
          <w:sz w:val="22"/>
          <w:szCs w:val="22"/>
          <w:highlight w:val="none"/>
        </w:rPr>
        <w:t>；</w:t>
      </w:r>
    </w:p>
    <w:p>
      <w:pPr>
        <w:pStyle w:val="121"/>
        <w:tabs>
          <w:tab w:val="left" w:pos="1243"/>
          <w:tab w:val="left" w:pos="1806"/>
          <w:tab w:val="left" w:pos="5005"/>
          <w:tab w:val="left" w:pos="7213"/>
        </w:tabs>
        <w:spacing w:line="480" w:lineRule="exact"/>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i/>
          <w:iCs/>
          <w:color w:val="auto"/>
          <w:sz w:val="22"/>
          <w:szCs w:val="22"/>
          <w:highlight w:val="none"/>
          <w:u w:val="single"/>
        </w:rPr>
        <w:t>（标的名称）</w:t>
      </w:r>
      <w:r>
        <w:rPr>
          <w:rFonts w:hint="eastAsia" w:ascii="宋体" w:hAnsi="宋体" w:eastAsia="宋体" w:cs="宋体"/>
          <w:color w:val="auto"/>
          <w:sz w:val="22"/>
          <w:szCs w:val="22"/>
          <w:highlight w:val="none"/>
        </w:rPr>
        <w:t>，属于</w:t>
      </w:r>
      <w:r>
        <w:rPr>
          <w:rFonts w:hint="eastAsia" w:ascii="宋体" w:hAnsi="宋体" w:eastAsia="宋体" w:cs="宋体"/>
          <w:i/>
          <w:iCs/>
          <w:color w:val="auto"/>
          <w:sz w:val="22"/>
          <w:szCs w:val="22"/>
          <w:highlight w:val="none"/>
          <w:u w:val="single"/>
        </w:rPr>
        <w:t>（招标文件中明确的所属行业）</w:t>
      </w:r>
      <w:r>
        <w:rPr>
          <w:rFonts w:hint="eastAsia" w:ascii="宋体" w:hAnsi="宋体" w:eastAsia="宋体" w:cs="宋体"/>
          <w:color w:val="auto"/>
          <w:sz w:val="22"/>
          <w:szCs w:val="22"/>
          <w:highlight w:val="none"/>
        </w:rPr>
        <w:t>；承建（承接）企业为</w:t>
      </w:r>
      <w:r>
        <w:rPr>
          <w:rFonts w:hint="eastAsia" w:ascii="宋体" w:hAnsi="宋体" w:eastAsia="宋体" w:cs="宋体"/>
          <w:i/>
          <w:iCs/>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i/>
          <w:iCs/>
          <w:color w:val="auto"/>
          <w:sz w:val="22"/>
          <w:szCs w:val="22"/>
          <w:highlight w:val="none"/>
          <w:u w:val="single"/>
        </w:rPr>
        <w:t>（中型企业、小型企业、微型企业）</w:t>
      </w:r>
      <w:r>
        <w:rPr>
          <w:rFonts w:hint="eastAsia" w:ascii="宋体" w:hAnsi="宋体" w:eastAsia="宋体" w:cs="宋体"/>
          <w:color w:val="auto"/>
          <w:sz w:val="22"/>
          <w:szCs w:val="22"/>
          <w:highlight w:val="none"/>
        </w:rPr>
        <w:t>；</w:t>
      </w:r>
    </w:p>
    <w:p>
      <w:pPr>
        <w:spacing w:before="11" w:after="120" w:line="480" w:lineRule="exact"/>
        <w:ind w:left="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pPr>
        <w:spacing w:before="108" w:after="120" w:line="480" w:lineRule="exact"/>
        <w:ind w:right="417" w:firstLine="645"/>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spacing w:after="120" w:line="480" w:lineRule="exact"/>
        <w:ind w:right="375" w:firstLine="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pPr>
        <w:spacing w:before="29" w:after="120" w:line="480" w:lineRule="exact"/>
        <w:ind w:left="4060" w:right="2166"/>
        <w:jc w:val="left"/>
        <w:rPr>
          <w:rFonts w:hint="eastAsia" w:ascii="宋体" w:hAnsi="宋体" w:eastAsia="宋体" w:cs="宋体"/>
          <w:color w:val="auto"/>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748"/>
        <w:spacing w:before="60" w:after="60"/>
        <w:rPr>
          <w:rFonts w:hint="eastAsia" w:ascii="宋体" w:hAnsi="宋体" w:eastAsia="宋体" w:cs="宋体"/>
          <w:color w:val="auto"/>
          <w:sz w:val="22"/>
          <w:szCs w:val="22"/>
          <w:highlight w:val="none"/>
        </w:rPr>
      </w:pPr>
    </w:p>
    <w:p>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pPr>
        <w:numPr>
          <w:ilvl w:val="0"/>
          <w:numId w:val="47"/>
        </w:numPr>
        <w:tabs>
          <w:tab w:val="left" w:pos="420"/>
        </w:tabs>
        <w:spacing w:line="400" w:lineRule="exact"/>
        <w:ind w:left="425" w:leftChars="0" w:hanging="425"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本项目为对应的中小企业划分标准所属行业：其他未列明业。</w:t>
      </w:r>
    </w:p>
    <w:p>
      <w:pPr>
        <w:numPr>
          <w:ilvl w:val="0"/>
          <w:numId w:val="47"/>
        </w:numPr>
        <w:tabs>
          <w:tab w:val="left" w:pos="420"/>
        </w:tabs>
        <w:spacing w:line="400" w:lineRule="exact"/>
        <w:ind w:left="425" w:leftChars="0" w:hanging="425"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从业人员、营业收入、资产总额填报上一年度数据，无上一年度数据的新成立企业可不填报。</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before="240" w:beforeLines="100" w:line="440" w:lineRule="atLeast"/>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pPr>
        <w:spacing w:line="440" w:lineRule="atLeast"/>
        <w:rPr>
          <w:rFonts w:hint="eastAsia" w:ascii="宋体" w:hAnsi="宋体" w:eastAsia="宋体" w:cs="宋体"/>
          <w:color w:val="auto"/>
          <w:sz w:val="22"/>
          <w:szCs w:val="22"/>
          <w:highlight w:val="none"/>
        </w:rPr>
      </w:pPr>
    </w:p>
    <w:p>
      <w:pPr>
        <w:spacing w:line="440" w:lineRule="atLeas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324" w:lineRule="auto"/>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300" w:lineRule="auto"/>
        <w:jc w:val="center"/>
        <w:rPr>
          <w:rFonts w:hint="eastAsia" w:ascii="宋体" w:hAnsi="宋体" w:eastAsia="宋体" w:cs="宋体"/>
          <w:b/>
          <w:bCs/>
          <w:color w:val="auto"/>
          <w:sz w:val="22"/>
          <w:szCs w:val="22"/>
          <w:highlight w:val="none"/>
        </w:rPr>
      </w:pP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（采购人名称）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300" w:lineRule="auto"/>
        <w:ind w:firstLine="464" w:firstLineChars="200"/>
        <w:rPr>
          <w:rFonts w:hint="eastAsia" w:ascii="宋体" w:hAnsi="宋体" w:eastAsia="宋体" w:cs="宋体"/>
          <w:color w:val="auto"/>
          <w:spacing w:val="6"/>
          <w:sz w:val="22"/>
          <w:szCs w:val="22"/>
          <w:highlight w:val="none"/>
        </w:rPr>
      </w:pPr>
    </w:p>
    <w:p>
      <w:pPr>
        <w:snapToGrid w:val="0"/>
        <w:spacing w:line="300" w:lineRule="auto"/>
        <w:ind w:firstLine="464" w:firstLineChars="200"/>
        <w:rPr>
          <w:rFonts w:hint="eastAsia" w:ascii="宋体" w:hAnsi="宋体" w:eastAsia="宋体" w:cs="宋体"/>
          <w:color w:val="auto"/>
          <w:spacing w:val="6"/>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pPr>
        <w:pStyle w:val="42"/>
        <w:rPr>
          <w:rFonts w:hint="eastAsia" w:ascii="宋体" w:hAnsi="宋体" w:eastAsia="宋体" w:cs="宋体"/>
          <w:color w:val="auto"/>
          <w:highlight w:val="none"/>
        </w:rPr>
      </w:pPr>
    </w:p>
    <w:p>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pPr>
        <w:spacing w:line="440" w:lineRule="atLeast"/>
        <w:rPr>
          <w:rFonts w:hint="eastAsia" w:ascii="宋体" w:hAnsi="宋体" w:eastAsia="宋体" w:cs="宋体"/>
          <w:color w:val="auto"/>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spacing w:val="6"/>
          <w:sz w:val="22"/>
          <w:szCs w:val="22"/>
          <w:highlight w:val="none"/>
        </w:rPr>
        <w:t>监狱企业声明函</w:t>
      </w:r>
    </w:p>
    <w:p>
      <w:pPr>
        <w:snapToGrid w:val="0"/>
        <w:spacing w:line="300" w:lineRule="auto"/>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根据上述标准，我企业属于监狱企业的理由为：。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p>
    <w:p>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75"/>
        <w:rPr>
          <w:rFonts w:hint="eastAsia" w:ascii="宋体" w:hAnsi="宋体" w:eastAsia="宋体" w:cs="宋体"/>
          <w:color w:val="auto"/>
          <w:sz w:val="22"/>
          <w:szCs w:val="22"/>
          <w:highlight w:val="none"/>
        </w:rPr>
      </w:pPr>
    </w:p>
    <w:p>
      <w:pPr>
        <w:pStyle w:val="75"/>
        <w:rPr>
          <w:rFonts w:hint="eastAsia" w:ascii="宋体" w:hAnsi="宋体" w:eastAsia="宋体" w:cs="宋体"/>
          <w:color w:val="auto"/>
          <w:sz w:val="22"/>
          <w:szCs w:val="22"/>
          <w:highlight w:val="none"/>
        </w:rPr>
      </w:pPr>
    </w:p>
    <w:p>
      <w:pPr>
        <w:spacing w:line="380" w:lineRule="exact"/>
        <w:rPr>
          <w:rFonts w:ascii="宋体"/>
          <w:b/>
          <w:bCs/>
          <w:color w:val="auto"/>
          <w:sz w:val="22"/>
          <w:szCs w:val="22"/>
          <w:highlight w:val="none"/>
        </w:rPr>
      </w:pPr>
    </w:p>
    <w:p>
      <w:pPr>
        <w:rPr>
          <w:rFonts w:ascii="宋体"/>
          <w:b/>
          <w:bCs/>
          <w:color w:val="auto"/>
          <w:sz w:val="22"/>
          <w:szCs w:val="22"/>
          <w:highlight w:val="none"/>
        </w:rPr>
      </w:pPr>
      <w:r>
        <w:rPr>
          <w:rFonts w:ascii="宋体"/>
          <w:b/>
          <w:bCs/>
          <w:color w:val="auto"/>
          <w:sz w:val="22"/>
          <w:szCs w:val="22"/>
          <w:highlight w:val="none"/>
        </w:rPr>
        <w:br w:type="page"/>
      </w: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 xml:space="preserve">附件二 </w:t>
      </w: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1）投标报价一览表</w:t>
      </w:r>
    </w:p>
    <w:p>
      <w:pPr>
        <w:spacing w:line="380" w:lineRule="exact"/>
        <w:jc w:val="center"/>
        <w:rPr>
          <w:rFonts w:ascii="宋体" w:hAnsi="宋体"/>
          <w:b/>
          <w:bCs/>
          <w:color w:val="auto"/>
          <w:sz w:val="28"/>
          <w:highlight w:val="none"/>
        </w:rPr>
      </w:pPr>
    </w:p>
    <w:p>
      <w:pPr>
        <w:spacing w:line="380" w:lineRule="exact"/>
        <w:ind w:right="349" w:rightChars="166"/>
        <w:rPr>
          <w:rFonts w:ascii="宋体"/>
          <w:b/>
          <w:color w:val="auto"/>
          <w:sz w:val="22"/>
          <w:highlight w:val="none"/>
        </w:rPr>
      </w:pPr>
      <w:r>
        <w:rPr>
          <w:rFonts w:hint="eastAsia" w:ascii="宋体" w:hAnsi="宋体"/>
          <w:b/>
          <w:color w:val="auto"/>
          <w:sz w:val="22"/>
          <w:highlight w:val="none"/>
        </w:rPr>
        <w:t xml:space="preserve">                                                    </w:t>
      </w:r>
      <w:r>
        <w:rPr>
          <w:rFonts w:hint="eastAsia" w:ascii="宋体" w:hAnsi="宋体"/>
          <w:b/>
          <w:color w:val="auto"/>
          <w:sz w:val="22"/>
          <w:highlight w:val="none"/>
          <w:lang w:val="en-US" w:eastAsia="zh-CN"/>
        </w:rPr>
        <w:t xml:space="preserve">                 </w:t>
      </w:r>
      <w:r>
        <w:rPr>
          <w:rFonts w:hint="eastAsia" w:ascii="宋体" w:hAnsi="宋体"/>
          <w:b/>
          <w:color w:val="auto"/>
          <w:sz w:val="22"/>
          <w:highlight w:val="none"/>
        </w:rPr>
        <w:t xml:space="preserve"> 单位：人民币元</w:t>
      </w:r>
    </w:p>
    <w:tbl>
      <w:tblPr>
        <w:tblStyle w:val="62"/>
        <w:tblW w:w="94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1486"/>
        <w:gridCol w:w="197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3949" w:type="dxa"/>
            <w:noWrap w:val="0"/>
            <w:vAlign w:val="center"/>
          </w:tcPr>
          <w:p>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报价内容</w:t>
            </w:r>
          </w:p>
        </w:tc>
        <w:tc>
          <w:tcPr>
            <w:tcW w:w="1486" w:type="dxa"/>
            <w:noWrap w:val="0"/>
            <w:vAlign w:val="center"/>
          </w:tcPr>
          <w:p>
            <w:pPr>
              <w:spacing w:line="460" w:lineRule="exact"/>
              <w:ind w:right="-21" w:rightChars="-10"/>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报价服务期</w:t>
            </w:r>
          </w:p>
        </w:tc>
        <w:tc>
          <w:tcPr>
            <w:tcW w:w="1977" w:type="dxa"/>
            <w:noWrap w:val="0"/>
            <w:vAlign w:val="center"/>
          </w:tcPr>
          <w:p>
            <w:pPr>
              <w:spacing w:line="460" w:lineRule="exact"/>
              <w:ind w:right="-21" w:rightChars="-10"/>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每年</w:t>
            </w:r>
            <w:r>
              <w:rPr>
                <w:rFonts w:hint="eastAsia" w:ascii="新宋体" w:hAnsi="新宋体" w:eastAsia="新宋体" w:cs="新宋体"/>
                <w:b/>
                <w:bCs/>
                <w:color w:val="auto"/>
                <w:sz w:val="22"/>
                <w:szCs w:val="22"/>
                <w:highlight w:val="none"/>
              </w:rPr>
              <w:t>投标</w:t>
            </w:r>
            <w:r>
              <w:rPr>
                <w:rFonts w:hint="eastAsia" w:ascii="新宋体" w:hAnsi="新宋体" w:eastAsia="新宋体" w:cs="新宋体"/>
                <w:b/>
                <w:bCs/>
                <w:color w:val="auto"/>
                <w:sz w:val="22"/>
                <w:szCs w:val="22"/>
                <w:highlight w:val="none"/>
                <w:lang w:val="en-US" w:eastAsia="zh-CN"/>
              </w:rPr>
              <w:t>单价</w:t>
            </w:r>
          </w:p>
        </w:tc>
        <w:tc>
          <w:tcPr>
            <w:tcW w:w="2086" w:type="dxa"/>
            <w:noWrap w:val="0"/>
            <w:vAlign w:val="center"/>
          </w:tcPr>
          <w:p>
            <w:pPr>
              <w:spacing w:line="460" w:lineRule="exact"/>
              <w:ind w:right="-21" w:rightChars="-10"/>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3949" w:type="dxa"/>
            <w:noWrap w:val="0"/>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温州大罗山基金（天使）村</w:t>
            </w:r>
            <w:r>
              <w:rPr>
                <w:rFonts w:hint="eastAsia" w:ascii="新宋体" w:hAnsi="新宋体" w:eastAsia="新宋体" w:cs="新宋体"/>
                <w:color w:val="auto"/>
                <w:sz w:val="22"/>
                <w:szCs w:val="22"/>
                <w:highlight w:val="none"/>
              </w:rPr>
              <w:t>运营服务</w:t>
            </w:r>
          </w:p>
        </w:tc>
        <w:tc>
          <w:tcPr>
            <w:tcW w:w="1486" w:type="dxa"/>
            <w:noWrap w:val="0"/>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年</w:t>
            </w:r>
          </w:p>
        </w:tc>
        <w:tc>
          <w:tcPr>
            <w:tcW w:w="1977" w:type="dxa"/>
            <w:noWrap w:val="0"/>
            <w:vAlign w:val="center"/>
          </w:tcPr>
          <w:p>
            <w:pPr>
              <w:spacing w:line="460" w:lineRule="exact"/>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 xml:space="preserve">                    </w:t>
            </w:r>
          </w:p>
        </w:tc>
        <w:tc>
          <w:tcPr>
            <w:tcW w:w="2086" w:type="dxa"/>
            <w:noWrap w:val="0"/>
            <w:vAlign w:val="center"/>
          </w:tcPr>
          <w:p>
            <w:pPr>
              <w:jc w:val="center"/>
              <w:rPr>
                <w:rFonts w:hint="eastAsia" w:ascii="新宋体" w:hAnsi="新宋体" w:eastAsia="新宋体" w:cs="新宋体"/>
                <w:color w:val="auto"/>
                <w:sz w:val="22"/>
                <w:szCs w:val="22"/>
                <w:highlight w:val="none"/>
              </w:rPr>
            </w:pPr>
          </w:p>
        </w:tc>
      </w:tr>
    </w:tbl>
    <w:p>
      <w:pPr>
        <w:spacing w:line="380" w:lineRule="exact"/>
        <w:ind w:left="528" w:leftChars="-15" w:hanging="559" w:hangingChars="253"/>
        <w:rPr>
          <w:rFonts w:ascii="宋体"/>
          <w:b/>
          <w:color w:val="auto"/>
          <w:sz w:val="22"/>
          <w:highlight w:val="none"/>
        </w:rPr>
      </w:pPr>
      <w:r>
        <w:rPr>
          <w:rFonts w:hint="eastAsia" w:ascii="宋体" w:hAnsi="宋体"/>
          <w:b/>
          <w:color w:val="auto"/>
          <w:sz w:val="22"/>
          <w:highlight w:val="none"/>
        </w:rPr>
        <w:t>说明：</w:t>
      </w:r>
    </w:p>
    <w:p>
      <w:pPr>
        <w:spacing w:line="380" w:lineRule="exact"/>
        <w:ind w:left="530" w:leftChars="-14" w:hanging="559" w:hangingChars="253"/>
        <w:rPr>
          <w:rFonts w:ascii="宋体" w:hAnsi="宋体" w:cs="Arial"/>
          <w:b/>
          <w:bCs/>
          <w:color w:val="auto"/>
          <w:sz w:val="22"/>
          <w:szCs w:val="22"/>
          <w:highlight w:val="none"/>
        </w:rPr>
      </w:pPr>
      <w:r>
        <w:rPr>
          <w:rFonts w:ascii="宋体" w:hAnsi="宋体" w:cs="Arial"/>
          <w:b/>
          <w:bCs/>
          <w:color w:val="auto"/>
          <w:sz w:val="22"/>
          <w:szCs w:val="22"/>
          <w:highlight w:val="none"/>
        </w:rPr>
        <w:t>1</w:t>
      </w:r>
      <w:r>
        <w:rPr>
          <w:rFonts w:hint="eastAsia" w:ascii="宋体" w:hAnsi="宋体" w:cs="Arial"/>
          <w:b/>
          <w:bCs/>
          <w:color w:val="auto"/>
          <w:sz w:val="22"/>
          <w:szCs w:val="22"/>
          <w:highlight w:val="none"/>
        </w:rPr>
        <w:t>、▲</w:t>
      </w:r>
      <w:r>
        <w:rPr>
          <w:rFonts w:hint="eastAsia" w:ascii="宋体" w:hAnsi="宋体"/>
          <w:b/>
          <w:bCs/>
          <w:color w:val="auto"/>
          <w:sz w:val="22"/>
          <w:szCs w:val="22"/>
          <w:highlight w:val="none"/>
          <w:u w:val="single"/>
          <w:lang w:val="en-US" w:eastAsia="zh-CN"/>
        </w:rPr>
        <w:t>本项目设有最高限价，运营服务费最高限价为4200万元，每年运营服务费最高限价为1400万元，3年共为4200万元</w:t>
      </w:r>
      <w:r>
        <w:rPr>
          <w:rFonts w:hint="eastAsia" w:ascii="宋体" w:hAnsi="宋体" w:eastAsia="宋体" w:cs="宋体"/>
          <w:color w:val="auto"/>
          <w:kern w:val="0"/>
          <w:sz w:val="22"/>
          <w:szCs w:val="22"/>
          <w:highlight w:val="none"/>
        </w:rPr>
        <w:t>。</w:t>
      </w:r>
      <w:r>
        <w:rPr>
          <w:rFonts w:hint="eastAsia" w:ascii="宋体" w:hAnsi="宋体"/>
          <w:b/>
          <w:color w:val="auto"/>
          <w:sz w:val="22"/>
          <w:szCs w:val="22"/>
          <w:highlight w:val="none"/>
          <w:u w:val="single"/>
        </w:rPr>
        <w:t>如</w:t>
      </w:r>
      <w:r>
        <w:rPr>
          <w:rFonts w:hint="eastAsia" w:ascii="宋体" w:hAnsi="宋体"/>
          <w:b/>
          <w:color w:val="auto"/>
          <w:sz w:val="22"/>
          <w:szCs w:val="22"/>
          <w:highlight w:val="none"/>
          <w:u w:val="single"/>
          <w:lang w:eastAsia="zh-CN"/>
        </w:rPr>
        <w:t>投标人</w:t>
      </w:r>
      <w:r>
        <w:rPr>
          <w:rFonts w:hint="eastAsia" w:ascii="宋体" w:hAnsi="宋体"/>
          <w:b/>
          <w:color w:val="auto"/>
          <w:sz w:val="22"/>
          <w:szCs w:val="22"/>
          <w:highlight w:val="none"/>
          <w:u w:val="single"/>
        </w:rPr>
        <w:t>报价超过</w:t>
      </w:r>
      <w:r>
        <w:rPr>
          <w:rFonts w:hint="eastAsia" w:ascii="宋体" w:hAnsi="宋体"/>
          <w:b/>
          <w:color w:val="auto"/>
          <w:sz w:val="22"/>
          <w:szCs w:val="22"/>
          <w:highlight w:val="none"/>
          <w:u w:val="single"/>
          <w:lang w:val="en-US" w:eastAsia="zh-CN"/>
        </w:rPr>
        <w:t>最高限价</w:t>
      </w:r>
      <w:r>
        <w:rPr>
          <w:rFonts w:hint="eastAsia" w:ascii="宋体" w:hAnsi="宋体"/>
          <w:b/>
          <w:color w:val="auto"/>
          <w:sz w:val="22"/>
          <w:szCs w:val="22"/>
          <w:highlight w:val="none"/>
          <w:u w:val="single"/>
        </w:rPr>
        <w:t>，其</w:t>
      </w:r>
      <w:r>
        <w:rPr>
          <w:rFonts w:hint="eastAsia" w:ascii="宋体" w:hAnsi="宋体"/>
          <w:b/>
          <w:color w:val="auto"/>
          <w:sz w:val="22"/>
          <w:szCs w:val="22"/>
          <w:highlight w:val="none"/>
          <w:u w:val="single"/>
          <w:lang w:eastAsia="zh-CN"/>
        </w:rPr>
        <w:t>投标文件</w:t>
      </w:r>
      <w:r>
        <w:rPr>
          <w:rFonts w:hint="eastAsia" w:ascii="宋体" w:hAnsi="宋体"/>
          <w:b/>
          <w:color w:val="auto"/>
          <w:sz w:val="22"/>
          <w:szCs w:val="22"/>
          <w:highlight w:val="none"/>
          <w:u w:val="single"/>
        </w:rPr>
        <w:t>作无效标处理</w:t>
      </w:r>
      <w:r>
        <w:rPr>
          <w:rFonts w:hint="eastAsia" w:ascii="宋体" w:hAnsi="宋体" w:cs="Arial"/>
          <w:color w:val="auto"/>
          <w:sz w:val="22"/>
          <w:highlight w:val="none"/>
        </w:rPr>
        <w:t>。</w:t>
      </w:r>
    </w:p>
    <w:p>
      <w:pPr>
        <w:spacing w:line="45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2、</w:t>
      </w:r>
      <w:r>
        <w:rPr>
          <w:rFonts w:hint="eastAsia" w:ascii="新宋体" w:hAnsi="新宋体" w:eastAsia="新宋体"/>
          <w:b/>
          <w:color w:val="auto"/>
          <w:sz w:val="22"/>
          <w:highlight w:val="none"/>
          <w:u w:val="single"/>
        </w:rPr>
        <w:t>本项目投标报价为</w:t>
      </w:r>
      <w:r>
        <w:rPr>
          <w:rFonts w:hint="eastAsia" w:ascii="新宋体" w:hAnsi="新宋体" w:eastAsia="新宋体"/>
          <w:b/>
          <w:color w:val="auto"/>
          <w:sz w:val="22"/>
          <w:highlight w:val="none"/>
          <w:u w:val="single"/>
          <w:lang w:val="en-US" w:eastAsia="zh-CN"/>
        </w:rPr>
        <w:t>三</w:t>
      </w:r>
      <w:r>
        <w:rPr>
          <w:rFonts w:hint="eastAsia" w:ascii="新宋体" w:hAnsi="新宋体" w:eastAsia="新宋体"/>
          <w:b/>
          <w:color w:val="auto"/>
          <w:sz w:val="22"/>
          <w:highlight w:val="none"/>
          <w:u w:val="single"/>
        </w:rPr>
        <w:t>年运营服务费合计总价，投标报价为</w:t>
      </w:r>
      <w:r>
        <w:rPr>
          <w:rFonts w:hint="eastAsia" w:ascii="新宋体" w:hAnsi="新宋体" w:eastAsia="新宋体"/>
          <w:b/>
          <w:color w:val="auto"/>
          <w:sz w:val="22"/>
          <w:highlight w:val="none"/>
          <w:u w:val="single"/>
          <w:lang w:val="zh-CN"/>
        </w:rPr>
        <w:t>包括</w:t>
      </w:r>
      <w:r>
        <w:rPr>
          <w:rFonts w:hint="eastAsia" w:ascii="新宋体" w:hAnsi="新宋体" w:eastAsia="新宋体"/>
          <w:b/>
          <w:color w:val="auto"/>
          <w:sz w:val="22"/>
          <w:highlight w:val="none"/>
          <w:u w:val="single"/>
        </w:rPr>
        <w:t>整体招商、商务考察、运营管理、品牌建设</w:t>
      </w:r>
      <w:r>
        <w:rPr>
          <w:rFonts w:hint="eastAsia" w:ascii="新宋体" w:hAnsi="新宋体" w:eastAsia="新宋体"/>
          <w:b/>
          <w:color w:val="auto"/>
          <w:sz w:val="22"/>
          <w:highlight w:val="none"/>
          <w:u w:val="single"/>
          <w:lang w:val="zh-CN"/>
        </w:rPr>
        <w:t>，并协助招标人开展相关活动等涉及本项目各项服务所发生的全部费用及乙方的利润和应交纳的税金等</w:t>
      </w:r>
      <w:r>
        <w:rPr>
          <w:rFonts w:hint="eastAsia" w:ascii="新宋体" w:hAnsi="新宋体" w:eastAsia="新宋体"/>
          <w:b/>
          <w:color w:val="auto"/>
          <w:sz w:val="22"/>
          <w:highlight w:val="none"/>
          <w:u w:val="single"/>
        </w:rPr>
        <w:t>完成合同所需的一切本身和不可或缺的所有工作开支、政策性文件规定及合同包含的所有风险、责任等各项全部费用。</w:t>
      </w:r>
    </w:p>
    <w:p>
      <w:pPr>
        <w:spacing w:line="380" w:lineRule="exact"/>
        <w:ind w:left="528" w:leftChars="38" w:hanging="448" w:hangingChars="203"/>
        <w:rPr>
          <w:rFonts w:ascii="宋体" w:hAnsi="宋体"/>
          <w:b/>
          <w:color w:val="auto"/>
          <w:sz w:val="22"/>
          <w:highlight w:val="none"/>
        </w:rPr>
      </w:pPr>
      <w:r>
        <w:rPr>
          <w:rFonts w:hint="eastAsia" w:ascii="新宋体" w:hAnsi="新宋体" w:eastAsia="新宋体"/>
          <w:b/>
          <w:color w:val="auto"/>
          <w:sz w:val="22"/>
          <w:highlight w:val="none"/>
        </w:rPr>
        <w:t>3、</w:t>
      </w:r>
      <w:r>
        <w:rPr>
          <w:rFonts w:hint="eastAsia" w:ascii="宋体" w:hAnsi="宋体" w:cs="Arial"/>
          <w:b/>
          <w:bCs/>
          <w:color w:val="auto"/>
          <w:sz w:val="22"/>
          <w:szCs w:val="22"/>
          <w:highlight w:val="none"/>
        </w:rPr>
        <w:t>▲</w:t>
      </w:r>
      <w:r>
        <w:rPr>
          <w:rFonts w:hint="eastAsia" w:ascii="宋体" w:hAnsi="宋体" w:cs="Arial"/>
          <w:b/>
          <w:color w:val="auto"/>
          <w:sz w:val="22"/>
          <w:szCs w:val="22"/>
          <w:highlight w:val="none"/>
          <w:u w:val="single"/>
        </w:rPr>
        <w:t>不按要求提供开标一览表的投标文件将被视为未实质性响应招标文件</w:t>
      </w:r>
      <w:r>
        <w:rPr>
          <w:rFonts w:hint="eastAsia" w:ascii="宋体" w:hAnsi="宋体"/>
          <w:b/>
          <w:color w:val="auto"/>
          <w:sz w:val="22"/>
          <w:highlight w:val="none"/>
          <w:u w:val="single"/>
        </w:rPr>
        <w:t>。</w:t>
      </w:r>
    </w:p>
    <w:p>
      <w:pPr>
        <w:spacing w:line="380" w:lineRule="exact"/>
        <w:ind w:firstLine="660" w:firstLineChars="300"/>
        <w:rPr>
          <w:rFonts w:ascii="宋体" w:hAnsi="宋体"/>
          <w:color w:val="auto"/>
          <w:sz w:val="22"/>
          <w:szCs w:val="22"/>
          <w:highlight w:val="none"/>
        </w:rPr>
      </w:pPr>
    </w:p>
    <w:p>
      <w:pPr>
        <w:pStyle w:val="75"/>
        <w:rPr>
          <w:color w:val="auto"/>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日 期：  年  月  日</w:t>
      </w:r>
    </w:p>
    <w:p>
      <w:pPr>
        <w:spacing w:line="460" w:lineRule="exact"/>
        <w:rPr>
          <w:rFonts w:hint="eastAsia" w:ascii="宋体" w:hAnsi="宋体"/>
          <w:color w:val="auto"/>
          <w:sz w:val="22"/>
          <w:szCs w:val="22"/>
          <w:highlight w:val="none"/>
        </w:rPr>
        <w:sectPr>
          <w:pgSz w:w="11906" w:h="16838"/>
          <w:pgMar w:top="1440" w:right="1080" w:bottom="1440" w:left="1080" w:header="851" w:footer="851" w:gutter="0"/>
          <w:pgNumType w:fmt="decimal"/>
          <w:cols w:space="720" w:num="1"/>
          <w:titlePg/>
          <w:docGrid w:linePitch="312" w:charSpace="0"/>
        </w:sectPr>
      </w:pPr>
      <w:r>
        <w:rPr>
          <w:rFonts w:hint="eastAsia" w:ascii="宋体" w:hAnsi="宋体"/>
          <w:color w:val="auto"/>
          <w:sz w:val="22"/>
          <w:szCs w:val="22"/>
          <w:highlight w:val="none"/>
        </w:rPr>
        <w:br w:type="page"/>
      </w:r>
    </w:p>
    <w:p>
      <w:pPr>
        <w:numPr>
          <w:ilvl w:val="0"/>
          <w:numId w:val="0"/>
        </w:num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rPr>
        <w:t>投标分项报价表</w:t>
      </w:r>
    </w:p>
    <w:p>
      <w:pPr>
        <w:rPr>
          <w:rFonts w:hint="eastAsia"/>
          <w:color w:val="auto"/>
          <w:highlight w:val="none"/>
        </w:rPr>
      </w:pPr>
    </w:p>
    <w:p>
      <w:pPr>
        <w:spacing w:line="400" w:lineRule="exact"/>
        <w:jc w:val="center"/>
        <w:outlineLvl w:val="4"/>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运营服务费</w:t>
      </w:r>
    </w:p>
    <w:p>
      <w:pPr>
        <w:spacing w:line="460" w:lineRule="exact"/>
        <w:ind w:firstLine="880"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p>
    <w:tbl>
      <w:tblPr>
        <w:tblStyle w:val="62"/>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12"/>
        <w:gridCol w:w="1875"/>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12" w:type="dxa"/>
            <w:noWrap w:val="0"/>
            <w:vAlign w:val="center"/>
          </w:tcPr>
          <w:p>
            <w:pPr>
              <w:widowControl/>
              <w:spacing w:line="560" w:lineRule="exact"/>
              <w:ind w:firstLine="48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项目名称</w:t>
            </w:r>
          </w:p>
        </w:tc>
        <w:tc>
          <w:tcPr>
            <w:tcW w:w="1875" w:type="dxa"/>
            <w:noWrap w:val="0"/>
            <w:vAlign w:val="center"/>
          </w:tcPr>
          <w:p>
            <w:pPr>
              <w:widowControl/>
              <w:spacing w:line="560" w:lineRule="exact"/>
              <w:ind w:firstLine="48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金额（元）</w:t>
            </w:r>
          </w:p>
        </w:tc>
        <w:tc>
          <w:tcPr>
            <w:tcW w:w="3069" w:type="dxa"/>
            <w:noWrap w:val="0"/>
            <w:vAlign w:val="center"/>
          </w:tcPr>
          <w:p>
            <w:pPr>
              <w:widowControl/>
              <w:spacing w:line="560" w:lineRule="exact"/>
              <w:ind w:firstLine="48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jc w:val="center"/>
              <w:rPr>
                <w:rFonts w:hint="eastAsia" w:ascii="仿宋" w:hAnsi="仿宋" w:eastAsia="仿宋" w:cs="仿宋"/>
                <w:color w:val="auto"/>
                <w:sz w:val="24"/>
                <w:highlight w:val="none"/>
              </w:rPr>
            </w:pPr>
          </w:p>
        </w:tc>
        <w:tc>
          <w:tcPr>
            <w:tcW w:w="1875"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06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jc w:val="center"/>
              <w:rPr>
                <w:rFonts w:hint="eastAsia" w:ascii="仿宋" w:hAnsi="仿宋" w:eastAsia="仿宋" w:cs="仿宋"/>
                <w:color w:val="auto"/>
                <w:sz w:val="24"/>
                <w:highlight w:val="none"/>
              </w:rPr>
            </w:pPr>
          </w:p>
        </w:tc>
        <w:tc>
          <w:tcPr>
            <w:tcW w:w="1875"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06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jc w:val="center"/>
              <w:rPr>
                <w:rFonts w:hint="eastAsia" w:ascii="仿宋" w:hAnsi="仿宋" w:eastAsia="仿宋" w:cs="仿宋"/>
                <w:color w:val="auto"/>
                <w:sz w:val="24"/>
                <w:highlight w:val="none"/>
              </w:rPr>
            </w:pPr>
          </w:p>
        </w:tc>
        <w:tc>
          <w:tcPr>
            <w:tcW w:w="1875"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06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1875"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06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1875"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06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jc w:val="center"/>
              <w:rPr>
                <w:rFonts w:hint="eastAsia" w:ascii="仿宋" w:hAnsi="仿宋" w:eastAsia="仿宋" w:cs="仿宋"/>
                <w:color w:val="auto"/>
                <w:sz w:val="24"/>
                <w:highlight w:val="none"/>
              </w:rPr>
            </w:pPr>
          </w:p>
        </w:tc>
        <w:tc>
          <w:tcPr>
            <w:tcW w:w="1875"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069" w:type="dxa"/>
            <w:noWrap/>
            <w:vAlign w:val="center"/>
          </w:tcPr>
          <w:p>
            <w:pPr>
              <w:widowControl/>
              <w:spacing w:line="56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rPr>
                <w:rFonts w:hint="eastAsia" w:ascii="仿宋" w:hAnsi="仿宋" w:eastAsia="仿宋" w:cs="仿宋"/>
                <w:color w:val="auto"/>
                <w:sz w:val="24"/>
                <w:highlight w:val="none"/>
              </w:rPr>
            </w:pPr>
          </w:p>
        </w:tc>
        <w:tc>
          <w:tcPr>
            <w:tcW w:w="1875"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069" w:type="dxa"/>
            <w:noWrap/>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612" w:type="dxa"/>
            <w:noWrap w:val="0"/>
            <w:vAlign w:val="center"/>
          </w:tcPr>
          <w:p>
            <w:pPr>
              <w:widowControl/>
              <w:spacing w:line="560" w:lineRule="exact"/>
              <w:ind w:firstLine="720" w:firstLineChars="300"/>
              <w:rPr>
                <w:rFonts w:hint="eastAsia" w:ascii="仿宋" w:hAnsi="仿宋" w:eastAsia="仿宋" w:cs="仿宋"/>
                <w:color w:val="auto"/>
                <w:sz w:val="24"/>
                <w:highlight w:val="none"/>
              </w:rPr>
            </w:pPr>
          </w:p>
        </w:tc>
        <w:tc>
          <w:tcPr>
            <w:tcW w:w="1875" w:type="dxa"/>
            <w:noWrap w:val="0"/>
            <w:vAlign w:val="center"/>
          </w:tcPr>
          <w:p>
            <w:pPr>
              <w:widowControl/>
              <w:spacing w:line="560" w:lineRule="exact"/>
              <w:ind w:firstLine="480"/>
              <w:jc w:val="center"/>
              <w:rPr>
                <w:rFonts w:hint="eastAsia" w:ascii="仿宋" w:hAnsi="仿宋" w:eastAsia="仿宋" w:cs="仿宋"/>
                <w:color w:val="auto"/>
                <w:sz w:val="24"/>
                <w:highlight w:val="none"/>
              </w:rPr>
            </w:pPr>
          </w:p>
        </w:tc>
        <w:tc>
          <w:tcPr>
            <w:tcW w:w="3069" w:type="dxa"/>
            <w:noWrap/>
            <w:vAlign w:val="center"/>
          </w:tcPr>
          <w:p>
            <w:pPr>
              <w:widowControl/>
              <w:spacing w:line="560" w:lineRule="exact"/>
              <w:ind w:firstLine="48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265" w:type="dxa"/>
            <w:gridSpan w:val="4"/>
            <w:noWrap w:val="0"/>
            <w:vAlign w:val="center"/>
          </w:tcPr>
          <w:p>
            <w:pPr>
              <w:widowControl/>
              <w:rPr>
                <w:rFonts w:hint="eastAsia" w:ascii="仿宋" w:hAnsi="仿宋" w:eastAsia="仿宋" w:cs="仿宋"/>
                <w:color w:val="auto"/>
                <w:sz w:val="24"/>
                <w:highlight w:val="none"/>
              </w:rPr>
            </w:pPr>
            <w:bookmarkStart w:id="242" w:name="_Hlk76568424"/>
            <w:r>
              <w:rPr>
                <w:rFonts w:hint="eastAsia" w:ascii="仿宋" w:hAnsi="仿宋" w:eastAsia="仿宋" w:cs="仿宋"/>
                <w:b/>
                <w:color w:val="auto"/>
                <w:kern w:val="0"/>
                <w:sz w:val="24"/>
                <w:highlight w:val="none"/>
              </w:rPr>
              <w:t>每年合计报价：大写：人民币</w:t>
            </w:r>
            <w:r>
              <w:rPr>
                <w:rFonts w:hint="eastAsia" w:ascii="仿宋" w:hAnsi="仿宋" w:eastAsia="仿宋" w:cs="仿宋"/>
                <w:b/>
                <w:color w:val="auto"/>
                <w:kern w:val="0"/>
                <w:sz w:val="24"/>
                <w:highlight w:val="none"/>
                <w:u w:val="single"/>
              </w:rPr>
              <w:t xml:space="preserve"> </w:t>
            </w:r>
            <w:r>
              <w:rPr>
                <w:rFonts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万圆整，小写：</w:t>
            </w:r>
            <w:r>
              <w:rPr>
                <w:rFonts w:hint="eastAsia" w:ascii="Calibri" w:hAnsi="Calibri" w:eastAsia="仿宋" w:cs="Calibri"/>
                <w:b/>
                <w:color w:val="auto"/>
                <w:kern w:val="0"/>
                <w:sz w:val="24"/>
                <w:highlight w:val="none"/>
              </w:rPr>
              <w:t>¥</w:t>
            </w:r>
            <w:r>
              <w:rPr>
                <w:rFonts w:hint="eastAsia" w:ascii="仿宋" w:hAnsi="仿宋" w:eastAsia="仿宋" w:cs="仿宋"/>
                <w:b/>
                <w:color w:val="auto"/>
                <w:kern w:val="0"/>
                <w:sz w:val="24"/>
                <w:highlight w:val="none"/>
                <w:u w:val="single"/>
              </w:rPr>
              <w:t xml:space="preserve"> </w:t>
            </w:r>
            <w:r>
              <w:rPr>
                <w:rFonts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万元</w:t>
            </w:r>
          </w:p>
        </w:tc>
      </w:tr>
      <w:bookmarkEnd w:id="242"/>
    </w:tbl>
    <w:p>
      <w:pPr>
        <w:pStyle w:val="2"/>
        <w:ind w:firstLine="200"/>
        <w:rPr>
          <w:color w:val="auto"/>
          <w:highlight w:val="none"/>
        </w:rPr>
      </w:pPr>
    </w:p>
    <w:p>
      <w:pPr>
        <w:spacing w:line="380" w:lineRule="exact"/>
        <w:ind w:firstLine="663" w:firstLineChars="300"/>
        <w:rPr>
          <w:rFonts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说明：</w:t>
      </w:r>
      <w:r>
        <w:rPr>
          <w:rFonts w:hint="eastAsia" w:ascii="新宋体" w:hAnsi="新宋体" w:eastAsia="新宋体"/>
          <w:b/>
          <w:bCs/>
          <w:color w:val="auto"/>
          <w:sz w:val="22"/>
          <w:szCs w:val="22"/>
          <w:highlight w:val="none"/>
        </w:rPr>
        <w:t>1、此表每年合计价应与附件一中“投标报价一览表”中相对应的投标报价相符。</w:t>
      </w:r>
    </w:p>
    <w:p>
      <w:pPr>
        <w:spacing w:line="380" w:lineRule="exact"/>
        <w:ind w:firstLine="755" w:firstLineChars="342"/>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2、不提供投标分项报价将视为没有实质性响应招标文件。</w:t>
      </w:r>
    </w:p>
    <w:p>
      <w:pPr>
        <w:spacing w:line="380" w:lineRule="exact"/>
        <w:ind w:left="437" w:leftChars="208" w:firstLine="314" w:firstLineChars="14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3、如果免费请在该项内容栏内注明“免”，如果含在产品价格中则填“含”，如无此项内容则填“无”，不留空白。</w:t>
      </w:r>
    </w:p>
    <w:p>
      <w:pPr>
        <w:spacing w:line="380" w:lineRule="exact"/>
        <w:ind w:firstLine="600" w:firstLineChars="300"/>
        <w:rPr>
          <w:rFonts w:ascii="新宋体" w:hAnsi="新宋体" w:eastAsia="新宋体" w:cs="新宋体"/>
          <w:color w:val="auto"/>
          <w:sz w:val="20"/>
          <w:szCs w:val="22"/>
          <w:highlight w:val="none"/>
        </w:rPr>
      </w:pPr>
    </w:p>
    <w:p>
      <w:pPr>
        <w:spacing w:line="38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投标人代表（签字或盖章）：</w:t>
      </w:r>
    </w:p>
    <w:p>
      <w:pPr>
        <w:spacing w:line="380" w:lineRule="exact"/>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pStyle w:val="6"/>
        <w:rPr>
          <w:color w:val="auto"/>
          <w:highlight w:val="none"/>
        </w:rPr>
      </w:pPr>
    </w:p>
    <w:p>
      <w:pPr>
        <w:spacing w:line="460" w:lineRule="exact"/>
        <w:rPr>
          <w:rFonts w:hint="eastAsia" w:ascii="宋体" w:hAnsi="宋体"/>
          <w:b/>
          <w:bCs/>
          <w:color w:val="auto"/>
          <w:sz w:val="22"/>
          <w:szCs w:val="22"/>
          <w:highlight w:val="none"/>
        </w:rPr>
      </w:pPr>
    </w:p>
    <w:p>
      <w:pPr>
        <w:spacing w:line="460" w:lineRule="exact"/>
        <w:rPr>
          <w:rFonts w:hint="eastAsia" w:ascii="宋体" w:hAnsi="宋体"/>
          <w:b/>
          <w:bCs/>
          <w:color w:val="auto"/>
          <w:sz w:val="22"/>
          <w:szCs w:val="22"/>
          <w:highlight w:val="none"/>
        </w:rPr>
      </w:pPr>
    </w:p>
    <w:p>
      <w:pPr>
        <w:spacing w:line="460" w:lineRule="exact"/>
        <w:rPr>
          <w:rFonts w:hint="eastAsia" w:ascii="宋体" w:hAnsi="宋体" w:eastAsia="宋体"/>
          <w:b/>
          <w:bCs/>
          <w:color w:val="auto"/>
          <w:sz w:val="22"/>
          <w:szCs w:val="22"/>
          <w:highlight w:val="none"/>
          <w:lang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三</w:t>
      </w:r>
    </w:p>
    <w:p>
      <w:pPr>
        <w:spacing w:line="460" w:lineRule="exact"/>
        <w:rPr>
          <w:rFonts w:ascii="宋体" w:hAnsi="宋体"/>
          <w:b/>
          <w:bCs/>
          <w:color w:val="auto"/>
          <w:highlight w:val="none"/>
        </w:rPr>
      </w:pPr>
    </w:p>
    <w:p>
      <w:pPr>
        <w:spacing w:line="4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投 标 函</w:t>
      </w:r>
    </w:p>
    <w:p>
      <w:pPr>
        <w:spacing w:line="420" w:lineRule="exact"/>
        <w:rPr>
          <w:rFonts w:ascii="宋体" w:hAnsi="宋体"/>
          <w:color w:val="auto"/>
          <w:sz w:val="22"/>
          <w:szCs w:val="22"/>
          <w:highlight w:val="none"/>
        </w:rPr>
      </w:pPr>
      <w:r>
        <w:rPr>
          <w:rFonts w:hint="eastAsia" w:ascii="宋体" w:hAnsi="宋体"/>
          <w:bCs/>
          <w:color w:val="auto"/>
          <w:sz w:val="22"/>
          <w:szCs w:val="22"/>
          <w:highlight w:val="none"/>
          <w:lang w:eastAsia="zh-CN"/>
        </w:rPr>
        <w:t>温州市高教新区发展中心</w:t>
      </w:r>
      <w:r>
        <w:rPr>
          <w:rFonts w:hint="eastAsia" w:ascii="宋体" w:hAnsi="宋体"/>
          <w:color w:val="auto"/>
          <w:sz w:val="22"/>
          <w:szCs w:val="22"/>
          <w:highlight w:val="none"/>
        </w:rPr>
        <w:t>：</w:t>
      </w:r>
    </w:p>
    <w:p>
      <w:pPr>
        <w:spacing w:line="420" w:lineRule="exact"/>
        <w:rPr>
          <w:rFonts w:ascii="宋体" w:hAnsi="宋体"/>
          <w:color w:val="auto"/>
          <w:sz w:val="22"/>
          <w:szCs w:val="22"/>
          <w:highlight w:val="none"/>
        </w:rPr>
      </w:pPr>
      <w:r>
        <w:rPr>
          <w:rFonts w:hint="eastAsia" w:ascii="宋体" w:hAnsi="宋体"/>
          <w:color w:val="auto"/>
          <w:sz w:val="22"/>
          <w:szCs w:val="22"/>
          <w:highlight w:val="none"/>
          <w:lang w:eastAsia="zh-CN"/>
        </w:rPr>
        <w:t>华诚工程咨询集团有限公司</w:t>
      </w:r>
      <w:r>
        <w:rPr>
          <w:rFonts w:hint="eastAsia" w:ascii="宋体" w:hAnsi="宋体"/>
          <w:color w:val="auto"/>
          <w:sz w:val="22"/>
          <w:szCs w:val="22"/>
          <w:highlight w:val="none"/>
        </w:rPr>
        <w:t>：</w:t>
      </w:r>
    </w:p>
    <w:p>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根据贵方为项目（招标编号：）的投标邀请，我方</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（投标人名称）作为投标人正式授权</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（授权代表全名，职务）代表我方处理有关本投标的一切事宜。</w:t>
      </w:r>
    </w:p>
    <w:p>
      <w:pPr>
        <w:pStyle w:val="17"/>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szCs w:val="22"/>
          <w:highlight w:val="none"/>
        </w:rPr>
        <w:t>在此提交的投标文件中，包括如下内</w:t>
      </w:r>
      <w:r>
        <w:rPr>
          <w:rFonts w:hint="eastAsia" w:ascii="宋体" w:hAnsi="宋体" w:cs="hakuyoxingshu7000"/>
          <w:color w:val="auto"/>
          <w:sz w:val="22"/>
          <w:highlight w:val="none"/>
        </w:rPr>
        <w:t>容：</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1、</w:t>
      </w:r>
      <w:r>
        <w:rPr>
          <w:rFonts w:hint="eastAsia" w:ascii="宋体" w:hAnsi="宋体" w:cs="新宋体"/>
          <w:color w:val="auto"/>
          <w:sz w:val="22"/>
          <w:highlight w:val="none"/>
        </w:rPr>
        <w:t>按“投标人须知”要求编制的投标文件资格文件；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2、按“投标人须知”要求编制的投标文件商务技术文件；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3、按“投标人须知”要求编制的投标文件报价文件；</w:t>
      </w:r>
    </w:p>
    <w:p>
      <w:pPr>
        <w:spacing w:line="360" w:lineRule="exact"/>
        <w:ind w:firstLine="440" w:firstLineChars="200"/>
        <w:rPr>
          <w:rFonts w:ascii="宋体" w:hAnsi="宋体" w:cs="hakuyoxingshu7000"/>
          <w:color w:val="auto"/>
          <w:sz w:val="22"/>
          <w:highlight w:val="none"/>
        </w:rPr>
      </w:pPr>
      <w:r>
        <w:rPr>
          <w:rFonts w:hint="eastAsia" w:ascii="宋体" w:hAnsi="宋体" w:cs="hakuyoxingshu7000"/>
          <w:color w:val="auto"/>
          <w:sz w:val="22"/>
          <w:highlight w:val="none"/>
        </w:rPr>
        <w:t>我方己完全明白招标文件的所有条款要求，并重申以下几点：</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本投标文件的有效期自投标截止日起 90天内有效，如中标，有效期将延至合同终止日为止；</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我方已详细研究了招标文件的所有内容包括修改书（如有）和所有已提供的参考资料以及有关附件，我方完全理解并同意放弃在此方面提出含糊意见或误解的一切权力；</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我方郑重承诺所提供的“信用中国网站”、“中国政府采购网”信用查询证明文件真实有效；</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我方在参加本项目前三年内</w:t>
      </w:r>
      <w:r>
        <w:rPr>
          <w:rFonts w:hint="eastAsia" w:ascii="宋体" w:hAnsi="宋体" w:cs="hakuyoxingshu7000"/>
          <w:color w:val="auto"/>
          <w:sz w:val="22"/>
          <w:highlight w:val="none"/>
          <w:u w:val="single"/>
        </w:rPr>
        <w:t>（被通报或者处罚的违法行为有：               ）</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没有因违法经营受到刑事处罚或者责令停产停业、吊销许可证或者执照、较大数额罚款等行政处罚或处罚）</w:t>
      </w:r>
      <w:r>
        <w:rPr>
          <w:rFonts w:hint="eastAsia" w:ascii="宋体" w:hAnsi="宋体" w:cs="hakuyoxingshu7000"/>
          <w:color w:val="auto"/>
          <w:sz w:val="22"/>
          <w:highlight w:val="none"/>
        </w:rPr>
        <w:t>或</w:t>
      </w:r>
      <w:r>
        <w:rPr>
          <w:rFonts w:hint="eastAsia" w:ascii="宋体" w:hAnsi="宋体" w:cs="hakuyoxingshu7000"/>
          <w:color w:val="auto"/>
          <w:sz w:val="22"/>
          <w:highlight w:val="none"/>
          <w:u w:val="single"/>
        </w:rPr>
        <w:t>（在  至  期间禁止参加政府采购活动但是期限届满，须附相关证明文件）</w:t>
      </w:r>
      <w:r>
        <w:rPr>
          <w:rFonts w:hint="eastAsia" w:ascii="宋体" w:hAnsi="宋体" w:cs="hakuyoxingshu7000"/>
          <w:color w:val="auto"/>
          <w:sz w:val="22"/>
          <w:highlight w:val="none"/>
        </w:rPr>
        <w:t>；</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我方同意提供按照贵方可能要求的与投标有关的一切数据或资料；</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我方理解贵方不一定接受最低报价。</w:t>
      </w:r>
      <w:r>
        <w:rPr>
          <w:rFonts w:ascii="宋体" w:hAnsi="宋体" w:cs="hakuyoxingshu7000"/>
          <w:color w:val="auto"/>
          <w:sz w:val="22"/>
          <w:highlight w:val="none"/>
        </w:rPr>
        <w:tab/>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我方如果中标，将保证履行招标文件以及招标文件修改书（如有）中的全部责任和义务，按质、按量、按期完成《合同书》中的全部任务。</w:t>
      </w:r>
    </w:p>
    <w:p>
      <w:pPr>
        <w:pStyle w:val="121"/>
        <w:numPr>
          <w:ilvl w:val="1"/>
          <w:numId w:val="48"/>
        </w:numPr>
        <w:spacing w:line="360" w:lineRule="exact"/>
        <w:ind w:left="567" w:hanging="283" w:firstLineChars="0"/>
        <w:rPr>
          <w:rFonts w:ascii="宋体" w:hAnsi="宋体" w:cs="hakuyoxingshu7000"/>
          <w:color w:val="auto"/>
          <w:sz w:val="22"/>
          <w:highlight w:val="none"/>
        </w:rPr>
      </w:pPr>
      <w:r>
        <w:rPr>
          <w:rFonts w:hint="eastAsia" w:ascii="宋体" w:hAnsi="宋体" w:cs="hakuyoxingshu7000"/>
          <w:color w:val="auto"/>
          <w:sz w:val="22"/>
          <w:highlight w:val="none"/>
        </w:rPr>
        <w:t>所有与本投标有关的函件请发往下列地址：</w:t>
      </w:r>
    </w:p>
    <w:p>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地址</w:t>
      </w:r>
    </w:p>
    <w:p>
      <w:pPr>
        <w:spacing w:line="360" w:lineRule="exact"/>
        <w:ind w:firstLine="435"/>
        <w:rPr>
          <w:rFonts w:ascii="宋体" w:hAnsi="宋体" w:cs="hakuyoxingshu7000"/>
          <w:color w:val="auto"/>
          <w:sz w:val="22"/>
          <w:szCs w:val="22"/>
          <w:highlight w:val="none"/>
        </w:rPr>
      </w:pPr>
      <w:r>
        <w:rPr>
          <w:rFonts w:hint="eastAsia" w:ascii="宋体" w:hAnsi="宋体" w:cs="hakuyoxingshu7000"/>
          <w:color w:val="auto"/>
          <w:sz w:val="22"/>
          <w:szCs w:val="22"/>
          <w:highlight w:val="none"/>
        </w:rPr>
        <w:t xml:space="preserve">   电话</w:t>
      </w:r>
    </w:p>
    <w:p>
      <w:pPr>
        <w:spacing w:line="360" w:lineRule="exact"/>
        <w:ind w:firstLine="435"/>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 xml:space="preserve">   传真</w:t>
      </w:r>
    </w:p>
    <w:p>
      <w:pPr>
        <w:spacing w:line="360" w:lineRule="exact"/>
        <w:ind w:firstLine="770" w:firstLineChars="350"/>
        <w:rPr>
          <w:rFonts w:ascii="宋体" w:hAnsi="宋体" w:cs="hakuyoxingshu7000"/>
          <w:color w:val="auto"/>
          <w:sz w:val="22"/>
          <w:szCs w:val="22"/>
          <w:highlight w:val="none"/>
          <w:u w:val="single"/>
        </w:rPr>
      </w:pPr>
      <w:r>
        <w:rPr>
          <w:rFonts w:hint="eastAsia" w:ascii="宋体" w:hAnsi="宋体" w:cs="hakuyoxingshu7000"/>
          <w:color w:val="auto"/>
          <w:sz w:val="22"/>
          <w:szCs w:val="22"/>
          <w:highlight w:val="none"/>
        </w:rPr>
        <w:t>电子邮件</w:t>
      </w:r>
    </w:p>
    <w:p>
      <w:pPr>
        <w:spacing w:line="420" w:lineRule="exact"/>
        <w:ind w:firstLine="435"/>
        <w:rPr>
          <w:rFonts w:ascii="宋体" w:hAnsi="宋体"/>
          <w:color w:val="auto"/>
          <w:sz w:val="22"/>
          <w:szCs w:val="22"/>
          <w:highlight w:val="none"/>
        </w:rPr>
      </w:pPr>
    </w:p>
    <w:p>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投标人名称（盖章）</w:t>
      </w:r>
    </w:p>
    <w:p>
      <w:pPr>
        <w:spacing w:line="420" w:lineRule="exact"/>
        <w:ind w:firstLine="435"/>
        <w:rPr>
          <w:rFonts w:ascii="宋体" w:hAnsi="宋体"/>
          <w:color w:val="auto"/>
          <w:sz w:val="22"/>
          <w:szCs w:val="22"/>
          <w:highlight w:val="none"/>
        </w:rPr>
      </w:pPr>
      <w:r>
        <w:rPr>
          <w:rFonts w:hint="eastAsia" w:ascii="宋体" w:hAnsi="宋体"/>
          <w:color w:val="auto"/>
          <w:sz w:val="22"/>
          <w:szCs w:val="22"/>
          <w:highlight w:val="none"/>
        </w:rPr>
        <w:t xml:space="preserve">                                   投标人代表（签字或盖章）</w:t>
      </w:r>
    </w:p>
    <w:p>
      <w:pPr>
        <w:spacing w:line="460" w:lineRule="exact"/>
        <w:ind w:firstLine="435"/>
        <w:rPr>
          <w:rFonts w:ascii="宋体" w:hAnsi="宋体"/>
          <w:color w:val="auto"/>
          <w:sz w:val="22"/>
          <w:szCs w:val="22"/>
          <w:highlight w:val="none"/>
          <w:u w:val="single"/>
        </w:rPr>
        <w:sectPr>
          <w:pgSz w:w="11906" w:h="16838"/>
          <w:pgMar w:top="1440" w:right="1080" w:bottom="1440" w:left="1080" w:header="851" w:footer="851" w:gutter="0"/>
          <w:pgNumType w:fmt="decimal"/>
          <w:cols w:space="720" w:num="1"/>
          <w:titlePg/>
          <w:docGrid w:linePitch="312" w:charSpace="0"/>
        </w:sectPr>
      </w:pPr>
      <w:r>
        <w:rPr>
          <w:rFonts w:hint="eastAsia" w:ascii="宋体" w:hAnsi="宋体"/>
          <w:color w:val="auto"/>
          <w:sz w:val="22"/>
          <w:szCs w:val="22"/>
          <w:highlight w:val="none"/>
        </w:rPr>
        <w:t xml:space="preserve">                                   日    期</w:t>
      </w:r>
    </w:p>
    <w:p>
      <w:pPr>
        <w:spacing w:line="460" w:lineRule="exact"/>
        <w:rPr>
          <w:rFonts w:hint="eastAsia" w:ascii="宋体" w:hAnsi="宋体" w:eastAsia="宋体"/>
          <w:color w:val="auto"/>
          <w:highlight w:val="none"/>
          <w:lang w:eastAsia="zh-CN"/>
        </w:rPr>
      </w:pPr>
      <w:r>
        <w:rPr>
          <w:rFonts w:hint="eastAsia" w:ascii="宋体" w:hAnsi="宋体"/>
          <w:b/>
          <w:bCs/>
          <w:color w:val="auto"/>
          <w:sz w:val="22"/>
          <w:szCs w:val="22"/>
          <w:highlight w:val="none"/>
        </w:rPr>
        <w:t>附件</w:t>
      </w:r>
      <w:r>
        <w:rPr>
          <w:rFonts w:hint="eastAsia" w:ascii="宋体" w:hAnsi="宋体"/>
          <w:b/>
          <w:bCs/>
          <w:color w:val="auto"/>
          <w:sz w:val="22"/>
          <w:szCs w:val="22"/>
          <w:highlight w:val="none"/>
          <w:lang w:val="en-US" w:eastAsia="zh-CN"/>
        </w:rPr>
        <w:t>四</w:t>
      </w:r>
    </w:p>
    <w:p>
      <w:pPr>
        <w:spacing w:line="460" w:lineRule="exact"/>
        <w:rPr>
          <w:rFonts w:ascii="宋体" w:hAnsi="宋体"/>
          <w:b/>
          <w:color w:val="auto"/>
          <w:sz w:val="22"/>
          <w:szCs w:val="22"/>
          <w:highlight w:val="none"/>
        </w:rPr>
      </w:pPr>
    </w:p>
    <w:p>
      <w:pPr>
        <w:spacing w:line="460" w:lineRule="exact"/>
        <w:ind w:firstLine="437"/>
        <w:jc w:val="center"/>
        <w:rPr>
          <w:rFonts w:ascii="宋体" w:hAnsi="宋体"/>
          <w:b/>
          <w:bCs/>
          <w:color w:val="auto"/>
          <w:sz w:val="28"/>
          <w:szCs w:val="28"/>
          <w:highlight w:val="none"/>
        </w:rPr>
      </w:pPr>
      <w:r>
        <w:rPr>
          <w:rFonts w:hint="eastAsia" w:ascii="宋体" w:hAnsi="宋体"/>
          <w:b/>
          <w:bCs/>
          <w:color w:val="auto"/>
          <w:sz w:val="28"/>
          <w:szCs w:val="28"/>
          <w:highlight w:val="none"/>
        </w:rPr>
        <w:t>技术规格、商务条款偏离表</w:t>
      </w:r>
    </w:p>
    <w:p>
      <w:pPr>
        <w:spacing w:line="380" w:lineRule="exact"/>
        <w:rPr>
          <w:rFonts w:ascii="宋体" w:hAnsi="宋体"/>
          <w:b/>
          <w:bCs/>
          <w:color w:val="auto"/>
          <w:sz w:val="22"/>
          <w:szCs w:val="22"/>
          <w:highlight w:val="none"/>
        </w:rPr>
      </w:pPr>
      <w:r>
        <w:rPr>
          <w:rFonts w:hint="eastAsia" w:ascii="宋体" w:hAnsi="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2097"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条目号</w:t>
            </w:r>
          </w:p>
        </w:tc>
        <w:tc>
          <w:tcPr>
            <w:tcW w:w="1992"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招标文件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规范要求</w:t>
            </w:r>
          </w:p>
        </w:tc>
        <w:tc>
          <w:tcPr>
            <w:tcW w:w="1866"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投标文件</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对应规范</w:t>
            </w:r>
          </w:p>
        </w:tc>
        <w:tc>
          <w:tcPr>
            <w:tcW w:w="1592" w:type="dxa"/>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技</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术</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规</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格</w:t>
            </w: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商</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务</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条</w:t>
            </w:r>
          </w:p>
          <w:p>
            <w:pPr>
              <w:spacing w:line="380" w:lineRule="exact"/>
              <w:jc w:val="center"/>
              <w:rPr>
                <w:rFonts w:ascii="宋体" w:hAnsi="宋体"/>
                <w:color w:val="auto"/>
                <w:sz w:val="22"/>
                <w:szCs w:val="22"/>
                <w:highlight w:val="none"/>
              </w:rPr>
            </w:pPr>
            <w:r>
              <w:rPr>
                <w:rFonts w:hint="eastAsia" w:ascii="宋体" w:hAnsi="宋体"/>
                <w:color w:val="auto"/>
                <w:sz w:val="22"/>
                <w:szCs w:val="22"/>
                <w:highlight w:val="none"/>
              </w:rPr>
              <w:t>款</w:t>
            </w: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auto"/>
                <w:sz w:val="22"/>
                <w:szCs w:val="22"/>
                <w:highlight w:val="none"/>
              </w:rPr>
            </w:pPr>
          </w:p>
        </w:tc>
        <w:tc>
          <w:tcPr>
            <w:tcW w:w="1364" w:type="dxa"/>
            <w:vAlign w:val="center"/>
          </w:tcPr>
          <w:p>
            <w:pPr>
              <w:spacing w:line="380" w:lineRule="exact"/>
              <w:jc w:val="center"/>
              <w:rPr>
                <w:rFonts w:ascii="宋体" w:hAnsi="宋体"/>
                <w:color w:val="auto"/>
                <w:sz w:val="22"/>
                <w:szCs w:val="22"/>
                <w:highlight w:val="none"/>
              </w:rPr>
            </w:pPr>
          </w:p>
        </w:tc>
        <w:tc>
          <w:tcPr>
            <w:tcW w:w="2097" w:type="dxa"/>
            <w:vAlign w:val="center"/>
          </w:tcPr>
          <w:p>
            <w:pPr>
              <w:spacing w:line="380" w:lineRule="exact"/>
              <w:jc w:val="center"/>
              <w:rPr>
                <w:rFonts w:ascii="宋体" w:hAnsi="宋体"/>
                <w:color w:val="auto"/>
                <w:sz w:val="22"/>
                <w:szCs w:val="22"/>
                <w:highlight w:val="none"/>
              </w:rPr>
            </w:pPr>
          </w:p>
        </w:tc>
        <w:tc>
          <w:tcPr>
            <w:tcW w:w="1992" w:type="dxa"/>
            <w:vAlign w:val="center"/>
          </w:tcPr>
          <w:p>
            <w:pPr>
              <w:spacing w:line="380" w:lineRule="exact"/>
              <w:jc w:val="center"/>
              <w:rPr>
                <w:rFonts w:ascii="宋体" w:hAnsi="宋体"/>
                <w:color w:val="auto"/>
                <w:sz w:val="22"/>
                <w:szCs w:val="22"/>
                <w:highlight w:val="none"/>
              </w:rPr>
            </w:pPr>
          </w:p>
        </w:tc>
        <w:tc>
          <w:tcPr>
            <w:tcW w:w="1866" w:type="dxa"/>
            <w:vAlign w:val="center"/>
          </w:tcPr>
          <w:p>
            <w:pPr>
              <w:spacing w:line="380" w:lineRule="exact"/>
              <w:jc w:val="center"/>
              <w:rPr>
                <w:rFonts w:ascii="宋体" w:hAnsi="宋体"/>
                <w:color w:val="auto"/>
                <w:sz w:val="22"/>
                <w:szCs w:val="22"/>
                <w:highlight w:val="none"/>
              </w:rPr>
            </w:pPr>
          </w:p>
        </w:tc>
        <w:tc>
          <w:tcPr>
            <w:tcW w:w="1592" w:type="dxa"/>
            <w:vAlign w:val="center"/>
          </w:tcPr>
          <w:p>
            <w:pPr>
              <w:spacing w:line="380" w:lineRule="exact"/>
              <w:jc w:val="center"/>
              <w:rPr>
                <w:rFonts w:ascii="宋体" w:hAnsi="宋体"/>
                <w:color w:val="auto"/>
                <w:sz w:val="22"/>
                <w:szCs w:val="22"/>
                <w:highlight w:val="none"/>
              </w:rPr>
            </w:pPr>
          </w:p>
        </w:tc>
      </w:tr>
    </w:tbl>
    <w:p>
      <w:pPr>
        <w:spacing w:line="380" w:lineRule="exact"/>
        <w:rPr>
          <w:rFonts w:ascii="宋体" w:hAnsi="宋体"/>
          <w:b/>
          <w:color w:val="auto"/>
          <w:sz w:val="22"/>
          <w:szCs w:val="22"/>
          <w:highlight w:val="none"/>
        </w:rPr>
      </w:pPr>
      <w:r>
        <w:rPr>
          <w:rFonts w:hint="eastAsia" w:ascii="宋体" w:hAnsi="宋体"/>
          <w:b/>
          <w:color w:val="auto"/>
          <w:sz w:val="22"/>
          <w:szCs w:val="22"/>
          <w:highlight w:val="none"/>
        </w:rPr>
        <w:t>注：</w:t>
      </w:r>
      <w:r>
        <w:rPr>
          <w:rFonts w:hint="eastAsia" w:ascii="宋体" w:hAnsi="宋体"/>
          <w:b/>
          <w:color w:val="auto"/>
          <w:highlight w:val="none"/>
        </w:rPr>
        <w:t>不填写此表视为完全响应招标文件内容。</w:t>
      </w:r>
    </w:p>
    <w:p>
      <w:pPr>
        <w:spacing w:line="380" w:lineRule="exact"/>
        <w:ind w:firstLine="4417" w:firstLineChars="2000"/>
        <w:rPr>
          <w:rFonts w:ascii="宋体" w:hAnsi="宋体"/>
          <w:b/>
          <w:color w:val="auto"/>
          <w:sz w:val="22"/>
          <w:szCs w:val="22"/>
          <w:highlight w:val="none"/>
        </w:rPr>
      </w:pP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投标人全称（盖章）：</w:t>
      </w:r>
    </w:p>
    <w:p>
      <w:pPr>
        <w:spacing w:line="380" w:lineRule="exact"/>
        <w:ind w:firstLine="4400" w:firstLineChars="2000"/>
        <w:rPr>
          <w:rFonts w:ascii="宋体" w:hAnsi="宋体"/>
          <w:color w:val="auto"/>
          <w:sz w:val="22"/>
          <w:szCs w:val="22"/>
          <w:highlight w:val="none"/>
        </w:rPr>
      </w:pPr>
      <w:r>
        <w:rPr>
          <w:rFonts w:hint="eastAsia" w:ascii="宋体" w:hAnsi="宋体"/>
          <w:color w:val="auto"/>
          <w:sz w:val="22"/>
          <w:szCs w:val="22"/>
          <w:highlight w:val="none"/>
        </w:rPr>
        <w:t>法定代表人或授权代表（签字或盖章）：</w:t>
      </w:r>
    </w:p>
    <w:p>
      <w:pPr>
        <w:spacing w:line="380" w:lineRule="exact"/>
        <w:ind w:firstLine="4400" w:firstLineChars="2000"/>
        <w:rPr>
          <w:rFonts w:hint="eastAsia" w:ascii="宋体" w:hAnsi="宋体"/>
          <w:color w:val="auto"/>
          <w:sz w:val="22"/>
          <w:szCs w:val="22"/>
          <w:highlight w:val="none"/>
        </w:rPr>
        <w:sectPr>
          <w:footerReference r:id="rId9" w:type="first"/>
          <w:headerReference r:id="rId7" w:type="default"/>
          <w:footerReference r:id="rId8" w:type="default"/>
          <w:type w:val="nextColumn"/>
          <w:pgSz w:w="11906" w:h="16838"/>
          <w:pgMar w:top="1440" w:right="1080" w:bottom="1440" w:left="1080" w:header="851" w:footer="851" w:gutter="0"/>
          <w:pgNumType w:fmt="decimal"/>
          <w:cols w:space="720" w:num="1"/>
          <w:titlePg/>
          <w:docGrid w:linePitch="312" w:charSpace="0"/>
        </w:sectPr>
      </w:pPr>
      <w:r>
        <w:rPr>
          <w:rFonts w:hint="eastAsia" w:ascii="宋体" w:hAnsi="宋体"/>
          <w:color w:val="auto"/>
          <w:sz w:val="22"/>
          <w:szCs w:val="22"/>
          <w:highlight w:val="none"/>
        </w:rPr>
        <w:t>日期：  年   月  日</w:t>
      </w:r>
    </w:p>
    <w:p>
      <w:pPr>
        <w:spacing w:line="460" w:lineRule="exact"/>
        <w:rPr>
          <w:rFonts w:hint="eastAsia" w:hAnsi="宋体" w:eastAsia="宋体"/>
          <w:b/>
          <w:bCs/>
          <w:color w:val="auto"/>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五</w:t>
      </w:r>
    </w:p>
    <w:p>
      <w:pPr>
        <w:spacing w:line="380" w:lineRule="exact"/>
        <w:jc w:val="center"/>
        <w:rPr>
          <w:rFonts w:hint="eastAsia" w:ascii="宋体" w:hAnsi="宋体" w:cs="Arial"/>
          <w:b/>
          <w:color w:val="auto"/>
          <w:sz w:val="28"/>
          <w:szCs w:val="28"/>
          <w:highlight w:val="none"/>
          <w:lang w:val="en-US" w:eastAsia="zh-CN"/>
        </w:rPr>
      </w:pPr>
      <w:r>
        <w:rPr>
          <w:rFonts w:hint="eastAsia" w:ascii="宋体" w:hAnsi="宋体" w:cs="Arial"/>
          <w:b/>
          <w:color w:val="auto"/>
          <w:sz w:val="28"/>
          <w:szCs w:val="28"/>
          <w:highlight w:val="none"/>
          <w:lang w:val="en-US" w:eastAsia="zh-CN"/>
        </w:rPr>
        <w:t>（1）投标人情况表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804"/>
        <w:gridCol w:w="1115"/>
        <w:gridCol w:w="2588"/>
        <w:gridCol w:w="1488"/>
        <w:gridCol w:w="1502"/>
        <w:gridCol w:w="1488"/>
        <w:gridCol w:w="111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单位名称（盖章）</w:t>
            </w:r>
          </w:p>
        </w:tc>
        <w:tc>
          <w:tcPr>
            <w:tcW w:w="2804" w:type="dxa"/>
            <w:noWrap w:val="0"/>
            <w:vAlign w:val="top"/>
          </w:tcPr>
          <w:p>
            <w:pPr>
              <w:spacing w:line="480" w:lineRule="exact"/>
              <w:rPr>
                <w:rFonts w:ascii="新宋体" w:hAnsi="新宋体" w:eastAsia="新宋体"/>
                <w:color w:val="auto"/>
                <w:sz w:val="22"/>
                <w:szCs w:val="22"/>
                <w:highlight w:val="none"/>
              </w:rPr>
            </w:pPr>
          </w:p>
        </w:tc>
        <w:tc>
          <w:tcPr>
            <w:tcW w:w="1115"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 话</w:t>
            </w:r>
          </w:p>
        </w:tc>
        <w:tc>
          <w:tcPr>
            <w:tcW w:w="2588" w:type="dxa"/>
            <w:noWrap w:val="0"/>
            <w:vAlign w:val="top"/>
          </w:tcPr>
          <w:p>
            <w:pPr>
              <w:spacing w:line="480" w:lineRule="exact"/>
              <w:rPr>
                <w:rFonts w:ascii="新宋体" w:hAnsi="新宋体" w:eastAsia="新宋体"/>
                <w:color w:val="auto"/>
                <w:sz w:val="22"/>
                <w:szCs w:val="22"/>
                <w:highlight w:val="none"/>
              </w:rPr>
            </w:pPr>
          </w:p>
        </w:tc>
        <w:tc>
          <w:tcPr>
            <w:tcW w:w="1488"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主管部门</w:t>
            </w:r>
          </w:p>
        </w:tc>
        <w:tc>
          <w:tcPr>
            <w:tcW w:w="1502" w:type="dxa"/>
            <w:noWrap w:val="0"/>
            <w:vAlign w:val="top"/>
          </w:tcPr>
          <w:p>
            <w:pPr>
              <w:spacing w:line="480" w:lineRule="exact"/>
              <w:rPr>
                <w:rFonts w:ascii="新宋体" w:hAnsi="新宋体" w:eastAsia="新宋体"/>
                <w:color w:val="auto"/>
                <w:sz w:val="22"/>
                <w:szCs w:val="22"/>
                <w:highlight w:val="none"/>
              </w:rPr>
            </w:pPr>
          </w:p>
        </w:tc>
        <w:tc>
          <w:tcPr>
            <w:tcW w:w="1488"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企业负责人</w:t>
            </w:r>
          </w:p>
        </w:tc>
        <w:tc>
          <w:tcPr>
            <w:tcW w:w="1115" w:type="dxa"/>
            <w:noWrap w:val="0"/>
            <w:vAlign w:val="top"/>
          </w:tcPr>
          <w:p>
            <w:pPr>
              <w:spacing w:line="480" w:lineRule="exact"/>
              <w:rPr>
                <w:rFonts w:ascii="新宋体" w:hAnsi="新宋体" w:eastAsia="新宋体"/>
                <w:color w:val="auto"/>
                <w:sz w:val="22"/>
                <w:szCs w:val="22"/>
                <w:highlight w:val="none"/>
              </w:rPr>
            </w:pPr>
          </w:p>
        </w:tc>
        <w:tc>
          <w:tcPr>
            <w:tcW w:w="1461"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地    址</w:t>
            </w:r>
          </w:p>
        </w:tc>
        <w:tc>
          <w:tcPr>
            <w:tcW w:w="2804" w:type="dxa"/>
            <w:noWrap w:val="0"/>
            <w:vAlign w:val="top"/>
          </w:tcPr>
          <w:p>
            <w:pPr>
              <w:spacing w:line="480" w:lineRule="exact"/>
              <w:rPr>
                <w:rFonts w:ascii="新宋体" w:hAnsi="新宋体" w:eastAsia="新宋体"/>
                <w:color w:val="auto"/>
                <w:sz w:val="22"/>
                <w:szCs w:val="22"/>
                <w:highlight w:val="none"/>
              </w:rPr>
            </w:pPr>
          </w:p>
        </w:tc>
        <w:tc>
          <w:tcPr>
            <w:tcW w:w="1115"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 真</w:t>
            </w:r>
          </w:p>
        </w:tc>
        <w:tc>
          <w:tcPr>
            <w:tcW w:w="2588" w:type="dxa"/>
            <w:noWrap w:val="0"/>
            <w:vAlign w:val="top"/>
          </w:tcPr>
          <w:p>
            <w:pPr>
              <w:spacing w:line="480" w:lineRule="exact"/>
              <w:rPr>
                <w:rFonts w:ascii="新宋体" w:hAnsi="新宋体" w:eastAsia="新宋体"/>
                <w:color w:val="auto"/>
                <w:sz w:val="22"/>
                <w:szCs w:val="22"/>
                <w:highlight w:val="none"/>
              </w:rPr>
            </w:pPr>
          </w:p>
        </w:tc>
        <w:tc>
          <w:tcPr>
            <w:tcW w:w="1488"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企业性质</w:t>
            </w:r>
          </w:p>
        </w:tc>
        <w:tc>
          <w:tcPr>
            <w:tcW w:w="1502" w:type="dxa"/>
            <w:noWrap w:val="0"/>
            <w:vAlign w:val="top"/>
          </w:tcPr>
          <w:p>
            <w:pPr>
              <w:spacing w:line="480" w:lineRule="exact"/>
              <w:rPr>
                <w:rFonts w:ascii="新宋体" w:hAnsi="新宋体" w:eastAsia="新宋体"/>
                <w:color w:val="auto"/>
                <w:sz w:val="22"/>
                <w:szCs w:val="22"/>
                <w:highlight w:val="none"/>
              </w:rPr>
            </w:pPr>
          </w:p>
        </w:tc>
        <w:tc>
          <w:tcPr>
            <w:tcW w:w="1488"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w:t>
            </w:r>
          </w:p>
        </w:tc>
        <w:tc>
          <w:tcPr>
            <w:tcW w:w="1115" w:type="dxa"/>
            <w:noWrap w:val="0"/>
            <w:vAlign w:val="top"/>
          </w:tcPr>
          <w:p>
            <w:pPr>
              <w:spacing w:line="480" w:lineRule="exact"/>
              <w:rPr>
                <w:rFonts w:ascii="新宋体" w:hAnsi="新宋体" w:eastAsia="新宋体"/>
                <w:color w:val="auto"/>
                <w:sz w:val="22"/>
                <w:szCs w:val="22"/>
                <w:highlight w:val="none"/>
              </w:rPr>
            </w:pPr>
          </w:p>
        </w:tc>
        <w:tc>
          <w:tcPr>
            <w:tcW w:w="1461" w:type="dxa"/>
            <w:noWrap w:val="0"/>
            <w:vAlign w:val="top"/>
          </w:tcPr>
          <w:p>
            <w:pPr>
              <w:spacing w:line="48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trPr>
        <w:tc>
          <w:tcPr>
            <w:tcW w:w="1227" w:type="dxa"/>
            <w:noWrap w:val="0"/>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单位简介</w:t>
            </w:r>
          </w:p>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及机构</w:t>
            </w:r>
          </w:p>
        </w:tc>
        <w:tc>
          <w:tcPr>
            <w:tcW w:w="6507" w:type="dxa"/>
            <w:gridSpan w:val="3"/>
            <w:noWrap w:val="0"/>
            <w:vAlign w:val="center"/>
          </w:tcPr>
          <w:p>
            <w:pPr>
              <w:spacing w:line="480" w:lineRule="exact"/>
              <w:jc w:val="center"/>
              <w:rPr>
                <w:rFonts w:ascii="新宋体" w:hAnsi="新宋体" w:eastAsia="新宋体"/>
                <w:color w:val="auto"/>
                <w:sz w:val="22"/>
                <w:szCs w:val="22"/>
                <w:highlight w:val="none"/>
              </w:rPr>
            </w:pPr>
          </w:p>
        </w:tc>
        <w:tc>
          <w:tcPr>
            <w:tcW w:w="1488" w:type="dxa"/>
            <w:noWrap w:val="0"/>
            <w:vAlign w:val="center"/>
          </w:tcPr>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单位优势</w:t>
            </w:r>
          </w:p>
          <w:p>
            <w:pPr>
              <w:spacing w:line="48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及特长</w:t>
            </w:r>
          </w:p>
        </w:tc>
        <w:tc>
          <w:tcPr>
            <w:tcW w:w="5566" w:type="dxa"/>
            <w:gridSpan w:val="4"/>
            <w:noWrap w:val="0"/>
            <w:vAlign w:val="top"/>
          </w:tcPr>
          <w:p>
            <w:pPr>
              <w:spacing w:line="480" w:lineRule="exact"/>
              <w:rPr>
                <w:rFonts w:ascii="新宋体" w:hAnsi="新宋体" w:eastAsia="新宋体"/>
                <w:color w:val="auto"/>
                <w:sz w:val="22"/>
                <w:szCs w:val="22"/>
                <w:highlight w:val="none"/>
              </w:rPr>
            </w:pPr>
          </w:p>
        </w:tc>
      </w:tr>
    </w:tbl>
    <w:p>
      <w:pPr>
        <w:spacing w:line="380" w:lineRule="exact"/>
        <w:jc w:val="center"/>
        <w:rPr>
          <w:rFonts w:hint="default" w:ascii="宋体" w:cs="Arial"/>
          <w:b/>
          <w:color w:val="auto"/>
          <w:sz w:val="28"/>
          <w:szCs w:val="28"/>
          <w:highlight w:val="none"/>
          <w:lang w:val="en-US"/>
        </w:rPr>
      </w:pPr>
      <w:r>
        <w:rPr>
          <w:rFonts w:hint="eastAsia" w:ascii="宋体" w:hAnsi="宋体" w:cs="Arial"/>
          <w:b/>
          <w:color w:val="auto"/>
          <w:sz w:val="28"/>
          <w:szCs w:val="28"/>
          <w:highlight w:val="none"/>
          <w:lang w:eastAsia="zh-CN"/>
        </w:rPr>
        <w:t>（</w:t>
      </w:r>
      <w:r>
        <w:rPr>
          <w:rFonts w:hint="eastAsia" w:ascii="宋体" w:hAnsi="宋体" w:cs="Arial"/>
          <w:b/>
          <w:color w:val="auto"/>
          <w:sz w:val="28"/>
          <w:szCs w:val="28"/>
          <w:highlight w:val="none"/>
          <w:lang w:val="en-US" w:eastAsia="zh-CN"/>
        </w:rPr>
        <w:t>2</w:t>
      </w:r>
      <w:r>
        <w:rPr>
          <w:rFonts w:hint="eastAsia" w:ascii="宋体" w:hAnsi="宋体" w:cs="Arial"/>
          <w:b/>
          <w:color w:val="auto"/>
          <w:sz w:val="28"/>
          <w:szCs w:val="28"/>
          <w:highlight w:val="none"/>
          <w:lang w:eastAsia="zh-CN"/>
        </w:rPr>
        <w:t>）</w:t>
      </w:r>
      <w:r>
        <w:rPr>
          <w:rFonts w:hint="eastAsia" w:ascii="宋体" w:hAnsi="宋体" w:cs="Arial"/>
          <w:b/>
          <w:color w:val="auto"/>
          <w:sz w:val="28"/>
          <w:szCs w:val="28"/>
          <w:highlight w:val="none"/>
        </w:rPr>
        <w:t>项目的</w:t>
      </w:r>
      <w:r>
        <w:rPr>
          <w:rFonts w:hint="eastAsia" w:ascii="宋体" w:hAnsi="宋体" w:cs="Arial"/>
          <w:b/>
          <w:color w:val="auto"/>
          <w:sz w:val="28"/>
          <w:szCs w:val="28"/>
          <w:highlight w:val="none"/>
          <w:lang w:val="en-US" w:eastAsia="zh-CN"/>
        </w:rPr>
        <w:t>团队情况表</w:t>
      </w:r>
    </w:p>
    <w:p>
      <w:pPr>
        <w:spacing w:line="380" w:lineRule="exact"/>
        <w:rPr>
          <w:rFonts w:ascii="宋体" w:cs="Arial"/>
          <w:b/>
          <w:color w:val="auto"/>
          <w:sz w:val="22"/>
          <w:szCs w:val="22"/>
          <w:highlight w:val="none"/>
        </w:rPr>
      </w:pPr>
      <w:r>
        <w:rPr>
          <w:rFonts w:hint="eastAsia" w:ascii="宋体" w:hAnsi="宋体" w:cs="Arial"/>
          <w:b/>
          <w:color w:val="auto"/>
          <w:sz w:val="22"/>
          <w:szCs w:val="22"/>
          <w:highlight w:val="none"/>
        </w:rPr>
        <w:t>（一）项目负责人资历表</w:t>
      </w:r>
    </w:p>
    <w:tbl>
      <w:tblPr>
        <w:tblStyle w:val="62"/>
        <w:tblW w:w="5000" w:type="pct"/>
        <w:jc w:val="center"/>
        <w:tblLayout w:type="autofit"/>
        <w:tblCellMar>
          <w:top w:w="0" w:type="dxa"/>
          <w:left w:w="108" w:type="dxa"/>
          <w:bottom w:w="0" w:type="dxa"/>
          <w:right w:w="108" w:type="dxa"/>
        </w:tblCellMar>
      </w:tblPr>
      <w:tblGrid>
        <w:gridCol w:w="1180"/>
        <w:gridCol w:w="1320"/>
        <w:gridCol w:w="1349"/>
        <w:gridCol w:w="1239"/>
        <w:gridCol w:w="1501"/>
        <w:gridCol w:w="1335"/>
        <w:gridCol w:w="563"/>
        <w:gridCol w:w="506"/>
        <w:gridCol w:w="1168"/>
        <w:gridCol w:w="822"/>
        <w:gridCol w:w="1361"/>
        <w:gridCol w:w="2550"/>
      </w:tblGrid>
      <w:tr>
        <w:tblPrEx>
          <w:tblCellMar>
            <w:top w:w="0" w:type="dxa"/>
            <w:left w:w="108" w:type="dxa"/>
            <w:bottom w:w="0" w:type="dxa"/>
            <w:right w:w="108" w:type="dxa"/>
          </w:tblCellMar>
        </w:tblPrEx>
        <w:trPr>
          <w:trHeight w:val="680" w:hRule="atLeast"/>
          <w:jc w:val="center"/>
        </w:trPr>
        <w:tc>
          <w:tcPr>
            <w:tcW w:w="5000" w:type="pct"/>
            <w:gridSpan w:val="12"/>
            <w:tcBorders>
              <w:top w:val="single" w:color="000000" w:sz="12" w:space="0"/>
              <w:left w:val="single" w:color="000000" w:sz="12" w:space="0"/>
              <w:bottom w:val="single" w:color="000000" w:sz="6" w:space="0"/>
              <w:right w:val="single" w:color="000000" w:sz="12" w:space="0"/>
            </w:tcBorders>
            <w:vAlign w:val="center"/>
          </w:tcPr>
          <w:p>
            <w:pPr>
              <w:pStyle w:val="135"/>
              <w:jc w:val="center"/>
              <w:rPr>
                <w:rFonts w:ascii="宋体" w:hAnsi="宋体" w:eastAsia="宋体"/>
                <w:color w:val="auto"/>
                <w:sz w:val="22"/>
                <w:szCs w:val="22"/>
                <w:highlight w:val="none"/>
              </w:rPr>
            </w:pPr>
            <w:bookmarkStart w:id="243" w:name="_Toc309048448"/>
            <w:bookmarkStart w:id="244" w:name="_Toc309996259"/>
            <w:r>
              <w:rPr>
                <w:rFonts w:ascii="宋体" w:hAnsi="宋体" w:eastAsia="宋体" w:cs="Times New Roman"/>
                <w:color w:val="auto"/>
                <w:sz w:val="22"/>
                <w:szCs w:val="22"/>
                <w:highlight w:val="none"/>
              </w:rPr>
              <w:t>1</w:t>
            </w:r>
            <w:r>
              <w:rPr>
                <w:rFonts w:hint="eastAsia" w:ascii="宋体" w:hAnsi="宋体" w:eastAsia="宋体"/>
                <w:color w:val="auto"/>
                <w:sz w:val="22"/>
                <w:szCs w:val="22"/>
                <w:highlight w:val="none"/>
              </w:rPr>
              <w:t>．一般情况</w:t>
            </w:r>
            <w:bookmarkEnd w:id="243"/>
            <w:bookmarkEnd w:id="244"/>
          </w:p>
        </w:tc>
      </w:tr>
      <w:tr>
        <w:tblPrEx>
          <w:tblCellMar>
            <w:top w:w="0" w:type="dxa"/>
            <w:left w:w="108" w:type="dxa"/>
            <w:bottom w:w="0" w:type="dxa"/>
            <w:right w:w="108" w:type="dxa"/>
          </w:tblCellMar>
        </w:tblPrEx>
        <w:trPr>
          <w:trHeight w:val="694" w:hRule="atLeast"/>
          <w:jc w:val="center"/>
        </w:trPr>
        <w:tc>
          <w:tcPr>
            <w:tcW w:w="396" w:type="pct"/>
            <w:tcBorders>
              <w:top w:val="single" w:color="000000" w:sz="6" w:space="0"/>
              <w:left w:val="single" w:color="000000" w:sz="12"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45" w:name="_Toc309996260"/>
            <w:bookmarkStart w:id="246" w:name="_Toc309048449"/>
            <w:r>
              <w:rPr>
                <w:rFonts w:hint="eastAsia" w:ascii="宋体" w:hAnsi="宋体" w:eastAsia="宋体"/>
                <w:color w:val="auto"/>
                <w:sz w:val="22"/>
                <w:szCs w:val="22"/>
                <w:highlight w:val="none"/>
              </w:rPr>
              <w:t>姓名</w:t>
            </w:r>
            <w:bookmarkEnd w:id="245"/>
            <w:bookmarkEnd w:id="246"/>
          </w:p>
        </w:tc>
        <w:tc>
          <w:tcPr>
            <w:tcW w:w="442" w:type="pct"/>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453" w:type="pct"/>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47" w:name="_Toc309996261"/>
            <w:bookmarkStart w:id="248" w:name="_Toc309048450"/>
            <w:r>
              <w:rPr>
                <w:rFonts w:hint="eastAsia" w:ascii="宋体" w:hAnsi="宋体" w:eastAsia="宋体"/>
                <w:color w:val="auto"/>
                <w:sz w:val="22"/>
                <w:szCs w:val="22"/>
                <w:highlight w:val="none"/>
              </w:rPr>
              <w:t>性别</w:t>
            </w:r>
            <w:bookmarkEnd w:id="247"/>
            <w:bookmarkEnd w:id="248"/>
          </w:p>
        </w:tc>
        <w:tc>
          <w:tcPr>
            <w:tcW w:w="416" w:type="pct"/>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503" w:type="pct"/>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49" w:name="_Toc309048451"/>
            <w:bookmarkStart w:id="250" w:name="_Toc309996262"/>
            <w:r>
              <w:rPr>
                <w:rFonts w:hint="eastAsia" w:ascii="宋体" w:hAnsi="宋体" w:eastAsia="宋体"/>
                <w:color w:val="auto"/>
                <w:sz w:val="22"/>
                <w:szCs w:val="22"/>
                <w:highlight w:val="none"/>
              </w:rPr>
              <w:t>年龄</w:t>
            </w:r>
            <w:bookmarkEnd w:id="249"/>
            <w:bookmarkEnd w:id="250"/>
          </w:p>
        </w:tc>
        <w:tc>
          <w:tcPr>
            <w:tcW w:w="448" w:type="pct"/>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359" w:type="pct"/>
            <w:gridSpan w:val="2"/>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51" w:name="_Toc309996263"/>
            <w:bookmarkStart w:id="252" w:name="_Toc309048452"/>
            <w:r>
              <w:rPr>
                <w:rFonts w:hint="eastAsia" w:ascii="宋体" w:hAnsi="宋体" w:eastAsia="宋体"/>
                <w:color w:val="auto"/>
                <w:sz w:val="22"/>
                <w:szCs w:val="22"/>
                <w:highlight w:val="none"/>
              </w:rPr>
              <w:t>学位</w:t>
            </w:r>
            <w:bookmarkEnd w:id="251"/>
            <w:bookmarkEnd w:id="252"/>
          </w:p>
        </w:tc>
        <w:tc>
          <w:tcPr>
            <w:tcW w:w="392" w:type="pct"/>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733" w:type="pct"/>
            <w:gridSpan w:val="2"/>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53" w:name="_Toc309048453"/>
            <w:bookmarkStart w:id="254" w:name="_Toc309996264"/>
            <w:r>
              <w:rPr>
                <w:rFonts w:hint="eastAsia" w:ascii="宋体" w:hAnsi="宋体" w:eastAsia="宋体"/>
                <w:color w:val="auto"/>
                <w:sz w:val="22"/>
                <w:szCs w:val="22"/>
                <w:highlight w:val="none"/>
              </w:rPr>
              <w:t>身份证号码</w:t>
            </w:r>
            <w:bookmarkEnd w:id="253"/>
            <w:bookmarkEnd w:id="254"/>
          </w:p>
        </w:tc>
        <w:tc>
          <w:tcPr>
            <w:tcW w:w="856" w:type="pct"/>
            <w:tcBorders>
              <w:top w:val="single" w:color="000000" w:sz="6" w:space="0"/>
              <w:left w:val="single" w:color="000000" w:sz="4" w:space="0"/>
              <w:bottom w:val="single" w:color="000000" w:sz="6" w:space="0"/>
              <w:right w:val="single" w:color="000000" w:sz="12" w:space="0"/>
            </w:tcBorders>
            <w:vAlign w:val="center"/>
          </w:tcPr>
          <w:p>
            <w:pPr>
              <w:pStyle w:val="135"/>
              <w:jc w:val="center"/>
              <w:rPr>
                <w:rFonts w:ascii="宋体" w:hAnsi="宋体" w:eastAsia="宋体" w:cs="Times New Roman"/>
                <w:color w:val="auto"/>
                <w:sz w:val="22"/>
                <w:szCs w:val="22"/>
                <w:highlight w:val="none"/>
              </w:rPr>
            </w:pPr>
          </w:p>
        </w:tc>
      </w:tr>
      <w:tr>
        <w:tblPrEx>
          <w:tblCellMar>
            <w:top w:w="0" w:type="dxa"/>
            <w:left w:w="108" w:type="dxa"/>
            <w:bottom w:w="0" w:type="dxa"/>
            <w:right w:w="108" w:type="dxa"/>
          </w:tblCellMar>
        </w:tblPrEx>
        <w:trPr>
          <w:trHeight w:val="694" w:hRule="atLeast"/>
          <w:jc w:val="center"/>
        </w:trPr>
        <w:tc>
          <w:tcPr>
            <w:tcW w:w="839" w:type="pct"/>
            <w:gridSpan w:val="2"/>
            <w:tcBorders>
              <w:top w:val="single" w:color="000000" w:sz="6" w:space="0"/>
              <w:left w:val="single" w:color="000000" w:sz="12"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bookmarkStart w:id="255" w:name="_Toc309996265"/>
            <w:bookmarkStart w:id="256" w:name="_Toc309048454"/>
            <w:r>
              <w:rPr>
                <w:rFonts w:hint="eastAsia" w:ascii="宋体" w:hAnsi="宋体" w:eastAsia="宋体"/>
                <w:color w:val="auto"/>
                <w:sz w:val="22"/>
                <w:szCs w:val="22"/>
                <w:highlight w:val="none"/>
              </w:rPr>
              <w:t>职称</w:t>
            </w:r>
            <w:bookmarkEnd w:id="255"/>
            <w:bookmarkEnd w:id="256"/>
          </w:p>
        </w:tc>
        <w:tc>
          <w:tcPr>
            <w:tcW w:w="1373" w:type="pct"/>
            <w:gridSpan w:val="3"/>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p>
        </w:tc>
        <w:tc>
          <w:tcPr>
            <w:tcW w:w="1932" w:type="pct"/>
            <w:gridSpan w:val="6"/>
            <w:tcBorders>
              <w:top w:val="single" w:color="000000" w:sz="6" w:space="0"/>
              <w:left w:val="single" w:color="000000" w:sz="4" w:space="0"/>
              <w:bottom w:val="single" w:color="000000" w:sz="6" w:space="0"/>
              <w:right w:val="single" w:color="auto" w:sz="4" w:space="0"/>
            </w:tcBorders>
            <w:vAlign w:val="center"/>
          </w:tcPr>
          <w:p>
            <w:pPr>
              <w:pStyle w:val="135"/>
              <w:jc w:val="center"/>
              <w:rPr>
                <w:rFonts w:ascii="宋体" w:hAnsi="宋体" w:eastAsia="宋体"/>
                <w:color w:val="auto"/>
                <w:sz w:val="22"/>
                <w:szCs w:val="22"/>
                <w:highlight w:val="none"/>
              </w:rPr>
            </w:pPr>
            <w:bookmarkStart w:id="257" w:name="_Toc309996267"/>
            <w:bookmarkStart w:id="258" w:name="_Toc309048456"/>
            <w:r>
              <w:rPr>
                <w:rFonts w:hint="eastAsia" w:ascii="宋体" w:hAnsi="宋体" w:eastAsia="宋体"/>
                <w:color w:val="auto"/>
                <w:sz w:val="22"/>
                <w:szCs w:val="22"/>
                <w:highlight w:val="none"/>
              </w:rPr>
              <w:t>在本合同中拟任职</w:t>
            </w:r>
            <w:bookmarkEnd w:id="257"/>
            <w:bookmarkEnd w:id="258"/>
          </w:p>
        </w:tc>
        <w:tc>
          <w:tcPr>
            <w:tcW w:w="856" w:type="pct"/>
            <w:tcBorders>
              <w:top w:val="single" w:color="000000" w:sz="6" w:space="0"/>
              <w:left w:val="single" w:color="auto" w:sz="4" w:space="0"/>
              <w:bottom w:val="single" w:color="000000" w:sz="6" w:space="0"/>
              <w:right w:val="single" w:color="000000" w:sz="12" w:space="0"/>
            </w:tcBorders>
            <w:vAlign w:val="center"/>
          </w:tcPr>
          <w:p>
            <w:pPr>
              <w:pStyle w:val="135"/>
              <w:jc w:val="center"/>
              <w:rPr>
                <w:rFonts w:ascii="宋体" w:hAnsi="宋体" w:eastAsia="宋体" w:cs="Times New Roman"/>
                <w:color w:val="auto"/>
                <w:sz w:val="22"/>
                <w:szCs w:val="22"/>
                <w:highlight w:val="none"/>
              </w:rPr>
            </w:pPr>
          </w:p>
        </w:tc>
      </w:tr>
      <w:tr>
        <w:tblPrEx>
          <w:tblCellMar>
            <w:top w:w="0" w:type="dxa"/>
            <w:left w:w="108" w:type="dxa"/>
            <w:bottom w:w="0" w:type="dxa"/>
            <w:right w:w="108" w:type="dxa"/>
          </w:tblCellMar>
        </w:tblPrEx>
        <w:trPr>
          <w:trHeight w:val="698" w:hRule="atLeast"/>
          <w:jc w:val="center"/>
        </w:trPr>
        <w:tc>
          <w:tcPr>
            <w:tcW w:w="396" w:type="pct"/>
            <w:tcBorders>
              <w:top w:val="single" w:color="000000" w:sz="6" w:space="0"/>
              <w:left w:val="single" w:color="000000" w:sz="12"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59" w:name="_Toc309048457"/>
            <w:bookmarkStart w:id="260" w:name="_Toc309996268"/>
            <w:r>
              <w:rPr>
                <w:rFonts w:hint="eastAsia" w:ascii="宋体" w:hAnsi="宋体" w:eastAsia="宋体"/>
                <w:color w:val="auto"/>
                <w:sz w:val="22"/>
                <w:szCs w:val="22"/>
                <w:highlight w:val="none"/>
              </w:rPr>
              <w:t>学历</w:t>
            </w:r>
            <w:bookmarkEnd w:id="259"/>
            <w:bookmarkEnd w:id="260"/>
          </w:p>
        </w:tc>
        <w:tc>
          <w:tcPr>
            <w:tcW w:w="4604" w:type="pct"/>
            <w:gridSpan w:val="11"/>
            <w:tcBorders>
              <w:top w:val="single" w:color="000000" w:sz="6" w:space="0"/>
              <w:left w:val="single" w:color="000000" w:sz="4" w:space="0"/>
              <w:bottom w:val="single" w:color="000000" w:sz="6" w:space="0"/>
              <w:right w:val="single" w:color="000000" w:sz="12" w:space="0"/>
            </w:tcBorders>
            <w:vAlign w:val="center"/>
          </w:tcPr>
          <w:p>
            <w:pPr>
              <w:pStyle w:val="135"/>
              <w:jc w:val="center"/>
              <w:rPr>
                <w:rFonts w:ascii="宋体" w:hAnsi="宋体" w:eastAsia="宋体"/>
                <w:color w:val="auto"/>
                <w:sz w:val="22"/>
                <w:szCs w:val="22"/>
                <w:highlight w:val="none"/>
              </w:rPr>
            </w:pPr>
            <w:bookmarkStart w:id="261" w:name="_Toc309996269"/>
            <w:bookmarkStart w:id="262" w:name="_Toc309048458"/>
            <w:r>
              <w:rPr>
                <w:rFonts w:hint="eastAsia" w:ascii="宋体" w:hAnsi="宋体" w:eastAsia="宋体"/>
                <w:color w:val="auto"/>
                <w:sz w:val="22"/>
                <w:szCs w:val="22"/>
                <w:highlight w:val="none"/>
              </w:rPr>
              <w:t>年毕业于</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（学校）</w:t>
            </w:r>
            <w:r>
              <w:rPr>
                <w:rFonts w:ascii="宋体" w:hAnsi="宋体" w:eastAsia="宋体"/>
                <w:color w:val="auto"/>
                <w:sz w:val="22"/>
                <w:szCs w:val="22"/>
                <w:highlight w:val="none"/>
              </w:rPr>
              <w:t xml:space="preserve">                 </w:t>
            </w:r>
            <w:r>
              <w:rPr>
                <w:rFonts w:hint="eastAsia" w:ascii="宋体" w:hAnsi="宋体" w:eastAsia="宋体"/>
                <w:color w:val="auto"/>
                <w:sz w:val="22"/>
                <w:szCs w:val="22"/>
                <w:highlight w:val="none"/>
              </w:rPr>
              <w:t>（专业）</w:t>
            </w:r>
            <w:bookmarkEnd w:id="261"/>
            <w:bookmarkEnd w:id="262"/>
          </w:p>
        </w:tc>
      </w:tr>
      <w:tr>
        <w:tblPrEx>
          <w:tblCellMar>
            <w:top w:w="0" w:type="dxa"/>
            <w:left w:w="108" w:type="dxa"/>
            <w:bottom w:w="0" w:type="dxa"/>
            <w:right w:w="108" w:type="dxa"/>
          </w:tblCellMar>
        </w:tblPrEx>
        <w:trPr>
          <w:trHeight w:val="694" w:hRule="atLeast"/>
          <w:jc w:val="center"/>
        </w:trPr>
        <w:tc>
          <w:tcPr>
            <w:tcW w:w="5000" w:type="pct"/>
            <w:gridSpan w:val="12"/>
            <w:tcBorders>
              <w:top w:val="single" w:color="000000" w:sz="6" w:space="0"/>
              <w:left w:val="single" w:color="000000" w:sz="12" w:space="0"/>
              <w:bottom w:val="single" w:color="000000" w:sz="6" w:space="0"/>
              <w:right w:val="single" w:color="000000" w:sz="12" w:space="0"/>
            </w:tcBorders>
            <w:vAlign w:val="center"/>
          </w:tcPr>
          <w:p>
            <w:pPr>
              <w:pStyle w:val="135"/>
              <w:jc w:val="center"/>
              <w:rPr>
                <w:rFonts w:ascii="宋体" w:hAnsi="宋体" w:eastAsia="宋体"/>
                <w:color w:val="auto"/>
                <w:sz w:val="22"/>
                <w:szCs w:val="22"/>
                <w:highlight w:val="none"/>
              </w:rPr>
            </w:pPr>
            <w:bookmarkStart w:id="263" w:name="_Toc309996270"/>
            <w:bookmarkStart w:id="264" w:name="_Toc309048459"/>
            <w:r>
              <w:rPr>
                <w:rFonts w:ascii="宋体" w:hAnsi="宋体" w:eastAsia="宋体" w:cs="Times New Roman"/>
                <w:color w:val="auto"/>
                <w:sz w:val="22"/>
                <w:szCs w:val="22"/>
                <w:highlight w:val="none"/>
              </w:rPr>
              <w:t>2</w:t>
            </w:r>
            <w:r>
              <w:rPr>
                <w:rFonts w:hint="eastAsia" w:ascii="宋体" w:hAnsi="宋体" w:eastAsia="宋体"/>
                <w:color w:val="auto"/>
                <w:sz w:val="22"/>
                <w:szCs w:val="22"/>
                <w:highlight w:val="none"/>
              </w:rPr>
              <w:t>．经历</w:t>
            </w:r>
            <w:bookmarkEnd w:id="263"/>
            <w:bookmarkEnd w:id="264"/>
          </w:p>
        </w:tc>
      </w:tr>
      <w:tr>
        <w:tblPrEx>
          <w:tblCellMar>
            <w:top w:w="0" w:type="dxa"/>
            <w:left w:w="108" w:type="dxa"/>
            <w:bottom w:w="0" w:type="dxa"/>
            <w:right w:w="108" w:type="dxa"/>
          </w:tblCellMar>
        </w:tblPrEx>
        <w:trPr>
          <w:trHeight w:val="698" w:hRule="atLeast"/>
          <w:jc w:val="center"/>
        </w:trPr>
        <w:tc>
          <w:tcPr>
            <w:tcW w:w="396" w:type="pct"/>
            <w:tcBorders>
              <w:top w:val="single" w:color="000000" w:sz="6" w:space="0"/>
              <w:left w:val="single" w:color="000000" w:sz="12"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65" w:name="_Toc309996271"/>
            <w:bookmarkStart w:id="266" w:name="_Toc309048460"/>
            <w:r>
              <w:rPr>
                <w:rFonts w:hint="eastAsia" w:ascii="宋体" w:hAnsi="宋体" w:eastAsia="宋体"/>
                <w:color w:val="auto"/>
                <w:sz w:val="22"/>
                <w:szCs w:val="22"/>
                <w:highlight w:val="none"/>
              </w:rPr>
              <w:t>时间</w:t>
            </w:r>
            <w:bookmarkEnd w:id="265"/>
            <w:bookmarkEnd w:id="266"/>
          </w:p>
        </w:tc>
        <w:tc>
          <w:tcPr>
            <w:tcW w:w="2452" w:type="pct"/>
            <w:gridSpan w:val="6"/>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67" w:name="_Toc309048461"/>
            <w:bookmarkStart w:id="268" w:name="_Toc309996272"/>
            <w:r>
              <w:rPr>
                <w:rFonts w:hint="eastAsia" w:ascii="宋体" w:hAnsi="宋体" w:eastAsia="宋体"/>
                <w:color w:val="auto"/>
                <w:sz w:val="22"/>
                <w:szCs w:val="22"/>
                <w:highlight w:val="none"/>
              </w:rPr>
              <w:t>负责过的主要项目（类型和金额）</w:t>
            </w:r>
            <w:bookmarkEnd w:id="267"/>
            <w:bookmarkEnd w:id="268"/>
          </w:p>
        </w:tc>
        <w:tc>
          <w:tcPr>
            <w:tcW w:w="838" w:type="pct"/>
            <w:gridSpan w:val="3"/>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olor w:val="auto"/>
                <w:sz w:val="22"/>
                <w:szCs w:val="22"/>
                <w:highlight w:val="none"/>
              </w:rPr>
            </w:pPr>
            <w:bookmarkStart w:id="269" w:name="_Toc309048462"/>
            <w:bookmarkStart w:id="270" w:name="_Toc309996273"/>
            <w:r>
              <w:rPr>
                <w:rFonts w:hint="eastAsia" w:ascii="宋体" w:hAnsi="宋体" w:eastAsia="宋体"/>
                <w:color w:val="auto"/>
                <w:sz w:val="22"/>
                <w:szCs w:val="22"/>
                <w:highlight w:val="none"/>
              </w:rPr>
              <w:t>该项目中任职</w:t>
            </w:r>
            <w:bookmarkEnd w:id="269"/>
            <w:bookmarkEnd w:id="270"/>
          </w:p>
        </w:tc>
        <w:tc>
          <w:tcPr>
            <w:tcW w:w="1314" w:type="pct"/>
            <w:gridSpan w:val="2"/>
            <w:tcBorders>
              <w:top w:val="single" w:color="000000" w:sz="6" w:space="0"/>
              <w:left w:val="single" w:color="000000" w:sz="4" w:space="0"/>
              <w:bottom w:val="single" w:color="000000" w:sz="6" w:space="0"/>
              <w:right w:val="single" w:color="000000" w:sz="12" w:space="0"/>
            </w:tcBorders>
            <w:vAlign w:val="center"/>
          </w:tcPr>
          <w:p>
            <w:pPr>
              <w:pStyle w:val="135"/>
              <w:jc w:val="center"/>
              <w:rPr>
                <w:rFonts w:ascii="宋体" w:hAnsi="宋体" w:eastAsia="宋体"/>
                <w:color w:val="auto"/>
                <w:sz w:val="22"/>
                <w:szCs w:val="22"/>
                <w:highlight w:val="none"/>
              </w:rPr>
            </w:pPr>
            <w:bookmarkStart w:id="271" w:name="_Toc309996274"/>
            <w:bookmarkStart w:id="272" w:name="_Toc309048463"/>
            <w:r>
              <w:rPr>
                <w:rFonts w:hint="eastAsia" w:ascii="宋体" w:hAnsi="宋体" w:eastAsia="宋体"/>
                <w:color w:val="auto"/>
                <w:sz w:val="22"/>
                <w:szCs w:val="22"/>
                <w:highlight w:val="none"/>
              </w:rPr>
              <w:t>业主单位及联系电话</w:t>
            </w:r>
            <w:bookmarkEnd w:id="271"/>
            <w:bookmarkEnd w:id="272"/>
          </w:p>
        </w:tc>
      </w:tr>
      <w:tr>
        <w:tblPrEx>
          <w:tblCellMar>
            <w:top w:w="0" w:type="dxa"/>
            <w:left w:w="108" w:type="dxa"/>
            <w:bottom w:w="0" w:type="dxa"/>
            <w:right w:w="108" w:type="dxa"/>
          </w:tblCellMar>
        </w:tblPrEx>
        <w:trPr>
          <w:trHeight w:val="846" w:hRule="atLeast"/>
          <w:jc w:val="center"/>
        </w:trPr>
        <w:tc>
          <w:tcPr>
            <w:tcW w:w="396" w:type="pct"/>
            <w:tcBorders>
              <w:top w:val="single" w:color="000000" w:sz="6" w:space="0"/>
              <w:left w:val="single" w:color="000000" w:sz="12"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2452" w:type="pct"/>
            <w:gridSpan w:val="6"/>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838" w:type="pct"/>
            <w:gridSpan w:val="3"/>
            <w:tcBorders>
              <w:top w:val="single" w:color="000000" w:sz="6" w:space="0"/>
              <w:left w:val="single" w:color="000000" w:sz="4" w:space="0"/>
              <w:bottom w:val="single" w:color="000000" w:sz="6" w:space="0"/>
              <w:right w:val="single" w:color="000000" w:sz="4" w:space="0"/>
            </w:tcBorders>
            <w:vAlign w:val="center"/>
          </w:tcPr>
          <w:p>
            <w:pPr>
              <w:pStyle w:val="135"/>
              <w:jc w:val="center"/>
              <w:rPr>
                <w:rFonts w:ascii="宋体" w:hAnsi="宋体" w:eastAsia="宋体" w:cs="Times New Roman"/>
                <w:color w:val="auto"/>
                <w:sz w:val="22"/>
                <w:szCs w:val="22"/>
                <w:highlight w:val="none"/>
              </w:rPr>
            </w:pPr>
          </w:p>
        </w:tc>
        <w:tc>
          <w:tcPr>
            <w:tcW w:w="1314" w:type="pct"/>
            <w:gridSpan w:val="2"/>
            <w:tcBorders>
              <w:top w:val="single" w:color="000000" w:sz="6" w:space="0"/>
              <w:left w:val="single" w:color="000000" w:sz="4" w:space="0"/>
              <w:bottom w:val="single" w:color="000000" w:sz="6" w:space="0"/>
              <w:right w:val="single" w:color="000000" w:sz="12" w:space="0"/>
            </w:tcBorders>
            <w:vAlign w:val="center"/>
          </w:tcPr>
          <w:p>
            <w:pPr>
              <w:pStyle w:val="135"/>
              <w:jc w:val="center"/>
              <w:rPr>
                <w:rFonts w:ascii="宋体" w:hAnsi="宋体" w:eastAsia="宋体" w:cs="Times New Roman"/>
                <w:color w:val="auto"/>
                <w:sz w:val="22"/>
                <w:szCs w:val="22"/>
                <w:highlight w:val="none"/>
              </w:rPr>
            </w:pPr>
          </w:p>
        </w:tc>
      </w:tr>
      <w:tr>
        <w:tblPrEx>
          <w:tblCellMar>
            <w:top w:w="0" w:type="dxa"/>
            <w:left w:w="108" w:type="dxa"/>
            <w:bottom w:w="0" w:type="dxa"/>
            <w:right w:w="108" w:type="dxa"/>
          </w:tblCellMar>
        </w:tblPrEx>
        <w:trPr>
          <w:trHeight w:val="513" w:hRule="atLeast"/>
          <w:jc w:val="center"/>
        </w:trPr>
        <w:tc>
          <w:tcPr>
            <w:tcW w:w="5000" w:type="pct"/>
            <w:gridSpan w:val="12"/>
            <w:tcBorders>
              <w:top w:val="single" w:color="000000" w:sz="6" w:space="0"/>
              <w:left w:val="single" w:color="000000" w:sz="12" w:space="0"/>
              <w:bottom w:val="single" w:color="000000" w:sz="6" w:space="0"/>
              <w:right w:val="single" w:color="000000" w:sz="12" w:space="0"/>
            </w:tcBorders>
            <w:vAlign w:val="center"/>
          </w:tcPr>
          <w:p>
            <w:pPr>
              <w:pStyle w:val="135"/>
              <w:jc w:val="center"/>
              <w:rPr>
                <w:rFonts w:ascii="宋体" w:hAnsi="宋体" w:eastAsia="宋体"/>
                <w:color w:val="auto"/>
                <w:sz w:val="22"/>
                <w:szCs w:val="22"/>
                <w:highlight w:val="none"/>
              </w:rPr>
            </w:pPr>
            <w:bookmarkStart w:id="273" w:name="_Toc309996275"/>
            <w:bookmarkStart w:id="274" w:name="_Toc309048464"/>
            <w:r>
              <w:rPr>
                <w:rFonts w:ascii="宋体" w:hAnsi="宋体" w:eastAsia="宋体" w:cs="Times New Roman"/>
                <w:color w:val="auto"/>
                <w:sz w:val="22"/>
                <w:szCs w:val="22"/>
                <w:highlight w:val="none"/>
              </w:rPr>
              <w:t>3</w:t>
            </w:r>
            <w:r>
              <w:rPr>
                <w:rFonts w:hint="eastAsia" w:ascii="宋体" w:hAnsi="宋体" w:eastAsia="宋体"/>
                <w:color w:val="auto"/>
                <w:sz w:val="22"/>
                <w:szCs w:val="22"/>
                <w:highlight w:val="none"/>
              </w:rPr>
              <w:t>．获奖情况</w:t>
            </w:r>
            <w:bookmarkEnd w:id="273"/>
            <w:bookmarkEnd w:id="274"/>
          </w:p>
        </w:tc>
      </w:tr>
      <w:tr>
        <w:tblPrEx>
          <w:tblCellMar>
            <w:top w:w="0" w:type="dxa"/>
            <w:left w:w="108" w:type="dxa"/>
            <w:bottom w:w="0" w:type="dxa"/>
            <w:right w:w="108" w:type="dxa"/>
          </w:tblCellMar>
        </w:tblPrEx>
        <w:trPr>
          <w:trHeight w:val="90" w:hRule="atLeast"/>
          <w:jc w:val="center"/>
        </w:trPr>
        <w:tc>
          <w:tcPr>
            <w:tcW w:w="5000" w:type="pct"/>
            <w:gridSpan w:val="12"/>
            <w:tcBorders>
              <w:top w:val="single" w:color="000000" w:sz="6" w:space="0"/>
              <w:left w:val="single" w:color="000000" w:sz="12" w:space="0"/>
              <w:bottom w:val="single" w:color="000000" w:sz="6" w:space="0"/>
              <w:right w:val="single" w:color="000000" w:sz="12" w:space="0"/>
            </w:tcBorders>
            <w:vAlign w:val="center"/>
          </w:tcPr>
          <w:p>
            <w:pPr>
              <w:pStyle w:val="135"/>
              <w:jc w:val="center"/>
              <w:rPr>
                <w:rFonts w:ascii="宋体" w:hAnsi="宋体" w:eastAsia="宋体" w:cs="Times New Roman"/>
                <w:color w:val="auto"/>
                <w:sz w:val="22"/>
                <w:szCs w:val="22"/>
                <w:highlight w:val="none"/>
              </w:rPr>
            </w:pPr>
          </w:p>
        </w:tc>
      </w:tr>
      <w:tr>
        <w:tblPrEx>
          <w:tblCellMar>
            <w:top w:w="0" w:type="dxa"/>
            <w:left w:w="108" w:type="dxa"/>
            <w:bottom w:w="0" w:type="dxa"/>
            <w:right w:w="108" w:type="dxa"/>
          </w:tblCellMar>
        </w:tblPrEx>
        <w:trPr>
          <w:trHeight w:val="460" w:hRule="atLeast"/>
          <w:jc w:val="center"/>
        </w:trPr>
        <w:tc>
          <w:tcPr>
            <w:tcW w:w="5000" w:type="pct"/>
            <w:gridSpan w:val="12"/>
            <w:tcBorders>
              <w:top w:val="single" w:color="000000" w:sz="6" w:space="0"/>
              <w:left w:val="single" w:color="000000" w:sz="12" w:space="0"/>
              <w:bottom w:val="single" w:color="000000" w:sz="6" w:space="0"/>
              <w:right w:val="single" w:color="000000" w:sz="12" w:space="0"/>
            </w:tcBorders>
            <w:vAlign w:val="center"/>
          </w:tcPr>
          <w:p>
            <w:pPr>
              <w:pStyle w:val="135"/>
              <w:jc w:val="center"/>
              <w:rPr>
                <w:rFonts w:ascii="宋体" w:hAnsi="宋体" w:eastAsia="宋体"/>
                <w:color w:val="auto"/>
                <w:sz w:val="22"/>
                <w:szCs w:val="22"/>
                <w:highlight w:val="none"/>
              </w:rPr>
            </w:pPr>
            <w:bookmarkStart w:id="275" w:name="_Toc309048465"/>
            <w:bookmarkStart w:id="276" w:name="_Toc309996276"/>
            <w:r>
              <w:rPr>
                <w:rFonts w:ascii="宋体" w:hAnsi="宋体" w:eastAsia="宋体" w:cs="Times New Roman"/>
                <w:color w:val="auto"/>
                <w:sz w:val="22"/>
                <w:szCs w:val="22"/>
                <w:highlight w:val="none"/>
              </w:rPr>
              <w:t>4</w:t>
            </w:r>
            <w:r>
              <w:rPr>
                <w:rFonts w:hint="eastAsia" w:ascii="宋体" w:hAnsi="宋体" w:eastAsia="宋体"/>
                <w:color w:val="auto"/>
                <w:sz w:val="22"/>
                <w:szCs w:val="22"/>
                <w:highlight w:val="none"/>
              </w:rPr>
              <w:t>．目前承担的</w:t>
            </w:r>
            <w:bookmarkEnd w:id="275"/>
            <w:bookmarkEnd w:id="276"/>
            <w:r>
              <w:rPr>
                <w:rFonts w:hint="eastAsia" w:ascii="宋体" w:hAnsi="宋体" w:eastAsia="宋体"/>
                <w:color w:val="auto"/>
                <w:sz w:val="22"/>
                <w:szCs w:val="22"/>
                <w:highlight w:val="none"/>
              </w:rPr>
              <w:t>项目</w:t>
            </w:r>
          </w:p>
        </w:tc>
      </w:tr>
      <w:tr>
        <w:tblPrEx>
          <w:tblCellMar>
            <w:top w:w="0" w:type="dxa"/>
            <w:left w:w="108" w:type="dxa"/>
            <w:bottom w:w="0" w:type="dxa"/>
            <w:right w:w="108" w:type="dxa"/>
          </w:tblCellMar>
        </w:tblPrEx>
        <w:trPr>
          <w:trHeight w:val="615" w:hRule="atLeast"/>
          <w:jc w:val="center"/>
        </w:trPr>
        <w:tc>
          <w:tcPr>
            <w:tcW w:w="5000" w:type="pct"/>
            <w:gridSpan w:val="12"/>
            <w:tcBorders>
              <w:top w:val="single" w:color="000000" w:sz="6" w:space="0"/>
              <w:left w:val="single" w:color="000000" w:sz="12" w:space="0"/>
              <w:bottom w:val="single" w:color="000000" w:sz="12" w:space="0"/>
              <w:right w:val="single" w:color="000000" w:sz="12" w:space="0"/>
            </w:tcBorders>
            <w:vAlign w:val="center"/>
          </w:tcPr>
          <w:p>
            <w:pPr>
              <w:pStyle w:val="135"/>
              <w:jc w:val="center"/>
              <w:rPr>
                <w:rFonts w:ascii="宋体" w:hAnsi="宋体" w:eastAsia="宋体" w:cs="Times New Roman"/>
                <w:color w:val="auto"/>
                <w:sz w:val="22"/>
                <w:szCs w:val="22"/>
                <w:highlight w:val="none"/>
              </w:rPr>
            </w:pPr>
          </w:p>
        </w:tc>
      </w:tr>
    </w:tbl>
    <w:p>
      <w:pPr>
        <w:spacing w:line="380" w:lineRule="exact"/>
        <w:rPr>
          <w:rFonts w:ascii="宋体" w:cs="Arial"/>
          <w:b/>
          <w:color w:val="auto"/>
          <w:sz w:val="22"/>
          <w:szCs w:val="22"/>
          <w:highlight w:val="none"/>
        </w:rPr>
      </w:pPr>
      <w:r>
        <w:rPr>
          <w:rFonts w:hint="eastAsia" w:ascii="宋体" w:hAnsi="宋体" w:cs="Arial"/>
          <w:b/>
          <w:color w:val="auto"/>
          <w:sz w:val="22"/>
          <w:szCs w:val="22"/>
          <w:highlight w:val="none"/>
        </w:rPr>
        <w:t>注：</w:t>
      </w:r>
    </w:p>
    <w:p>
      <w:pPr>
        <w:spacing w:line="380" w:lineRule="exact"/>
        <w:ind w:firstLine="440" w:firstLineChars="200"/>
        <w:rPr>
          <w:rFonts w:hint="eastAsia" w:ascii="宋体" w:hAnsi="宋体" w:cs="宋体"/>
          <w:color w:val="auto"/>
          <w:kern w:val="0"/>
          <w:sz w:val="22"/>
          <w:szCs w:val="22"/>
          <w:highlight w:val="none"/>
        </w:rPr>
        <w:sectPr>
          <w:pgSz w:w="16838" w:h="11906" w:orient="landscape"/>
          <w:pgMar w:top="1440" w:right="1080" w:bottom="1440" w:left="1080" w:header="851" w:footer="851" w:gutter="0"/>
          <w:pgNumType w:fmt="decimal"/>
          <w:cols w:space="720" w:num="1"/>
          <w:titlePg/>
          <w:docGrid w:linePitch="312" w:charSpace="0"/>
        </w:sectPr>
      </w:pP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项目负责人</w:t>
      </w:r>
      <w:r>
        <w:rPr>
          <w:rFonts w:hint="eastAsia" w:ascii="宋体" w:hAnsi="宋体"/>
          <w:color w:val="auto"/>
          <w:sz w:val="22"/>
          <w:szCs w:val="22"/>
          <w:highlight w:val="none"/>
        </w:rPr>
        <w:t>的学历、职称、荣誉、业绩等须</w:t>
      </w:r>
      <w:r>
        <w:rPr>
          <w:rFonts w:hint="eastAsia" w:ascii="宋体" w:hAnsi="宋体" w:cs="宋体"/>
          <w:color w:val="auto"/>
          <w:kern w:val="0"/>
          <w:sz w:val="22"/>
          <w:szCs w:val="22"/>
          <w:highlight w:val="none"/>
        </w:rPr>
        <w:t>提供相关证书</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证明材料，否则评分时不予认可。</w:t>
      </w:r>
    </w:p>
    <w:p>
      <w:pPr>
        <w:spacing w:line="380" w:lineRule="exact"/>
        <w:rPr>
          <w:rFonts w:ascii="宋体" w:cs="Arial"/>
          <w:b/>
          <w:color w:val="auto"/>
          <w:sz w:val="22"/>
          <w:szCs w:val="22"/>
          <w:highlight w:val="none"/>
        </w:rPr>
      </w:pPr>
      <w:r>
        <w:rPr>
          <w:rFonts w:hint="eastAsia" w:ascii="宋体" w:hAnsi="宋体" w:cs="Arial"/>
          <w:b/>
          <w:color w:val="auto"/>
          <w:sz w:val="22"/>
          <w:szCs w:val="22"/>
          <w:highlight w:val="none"/>
        </w:rPr>
        <w:t>（</w:t>
      </w:r>
      <w:r>
        <w:rPr>
          <w:rFonts w:hint="eastAsia" w:ascii="宋体" w:hAnsi="宋体" w:cs="Arial"/>
          <w:b/>
          <w:color w:val="auto"/>
          <w:sz w:val="22"/>
          <w:szCs w:val="22"/>
          <w:highlight w:val="none"/>
          <w:lang w:val="en-US" w:eastAsia="zh-CN"/>
        </w:rPr>
        <w:t>3</w:t>
      </w:r>
      <w:r>
        <w:rPr>
          <w:rFonts w:hint="eastAsia" w:ascii="宋体" w:hAnsi="宋体" w:cs="Arial"/>
          <w:b/>
          <w:color w:val="auto"/>
          <w:sz w:val="22"/>
          <w:szCs w:val="22"/>
          <w:highlight w:val="none"/>
        </w:rPr>
        <w:t>）项目组人员配置一览表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序号</w:t>
            </w:r>
          </w:p>
        </w:tc>
        <w:tc>
          <w:tcPr>
            <w:tcW w:w="958"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姓名</w:t>
            </w:r>
          </w:p>
        </w:tc>
        <w:tc>
          <w:tcPr>
            <w:tcW w:w="958"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性别</w:t>
            </w:r>
          </w:p>
        </w:tc>
        <w:tc>
          <w:tcPr>
            <w:tcW w:w="767"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年龄</w:t>
            </w:r>
          </w:p>
        </w:tc>
        <w:tc>
          <w:tcPr>
            <w:tcW w:w="767"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学历</w:t>
            </w:r>
          </w:p>
        </w:tc>
        <w:tc>
          <w:tcPr>
            <w:tcW w:w="1340" w:type="dxa"/>
            <w:tcBorders>
              <w:top w:val="single" w:color="auto" w:sz="12" w:space="0"/>
            </w:tcBorders>
            <w:vAlign w:val="center"/>
          </w:tcPr>
          <w:p>
            <w:pPr>
              <w:spacing w:line="280" w:lineRule="exact"/>
              <w:jc w:val="center"/>
              <w:rPr>
                <w:rFonts w:ascii="宋体"/>
                <w:color w:val="auto"/>
                <w:sz w:val="22"/>
                <w:highlight w:val="none"/>
              </w:rPr>
            </w:pPr>
            <w:r>
              <w:rPr>
                <w:rFonts w:hint="eastAsia" w:ascii="宋体" w:hAnsi="宋体"/>
                <w:color w:val="auto"/>
                <w:sz w:val="22"/>
                <w:highlight w:val="none"/>
              </w:rPr>
              <w:t>职称</w:t>
            </w:r>
            <w:r>
              <w:rPr>
                <w:rFonts w:ascii="宋体" w:hAnsi="宋体"/>
                <w:color w:val="auto"/>
                <w:sz w:val="22"/>
                <w:highlight w:val="none"/>
              </w:rPr>
              <w:t>/</w:t>
            </w:r>
            <w:r>
              <w:rPr>
                <w:rFonts w:hint="eastAsia" w:ascii="宋体" w:hAnsi="宋体"/>
                <w:color w:val="auto"/>
                <w:sz w:val="22"/>
                <w:highlight w:val="none"/>
              </w:rPr>
              <w:t>职务</w:t>
            </w:r>
          </w:p>
        </w:tc>
        <w:tc>
          <w:tcPr>
            <w:tcW w:w="1326" w:type="dxa"/>
            <w:tcBorders>
              <w:top w:val="single" w:color="auto" w:sz="12" w:space="0"/>
            </w:tcBorders>
            <w:vAlign w:val="center"/>
          </w:tcPr>
          <w:p>
            <w:pPr>
              <w:spacing w:line="280" w:lineRule="exact"/>
              <w:jc w:val="center"/>
              <w:rPr>
                <w:rFonts w:ascii="宋体"/>
                <w:color w:val="auto"/>
                <w:sz w:val="22"/>
                <w:highlight w:val="none"/>
              </w:rPr>
            </w:pPr>
            <w:r>
              <w:rPr>
                <w:rFonts w:hint="eastAsia" w:ascii="宋体" w:hAnsi="宋体"/>
                <w:color w:val="auto"/>
                <w:highlight w:val="none"/>
              </w:rPr>
              <w:t>本工程中的岗位</w:t>
            </w:r>
          </w:p>
        </w:tc>
        <w:tc>
          <w:tcPr>
            <w:tcW w:w="1825"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从事专业年限</w:t>
            </w:r>
          </w:p>
        </w:tc>
        <w:tc>
          <w:tcPr>
            <w:tcW w:w="1147" w:type="dxa"/>
            <w:tcBorders>
              <w:top w:val="single" w:color="auto" w:sz="12" w:space="0"/>
            </w:tcBorders>
            <w:vAlign w:val="center"/>
          </w:tcPr>
          <w:p>
            <w:pPr>
              <w:spacing w:line="360" w:lineRule="auto"/>
              <w:jc w:val="center"/>
              <w:rPr>
                <w:rFonts w:ascii="宋体"/>
                <w:color w:val="auto"/>
                <w:sz w:val="22"/>
                <w:highlight w:val="none"/>
              </w:rPr>
            </w:pPr>
            <w:r>
              <w:rPr>
                <w:rFonts w:hint="eastAsia" w:ascii="宋体" w:hAnsi="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hint="eastAsia" w:ascii="宋体" w:eastAsia="宋体"/>
                <w:color w:val="auto"/>
                <w:sz w:val="22"/>
                <w:highlight w:val="none"/>
                <w:lang w:val="en-US" w:eastAsia="zh-CN"/>
              </w:rPr>
            </w:pPr>
            <w:r>
              <w:rPr>
                <w:rFonts w:hint="eastAsia" w:ascii="宋体"/>
                <w:color w:val="auto"/>
                <w:sz w:val="22"/>
                <w:highlight w:val="none"/>
                <w:lang w:val="en-US" w:eastAsia="zh-CN"/>
              </w:rPr>
              <w:t xml:space="preserve"> </w:t>
            </w: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958"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767" w:type="dxa"/>
            <w:vAlign w:val="center"/>
          </w:tcPr>
          <w:p>
            <w:pPr>
              <w:spacing w:line="360" w:lineRule="auto"/>
              <w:jc w:val="center"/>
              <w:rPr>
                <w:rFonts w:ascii="宋体"/>
                <w:color w:val="auto"/>
                <w:sz w:val="22"/>
                <w:highlight w:val="none"/>
              </w:rPr>
            </w:pPr>
          </w:p>
        </w:tc>
        <w:tc>
          <w:tcPr>
            <w:tcW w:w="1340" w:type="dxa"/>
            <w:vAlign w:val="center"/>
          </w:tcPr>
          <w:p>
            <w:pPr>
              <w:spacing w:line="360" w:lineRule="auto"/>
              <w:jc w:val="center"/>
              <w:rPr>
                <w:rFonts w:ascii="宋体"/>
                <w:color w:val="auto"/>
                <w:sz w:val="22"/>
                <w:highlight w:val="none"/>
              </w:rPr>
            </w:pPr>
          </w:p>
        </w:tc>
        <w:tc>
          <w:tcPr>
            <w:tcW w:w="1326" w:type="dxa"/>
            <w:vAlign w:val="center"/>
          </w:tcPr>
          <w:p>
            <w:pPr>
              <w:spacing w:line="360" w:lineRule="auto"/>
              <w:jc w:val="center"/>
              <w:rPr>
                <w:rFonts w:ascii="宋体"/>
                <w:color w:val="auto"/>
                <w:sz w:val="22"/>
                <w:highlight w:val="none"/>
              </w:rPr>
            </w:pPr>
          </w:p>
        </w:tc>
        <w:tc>
          <w:tcPr>
            <w:tcW w:w="1825" w:type="dxa"/>
          </w:tcPr>
          <w:p>
            <w:pPr>
              <w:spacing w:line="360" w:lineRule="auto"/>
              <w:jc w:val="center"/>
              <w:rPr>
                <w:rFonts w:ascii="宋体"/>
                <w:color w:val="auto"/>
                <w:sz w:val="22"/>
                <w:highlight w:val="none"/>
              </w:rPr>
            </w:pPr>
          </w:p>
        </w:tc>
        <w:tc>
          <w:tcPr>
            <w:tcW w:w="1147" w:type="dxa"/>
            <w:vAlign w:val="center"/>
          </w:tcPr>
          <w:p>
            <w:pPr>
              <w:spacing w:line="360" w:lineRule="auto"/>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bottom w:val="single" w:color="auto" w:sz="12" w:space="0"/>
            </w:tcBorders>
            <w:vAlign w:val="center"/>
          </w:tcPr>
          <w:p>
            <w:pPr>
              <w:spacing w:line="360" w:lineRule="auto"/>
              <w:jc w:val="center"/>
              <w:rPr>
                <w:rFonts w:ascii="宋体"/>
                <w:color w:val="auto"/>
                <w:sz w:val="22"/>
                <w:highlight w:val="none"/>
              </w:rPr>
            </w:pPr>
          </w:p>
        </w:tc>
        <w:tc>
          <w:tcPr>
            <w:tcW w:w="958" w:type="dxa"/>
            <w:tcBorders>
              <w:bottom w:val="single" w:color="auto" w:sz="12" w:space="0"/>
            </w:tcBorders>
            <w:vAlign w:val="center"/>
          </w:tcPr>
          <w:p>
            <w:pPr>
              <w:spacing w:line="360" w:lineRule="auto"/>
              <w:jc w:val="center"/>
              <w:rPr>
                <w:rFonts w:ascii="宋体"/>
                <w:color w:val="auto"/>
                <w:sz w:val="22"/>
                <w:highlight w:val="none"/>
              </w:rPr>
            </w:pPr>
          </w:p>
        </w:tc>
        <w:tc>
          <w:tcPr>
            <w:tcW w:w="958" w:type="dxa"/>
            <w:tcBorders>
              <w:bottom w:val="single" w:color="auto" w:sz="12" w:space="0"/>
            </w:tcBorders>
            <w:vAlign w:val="center"/>
          </w:tcPr>
          <w:p>
            <w:pPr>
              <w:spacing w:line="360" w:lineRule="auto"/>
              <w:jc w:val="center"/>
              <w:rPr>
                <w:rFonts w:ascii="宋体"/>
                <w:color w:val="auto"/>
                <w:sz w:val="22"/>
                <w:highlight w:val="none"/>
              </w:rPr>
            </w:pPr>
          </w:p>
        </w:tc>
        <w:tc>
          <w:tcPr>
            <w:tcW w:w="767" w:type="dxa"/>
            <w:tcBorders>
              <w:bottom w:val="single" w:color="auto" w:sz="12" w:space="0"/>
            </w:tcBorders>
            <w:vAlign w:val="center"/>
          </w:tcPr>
          <w:p>
            <w:pPr>
              <w:spacing w:line="360" w:lineRule="auto"/>
              <w:jc w:val="center"/>
              <w:rPr>
                <w:rFonts w:ascii="宋体"/>
                <w:color w:val="auto"/>
                <w:sz w:val="22"/>
                <w:highlight w:val="none"/>
              </w:rPr>
            </w:pPr>
          </w:p>
        </w:tc>
        <w:tc>
          <w:tcPr>
            <w:tcW w:w="767" w:type="dxa"/>
            <w:tcBorders>
              <w:bottom w:val="single" w:color="auto" w:sz="12" w:space="0"/>
            </w:tcBorders>
            <w:vAlign w:val="center"/>
          </w:tcPr>
          <w:p>
            <w:pPr>
              <w:spacing w:line="360" w:lineRule="auto"/>
              <w:jc w:val="center"/>
              <w:rPr>
                <w:rFonts w:ascii="宋体"/>
                <w:color w:val="auto"/>
                <w:sz w:val="22"/>
                <w:highlight w:val="none"/>
              </w:rPr>
            </w:pPr>
          </w:p>
        </w:tc>
        <w:tc>
          <w:tcPr>
            <w:tcW w:w="1340" w:type="dxa"/>
            <w:tcBorders>
              <w:bottom w:val="single" w:color="auto" w:sz="12" w:space="0"/>
            </w:tcBorders>
            <w:vAlign w:val="center"/>
          </w:tcPr>
          <w:p>
            <w:pPr>
              <w:spacing w:line="360" w:lineRule="auto"/>
              <w:jc w:val="center"/>
              <w:rPr>
                <w:rFonts w:ascii="宋体"/>
                <w:color w:val="auto"/>
                <w:sz w:val="22"/>
                <w:highlight w:val="none"/>
              </w:rPr>
            </w:pPr>
          </w:p>
        </w:tc>
        <w:tc>
          <w:tcPr>
            <w:tcW w:w="1326" w:type="dxa"/>
            <w:tcBorders>
              <w:bottom w:val="single" w:color="auto" w:sz="12" w:space="0"/>
            </w:tcBorders>
            <w:vAlign w:val="center"/>
          </w:tcPr>
          <w:p>
            <w:pPr>
              <w:spacing w:line="360" w:lineRule="auto"/>
              <w:jc w:val="center"/>
              <w:rPr>
                <w:rFonts w:ascii="宋体"/>
                <w:color w:val="auto"/>
                <w:sz w:val="22"/>
                <w:highlight w:val="none"/>
              </w:rPr>
            </w:pPr>
          </w:p>
        </w:tc>
        <w:tc>
          <w:tcPr>
            <w:tcW w:w="1825" w:type="dxa"/>
            <w:tcBorders>
              <w:bottom w:val="single" w:color="auto" w:sz="12" w:space="0"/>
            </w:tcBorders>
          </w:tcPr>
          <w:p>
            <w:pPr>
              <w:spacing w:line="360" w:lineRule="auto"/>
              <w:jc w:val="center"/>
              <w:rPr>
                <w:rFonts w:ascii="宋体"/>
                <w:color w:val="auto"/>
                <w:sz w:val="22"/>
                <w:highlight w:val="none"/>
              </w:rPr>
            </w:pPr>
          </w:p>
        </w:tc>
        <w:tc>
          <w:tcPr>
            <w:tcW w:w="1147" w:type="dxa"/>
            <w:tcBorders>
              <w:bottom w:val="single" w:color="auto" w:sz="12" w:space="0"/>
            </w:tcBorders>
            <w:vAlign w:val="center"/>
          </w:tcPr>
          <w:p>
            <w:pPr>
              <w:spacing w:line="360" w:lineRule="auto"/>
              <w:jc w:val="center"/>
              <w:rPr>
                <w:rFonts w:ascii="宋体"/>
                <w:color w:val="auto"/>
                <w:sz w:val="22"/>
                <w:highlight w:val="none"/>
              </w:rPr>
            </w:pPr>
          </w:p>
        </w:tc>
      </w:tr>
    </w:tbl>
    <w:p>
      <w:pPr>
        <w:spacing w:line="380" w:lineRule="exact"/>
        <w:rPr>
          <w:rFonts w:ascii="宋体" w:cs="Arial"/>
          <w:b/>
          <w:color w:val="auto"/>
          <w:sz w:val="22"/>
          <w:szCs w:val="22"/>
          <w:highlight w:val="none"/>
        </w:rPr>
      </w:pPr>
      <w:r>
        <w:rPr>
          <w:rFonts w:hint="eastAsia" w:ascii="宋体" w:hAnsi="宋体" w:cs="Arial"/>
          <w:b/>
          <w:color w:val="auto"/>
          <w:sz w:val="22"/>
          <w:szCs w:val="22"/>
          <w:highlight w:val="none"/>
        </w:rPr>
        <w:t>注：</w:t>
      </w:r>
    </w:p>
    <w:p>
      <w:pPr>
        <w:spacing w:line="380" w:lineRule="exact"/>
        <w:ind w:firstLine="440" w:firstLineChars="200"/>
        <w:rPr>
          <w:rFonts w:asci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本表中提供的人员名单应与实际投入项目的人员一致，如有变更应事先与采购人沟通，经采购人同意后才可变更人员，</w:t>
      </w:r>
      <w:r>
        <w:rPr>
          <w:rFonts w:hint="eastAsia" w:ascii="宋体" w:hAnsi="宋体" w:cs="Arial"/>
          <w:color w:val="auto"/>
          <w:sz w:val="22"/>
          <w:szCs w:val="22"/>
          <w:highlight w:val="none"/>
          <w:lang w:eastAsia="zh-CN"/>
        </w:rPr>
        <w:t>投标人</w:t>
      </w:r>
      <w:r>
        <w:rPr>
          <w:rFonts w:hint="eastAsia" w:ascii="宋体" w:hAnsi="宋体" w:cs="Arial"/>
          <w:color w:val="auto"/>
          <w:sz w:val="22"/>
          <w:szCs w:val="22"/>
          <w:highlight w:val="none"/>
        </w:rPr>
        <w:t>不可擅自变更人员，此人员不包括项目负责人。</w:t>
      </w:r>
    </w:p>
    <w:p>
      <w:pPr>
        <w:spacing w:line="380" w:lineRule="exact"/>
        <w:ind w:firstLine="440" w:firstLineChars="200"/>
        <w:rPr>
          <w:rFonts w:ascii="宋体" w:cs="Arial"/>
          <w:color w:val="auto"/>
          <w:sz w:val="22"/>
          <w:szCs w:val="22"/>
          <w:highlight w:val="none"/>
        </w:rPr>
      </w:pPr>
      <w:r>
        <w:rPr>
          <w:rFonts w:ascii="宋体" w:hAnsi="宋体" w:cs="Arial"/>
          <w:color w:val="auto"/>
          <w:sz w:val="22"/>
          <w:szCs w:val="22"/>
          <w:highlight w:val="none"/>
        </w:rPr>
        <w:t xml:space="preserve">2. </w:t>
      </w:r>
      <w:r>
        <w:rPr>
          <w:rFonts w:hint="eastAsia" w:ascii="宋体" w:hAnsi="宋体" w:cs="Arial"/>
          <w:color w:val="auto"/>
          <w:sz w:val="22"/>
          <w:szCs w:val="22"/>
          <w:highlight w:val="none"/>
        </w:rPr>
        <w:t>的学历、职称、荣誉、业绩等须提供相关证书</w:t>
      </w:r>
      <w:r>
        <w:rPr>
          <w:rFonts w:ascii="宋体" w:hAnsi="宋体" w:cs="Arial"/>
          <w:color w:val="auto"/>
          <w:sz w:val="22"/>
          <w:szCs w:val="22"/>
          <w:highlight w:val="none"/>
        </w:rPr>
        <w:t>/</w:t>
      </w:r>
      <w:r>
        <w:rPr>
          <w:rFonts w:hint="eastAsia" w:ascii="宋体" w:hAnsi="宋体" w:cs="Arial"/>
          <w:color w:val="auto"/>
          <w:sz w:val="22"/>
          <w:szCs w:val="22"/>
          <w:highlight w:val="none"/>
        </w:rPr>
        <w:t>证明材料，否则评分时不予认可。</w:t>
      </w:r>
    </w:p>
    <w:p>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投标人全称（盖章）：</w:t>
      </w:r>
    </w:p>
    <w:p>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法定代表人或授权代表（签字或盖章）：</w:t>
      </w:r>
    </w:p>
    <w:p>
      <w:pPr>
        <w:spacing w:line="380" w:lineRule="exact"/>
        <w:ind w:firstLine="4400" w:firstLineChars="2000"/>
        <w:rPr>
          <w:rFonts w:ascii="宋体" w:hAnsi="宋体" w:cs="hakuyoxingshu7000"/>
          <w:color w:val="auto"/>
          <w:sz w:val="22"/>
          <w:szCs w:val="22"/>
          <w:highlight w:val="none"/>
        </w:rPr>
      </w:pPr>
      <w:r>
        <w:rPr>
          <w:rFonts w:hint="eastAsia" w:ascii="宋体" w:hAnsi="宋体" w:cs="hakuyoxingshu7000"/>
          <w:color w:val="auto"/>
          <w:sz w:val="22"/>
          <w:szCs w:val="22"/>
          <w:highlight w:val="none"/>
        </w:rPr>
        <w:t>日期：  年   月  日</w:t>
      </w:r>
    </w:p>
    <w:p>
      <w:pPr>
        <w:spacing w:line="380" w:lineRule="exact"/>
        <w:ind w:firstLine="4400" w:firstLineChars="2000"/>
        <w:rPr>
          <w:rFonts w:ascii="宋体" w:hAnsi="宋体" w:cs="hakuyoxingshu7000"/>
          <w:color w:val="auto"/>
          <w:sz w:val="22"/>
          <w:highlight w:val="none"/>
        </w:rPr>
      </w:pPr>
    </w:p>
    <w:p>
      <w:pPr>
        <w:rPr>
          <w:rFonts w:hint="eastAsia" w:ascii="宋体" w:hAnsi="宋体"/>
          <w:b/>
          <w:color w:val="auto"/>
          <w:sz w:val="22"/>
          <w:szCs w:val="22"/>
          <w:highlight w:val="none"/>
        </w:rPr>
      </w:pPr>
      <w:r>
        <w:rPr>
          <w:rFonts w:hint="eastAsia" w:ascii="宋体" w:hAnsi="宋体"/>
          <w:b/>
          <w:color w:val="auto"/>
          <w:sz w:val="22"/>
          <w:szCs w:val="22"/>
          <w:highlight w:val="none"/>
        </w:rPr>
        <w:br w:type="page"/>
      </w:r>
    </w:p>
    <w:p>
      <w:pPr>
        <w:rPr>
          <w:rFonts w:hint="eastAsia" w:ascii="宋体" w:hAnsi="宋体" w:eastAsia="宋体"/>
          <w:b/>
          <w:color w:val="auto"/>
          <w:sz w:val="22"/>
          <w:highlight w:val="none"/>
          <w:lang w:val="en-US" w:eastAsia="zh-CN"/>
        </w:rPr>
      </w:pPr>
      <w:r>
        <w:rPr>
          <w:rFonts w:hint="eastAsia" w:ascii="宋体" w:hAnsi="宋体"/>
          <w:b/>
          <w:color w:val="auto"/>
          <w:sz w:val="22"/>
          <w:szCs w:val="22"/>
          <w:highlight w:val="none"/>
        </w:rPr>
        <w:t>附件</w:t>
      </w:r>
      <w:r>
        <w:rPr>
          <w:rFonts w:hint="eastAsia" w:ascii="宋体" w:hAnsi="宋体"/>
          <w:b/>
          <w:color w:val="auto"/>
          <w:sz w:val="22"/>
          <w:szCs w:val="22"/>
          <w:highlight w:val="none"/>
          <w:lang w:val="en-US" w:eastAsia="zh-CN"/>
        </w:rPr>
        <w:t>六</w:t>
      </w:r>
    </w:p>
    <w:p>
      <w:pPr>
        <w:pStyle w:val="75"/>
        <w:rPr>
          <w:color w:val="auto"/>
          <w:highlight w:val="none"/>
        </w:rPr>
      </w:pPr>
      <w:r>
        <w:rPr>
          <w:color w:val="auto"/>
          <w:highlight w:val="none"/>
        </w:rPr>
        <w:fldChar w:fldCharType="begin"/>
      </w:r>
      <w:r>
        <w:rPr>
          <w:color w:val="auto"/>
          <w:highlight w:val="none"/>
        </w:rPr>
        <w:instrText xml:space="preserve"> HYPERLINK "mailto:（开评标阶段填写，并邮件发送至Yxgcxmgl@126.com邮箱）" </w:instrText>
      </w:r>
      <w:r>
        <w:rPr>
          <w:color w:val="auto"/>
          <w:highlight w:val="none"/>
        </w:rPr>
        <w:fldChar w:fldCharType="separate"/>
      </w:r>
      <w:r>
        <w:rPr>
          <w:rStyle w:val="72"/>
          <w:rFonts w:hint="eastAsia"/>
          <w:color w:val="auto"/>
          <w:highlight w:val="none"/>
        </w:rPr>
        <w:t>（开评标阶段填写，并邮件发送至</w:t>
      </w:r>
      <w:r>
        <w:rPr>
          <w:rStyle w:val="72"/>
          <w:rFonts w:hint="eastAsia"/>
          <w:color w:val="auto"/>
          <w:highlight w:val="none"/>
          <w:lang w:val="en-US" w:eastAsia="zh-CN"/>
        </w:rPr>
        <w:t>158688602@qq</w:t>
      </w:r>
      <w:r>
        <w:rPr>
          <w:rStyle w:val="72"/>
          <w:rFonts w:hint="eastAsia"/>
          <w:color w:val="auto"/>
          <w:highlight w:val="none"/>
        </w:rPr>
        <w:t>.com邮箱）</w:t>
      </w:r>
      <w:r>
        <w:rPr>
          <w:rStyle w:val="72"/>
          <w:rFonts w:hint="eastAsia"/>
          <w:color w:val="auto"/>
          <w:highlight w:val="none"/>
        </w:rPr>
        <w:fldChar w:fldCharType="end"/>
      </w:r>
    </w:p>
    <w:p>
      <w:pPr>
        <w:tabs>
          <w:tab w:val="left" w:pos="795"/>
          <w:tab w:val="center" w:pos="4873"/>
        </w:tabs>
        <w:overflowPunct w:val="0"/>
        <w:spacing w:line="500" w:lineRule="exact"/>
        <w:ind w:firstLine="107" w:firstLineChars="49"/>
        <w:jc w:val="left"/>
        <w:rPr>
          <w:rFonts w:hint="eastAsia" w:ascii="宋体" w:hAnsi="宋体" w:eastAsia="宋体" w:cs="hakuyoxingshu7000"/>
          <w:color w:val="auto"/>
          <w:sz w:val="22"/>
          <w:highlight w:val="none"/>
          <w:lang w:eastAsia="zh-CN"/>
        </w:rPr>
      </w:pPr>
    </w:p>
    <w:p>
      <w:pPr>
        <w:jc w:val="center"/>
        <w:rPr>
          <w:rFonts w:ascii="宋体" w:hAnsi="宋体"/>
          <w:b/>
          <w:color w:val="auto"/>
          <w:spacing w:val="6"/>
          <w:sz w:val="22"/>
          <w:szCs w:val="22"/>
          <w:highlight w:val="none"/>
        </w:rPr>
      </w:pPr>
      <w:r>
        <w:rPr>
          <w:rFonts w:hint="eastAsia" w:ascii="宋体" w:hAnsi="宋体"/>
          <w:b/>
          <w:color w:val="auto"/>
          <w:spacing w:val="6"/>
          <w:sz w:val="22"/>
          <w:szCs w:val="22"/>
          <w:highlight w:val="none"/>
        </w:rPr>
        <w:t>政府采购活动现场确认声明书</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bCs/>
          <w:color w:val="auto"/>
          <w:spacing w:val="6"/>
          <w:sz w:val="22"/>
          <w:szCs w:val="22"/>
          <w:highlight w:val="none"/>
          <w:u w:val="single"/>
          <w:lang w:eastAsia="zh-CN"/>
        </w:rPr>
        <w:t>温州市高教新区发展中心</w:t>
      </w:r>
      <w:r>
        <w:rPr>
          <w:rFonts w:hAnsi="宋体"/>
          <w:b/>
          <w:color w:val="auto"/>
          <w:spacing w:val="6"/>
          <w:sz w:val="22"/>
          <w:szCs w:val="22"/>
          <w:highlight w:val="none"/>
        </w:rPr>
        <w:t>：</w:t>
      </w:r>
    </w:p>
    <w:p>
      <w:pPr>
        <w:pStyle w:val="811"/>
        <w:widowControl w:val="0"/>
        <w:snapToGrid w:val="0"/>
        <w:spacing w:line="440" w:lineRule="exact"/>
        <w:jc w:val="both"/>
        <w:rPr>
          <w:rFonts w:hint="default" w:hAnsi="宋体"/>
          <w:b/>
          <w:color w:val="auto"/>
          <w:spacing w:val="6"/>
          <w:sz w:val="22"/>
          <w:szCs w:val="22"/>
          <w:highlight w:val="none"/>
          <w:u w:val="single"/>
        </w:rPr>
      </w:pPr>
      <w:r>
        <w:rPr>
          <w:rFonts w:hint="eastAsia" w:hAnsi="宋体"/>
          <w:b/>
          <w:color w:val="auto"/>
          <w:spacing w:val="6"/>
          <w:sz w:val="22"/>
          <w:szCs w:val="22"/>
          <w:highlight w:val="none"/>
          <w:u w:val="single"/>
          <w:lang w:eastAsia="zh-CN"/>
        </w:rPr>
        <w:t>华诚工程咨询集团有限公司</w:t>
      </w:r>
      <w:r>
        <w:rPr>
          <w:rFonts w:hAnsi="宋体"/>
          <w:b/>
          <w:color w:val="auto"/>
          <w:kern w:val="0"/>
          <w:sz w:val="22"/>
          <w:szCs w:val="22"/>
          <w:highlight w:val="none"/>
        </w:rPr>
        <w:t>：</w:t>
      </w:r>
    </w:p>
    <w:p>
      <w:pPr>
        <w:pStyle w:val="811"/>
        <w:widowControl w:val="0"/>
        <w:snapToGrid w:val="0"/>
        <w:spacing w:line="440" w:lineRule="exact"/>
        <w:ind w:firstLine="464" w:firstLineChars="200"/>
        <w:jc w:val="both"/>
        <w:rPr>
          <w:rFonts w:hint="default" w:hAnsi="宋体"/>
          <w:color w:val="auto"/>
          <w:spacing w:val="6"/>
          <w:sz w:val="22"/>
          <w:szCs w:val="22"/>
          <w:highlight w:val="none"/>
        </w:rPr>
      </w:pPr>
      <w:r>
        <w:rPr>
          <w:rFonts w:hAnsi="宋体"/>
          <w:color w:val="auto"/>
          <w:spacing w:val="6"/>
          <w:sz w:val="22"/>
          <w:szCs w:val="22"/>
          <w:highlight w:val="none"/>
        </w:rPr>
        <w:t>本人经由</w:t>
      </w:r>
      <w:r>
        <w:rPr>
          <w:rFonts w:hAnsi="宋体"/>
          <w:color w:val="auto"/>
          <w:spacing w:val="6"/>
          <w:sz w:val="22"/>
          <w:szCs w:val="22"/>
          <w:highlight w:val="none"/>
          <w:u w:val="single"/>
        </w:rPr>
        <w:t xml:space="preserve">                       （单位）</w:t>
      </w:r>
      <w:r>
        <w:rPr>
          <w:rFonts w:hAnsi="宋体"/>
          <w:color w:val="auto"/>
          <w:spacing w:val="6"/>
          <w:sz w:val="22"/>
          <w:szCs w:val="22"/>
          <w:highlight w:val="none"/>
        </w:rPr>
        <w:t>负责人</w:t>
      </w:r>
      <w:r>
        <w:rPr>
          <w:rFonts w:hAnsi="宋体"/>
          <w:color w:val="auto"/>
          <w:spacing w:val="6"/>
          <w:sz w:val="22"/>
          <w:szCs w:val="22"/>
          <w:highlight w:val="none"/>
          <w:u w:val="single"/>
        </w:rPr>
        <w:t xml:space="preserve">          （姓名）</w:t>
      </w:r>
      <w:r>
        <w:rPr>
          <w:rFonts w:hAnsi="宋体"/>
          <w:color w:val="auto"/>
          <w:spacing w:val="6"/>
          <w:sz w:val="22"/>
          <w:szCs w:val="22"/>
          <w:highlight w:val="none"/>
        </w:rPr>
        <w:t>合法授权</w:t>
      </w:r>
      <w:r>
        <w:rPr>
          <w:rFonts w:hint="eastAsia" w:hAnsi="宋体"/>
          <w:color w:val="auto"/>
          <w:spacing w:val="6"/>
          <w:sz w:val="22"/>
          <w:szCs w:val="22"/>
          <w:highlight w:val="none"/>
          <w:u w:val="single"/>
          <w:lang w:eastAsia="zh-CN"/>
        </w:rPr>
        <w:t>温州大罗山基金（天使）村运营服务</w:t>
      </w:r>
      <w:r>
        <w:rPr>
          <w:rFonts w:hAnsi="宋体"/>
          <w:color w:val="auto"/>
          <w:spacing w:val="6"/>
          <w:sz w:val="22"/>
          <w:szCs w:val="22"/>
          <w:highlight w:val="none"/>
        </w:rPr>
        <w:t>项目（编号：</w:t>
      </w:r>
      <w:r>
        <w:rPr>
          <w:rFonts w:hint="eastAsia" w:hAnsi="宋体"/>
          <w:color w:val="auto"/>
          <w:spacing w:val="6"/>
          <w:sz w:val="22"/>
          <w:szCs w:val="22"/>
          <w:highlight w:val="none"/>
          <w:u w:val="single"/>
          <w:lang w:val="en-US" w:eastAsia="zh-CN"/>
        </w:rPr>
        <w:t xml:space="preserve">               </w:t>
      </w:r>
      <w:r>
        <w:rPr>
          <w:rFonts w:hAnsi="宋体"/>
          <w:color w:val="auto"/>
          <w:spacing w:val="6"/>
          <w:sz w:val="22"/>
          <w:szCs w:val="22"/>
          <w:highlight w:val="none"/>
        </w:rPr>
        <w:t xml:space="preserve">）政府采购活动，经与本单位法人代表（负责人）联系确认，现就有关公平竞争事项郑重声明如下： </w:t>
      </w:r>
    </w:p>
    <w:p>
      <w:pPr>
        <w:pStyle w:val="810"/>
        <w:widowControl/>
        <w:numPr>
          <w:ilvl w:val="0"/>
          <w:numId w:val="49"/>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pPr>
        <w:pStyle w:val="810"/>
        <w:widowControl/>
        <w:snapToGrid w:val="0"/>
        <w:spacing w:line="440" w:lineRule="exact"/>
        <w:rPr>
          <w:rFonts w:hint="default"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 xml:space="preserve">现已清楚知道参加本项目采购活动的其他所有投标人名称，本单位 </w:t>
      </w:r>
      <w:r>
        <w:rPr>
          <w:rFonts w:ascii="宋体" w:hAnsi="宋体" w:cs="宋体"/>
          <w:color w:val="auto"/>
          <w:kern w:val="0"/>
          <w:sz w:val="22"/>
          <w:szCs w:val="22"/>
          <w:highlight w:val="none"/>
        </w:rPr>
        <w:t>□与其他所有投标人之间均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pPr>
        <w:pStyle w:val="811"/>
        <w:widowControl w:val="0"/>
        <w:snapToGrid w:val="0"/>
        <w:spacing w:line="440" w:lineRule="exact"/>
        <w:jc w:val="both"/>
        <w:rPr>
          <w:rFonts w:hint="default"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pPr>
        <w:pStyle w:val="811"/>
        <w:widowControl w:val="0"/>
        <w:snapToGrid w:val="0"/>
        <w:spacing w:line="440" w:lineRule="exact"/>
        <w:jc w:val="both"/>
        <w:outlineLvl w:val="0"/>
        <w:rPr>
          <w:rFonts w:hint="default" w:hAnsi="宋体"/>
          <w:color w:val="auto"/>
          <w:kern w:val="0"/>
          <w:sz w:val="22"/>
          <w:szCs w:val="22"/>
          <w:highlight w:val="none"/>
        </w:rPr>
      </w:pPr>
      <w:r>
        <w:rPr>
          <w:rFonts w:hAnsi="宋体"/>
          <w:color w:val="auto"/>
          <w:kern w:val="0"/>
          <w:sz w:val="22"/>
          <w:szCs w:val="22"/>
          <w:highlight w:val="none"/>
        </w:rPr>
        <w:t xml:space="preserve">  </w:t>
      </w:r>
      <w:bookmarkStart w:id="277" w:name="_Toc10380"/>
      <w:bookmarkStart w:id="278" w:name="_Toc22986"/>
      <w:bookmarkStart w:id="279" w:name="_Toc26171"/>
      <w:bookmarkStart w:id="280" w:name="_Toc5768"/>
      <w:r>
        <w:rPr>
          <w:rFonts w:hAnsi="宋体"/>
          <w:color w:val="auto"/>
          <w:kern w:val="0"/>
          <w:sz w:val="22"/>
          <w:szCs w:val="22"/>
          <w:highlight w:val="none"/>
        </w:rPr>
        <w:t>G.存在共同直接或间接投资设立子公司、联营企业和合营企业情况</w:t>
      </w:r>
      <w:bookmarkEnd w:id="277"/>
      <w:bookmarkEnd w:id="278"/>
      <w:bookmarkEnd w:id="279"/>
      <w:bookmarkEnd w:id="280"/>
    </w:p>
    <w:p>
      <w:pPr>
        <w:pStyle w:val="811"/>
        <w:widowControl w:val="0"/>
        <w:snapToGrid w:val="0"/>
        <w:spacing w:line="440" w:lineRule="exact"/>
        <w:jc w:val="both"/>
        <w:rPr>
          <w:rFonts w:hint="default"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pPr>
        <w:pStyle w:val="811"/>
        <w:widowControl w:val="0"/>
        <w:snapToGrid w:val="0"/>
        <w:spacing w:line="440" w:lineRule="exact"/>
        <w:jc w:val="both"/>
        <w:rPr>
          <w:rFonts w:hint="default"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kern w:val="0"/>
          <w:sz w:val="22"/>
          <w:szCs w:val="22"/>
          <w:highlight w:val="none"/>
        </w:rPr>
        <w:t>。</w:t>
      </w:r>
    </w:p>
    <w:p>
      <w:pPr>
        <w:pStyle w:val="810"/>
        <w:widowControl/>
        <w:numPr>
          <w:ilvl w:val="0"/>
          <w:numId w:val="50"/>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pPr>
        <w:pStyle w:val="810"/>
        <w:widowControl/>
        <w:numPr>
          <w:ilvl w:val="0"/>
          <w:numId w:val="50"/>
        </w:numPr>
        <w:snapToGrid w:val="0"/>
        <w:spacing w:line="440" w:lineRule="exact"/>
        <w:ind w:firstLine="415" w:firstLineChars="189"/>
        <w:rPr>
          <w:rFonts w:hint="default" w:ascii="宋体" w:hAnsi="宋体"/>
          <w:color w:val="auto"/>
          <w:kern w:val="0"/>
          <w:sz w:val="22"/>
          <w:szCs w:val="22"/>
          <w:highlight w:val="none"/>
        </w:rPr>
      </w:pPr>
      <w:r>
        <w:rPr>
          <w:rFonts w:ascii="宋体" w:hAnsi="宋体"/>
          <w:color w:val="auto"/>
          <w:kern w:val="0"/>
          <w:sz w:val="22"/>
          <w:szCs w:val="22"/>
          <w:highlight w:val="none"/>
        </w:rPr>
        <w:t>我发现投标人之间存在或可能存在上述第二条第项利害关系。</w:t>
      </w:r>
    </w:p>
    <w:p>
      <w:pPr>
        <w:pStyle w:val="811"/>
        <w:widowControl w:val="0"/>
        <w:snapToGrid w:val="0"/>
        <w:spacing w:line="440" w:lineRule="exact"/>
        <w:ind w:firstLine="440" w:firstLineChars="200"/>
        <w:jc w:val="both"/>
        <w:rPr>
          <w:rFonts w:hint="default" w:hAnsi="宋体"/>
          <w:color w:val="auto"/>
          <w:sz w:val="22"/>
          <w:szCs w:val="22"/>
          <w:highlight w:val="none"/>
        </w:rPr>
      </w:pPr>
    </w:p>
    <w:p>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投标人代表签名：</w:t>
      </w:r>
    </w:p>
    <w:p>
      <w:pPr>
        <w:pStyle w:val="811"/>
        <w:widowControl w:val="0"/>
        <w:snapToGrid w:val="0"/>
        <w:spacing w:line="440" w:lineRule="exact"/>
        <w:ind w:firstLine="440" w:firstLineChars="200"/>
        <w:jc w:val="both"/>
        <w:rPr>
          <w:rFonts w:hint="default" w:hAnsi="宋体"/>
          <w:color w:val="auto"/>
          <w:sz w:val="22"/>
          <w:szCs w:val="22"/>
          <w:highlight w:val="none"/>
        </w:rPr>
      </w:pPr>
      <w:r>
        <w:rPr>
          <w:rFonts w:hAnsi="宋体"/>
          <w:color w:val="auto"/>
          <w:sz w:val="22"/>
          <w:szCs w:val="22"/>
          <w:highlight w:val="none"/>
        </w:rPr>
        <w:t xml:space="preserve">                                    年   月   日</w:t>
      </w:r>
    </w:p>
    <w:p>
      <w:pPr>
        <w:tabs>
          <w:tab w:val="left" w:pos="795"/>
          <w:tab w:val="center" w:pos="4873"/>
        </w:tabs>
        <w:overflowPunct w:val="0"/>
        <w:spacing w:line="460" w:lineRule="exact"/>
        <w:ind w:firstLine="118" w:firstLineChars="49"/>
        <w:jc w:val="left"/>
        <w:rPr>
          <w:rFonts w:ascii="宋体" w:hAnsi="宋体" w:cs="Arial"/>
          <w:b/>
          <w:bCs/>
          <w:color w:val="auto"/>
          <w:sz w:val="24"/>
          <w:highlight w:val="none"/>
        </w:rPr>
      </w:pPr>
    </w:p>
    <w:p>
      <w:pPr>
        <w:spacing w:line="400" w:lineRule="exact"/>
        <w:ind w:left="439" w:leftChars="209"/>
        <w:rPr>
          <w:rFonts w:ascii="宋体" w:hAnsi="宋体" w:cs="Arial"/>
          <w:color w:val="auto"/>
          <w:sz w:val="22"/>
          <w:szCs w:val="22"/>
          <w:highlight w:val="none"/>
        </w:rPr>
      </w:pPr>
    </w:p>
    <w:sectPr>
      <w:pgSz w:w="11906" w:h="16838"/>
      <w:pgMar w:top="1440" w:right="1080" w:bottom="1440" w:left="1080"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CG Times"/>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方正小标宋简体">
    <w:altName w:val="黑体"/>
    <w:panose1 w:val="03000509000000000000"/>
    <w:charset w:val="86"/>
    <w:family w:val="script"/>
    <w:pitch w:val="default"/>
    <w:sig w:usb0="00000000" w:usb1="0000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60288;mso-width-relative:page;mso-height-relative:page;" filled="f" stroked="f" coordsize="21600,21600" o:gfxdata="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A8RsfSAAAABQEAAA8AAAAAAAAAAQAgAAAAIgAAAGRycy9kb3ducmV2LnhtbFBLAQIUABQAAAAI&#10;AIdO4kCvY9gwLAIAAFUEAAAOAAAAAAAAAAEAIAAAACEBAABkcnMvZTJvRG9jLnhtbFBLBQYAAAAA&#10;BgAGAFkBAA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61312;mso-width-relative:page;mso-height-relative:page;" filled="f" stroked="f" coordsize="21600,21600" o:gfxdata="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A8RsfSAAAABQEAAA8AAAAAAAAAAQAgAAAAIgAAAGRycy9kb3ducmV2LnhtbFBLAQIUABQAAAAI&#10;AIdO4kCeugv7LAIAAFUEAAAOAAAAAAAAAAEAIAAAACEBAABkcnMvZTJvRG9jLnhtbFBLBQYAAAAA&#10;BgAGAFkBAAC/BQAAAAA=&#10;">
              <v:fill on="f" focussize="0,0"/>
              <v:stroke on="f" weight="0.5pt"/>
              <v:imagedata o:title=""/>
              <o:lock v:ext="edit" aspectratio="f"/>
              <v:textbox inset="0mm,0mm,0mm,0mm" style="mso-fit-shape-to-text:t;">
                <w:txbxContent>
                  <w:p>
                    <w:pPr>
                      <w:jc w:val="cente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MgRSfTFRiu0+3ZgsDfF&#10;GcSc6SfDW76pkXzLfHhgDqOAgvFYwj2WUhokMYNFSWXcl3+dx3h0CF5KGoxWTjVeEiXyvUbnABhG&#10;w43GfjT0Ud0ZzCq6gVo6ExdckKNZOqM+4wWtYg64mObIlNMwmnehH2+8QC5Wqy4Is2ZZ2Oqd5RE6&#10;Kubt6hggYKdrFKVXYtAK09Z1ZngZcZz/3HdRj3+D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PEbH0gAAAAUBAAAPAAAAAAAAAAEAIAAAACIAAABkcnMvZG93bnJldi54bWxQSwECFAAUAAAACACH&#10;TuJAjNcOfCoCAABVBAAADgAAAAAAAAABACAAAAAhAQAAZHJzL2Uyb0RvYy54bWxQSwUGAAAAAAYA&#10;BgBZAQAAvQ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E84F"/>
    <w:multiLevelType w:val="singleLevel"/>
    <w:tmpl w:val="8402E84F"/>
    <w:lvl w:ilvl="0" w:tentative="0">
      <w:start w:val="1"/>
      <w:numFmt w:val="decimal"/>
      <w:lvlText w:val="(%1)"/>
      <w:lvlJc w:val="left"/>
      <w:pPr>
        <w:ind w:left="425" w:hanging="425"/>
      </w:pPr>
      <w:rPr>
        <w:rFonts w:hint="default"/>
      </w:rPr>
    </w:lvl>
  </w:abstractNum>
  <w:abstractNum w:abstractNumId="1">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9FC8E58"/>
    <w:multiLevelType w:val="singleLevel"/>
    <w:tmpl w:val="89FC8E58"/>
    <w:lvl w:ilvl="0" w:tentative="0">
      <w:start w:val="1"/>
      <w:numFmt w:val="decimal"/>
      <w:suff w:val="space"/>
      <w:lvlText w:val="%1."/>
      <w:lvlJc w:val="left"/>
    </w:lvl>
  </w:abstractNum>
  <w:abstractNum w:abstractNumId="4">
    <w:nsid w:val="9759A3B9"/>
    <w:multiLevelType w:val="singleLevel"/>
    <w:tmpl w:val="9759A3B9"/>
    <w:lvl w:ilvl="0" w:tentative="0">
      <w:start w:val="1"/>
      <w:numFmt w:val="decimal"/>
      <w:suff w:val="nothing"/>
      <w:lvlText w:val="%1、"/>
      <w:lvlJc w:val="left"/>
      <w:rPr>
        <w:rFonts w:hint="default"/>
        <w:b/>
        <w:bCs/>
      </w:rPr>
    </w:lvl>
  </w:abstractNum>
  <w:abstractNum w:abstractNumId="5">
    <w:nsid w:val="9E46C32E"/>
    <w:multiLevelType w:val="singleLevel"/>
    <w:tmpl w:val="9E46C32E"/>
    <w:lvl w:ilvl="0" w:tentative="0">
      <w:start w:val="1"/>
      <w:numFmt w:val="decimal"/>
      <w:lvlText w:val="%1)"/>
      <w:lvlJc w:val="left"/>
      <w:pPr>
        <w:ind w:left="425" w:hanging="425"/>
      </w:pPr>
      <w:rPr>
        <w:rFonts w:hint="default"/>
      </w:rPr>
    </w:lvl>
  </w:abstractNum>
  <w:abstractNum w:abstractNumId="6">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8">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10">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C2C77E5C"/>
    <w:multiLevelType w:val="singleLevel"/>
    <w:tmpl w:val="C2C77E5C"/>
    <w:lvl w:ilvl="0" w:tentative="0">
      <w:start w:val="7"/>
      <w:numFmt w:val="decimal"/>
      <w:suff w:val="space"/>
      <w:lvlText w:val="第%1条"/>
      <w:lvlJc w:val="left"/>
    </w:lvl>
  </w:abstractNum>
  <w:abstractNum w:abstractNumId="12">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D44A826A"/>
    <w:multiLevelType w:val="multilevel"/>
    <w:tmpl w:val="D44A826A"/>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7">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D03D146"/>
    <w:multiLevelType w:val="singleLevel"/>
    <w:tmpl w:val="0D03D146"/>
    <w:lvl w:ilvl="0" w:tentative="0">
      <w:start w:val="1"/>
      <w:numFmt w:val="decimal"/>
      <w:lvlText w:val="%1."/>
      <w:lvlJc w:val="left"/>
      <w:pPr>
        <w:ind w:left="425" w:hanging="425"/>
      </w:pPr>
      <w:rPr>
        <w:rFonts w:hint="default"/>
      </w:rPr>
    </w:lvl>
  </w:abstractNum>
  <w:abstractNum w:abstractNumId="21">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3">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1DD3B500"/>
    <w:multiLevelType w:val="singleLevel"/>
    <w:tmpl w:val="1DD3B500"/>
    <w:lvl w:ilvl="0" w:tentative="0">
      <w:start w:val="1"/>
      <w:numFmt w:val="decimalEnclosedCircleChinese"/>
      <w:suff w:val="nothing"/>
      <w:lvlText w:val="%1　"/>
      <w:lvlJc w:val="left"/>
      <w:pPr>
        <w:ind w:left="0" w:firstLine="400"/>
      </w:pPr>
      <w:rPr>
        <w:rFonts w:hint="eastAsia"/>
      </w:rPr>
    </w:lvl>
  </w:abstractNum>
  <w:abstractNum w:abstractNumId="26">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2966C686"/>
    <w:multiLevelType w:val="singleLevel"/>
    <w:tmpl w:val="2966C686"/>
    <w:lvl w:ilvl="0" w:tentative="0">
      <w:start w:val="1"/>
      <w:numFmt w:val="decimal"/>
      <w:suff w:val="nothing"/>
      <w:lvlText w:val="%1、"/>
      <w:lvlJc w:val="left"/>
    </w:lvl>
  </w:abstractNum>
  <w:abstractNum w:abstractNumId="35">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6">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7">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8">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9">
    <w:nsid w:val="3F31A2EA"/>
    <w:multiLevelType w:val="singleLevel"/>
    <w:tmpl w:val="3F31A2EA"/>
    <w:lvl w:ilvl="0" w:tentative="0">
      <w:start w:val="1"/>
      <w:numFmt w:val="decimal"/>
      <w:lvlText w:val="%1."/>
      <w:lvlJc w:val="left"/>
      <w:pPr>
        <w:ind w:left="425" w:hanging="425"/>
      </w:pPr>
      <w:rPr>
        <w:rFonts w:hint="default"/>
      </w:rPr>
    </w:lvl>
  </w:abstractNum>
  <w:abstractNum w:abstractNumId="40">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1">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2">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4">
    <w:nsid w:val="54F403B5"/>
    <w:multiLevelType w:val="singleLevel"/>
    <w:tmpl w:val="54F403B5"/>
    <w:lvl w:ilvl="0" w:tentative="0">
      <w:start w:val="1"/>
      <w:numFmt w:val="chineseCounting"/>
      <w:suff w:val="nothing"/>
      <w:lvlText w:val="%1、"/>
      <w:lvlJc w:val="left"/>
      <w:pPr>
        <w:ind w:left="0" w:firstLine="0"/>
      </w:pPr>
    </w:lvl>
  </w:abstractNum>
  <w:abstractNum w:abstractNumId="45">
    <w:nsid w:val="557FD3DA"/>
    <w:multiLevelType w:val="singleLevel"/>
    <w:tmpl w:val="557FD3DA"/>
    <w:lvl w:ilvl="0" w:tentative="0">
      <w:start w:val="3"/>
      <w:numFmt w:val="chineseCounting"/>
      <w:suff w:val="nothing"/>
      <w:lvlText w:val="%1、"/>
      <w:lvlJc w:val="left"/>
      <w:pPr>
        <w:ind w:left="0" w:firstLine="0"/>
      </w:pPr>
    </w:lvl>
  </w:abstractNum>
  <w:abstractNum w:abstractNumId="46">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7">
    <w:nsid w:val="5A3C92CC"/>
    <w:multiLevelType w:val="singleLevel"/>
    <w:tmpl w:val="5A3C92CC"/>
    <w:lvl w:ilvl="0" w:tentative="0">
      <w:start w:val="1"/>
      <w:numFmt w:val="decimalEnclosedCircleChinese"/>
      <w:suff w:val="nothing"/>
      <w:lvlText w:val="%1　"/>
      <w:lvlJc w:val="left"/>
      <w:pPr>
        <w:ind w:firstLine="400"/>
      </w:pPr>
      <w:rPr>
        <w:rFonts w:hint="eastAsia" w:cs="Times New Roman"/>
      </w:rPr>
    </w:lvl>
  </w:abstractNum>
  <w:abstractNum w:abstractNumId="48">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9">
    <w:nsid w:val="680542D9"/>
    <w:multiLevelType w:val="multilevel"/>
    <w:tmpl w:val="680542D9"/>
    <w:lvl w:ilvl="0" w:tentative="0">
      <w:start w:val="1"/>
      <w:numFmt w:val="chineseCountingThousand"/>
      <w:pStyle w:val="610"/>
      <w:lvlText w:val="第%1条"/>
      <w:lvlJc w:val="center"/>
      <w:pPr>
        <w:ind w:left="708" w:hanging="420"/>
      </w:pPr>
      <w:rPr>
        <w:rFonts w:hint="eastAsia"/>
      </w:rPr>
    </w:lvl>
    <w:lvl w:ilvl="1" w:tentative="0">
      <w:start w:val="1"/>
      <w:numFmt w:val="decimal"/>
      <w:isLgl/>
      <w:lvlText w:val="%1.%2"/>
      <w:lvlJc w:val="left"/>
      <w:pPr>
        <w:tabs>
          <w:tab w:val="left" w:pos="567"/>
        </w:tabs>
        <w:ind w:left="567" w:hanging="567"/>
      </w:pPr>
      <w:rPr>
        <w:rFonts w:hint="eastAsia" w:ascii="Times New Roman" w:hAnsi="Times New Roman" w:cs="Times New Roman"/>
        <w:b/>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isLgl/>
      <w:lvlText w:val="%1.%2.%3"/>
      <w:lvlJc w:val="left"/>
      <w:pPr>
        <w:tabs>
          <w:tab w:val="left" w:pos="1418"/>
        </w:tabs>
        <w:ind w:left="1418" w:hanging="851"/>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9"/>
  </w:num>
  <w:num w:numId="2">
    <w:abstractNumId w:val="0"/>
  </w:num>
  <w:num w:numId="3">
    <w:abstractNumId w:val="25"/>
  </w:num>
  <w:num w:numId="4">
    <w:abstractNumId w:val="47"/>
  </w:num>
  <w:num w:numId="5">
    <w:abstractNumId w:val="16"/>
  </w:num>
  <w:num w:numId="6">
    <w:abstractNumId w:val="9"/>
  </w:num>
  <w:num w:numId="7">
    <w:abstractNumId w:val="39"/>
  </w:num>
  <w:num w:numId="8">
    <w:abstractNumId w:val="5"/>
  </w:num>
  <w:num w:numId="9">
    <w:abstractNumId w:val="30"/>
  </w:num>
  <w:num w:numId="10">
    <w:abstractNumId w:val="26"/>
  </w:num>
  <w:num w:numId="11">
    <w:abstractNumId w:val="28"/>
  </w:num>
  <w:num w:numId="12">
    <w:abstractNumId w:val="29"/>
  </w:num>
  <w:num w:numId="13">
    <w:abstractNumId w:val="1"/>
  </w:num>
  <w:num w:numId="14">
    <w:abstractNumId w:val="22"/>
  </w:num>
  <w:num w:numId="15">
    <w:abstractNumId w:val="7"/>
  </w:num>
  <w:num w:numId="16">
    <w:abstractNumId w:val="37"/>
  </w:num>
  <w:num w:numId="17">
    <w:abstractNumId w:val="19"/>
  </w:num>
  <w:num w:numId="18">
    <w:abstractNumId w:val="12"/>
  </w:num>
  <w:num w:numId="19">
    <w:abstractNumId w:val="18"/>
  </w:num>
  <w:num w:numId="20">
    <w:abstractNumId w:val="46"/>
  </w:num>
  <w:num w:numId="21">
    <w:abstractNumId w:val="38"/>
  </w:num>
  <w:num w:numId="22">
    <w:abstractNumId w:val="13"/>
  </w:num>
  <w:num w:numId="23">
    <w:abstractNumId w:val="27"/>
  </w:num>
  <w:num w:numId="24">
    <w:abstractNumId w:val="6"/>
  </w:num>
  <w:num w:numId="25">
    <w:abstractNumId w:val="10"/>
  </w:num>
  <w:num w:numId="26">
    <w:abstractNumId w:val="32"/>
  </w:num>
  <w:num w:numId="27">
    <w:abstractNumId w:val="48"/>
  </w:num>
  <w:num w:numId="28">
    <w:abstractNumId w:val="36"/>
  </w:num>
  <w:num w:numId="29">
    <w:abstractNumId w:val="43"/>
  </w:num>
  <w:num w:numId="30">
    <w:abstractNumId w:val="31"/>
  </w:num>
  <w:num w:numId="31">
    <w:abstractNumId w:val="24"/>
  </w:num>
  <w:num w:numId="32">
    <w:abstractNumId w:val="17"/>
  </w:num>
  <w:num w:numId="33">
    <w:abstractNumId w:val="35"/>
  </w:num>
  <w:num w:numId="34">
    <w:abstractNumId w:val="8"/>
  </w:num>
  <w:num w:numId="35">
    <w:abstractNumId w:val="33"/>
  </w:num>
  <w:num w:numId="36">
    <w:abstractNumId w:val="2"/>
  </w:num>
  <w:num w:numId="37">
    <w:abstractNumId w:val="14"/>
  </w:num>
  <w:num w:numId="38">
    <w:abstractNumId w:val="21"/>
  </w:num>
  <w:num w:numId="39">
    <w:abstractNumId w:val="15"/>
  </w:num>
  <w:num w:numId="40">
    <w:abstractNumId w:val="23"/>
  </w:num>
  <w:num w:numId="41">
    <w:abstractNumId w:val="40"/>
  </w:num>
  <w:num w:numId="42">
    <w:abstractNumId w:val="4"/>
  </w:num>
  <w:num w:numId="43">
    <w:abstractNumId w:val="34"/>
  </w:num>
  <w:num w:numId="44">
    <w:abstractNumId w:val="11"/>
  </w:num>
  <w:num w:numId="45">
    <w:abstractNumId w:val="3"/>
  </w:num>
  <w:num w:numId="46">
    <w:abstractNumId w:val="41"/>
  </w:num>
  <w:num w:numId="47">
    <w:abstractNumId w:val="20"/>
  </w:num>
  <w:num w:numId="48">
    <w:abstractNumId w:val="42"/>
  </w:num>
  <w:num w:numId="49">
    <w:abstractNumId w:val="4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ZGZmOTdjMmQ4NWFmMzhjZTM5ZTY2NTllZDkwMzY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15CF"/>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1CEC"/>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2E5E55"/>
    <w:rsid w:val="01764FAA"/>
    <w:rsid w:val="01785B98"/>
    <w:rsid w:val="01992A24"/>
    <w:rsid w:val="01BE5948"/>
    <w:rsid w:val="01F11666"/>
    <w:rsid w:val="027352AD"/>
    <w:rsid w:val="028D013A"/>
    <w:rsid w:val="0292391B"/>
    <w:rsid w:val="02985DC6"/>
    <w:rsid w:val="03263F83"/>
    <w:rsid w:val="03A367D0"/>
    <w:rsid w:val="03CA0201"/>
    <w:rsid w:val="03F27EC0"/>
    <w:rsid w:val="041008DC"/>
    <w:rsid w:val="041412AE"/>
    <w:rsid w:val="042943E8"/>
    <w:rsid w:val="04710602"/>
    <w:rsid w:val="049E6760"/>
    <w:rsid w:val="04AF48F4"/>
    <w:rsid w:val="04F550AA"/>
    <w:rsid w:val="05127BD7"/>
    <w:rsid w:val="05255204"/>
    <w:rsid w:val="05310009"/>
    <w:rsid w:val="05A83926"/>
    <w:rsid w:val="0627041A"/>
    <w:rsid w:val="06532730"/>
    <w:rsid w:val="065C1168"/>
    <w:rsid w:val="0661330D"/>
    <w:rsid w:val="06A27653"/>
    <w:rsid w:val="07060142"/>
    <w:rsid w:val="075D7F93"/>
    <w:rsid w:val="07994268"/>
    <w:rsid w:val="07B04F69"/>
    <w:rsid w:val="07D94090"/>
    <w:rsid w:val="07EA7730"/>
    <w:rsid w:val="08C23B9D"/>
    <w:rsid w:val="09381F46"/>
    <w:rsid w:val="0960001F"/>
    <w:rsid w:val="09F21490"/>
    <w:rsid w:val="0A063254"/>
    <w:rsid w:val="0A2A2299"/>
    <w:rsid w:val="0A344230"/>
    <w:rsid w:val="0B886F7D"/>
    <w:rsid w:val="0BA36C6F"/>
    <w:rsid w:val="0BC60EDA"/>
    <w:rsid w:val="0BCA27B3"/>
    <w:rsid w:val="0CBC41BF"/>
    <w:rsid w:val="0D316E18"/>
    <w:rsid w:val="0D5F7C0C"/>
    <w:rsid w:val="0DAB3BCE"/>
    <w:rsid w:val="0DB85A76"/>
    <w:rsid w:val="0DBC5B20"/>
    <w:rsid w:val="0DF52189"/>
    <w:rsid w:val="0E694F2F"/>
    <w:rsid w:val="0E8A5BD7"/>
    <w:rsid w:val="0F092026"/>
    <w:rsid w:val="0FC53716"/>
    <w:rsid w:val="0FEA3A6E"/>
    <w:rsid w:val="100E50AD"/>
    <w:rsid w:val="1047079D"/>
    <w:rsid w:val="1068327B"/>
    <w:rsid w:val="10E50428"/>
    <w:rsid w:val="113B74BF"/>
    <w:rsid w:val="11C91AF8"/>
    <w:rsid w:val="12C42B13"/>
    <w:rsid w:val="131B39AE"/>
    <w:rsid w:val="139B0BE9"/>
    <w:rsid w:val="142573E4"/>
    <w:rsid w:val="14926B19"/>
    <w:rsid w:val="14CE4E21"/>
    <w:rsid w:val="14CF38C9"/>
    <w:rsid w:val="15216D61"/>
    <w:rsid w:val="152D05F0"/>
    <w:rsid w:val="157E709D"/>
    <w:rsid w:val="15C70A44"/>
    <w:rsid w:val="15D60C87"/>
    <w:rsid w:val="16307361"/>
    <w:rsid w:val="169F5708"/>
    <w:rsid w:val="16CB00C0"/>
    <w:rsid w:val="16E217E2"/>
    <w:rsid w:val="16E62715"/>
    <w:rsid w:val="17090456"/>
    <w:rsid w:val="17254D7D"/>
    <w:rsid w:val="17285513"/>
    <w:rsid w:val="17505BB1"/>
    <w:rsid w:val="17683267"/>
    <w:rsid w:val="177B641D"/>
    <w:rsid w:val="17F14DDF"/>
    <w:rsid w:val="18070DF2"/>
    <w:rsid w:val="181B6384"/>
    <w:rsid w:val="1858672E"/>
    <w:rsid w:val="18866623"/>
    <w:rsid w:val="189C3090"/>
    <w:rsid w:val="18DD0A0A"/>
    <w:rsid w:val="18F605BC"/>
    <w:rsid w:val="19151AC7"/>
    <w:rsid w:val="1927589A"/>
    <w:rsid w:val="192F4A36"/>
    <w:rsid w:val="19904552"/>
    <w:rsid w:val="19E3648C"/>
    <w:rsid w:val="1A1F6BF8"/>
    <w:rsid w:val="1A2E3C0D"/>
    <w:rsid w:val="1ADC6D40"/>
    <w:rsid w:val="1B5C578B"/>
    <w:rsid w:val="1B717AD2"/>
    <w:rsid w:val="1CAC2742"/>
    <w:rsid w:val="1CC161ED"/>
    <w:rsid w:val="1CC67062"/>
    <w:rsid w:val="1CF32369"/>
    <w:rsid w:val="1CF3514C"/>
    <w:rsid w:val="1D7F0BB9"/>
    <w:rsid w:val="1D8669FF"/>
    <w:rsid w:val="1DC81E94"/>
    <w:rsid w:val="1E297B6C"/>
    <w:rsid w:val="1E48437F"/>
    <w:rsid w:val="1E4B3C40"/>
    <w:rsid w:val="1EB61251"/>
    <w:rsid w:val="1ECF36EA"/>
    <w:rsid w:val="1F69491A"/>
    <w:rsid w:val="1FAF4A23"/>
    <w:rsid w:val="1FBF409D"/>
    <w:rsid w:val="20270F2B"/>
    <w:rsid w:val="208F03B0"/>
    <w:rsid w:val="20950F34"/>
    <w:rsid w:val="20F6042F"/>
    <w:rsid w:val="21220D00"/>
    <w:rsid w:val="21822727"/>
    <w:rsid w:val="21B81425"/>
    <w:rsid w:val="22133B5D"/>
    <w:rsid w:val="221E2698"/>
    <w:rsid w:val="22352338"/>
    <w:rsid w:val="225644FE"/>
    <w:rsid w:val="2305383D"/>
    <w:rsid w:val="23846AEF"/>
    <w:rsid w:val="239F267B"/>
    <w:rsid w:val="23A105E9"/>
    <w:rsid w:val="23B77102"/>
    <w:rsid w:val="23C30A9D"/>
    <w:rsid w:val="23E50503"/>
    <w:rsid w:val="23E65DA1"/>
    <w:rsid w:val="2493436C"/>
    <w:rsid w:val="250023CA"/>
    <w:rsid w:val="2549001C"/>
    <w:rsid w:val="25A55F80"/>
    <w:rsid w:val="25BC6397"/>
    <w:rsid w:val="25EB7E37"/>
    <w:rsid w:val="26500104"/>
    <w:rsid w:val="265A4FBD"/>
    <w:rsid w:val="26832955"/>
    <w:rsid w:val="26D61A76"/>
    <w:rsid w:val="278119B5"/>
    <w:rsid w:val="278E2F9A"/>
    <w:rsid w:val="278E34D5"/>
    <w:rsid w:val="283830DC"/>
    <w:rsid w:val="28650375"/>
    <w:rsid w:val="289B6BCD"/>
    <w:rsid w:val="28DE3C83"/>
    <w:rsid w:val="2956041F"/>
    <w:rsid w:val="29701552"/>
    <w:rsid w:val="297053DF"/>
    <w:rsid w:val="29D15596"/>
    <w:rsid w:val="2A434D38"/>
    <w:rsid w:val="2A573CED"/>
    <w:rsid w:val="2AF5733A"/>
    <w:rsid w:val="2B0100FD"/>
    <w:rsid w:val="2BB82A35"/>
    <w:rsid w:val="2BBF5C96"/>
    <w:rsid w:val="2BC563F1"/>
    <w:rsid w:val="2BE912BD"/>
    <w:rsid w:val="2BFC4F9F"/>
    <w:rsid w:val="2BFF5C73"/>
    <w:rsid w:val="2C2F2E5B"/>
    <w:rsid w:val="2CF55097"/>
    <w:rsid w:val="2D084C8A"/>
    <w:rsid w:val="2D1F6910"/>
    <w:rsid w:val="2D351648"/>
    <w:rsid w:val="2DC2617B"/>
    <w:rsid w:val="2E1C3845"/>
    <w:rsid w:val="2EBC18D7"/>
    <w:rsid w:val="2F0030AC"/>
    <w:rsid w:val="2F171C9D"/>
    <w:rsid w:val="2F1A178D"/>
    <w:rsid w:val="2F527179"/>
    <w:rsid w:val="2F7A423F"/>
    <w:rsid w:val="2FBF30DF"/>
    <w:rsid w:val="2FCC0CD9"/>
    <w:rsid w:val="2FDC6A42"/>
    <w:rsid w:val="2FF10740"/>
    <w:rsid w:val="30D83F02"/>
    <w:rsid w:val="30DC0F94"/>
    <w:rsid w:val="31053A08"/>
    <w:rsid w:val="31140A9C"/>
    <w:rsid w:val="3229683B"/>
    <w:rsid w:val="323F5C5D"/>
    <w:rsid w:val="32C0593A"/>
    <w:rsid w:val="32C30AF4"/>
    <w:rsid w:val="32C40388"/>
    <w:rsid w:val="32F3657D"/>
    <w:rsid w:val="330A6E2F"/>
    <w:rsid w:val="330F7C45"/>
    <w:rsid w:val="338102BC"/>
    <w:rsid w:val="342A1F36"/>
    <w:rsid w:val="34BE73F7"/>
    <w:rsid w:val="34C76929"/>
    <w:rsid w:val="3501694A"/>
    <w:rsid w:val="350E58F0"/>
    <w:rsid w:val="35205F5B"/>
    <w:rsid w:val="3566572C"/>
    <w:rsid w:val="3632560E"/>
    <w:rsid w:val="366E25F0"/>
    <w:rsid w:val="368C0052"/>
    <w:rsid w:val="36DB2584"/>
    <w:rsid w:val="370276D6"/>
    <w:rsid w:val="37156415"/>
    <w:rsid w:val="37983B97"/>
    <w:rsid w:val="37D63AC8"/>
    <w:rsid w:val="37FF08AA"/>
    <w:rsid w:val="38787C50"/>
    <w:rsid w:val="38910D12"/>
    <w:rsid w:val="389C1170"/>
    <w:rsid w:val="39221B61"/>
    <w:rsid w:val="393C6ED0"/>
    <w:rsid w:val="395064D7"/>
    <w:rsid w:val="396241DB"/>
    <w:rsid w:val="39747779"/>
    <w:rsid w:val="39BA52EF"/>
    <w:rsid w:val="3A033549"/>
    <w:rsid w:val="3A444AE5"/>
    <w:rsid w:val="3A614714"/>
    <w:rsid w:val="3AB64A60"/>
    <w:rsid w:val="3ACB0053"/>
    <w:rsid w:val="3AE1523B"/>
    <w:rsid w:val="3AEF5227"/>
    <w:rsid w:val="3B0671D3"/>
    <w:rsid w:val="3B081B5C"/>
    <w:rsid w:val="3B506AFF"/>
    <w:rsid w:val="3B974891"/>
    <w:rsid w:val="3BB47B5B"/>
    <w:rsid w:val="3BC01FB5"/>
    <w:rsid w:val="3CA65A3B"/>
    <w:rsid w:val="3CAC748F"/>
    <w:rsid w:val="3D0375D6"/>
    <w:rsid w:val="3D1F4D9A"/>
    <w:rsid w:val="3D317551"/>
    <w:rsid w:val="3D56117A"/>
    <w:rsid w:val="3D9A41CA"/>
    <w:rsid w:val="3DA26001"/>
    <w:rsid w:val="3E1E641D"/>
    <w:rsid w:val="3E3B27AD"/>
    <w:rsid w:val="3EDA2307"/>
    <w:rsid w:val="3F51591E"/>
    <w:rsid w:val="3F530426"/>
    <w:rsid w:val="3F710F55"/>
    <w:rsid w:val="3FAF14E4"/>
    <w:rsid w:val="3FD0283B"/>
    <w:rsid w:val="40316463"/>
    <w:rsid w:val="4087455C"/>
    <w:rsid w:val="41700164"/>
    <w:rsid w:val="421373D0"/>
    <w:rsid w:val="42312C1E"/>
    <w:rsid w:val="427F57B3"/>
    <w:rsid w:val="428D70C6"/>
    <w:rsid w:val="42F73568"/>
    <w:rsid w:val="43326C4D"/>
    <w:rsid w:val="436D0F34"/>
    <w:rsid w:val="43731F9A"/>
    <w:rsid w:val="43AD2CD4"/>
    <w:rsid w:val="441440F3"/>
    <w:rsid w:val="444C44A1"/>
    <w:rsid w:val="446B0669"/>
    <w:rsid w:val="44907C3B"/>
    <w:rsid w:val="44EE3048"/>
    <w:rsid w:val="45241161"/>
    <w:rsid w:val="45264590"/>
    <w:rsid w:val="45400595"/>
    <w:rsid w:val="454113CA"/>
    <w:rsid w:val="459935B0"/>
    <w:rsid w:val="459C7DF3"/>
    <w:rsid w:val="45C967F5"/>
    <w:rsid w:val="45FF1836"/>
    <w:rsid w:val="46BC3C6B"/>
    <w:rsid w:val="474E7DCE"/>
    <w:rsid w:val="47BB0620"/>
    <w:rsid w:val="47C6636F"/>
    <w:rsid w:val="47E10C42"/>
    <w:rsid w:val="481F4A22"/>
    <w:rsid w:val="482A25E9"/>
    <w:rsid w:val="48397747"/>
    <w:rsid w:val="483E1658"/>
    <w:rsid w:val="484E644F"/>
    <w:rsid w:val="492F3288"/>
    <w:rsid w:val="4989458D"/>
    <w:rsid w:val="49BE748D"/>
    <w:rsid w:val="4A8061AA"/>
    <w:rsid w:val="4B2332A6"/>
    <w:rsid w:val="4B3E5972"/>
    <w:rsid w:val="4B531E57"/>
    <w:rsid w:val="4BA76BC0"/>
    <w:rsid w:val="4C2A0884"/>
    <w:rsid w:val="4C4C7498"/>
    <w:rsid w:val="4C7153F5"/>
    <w:rsid w:val="4C81727E"/>
    <w:rsid w:val="4D026B14"/>
    <w:rsid w:val="4D297313"/>
    <w:rsid w:val="4D2E3B19"/>
    <w:rsid w:val="4DF64D83"/>
    <w:rsid w:val="4E2F7B2D"/>
    <w:rsid w:val="4E474460"/>
    <w:rsid w:val="4E595D87"/>
    <w:rsid w:val="4F0F57DD"/>
    <w:rsid w:val="4F4D1477"/>
    <w:rsid w:val="4F6B5360"/>
    <w:rsid w:val="4F8D612B"/>
    <w:rsid w:val="4FA40ED3"/>
    <w:rsid w:val="4FA709C3"/>
    <w:rsid w:val="4FB84EA6"/>
    <w:rsid w:val="4FE94B38"/>
    <w:rsid w:val="50537473"/>
    <w:rsid w:val="509E7570"/>
    <w:rsid w:val="50C10F02"/>
    <w:rsid w:val="50E579F5"/>
    <w:rsid w:val="511F4FD0"/>
    <w:rsid w:val="518965D2"/>
    <w:rsid w:val="51AC7D1E"/>
    <w:rsid w:val="51C71BE5"/>
    <w:rsid w:val="524A291B"/>
    <w:rsid w:val="52614E59"/>
    <w:rsid w:val="52A4275F"/>
    <w:rsid w:val="533E62DD"/>
    <w:rsid w:val="53431D6B"/>
    <w:rsid w:val="53462E30"/>
    <w:rsid w:val="53937C21"/>
    <w:rsid w:val="53A414A2"/>
    <w:rsid w:val="53C70DC1"/>
    <w:rsid w:val="53C75190"/>
    <w:rsid w:val="53F227FF"/>
    <w:rsid w:val="54261E03"/>
    <w:rsid w:val="54705828"/>
    <w:rsid w:val="54E65AEA"/>
    <w:rsid w:val="556E7FB9"/>
    <w:rsid w:val="558A0B6B"/>
    <w:rsid w:val="55EA0798"/>
    <w:rsid w:val="561B0C94"/>
    <w:rsid w:val="56493019"/>
    <w:rsid w:val="568F14A0"/>
    <w:rsid w:val="571A7E3F"/>
    <w:rsid w:val="574370ED"/>
    <w:rsid w:val="576135B0"/>
    <w:rsid w:val="57671164"/>
    <w:rsid w:val="576E0986"/>
    <w:rsid w:val="57777883"/>
    <w:rsid w:val="578C2807"/>
    <w:rsid w:val="57904A37"/>
    <w:rsid w:val="57CC4D78"/>
    <w:rsid w:val="585505DE"/>
    <w:rsid w:val="5875340D"/>
    <w:rsid w:val="588D74C4"/>
    <w:rsid w:val="589F492D"/>
    <w:rsid w:val="58C074BE"/>
    <w:rsid w:val="58C85C32"/>
    <w:rsid w:val="58F7055E"/>
    <w:rsid w:val="58F97BD2"/>
    <w:rsid w:val="594919CB"/>
    <w:rsid w:val="59886B0A"/>
    <w:rsid w:val="59A85A64"/>
    <w:rsid w:val="59CB51D7"/>
    <w:rsid w:val="59FF5FF0"/>
    <w:rsid w:val="5A47702B"/>
    <w:rsid w:val="5A517CF1"/>
    <w:rsid w:val="5A5B599D"/>
    <w:rsid w:val="5A67147B"/>
    <w:rsid w:val="5A770F6F"/>
    <w:rsid w:val="5A930A90"/>
    <w:rsid w:val="5A9E780A"/>
    <w:rsid w:val="5B533D47"/>
    <w:rsid w:val="5C563A8B"/>
    <w:rsid w:val="5CFF69ED"/>
    <w:rsid w:val="5D206234"/>
    <w:rsid w:val="5D50269A"/>
    <w:rsid w:val="5D974117"/>
    <w:rsid w:val="5D9B7B77"/>
    <w:rsid w:val="5E866B17"/>
    <w:rsid w:val="5E8B1394"/>
    <w:rsid w:val="5F845BA8"/>
    <w:rsid w:val="5FAB6B76"/>
    <w:rsid w:val="5FC53D3D"/>
    <w:rsid w:val="5FE85395"/>
    <w:rsid w:val="5FFE1FC2"/>
    <w:rsid w:val="602A71D2"/>
    <w:rsid w:val="607E7999"/>
    <w:rsid w:val="60DC5E85"/>
    <w:rsid w:val="60DD5FF3"/>
    <w:rsid w:val="61406582"/>
    <w:rsid w:val="614C355F"/>
    <w:rsid w:val="61585C2F"/>
    <w:rsid w:val="62202C29"/>
    <w:rsid w:val="62344338"/>
    <w:rsid w:val="62354DE3"/>
    <w:rsid w:val="623E51B7"/>
    <w:rsid w:val="634347F2"/>
    <w:rsid w:val="638A7BED"/>
    <w:rsid w:val="63A131C2"/>
    <w:rsid w:val="63CE4319"/>
    <w:rsid w:val="644A7E43"/>
    <w:rsid w:val="647937F6"/>
    <w:rsid w:val="65057F08"/>
    <w:rsid w:val="65A7591F"/>
    <w:rsid w:val="665C5C0C"/>
    <w:rsid w:val="66DF78CE"/>
    <w:rsid w:val="67165838"/>
    <w:rsid w:val="67191A6E"/>
    <w:rsid w:val="676D67AF"/>
    <w:rsid w:val="678C57F3"/>
    <w:rsid w:val="67AB0EFE"/>
    <w:rsid w:val="67AB1D56"/>
    <w:rsid w:val="67C116AC"/>
    <w:rsid w:val="680E3E57"/>
    <w:rsid w:val="68BF474A"/>
    <w:rsid w:val="68DB3760"/>
    <w:rsid w:val="6961142C"/>
    <w:rsid w:val="69905208"/>
    <w:rsid w:val="69A328EF"/>
    <w:rsid w:val="69C24894"/>
    <w:rsid w:val="6A026ACA"/>
    <w:rsid w:val="6A031098"/>
    <w:rsid w:val="6A0960AB"/>
    <w:rsid w:val="6A331379"/>
    <w:rsid w:val="6A382C4C"/>
    <w:rsid w:val="6A3E6297"/>
    <w:rsid w:val="6A6652AB"/>
    <w:rsid w:val="6A8A2F10"/>
    <w:rsid w:val="6ACE082C"/>
    <w:rsid w:val="6AEE5E05"/>
    <w:rsid w:val="6B1747F7"/>
    <w:rsid w:val="6BD83F86"/>
    <w:rsid w:val="6C4C4BAA"/>
    <w:rsid w:val="6C8859AD"/>
    <w:rsid w:val="6C9273BC"/>
    <w:rsid w:val="6CE21866"/>
    <w:rsid w:val="6CF21B60"/>
    <w:rsid w:val="6D056765"/>
    <w:rsid w:val="6D5261F9"/>
    <w:rsid w:val="6E374FFD"/>
    <w:rsid w:val="6E7558EB"/>
    <w:rsid w:val="6EBF7207"/>
    <w:rsid w:val="6F24514E"/>
    <w:rsid w:val="6FEC0A99"/>
    <w:rsid w:val="6FF34133"/>
    <w:rsid w:val="6FFE228A"/>
    <w:rsid w:val="70074E3A"/>
    <w:rsid w:val="700D7F77"/>
    <w:rsid w:val="701E4F19"/>
    <w:rsid w:val="70230C37"/>
    <w:rsid w:val="709E6CED"/>
    <w:rsid w:val="713C4FB8"/>
    <w:rsid w:val="714B51FB"/>
    <w:rsid w:val="71687265"/>
    <w:rsid w:val="71834994"/>
    <w:rsid w:val="71B40FF2"/>
    <w:rsid w:val="71DE7E1D"/>
    <w:rsid w:val="725620A9"/>
    <w:rsid w:val="726148AD"/>
    <w:rsid w:val="727D7096"/>
    <w:rsid w:val="729B0432"/>
    <w:rsid w:val="729D348E"/>
    <w:rsid w:val="72A74FF1"/>
    <w:rsid w:val="72AF27F3"/>
    <w:rsid w:val="72BA4DBA"/>
    <w:rsid w:val="73267C07"/>
    <w:rsid w:val="73BA6C76"/>
    <w:rsid w:val="74034986"/>
    <w:rsid w:val="74123DAE"/>
    <w:rsid w:val="7430181E"/>
    <w:rsid w:val="74785E04"/>
    <w:rsid w:val="74A143BC"/>
    <w:rsid w:val="74D45291"/>
    <w:rsid w:val="750033AF"/>
    <w:rsid w:val="757E794D"/>
    <w:rsid w:val="75FC7339"/>
    <w:rsid w:val="761E2EDE"/>
    <w:rsid w:val="76263B40"/>
    <w:rsid w:val="76557152"/>
    <w:rsid w:val="768216BE"/>
    <w:rsid w:val="76A333C2"/>
    <w:rsid w:val="76DE441B"/>
    <w:rsid w:val="76E42DE4"/>
    <w:rsid w:val="771F2069"/>
    <w:rsid w:val="77E141C3"/>
    <w:rsid w:val="77F51A1C"/>
    <w:rsid w:val="77FA7033"/>
    <w:rsid w:val="782C7B34"/>
    <w:rsid w:val="78332F27"/>
    <w:rsid w:val="783E628C"/>
    <w:rsid w:val="786B1CDE"/>
    <w:rsid w:val="78D53B48"/>
    <w:rsid w:val="78FC6722"/>
    <w:rsid w:val="79382508"/>
    <w:rsid w:val="795B5E20"/>
    <w:rsid w:val="798C015E"/>
    <w:rsid w:val="79A27982"/>
    <w:rsid w:val="79A75E72"/>
    <w:rsid w:val="79C835E8"/>
    <w:rsid w:val="7A147F78"/>
    <w:rsid w:val="7A603743"/>
    <w:rsid w:val="7AA00365"/>
    <w:rsid w:val="7ADB6F81"/>
    <w:rsid w:val="7AF358F5"/>
    <w:rsid w:val="7AF7379A"/>
    <w:rsid w:val="7B155A34"/>
    <w:rsid w:val="7B6F3A41"/>
    <w:rsid w:val="7B8805D5"/>
    <w:rsid w:val="7BB27382"/>
    <w:rsid w:val="7BEA1FF6"/>
    <w:rsid w:val="7C266648"/>
    <w:rsid w:val="7C6575D1"/>
    <w:rsid w:val="7C7F604C"/>
    <w:rsid w:val="7CD32A90"/>
    <w:rsid w:val="7CEE6037"/>
    <w:rsid w:val="7D0A66C6"/>
    <w:rsid w:val="7D163828"/>
    <w:rsid w:val="7D4A5387"/>
    <w:rsid w:val="7D6A273C"/>
    <w:rsid w:val="7F2D6A84"/>
    <w:rsid w:val="7F3D5FFE"/>
    <w:rsid w:val="7F71201A"/>
    <w:rsid w:val="7F895E72"/>
    <w:rsid w:val="7FA866C0"/>
    <w:rsid w:val="7FF03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6"/>
    <w:qFormat/>
    <w:uiPriority w:val="9"/>
    <w:pPr>
      <w:keepNext/>
      <w:jc w:val="center"/>
      <w:outlineLvl w:val="0"/>
    </w:pPr>
    <w:rPr>
      <w:rFonts w:ascii="楷体_GB2312" w:eastAsia="楷体_GB2312"/>
      <w:b/>
      <w:bCs/>
    </w:rPr>
  </w:style>
  <w:style w:type="paragraph" w:styleId="6">
    <w:name w:val="heading 2"/>
    <w:basedOn w:val="1"/>
    <w:next w:val="1"/>
    <w:link w:val="77"/>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78"/>
    <w:qFormat/>
    <w:uiPriority w:val="9"/>
    <w:pPr>
      <w:keepNext/>
      <w:keepLines/>
      <w:spacing w:before="260" w:after="260" w:line="416" w:lineRule="auto"/>
      <w:outlineLvl w:val="2"/>
    </w:pPr>
    <w:rPr>
      <w:b/>
      <w:bCs/>
      <w:sz w:val="32"/>
      <w:szCs w:val="32"/>
    </w:rPr>
  </w:style>
  <w:style w:type="paragraph" w:styleId="8">
    <w:name w:val="heading 4"/>
    <w:basedOn w:val="1"/>
    <w:next w:val="1"/>
    <w:link w:val="79"/>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80"/>
    <w:qFormat/>
    <w:uiPriority w:val="9"/>
    <w:pPr>
      <w:keepNext/>
      <w:keepLines/>
      <w:spacing w:before="280" w:after="290" w:line="376" w:lineRule="auto"/>
      <w:outlineLvl w:val="4"/>
    </w:pPr>
    <w:rPr>
      <w:b/>
      <w:bCs/>
      <w:sz w:val="28"/>
      <w:szCs w:val="28"/>
    </w:rPr>
  </w:style>
  <w:style w:type="paragraph" w:styleId="10">
    <w:name w:val="heading 6"/>
    <w:basedOn w:val="1"/>
    <w:next w:val="1"/>
    <w:link w:val="81"/>
    <w:qFormat/>
    <w:uiPriority w:val="9"/>
    <w:pPr>
      <w:keepNext/>
      <w:keepLines/>
      <w:spacing w:before="240" w:after="64" w:line="320" w:lineRule="auto"/>
      <w:outlineLvl w:val="5"/>
    </w:pPr>
    <w:rPr>
      <w:rFonts w:ascii="Cambria" w:hAnsi="Cambria"/>
      <w:b/>
      <w:bCs/>
      <w:sz w:val="24"/>
    </w:rPr>
  </w:style>
  <w:style w:type="paragraph" w:styleId="11">
    <w:name w:val="heading 7"/>
    <w:basedOn w:val="1"/>
    <w:next w:val="1"/>
    <w:link w:val="164"/>
    <w:qFormat/>
    <w:uiPriority w:val="9"/>
    <w:pPr>
      <w:keepNext/>
      <w:keepLines/>
      <w:adjustRightInd w:val="0"/>
      <w:spacing w:before="240" w:after="64" w:line="320" w:lineRule="atLeast"/>
      <w:textAlignment w:val="baseline"/>
      <w:outlineLvl w:val="6"/>
    </w:pPr>
    <w:rPr>
      <w:rFonts w:eastAsia="等线"/>
      <w:b/>
      <w:sz w:val="24"/>
    </w:rPr>
  </w:style>
  <w:style w:type="paragraph" w:styleId="12">
    <w:name w:val="heading 8"/>
    <w:basedOn w:val="1"/>
    <w:next w:val="1"/>
    <w:link w:val="165"/>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166"/>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9"/>
    <w:qFormat/>
    <w:uiPriority w:val="0"/>
    <w:pPr>
      <w:ind w:firstLine="420" w:firstLineChars="100"/>
    </w:pPr>
  </w:style>
  <w:style w:type="paragraph" w:styleId="3">
    <w:name w:val="Body Text"/>
    <w:basedOn w:val="1"/>
    <w:next w:val="2"/>
    <w:link w:val="87"/>
    <w:qFormat/>
    <w:uiPriority w:val="99"/>
    <w:pPr>
      <w:spacing w:after="120"/>
    </w:pPr>
  </w:style>
  <w:style w:type="paragraph" w:styleId="4">
    <w:name w:val="macro"/>
    <w:link w:val="42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4">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5">
    <w:name w:val="Note Heading"/>
    <w:basedOn w:val="1"/>
    <w:next w:val="1"/>
    <w:link w:val="418"/>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qFormat/>
    <w:uiPriority w:val="0"/>
    <w:pPr>
      <w:tabs>
        <w:tab w:val="left" w:pos="360"/>
      </w:tabs>
      <w:ind w:left="360" w:hanging="360" w:hangingChars="200"/>
    </w:pPr>
    <w:rPr>
      <w:rFonts w:ascii="等线" w:hAnsi="等线" w:eastAsia="等线" w:cs="等线"/>
    </w:rPr>
  </w:style>
  <w:style w:type="paragraph" w:styleId="17">
    <w:name w:val="Normal Indent"/>
    <w:basedOn w:val="1"/>
    <w:next w:val="1"/>
    <w:link w:val="100"/>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rPr>
      <w:rFonts w:ascii="Cambria" w:hAnsi="Cambria" w:eastAsia="黑体"/>
      <w:sz w:val="20"/>
      <w:szCs w:val="20"/>
    </w:rPr>
  </w:style>
  <w:style w:type="paragraph" w:styleId="19">
    <w:name w:val="List Bullet"/>
    <w:basedOn w:val="1"/>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3"/>
    <w:qFormat/>
    <w:uiPriority w:val="0"/>
    <w:pPr>
      <w:shd w:val="clear" w:color="auto" w:fill="000080"/>
    </w:pPr>
  </w:style>
  <w:style w:type="paragraph" w:styleId="21">
    <w:name w:val="toa heading"/>
    <w:basedOn w:val="1"/>
    <w:next w:val="1"/>
    <w:qFormat/>
    <w:uiPriority w:val="0"/>
    <w:pPr>
      <w:spacing w:before="120" w:line="560" w:lineRule="exact"/>
      <w:ind w:firstLine="200" w:firstLineChars="200"/>
    </w:pPr>
    <w:rPr>
      <w:rFonts w:ascii="Arial" w:hAnsi="Arial" w:cs="Arial"/>
      <w:sz w:val="24"/>
    </w:rPr>
  </w:style>
  <w:style w:type="paragraph" w:styleId="22">
    <w:name w:val="annotation text"/>
    <w:basedOn w:val="1"/>
    <w:link w:val="111"/>
    <w:qFormat/>
    <w:uiPriority w:val="1"/>
    <w:pPr>
      <w:jc w:val="left"/>
    </w:pPr>
  </w:style>
  <w:style w:type="paragraph" w:styleId="23">
    <w:name w:val="Salutation"/>
    <w:basedOn w:val="1"/>
    <w:next w:val="1"/>
    <w:link w:val="406"/>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1"/>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Indent"/>
    <w:basedOn w:val="1"/>
    <w:next w:val="27"/>
    <w:link w:val="88"/>
    <w:qFormat/>
    <w:uiPriority w:val="0"/>
    <w:pPr>
      <w:ind w:left="480" w:hanging="480" w:hangingChars="200"/>
    </w:pPr>
    <w:rPr>
      <w:sz w:val="24"/>
    </w:rPr>
  </w:style>
  <w:style w:type="paragraph" w:styleId="27">
    <w:name w:val="Body Text First Indent 2"/>
    <w:basedOn w:val="26"/>
    <w:next w:val="2"/>
    <w:link w:val="436"/>
    <w:unhideWhenUsed/>
    <w:qFormat/>
    <w:uiPriority w:val="0"/>
    <w:pPr>
      <w:spacing w:after="120"/>
      <w:ind w:left="420" w:leftChars="200" w:firstLine="420" w:firstLineChars="200"/>
    </w:pPr>
    <w:rPr>
      <w:sz w:val="21"/>
    </w:rPr>
  </w:style>
  <w:style w:type="paragraph" w:styleId="28">
    <w:name w:val="List Number 3"/>
    <w:basedOn w:val="1"/>
    <w:qFormat/>
    <w:uiPriority w:val="0"/>
    <w:pPr>
      <w:tabs>
        <w:tab w:val="left" w:pos="1200"/>
      </w:tabs>
      <w:ind w:left="1200" w:leftChars="400" w:hanging="360" w:hangingChars="200"/>
    </w:pPr>
    <w:rPr>
      <w:rFonts w:ascii="等线" w:hAnsi="等线" w:eastAsia="等线" w:cs="等线"/>
    </w:rPr>
  </w:style>
  <w:style w:type="paragraph" w:styleId="29">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0">
    <w:name w:val="Block Text"/>
    <w:basedOn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1">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2">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3">
    <w:name w:val="toc 3"/>
    <w:basedOn w:val="1"/>
    <w:next w:val="1"/>
    <w:qFormat/>
    <w:uiPriority w:val="39"/>
    <w:pPr>
      <w:ind w:left="840" w:leftChars="400"/>
    </w:pPr>
  </w:style>
  <w:style w:type="paragraph" w:styleId="34">
    <w:name w:val="Plain Text"/>
    <w:basedOn w:val="1"/>
    <w:next w:val="35"/>
    <w:link w:val="89"/>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5">
    <w:name w:val="toc 2"/>
    <w:basedOn w:val="1"/>
    <w:next w:val="1"/>
    <w:qFormat/>
    <w:uiPriority w:val="39"/>
    <w:pPr>
      <w:ind w:left="420" w:leftChars="200"/>
    </w:p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82"/>
    <w:qFormat/>
    <w:uiPriority w:val="0"/>
    <w:pPr>
      <w:ind w:left="100" w:leftChars="2500"/>
    </w:pPr>
  </w:style>
  <w:style w:type="paragraph" w:styleId="39">
    <w:name w:val="Body Text Indent 2"/>
    <w:basedOn w:val="1"/>
    <w:link w:val="303"/>
    <w:qFormat/>
    <w:uiPriority w:val="0"/>
    <w:pPr>
      <w:spacing w:line="500" w:lineRule="exact"/>
      <w:ind w:firstLine="511" w:firstLineChars="213"/>
    </w:pPr>
    <w:rPr>
      <w:sz w:val="24"/>
    </w:rPr>
  </w:style>
  <w:style w:type="paragraph" w:styleId="40">
    <w:name w:val="endnote text"/>
    <w:basedOn w:val="1"/>
    <w:link w:val="757"/>
    <w:unhideWhenUsed/>
    <w:qFormat/>
    <w:uiPriority w:val="1"/>
    <w:pPr>
      <w:snapToGrid w:val="0"/>
      <w:spacing w:line="360" w:lineRule="auto"/>
      <w:ind w:firstLine="200" w:firstLineChars="200"/>
      <w:jc w:val="left"/>
    </w:pPr>
    <w:rPr>
      <w:sz w:val="28"/>
    </w:rPr>
  </w:style>
  <w:style w:type="paragraph" w:styleId="41">
    <w:name w:val="Balloon Text"/>
    <w:basedOn w:val="1"/>
    <w:link w:val="266"/>
    <w:qFormat/>
    <w:uiPriority w:val="0"/>
    <w:rPr>
      <w:sz w:val="18"/>
      <w:szCs w:val="18"/>
    </w:rPr>
  </w:style>
  <w:style w:type="paragraph" w:styleId="42">
    <w:name w:val="footer"/>
    <w:basedOn w:val="1"/>
    <w:link w:val="86"/>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6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38"/>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34"/>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33"/>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2">
    <w:name w:val="Body Text Indent 3"/>
    <w:basedOn w:val="1"/>
    <w:link w:val="200"/>
    <w:qFormat/>
    <w:uiPriority w:val="0"/>
    <w:pPr>
      <w:spacing w:line="500" w:lineRule="exact"/>
      <w:ind w:left="511" w:hanging="511" w:hangingChars="213"/>
    </w:pPr>
    <w:rPr>
      <w:sz w:val="24"/>
    </w:rPr>
  </w:style>
  <w:style w:type="paragraph" w:styleId="53">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4">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2"/>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5"/>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3"/>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qFormat/>
    <w:uiPriority w:val="0"/>
    <w:pPr>
      <w:spacing w:line="360" w:lineRule="auto"/>
      <w:ind w:firstLine="200" w:firstLineChars="200"/>
    </w:pPr>
    <w:rPr>
      <w:rFonts w:ascii="等线" w:hAnsi="等线" w:eastAsia="等线" w:cs="等线"/>
      <w:szCs w:val="20"/>
    </w:rPr>
  </w:style>
  <w:style w:type="paragraph" w:styleId="60">
    <w:name w:val="Title"/>
    <w:basedOn w:val="1"/>
    <w:next w:val="1"/>
    <w:link w:val="154"/>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2"/>
    <w:next w:val="22"/>
    <w:link w:val="167"/>
    <w:qFormat/>
    <w:uiPriority w:val="1"/>
    <w:rPr>
      <w:b/>
      <w:bCs/>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qFormat/>
    <w:uiPriority w:val="0"/>
    <w:rPr>
      <w:b/>
      <w:bCs/>
    </w:rPr>
  </w:style>
  <w:style w:type="character" w:styleId="67">
    <w:name w:val="endnote reference"/>
    <w:unhideWhenUsed/>
    <w:qFormat/>
    <w:uiPriority w:val="1"/>
    <w:rPr>
      <w:vertAlign w:val="superscript"/>
    </w:rPr>
  </w:style>
  <w:style w:type="character" w:styleId="68">
    <w:name w:val="page number"/>
    <w:basedOn w:val="65"/>
    <w:qFormat/>
    <w:uiPriority w:val="0"/>
  </w:style>
  <w:style w:type="character" w:styleId="69">
    <w:name w:val="FollowedHyperlink"/>
    <w:qFormat/>
    <w:uiPriority w:val="0"/>
    <w:rPr>
      <w:color w:val="800080"/>
      <w:u w:val="single"/>
    </w:rPr>
  </w:style>
  <w:style w:type="character" w:styleId="70">
    <w:name w:val="Emphasis"/>
    <w:qFormat/>
    <w:uiPriority w:val="1"/>
    <w:rPr>
      <w:i/>
      <w:iCs/>
    </w:rPr>
  </w:style>
  <w:style w:type="character" w:styleId="71">
    <w:name w:val="line number"/>
    <w:basedOn w:val="65"/>
    <w:qFormat/>
    <w:uiPriority w:val="0"/>
  </w:style>
  <w:style w:type="character" w:styleId="72">
    <w:name w:val="Hyperlink"/>
    <w:basedOn w:val="65"/>
    <w:qFormat/>
    <w:uiPriority w:val="99"/>
    <w:rPr>
      <w:color w:val="000000"/>
      <w:sz w:val="20"/>
      <w:szCs w:val="20"/>
      <w:u w:val="none"/>
    </w:rPr>
  </w:style>
  <w:style w:type="character" w:styleId="73">
    <w:name w:val="annotation reference"/>
    <w:qFormat/>
    <w:uiPriority w:val="1"/>
    <w:rPr>
      <w:sz w:val="21"/>
      <w:szCs w:val="21"/>
    </w:rPr>
  </w:style>
  <w:style w:type="character" w:styleId="74">
    <w:name w:val="HTML Cite"/>
    <w:qFormat/>
    <w:uiPriority w:val="0"/>
    <w:rPr>
      <w:color w:val="008000"/>
    </w:rPr>
  </w:style>
  <w:style w:type="paragraph" w:customStyle="1" w:styleId="75">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标题 1 字符1"/>
    <w:link w:val="5"/>
    <w:qFormat/>
    <w:uiPriority w:val="9"/>
    <w:rPr>
      <w:rFonts w:ascii="楷体_GB2312" w:eastAsia="楷体_GB2312"/>
      <w:b/>
      <w:bCs/>
      <w:kern w:val="2"/>
      <w:sz w:val="21"/>
      <w:szCs w:val="24"/>
    </w:rPr>
  </w:style>
  <w:style w:type="character" w:customStyle="1" w:styleId="77">
    <w:name w:val="标题 2 字符"/>
    <w:link w:val="6"/>
    <w:qFormat/>
    <w:uiPriority w:val="9"/>
    <w:rPr>
      <w:rFonts w:ascii="Cambria" w:hAnsi="Cambria" w:eastAsia="宋体" w:cs="Times New Roman"/>
      <w:b/>
      <w:bCs/>
      <w:kern w:val="2"/>
      <w:sz w:val="32"/>
      <w:szCs w:val="32"/>
    </w:rPr>
  </w:style>
  <w:style w:type="character" w:customStyle="1" w:styleId="78">
    <w:name w:val="标题 3 字符1"/>
    <w:link w:val="7"/>
    <w:qFormat/>
    <w:uiPriority w:val="9"/>
    <w:rPr>
      <w:b/>
      <w:bCs/>
      <w:kern w:val="2"/>
      <w:sz w:val="32"/>
      <w:szCs w:val="32"/>
      <w:lang w:bidi="ar-SA"/>
    </w:rPr>
  </w:style>
  <w:style w:type="character" w:customStyle="1" w:styleId="79">
    <w:name w:val="标题 4 字符1"/>
    <w:link w:val="8"/>
    <w:qFormat/>
    <w:uiPriority w:val="0"/>
    <w:rPr>
      <w:rFonts w:ascii="Cambria" w:hAnsi="Cambria" w:eastAsia="宋体"/>
      <w:b/>
      <w:bCs/>
      <w:kern w:val="2"/>
      <w:sz w:val="28"/>
      <w:szCs w:val="28"/>
      <w:lang w:bidi="ar-SA"/>
    </w:rPr>
  </w:style>
  <w:style w:type="character" w:customStyle="1" w:styleId="80">
    <w:name w:val="标题 5 字符1"/>
    <w:link w:val="9"/>
    <w:qFormat/>
    <w:uiPriority w:val="9"/>
    <w:rPr>
      <w:b/>
      <w:bCs/>
      <w:kern w:val="2"/>
      <w:sz w:val="28"/>
      <w:szCs w:val="28"/>
    </w:rPr>
  </w:style>
  <w:style w:type="character" w:customStyle="1" w:styleId="81">
    <w:name w:val="标题 6 字符1"/>
    <w:link w:val="10"/>
    <w:qFormat/>
    <w:uiPriority w:val="9"/>
    <w:rPr>
      <w:rFonts w:ascii="Cambria" w:hAnsi="Cambria" w:eastAsia="宋体" w:cs="Times New Roman"/>
      <w:b/>
      <w:bCs/>
      <w:kern w:val="2"/>
      <w:sz w:val="24"/>
      <w:szCs w:val="24"/>
    </w:rPr>
  </w:style>
  <w:style w:type="character" w:customStyle="1" w:styleId="82">
    <w:name w:val="日期 字符"/>
    <w:link w:val="38"/>
    <w:qFormat/>
    <w:uiPriority w:val="0"/>
    <w:rPr>
      <w:kern w:val="2"/>
      <w:sz w:val="21"/>
      <w:szCs w:val="24"/>
    </w:rPr>
  </w:style>
  <w:style w:type="character" w:customStyle="1" w:styleId="83">
    <w:name w:val="样式6 列表并列 Char"/>
    <w:link w:val="84"/>
    <w:qFormat/>
    <w:locked/>
    <w:uiPriority w:val="0"/>
    <w:rPr>
      <w:rFonts w:ascii="Arial" w:hAnsi="Arial" w:cs="Arial"/>
      <w:kern w:val="21"/>
      <w:sz w:val="21"/>
      <w:szCs w:val="24"/>
    </w:rPr>
  </w:style>
  <w:style w:type="paragraph" w:customStyle="1" w:styleId="84">
    <w:name w:val="样式6 列表并列"/>
    <w:link w:val="83"/>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qFormat/>
    <w:uiPriority w:val="0"/>
    <w:rPr>
      <w:rFonts w:ascii="宋体" w:hAnsi="Courier New" w:eastAsia="宋体"/>
      <w:sz w:val="21"/>
      <w:szCs w:val="21"/>
      <w:lang w:val="en-US" w:eastAsia="zh-CN" w:bidi="ar-SA"/>
    </w:rPr>
  </w:style>
  <w:style w:type="character" w:customStyle="1" w:styleId="86">
    <w:name w:val="页脚 字符"/>
    <w:link w:val="42"/>
    <w:qFormat/>
    <w:uiPriority w:val="99"/>
    <w:rPr>
      <w:kern w:val="2"/>
      <w:sz w:val="18"/>
      <w:szCs w:val="18"/>
    </w:rPr>
  </w:style>
  <w:style w:type="character" w:customStyle="1" w:styleId="87">
    <w:name w:val="正文文本 字符1"/>
    <w:link w:val="3"/>
    <w:qFormat/>
    <w:uiPriority w:val="99"/>
    <w:rPr>
      <w:kern w:val="2"/>
      <w:sz w:val="21"/>
      <w:szCs w:val="24"/>
    </w:rPr>
  </w:style>
  <w:style w:type="character" w:customStyle="1" w:styleId="88">
    <w:name w:val="正文文本缩进 字符1"/>
    <w:link w:val="26"/>
    <w:qFormat/>
    <w:uiPriority w:val="0"/>
    <w:rPr>
      <w:kern w:val="2"/>
      <w:sz w:val="24"/>
      <w:szCs w:val="24"/>
    </w:rPr>
  </w:style>
  <w:style w:type="character" w:customStyle="1" w:styleId="89">
    <w:name w:val="纯文本 字符1"/>
    <w:link w:val="34"/>
    <w:qFormat/>
    <w:uiPriority w:val="0"/>
    <w:rPr>
      <w:rFonts w:ascii="宋体" w:hAnsi="Courier New" w:eastAsia="宋体"/>
      <w:sz w:val="21"/>
      <w:szCs w:val="21"/>
      <w:lang w:val="en-US" w:eastAsia="zh-CN" w:bidi="ar-SA"/>
    </w:rPr>
  </w:style>
  <w:style w:type="character" w:customStyle="1" w:styleId="90">
    <w:name w:val="font31"/>
    <w:basedOn w:val="65"/>
    <w:qFormat/>
    <w:uiPriority w:val="0"/>
    <w:rPr>
      <w:rFonts w:hint="eastAsia" w:ascii="新宋体" w:hAnsi="新宋体" w:eastAsia="新宋体" w:cs="新宋体"/>
      <w:color w:val="000000"/>
      <w:sz w:val="22"/>
      <w:szCs w:val="22"/>
      <w:u w:val="none"/>
    </w:rPr>
  </w:style>
  <w:style w:type="character" w:customStyle="1" w:styleId="91">
    <w:name w:val="style21"/>
    <w:qFormat/>
    <w:uiPriority w:val="0"/>
    <w:rPr>
      <w:sz w:val="15"/>
      <w:szCs w:val="15"/>
    </w:rPr>
  </w:style>
  <w:style w:type="character" w:customStyle="1" w:styleId="92">
    <w:name w:val="BZ_正文 Char"/>
    <w:link w:val="93"/>
    <w:qFormat/>
    <w:uiPriority w:val="0"/>
    <w:rPr>
      <w:rFonts w:ascii="宋体" w:hAnsi="宋体" w:eastAsia="宋体"/>
      <w:kern w:val="2"/>
      <w:sz w:val="24"/>
      <w:szCs w:val="24"/>
    </w:rPr>
  </w:style>
  <w:style w:type="paragraph" w:customStyle="1" w:styleId="93">
    <w:name w:val="BZ_正文"/>
    <w:basedOn w:val="1"/>
    <w:link w:val="92"/>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qFormat/>
    <w:uiPriority w:val="0"/>
    <w:rPr>
      <w:rFonts w:ascii="宋体" w:hAnsi="Courier New" w:eastAsia="宋体"/>
      <w:sz w:val="21"/>
      <w:szCs w:val="21"/>
      <w:lang w:val="en-US" w:eastAsia="zh-CN" w:bidi="ar-SA"/>
    </w:rPr>
  </w:style>
  <w:style w:type="character" w:customStyle="1" w:styleId="95">
    <w:name w:val="font21"/>
    <w:basedOn w:val="65"/>
    <w:qFormat/>
    <w:uiPriority w:val="0"/>
    <w:rPr>
      <w:rFonts w:hint="eastAsia" w:ascii="宋体" w:hAnsi="宋体" w:eastAsia="宋体" w:cs="宋体"/>
      <w:b/>
      <w:color w:val="000000"/>
      <w:sz w:val="21"/>
      <w:szCs w:val="21"/>
      <w:u w:val="none"/>
    </w:rPr>
  </w:style>
  <w:style w:type="character" w:customStyle="1" w:styleId="96">
    <w:name w:val="font11"/>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qFormat/>
    <w:uiPriority w:val="0"/>
    <w:rPr>
      <w:sz w:val="24"/>
      <w:lang w:val="en-US" w:eastAsia="zh-CN" w:bidi="ar-SA"/>
    </w:rPr>
  </w:style>
  <w:style w:type="paragraph" w:customStyle="1" w:styleId="98">
    <w:name w:val="正文1"/>
    <w:link w:val="97"/>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文本首行缩进 字符"/>
    <w:basedOn w:val="87"/>
    <w:link w:val="2"/>
    <w:qFormat/>
    <w:uiPriority w:val="0"/>
    <w:rPr>
      <w:kern w:val="2"/>
      <w:sz w:val="21"/>
      <w:szCs w:val="24"/>
    </w:rPr>
  </w:style>
  <w:style w:type="character" w:customStyle="1" w:styleId="100">
    <w:name w:val="正文缩进 字符1"/>
    <w:link w:val="17"/>
    <w:qFormat/>
    <w:uiPriority w:val="0"/>
    <w:rPr>
      <w:rFonts w:eastAsia="宋体"/>
      <w:sz w:val="21"/>
      <w:lang w:val="en-US" w:eastAsia="zh-CN" w:bidi="ar-SA"/>
    </w:rPr>
  </w:style>
  <w:style w:type="character" w:customStyle="1" w:styleId="101">
    <w:name w:val="BZ_题注_图 Char"/>
    <w:link w:val="102"/>
    <w:qFormat/>
    <w:uiPriority w:val="0"/>
    <w:rPr>
      <w:rFonts w:eastAsia="黑体"/>
      <w:kern w:val="2"/>
      <w:sz w:val="21"/>
      <w:szCs w:val="21"/>
    </w:rPr>
  </w:style>
  <w:style w:type="paragraph" w:customStyle="1" w:styleId="102">
    <w:name w:val="BZ_题注_图"/>
    <w:basedOn w:val="18"/>
    <w:next w:val="1"/>
    <w:link w:val="101"/>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qFormat/>
    <w:uiPriority w:val="0"/>
    <w:rPr>
      <w:rFonts w:ascii="Tahoma" w:hAnsi="Tahoma" w:eastAsia="仿宋_GB2312"/>
      <w:sz w:val="28"/>
      <w:lang w:val="en-US" w:eastAsia="zh-CN" w:bidi="ar-SA"/>
    </w:rPr>
  </w:style>
  <w:style w:type="paragraph" w:customStyle="1" w:styleId="104">
    <w:name w:val="文档正文"/>
    <w:basedOn w:val="1"/>
    <w:link w:val="103"/>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qFormat/>
    <w:uiPriority w:val="0"/>
    <w:rPr>
      <w:sz w:val="22"/>
      <w:szCs w:val="22"/>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BZ_三级标题 Char"/>
    <w:link w:val="108"/>
    <w:qFormat/>
    <w:uiPriority w:val="0"/>
    <w:rPr>
      <w:rFonts w:eastAsia="黑体"/>
      <w:b/>
      <w:bCs/>
      <w:kern w:val="2"/>
      <w:sz w:val="28"/>
      <w:szCs w:val="28"/>
    </w:rPr>
  </w:style>
  <w:style w:type="paragraph" w:customStyle="1" w:styleId="108">
    <w:name w:val="BZ_三级标题"/>
    <w:basedOn w:val="7"/>
    <w:next w:val="93"/>
    <w:link w:val="107"/>
    <w:qFormat/>
    <w:uiPriority w:val="0"/>
    <w:pPr>
      <w:spacing w:line="240" w:lineRule="auto"/>
      <w:ind w:left="720" w:hanging="720"/>
    </w:pPr>
    <w:rPr>
      <w:rFonts w:eastAsia="黑体"/>
      <w:sz w:val="28"/>
      <w:szCs w:val="28"/>
    </w:rPr>
  </w:style>
  <w:style w:type="character" w:customStyle="1" w:styleId="109">
    <w:name w:val="哈哈正文 Char"/>
    <w:link w:val="110"/>
    <w:qFormat/>
    <w:uiPriority w:val="0"/>
    <w:rPr>
      <w:rFonts w:ascii="宋体" w:hAnsi="宋体" w:eastAsia="宋体" w:cs="宋体"/>
      <w:kern w:val="2"/>
      <w:sz w:val="24"/>
      <w:lang w:val="en-US" w:eastAsia="zh-CN" w:bidi="ar-SA"/>
    </w:rPr>
  </w:style>
  <w:style w:type="paragraph" w:customStyle="1" w:styleId="110">
    <w:name w:val="哈哈正文"/>
    <w:basedOn w:val="1"/>
    <w:link w:val="109"/>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2"/>
    <w:qFormat/>
    <w:uiPriority w:val="1"/>
    <w:rPr>
      <w:kern w:val="2"/>
      <w:sz w:val="21"/>
      <w:szCs w:val="24"/>
    </w:rPr>
  </w:style>
  <w:style w:type="character" w:customStyle="1" w:styleId="112">
    <w:name w:val="fontstyle01"/>
    <w:qFormat/>
    <w:uiPriority w:val="0"/>
    <w:rPr>
      <w:rFonts w:hint="eastAsia" w:ascii="楷体" w:hAnsi="楷体" w:eastAsia="楷体"/>
      <w:color w:val="000000"/>
      <w:sz w:val="24"/>
      <w:szCs w:val="24"/>
    </w:rPr>
  </w:style>
  <w:style w:type="character" w:customStyle="1" w:styleId="113">
    <w:name w:val="List Paragraph Char"/>
    <w:link w:val="114"/>
    <w:qFormat/>
    <w:uiPriority w:val="0"/>
    <w:rPr>
      <w:rFonts w:ascii="Calibri" w:hAnsi="Calibri" w:eastAsia="宋体"/>
      <w:kern w:val="2"/>
      <w:sz w:val="21"/>
      <w:szCs w:val="22"/>
      <w:lang w:val="en-US" w:eastAsia="zh-CN" w:bidi="ar-SA"/>
    </w:rPr>
  </w:style>
  <w:style w:type="paragraph" w:customStyle="1" w:styleId="114">
    <w:name w:val="列出段落1"/>
    <w:basedOn w:val="1"/>
    <w:link w:val="113"/>
    <w:qFormat/>
    <w:uiPriority w:val="0"/>
    <w:pPr>
      <w:ind w:firstLine="420" w:firstLineChars="200"/>
    </w:pPr>
    <w:rPr>
      <w:rFonts w:ascii="Calibri" w:hAnsi="Calibri"/>
      <w:szCs w:val="22"/>
    </w:rPr>
  </w:style>
  <w:style w:type="paragraph" w:customStyle="1" w:styleId="115">
    <w:name w:val="正文2"/>
    <w:basedOn w:val="1"/>
    <w:qFormat/>
    <w:uiPriority w:val="0"/>
    <w:pPr>
      <w:spacing w:before="156" w:line="360" w:lineRule="auto"/>
      <w:ind w:firstLine="510" w:firstLineChars="200"/>
    </w:pPr>
    <w:rPr>
      <w:sz w:val="24"/>
      <w:szCs w:val="20"/>
    </w:rPr>
  </w:style>
  <w:style w:type="paragraph" w:customStyle="1" w:styleId="116">
    <w:name w:val="Char Char Char Char"/>
    <w:basedOn w:val="20"/>
    <w:qFormat/>
    <w:uiPriority w:val="0"/>
    <w:rPr>
      <w:rFonts w:ascii="Tahoma" w:hAnsi="Tahoma"/>
      <w:sz w:val="24"/>
    </w:rPr>
  </w:style>
  <w:style w:type="paragraph" w:customStyle="1" w:styleId="117">
    <w:name w:val="Char1 Char Char Char"/>
    <w:basedOn w:val="1"/>
    <w:qFormat/>
    <w:uiPriority w:val="0"/>
    <w:rPr>
      <w:rFonts w:ascii="Tahoma" w:hAnsi="Tahoma"/>
      <w:sz w:val="24"/>
      <w:szCs w:val="20"/>
    </w:rPr>
  </w:style>
  <w:style w:type="paragraph" w:customStyle="1" w:styleId="118">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qFormat/>
    <w:uiPriority w:val="0"/>
    <w:rPr>
      <w:rFonts w:ascii="Tahoma" w:hAnsi="Tahoma"/>
      <w:sz w:val="24"/>
      <w:szCs w:val="20"/>
    </w:rPr>
  </w:style>
  <w:style w:type="paragraph" w:styleId="121">
    <w:name w:val="List Paragraph"/>
    <w:basedOn w:val="1"/>
    <w:qFormat/>
    <w:uiPriority w:val="0"/>
    <w:pPr>
      <w:ind w:firstLine="420" w:firstLineChars="200"/>
    </w:pPr>
  </w:style>
  <w:style w:type="paragraph" w:customStyle="1" w:styleId="122">
    <w:name w:val="BZ_六级标题"/>
    <w:basedOn w:val="10"/>
    <w:next w:val="93"/>
    <w:qFormat/>
    <w:uiPriority w:val="0"/>
    <w:pPr>
      <w:widowControl/>
      <w:tabs>
        <w:tab w:val="left" w:pos="360"/>
      </w:tabs>
      <w:spacing w:beforeLines="50" w:afterLines="50" w:line="240" w:lineRule="auto"/>
    </w:pPr>
    <w:rPr>
      <w:rFonts w:eastAsia="黑体"/>
    </w:rPr>
  </w:style>
  <w:style w:type="paragraph" w:customStyle="1" w:styleId="123">
    <w:name w:val="正文－恩普"/>
    <w:basedOn w:val="17"/>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20"/>
    <w:qFormat/>
    <w:uiPriority w:val="0"/>
  </w:style>
  <w:style w:type="paragraph" w:customStyle="1" w:styleId="125">
    <w:name w:val="默认段落字体 Para Char"/>
    <w:basedOn w:val="1"/>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qFormat/>
    <w:uiPriority w:val="0"/>
    <w:rPr>
      <w:rFonts w:ascii="仿宋_GB2312" w:eastAsia="仿宋_GB2312"/>
      <w:b/>
      <w:sz w:val="32"/>
      <w:szCs w:val="32"/>
    </w:rPr>
  </w:style>
  <w:style w:type="paragraph" w:customStyle="1" w:styleId="127">
    <w:name w:val="简单回函地址"/>
    <w:basedOn w:val="1"/>
    <w:qFormat/>
    <w:uiPriority w:val="0"/>
  </w:style>
  <w:style w:type="paragraph" w:customStyle="1" w:styleId="128">
    <w:name w:val="Char Char7 Char"/>
    <w:basedOn w:val="1"/>
    <w:qFormat/>
    <w:uiPriority w:val="0"/>
    <w:pPr>
      <w:tabs>
        <w:tab w:val="left" w:pos="425"/>
      </w:tabs>
      <w:ind w:left="420" w:leftChars="200" w:firstLine="270" w:firstLineChars="150"/>
    </w:pPr>
  </w:style>
  <w:style w:type="paragraph" w:customStyle="1" w:styleId="129">
    <w:name w:val="BZ_一级标题"/>
    <w:basedOn w:val="5"/>
    <w:next w:val="93"/>
    <w:link w:val="173"/>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3"/>
    <w:qFormat/>
    <w:uiPriority w:val="0"/>
    <w:pPr>
      <w:keepNext/>
      <w:spacing w:after="160"/>
    </w:pPr>
  </w:style>
  <w:style w:type="paragraph" w:customStyle="1" w:styleId="131">
    <w:name w:val="Char Char Char Char Char Char Char"/>
    <w:basedOn w:val="1"/>
    <w:qFormat/>
    <w:uiPriority w:val="0"/>
    <w:rPr>
      <w:rFonts w:ascii="仿宋_GB2312" w:eastAsia="仿宋_GB2312"/>
      <w:b/>
      <w:sz w:val="32"/>
      <w:szCs w:val="32"/>
    </w:rPr>
  </w:style>
  <w:style w:type="paragraph" w:customStyle="1" w:styleId="132">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qFormat/>
    <w:uiPriority w:val="0"/>
    <w:rPr>
      <w:rFonts w:ascii="仿宋_GB2312" w:eastAsia="仿宋_GB2312"/>
      <w:b/>
      <w:sz w:val="32"/>
      <w:szCs w:val="32"/>
    </w:rPr>
  </w:style>
  <w:style w:type="paragraph" w:customStyle="1" w:styleId="134">
    <w:name w:val="CM106"/>
    <w:basedOn w:val="135"/>
    <w:next w:val="135"/>
    <w:qFormat/>
    <w:uiPriority w:val="0"/>
    <w:rPr>
      <w:rFonts w:ascii="宋体" w:cs="Times New Roman"/>
      <w:color w:val="auto"/>
    </w:rPr>
  </w:style>
  <w:style w:type="paragraph" w:customStyle="1" w:styleId="135">
    <w:name w:val="Default"/>
    <w:next w:val="20"/>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Char Char Char Char1"/>
    <w:basedOn w:val="1"/>
    <w:qFormat/>
    <w:uiPriority w:val="0"/>
    <w:rPr>
      <w:rFonts w:ascii="Tahoma" w:hAnsi="Tahoma"/>
      <w:sz w:val="24"/>
      <w:szCs w:val="20"/>
    </w:rPr>
  </w:style>
  <w:style w:type="paragraph" w:customStyle="1" w:styleId="137">
    <w:name w:val="Char Char Char Char Char Char Char Char Char Char Char Char Char"/>
    <w:basedOn w:val="1"/>
    <w:qFormat/>
    <w:uiPriority w:val="0"/>
    <w:rPr>
      <w:rFonts w:ascii="Tahoma" w:hAnsi="Tahoma"/>
      <w:sz w:val="24"/>
      <w:szCs w:val="20"/>
    </w:rPr>
  </w:style>
  <w:style w:type="paragraph" w:customStyle="1" w:styleId="138">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39">
    <w:name w:val="BZ_五级标题"/>
    <w:basedOn w:val="9"/>
    <w:next w:val="93"/>
    <w:qFormat/>
    <w:uiPriority w:val="0"/>
    <w:pPr>
      <w:widowControl/>
      <w:spacing w:beforeLines="50" w:afterLines="50" w:line="240" w:lineRule="auto"/>
    </w:pPr>
    <w:rPr>
      <w:rFonts w:eastAsia="黑体"/>
      <w:b w:val="0"/>
      <w:sz w:val="24"/>
      <w:szCs w:val="24"/>
    </w:rPr>
  </w:style>
  <w:style w:type="paragraph" w:customStyle="1" w:styleId="140">
    <w:name w:val="Char Char Char Char Char Char Char Char Char Char Char Char Char2"/>
    <w:basedOn w:val="1"/>
    <w:qFormat/>
    <w:uiPriority w:val="0"/>
    <w:rPr>
      <w:rFonts w:ascii="Tahoma" w:hAnsi="Tahoma"/>
      <w:sz w:val="24"/>
      <w:szCs w:val="20"/>
    </w:rPr>
  </w:style>
  <w:style w:type="paragraph" w:customStyle="1" w:styleId="141">
    <w:name w:val="Char Char Char Char Char Char Char2"/>
    <w:basedOn w:val="1"/>
    <w:qFormat/>
    <w:uiPriority w:val="0"/>
    <w:rPr>
      <w:rFonts w:ascii="仿宋_GB2312" w:eastAsia="仿宋_GB2312"/>
      <w:b/>
      <w:sz w:val="32"/>
      <w:szCs w:val="32"/>
    </w:rPr>
  </w:style>
  <w:style w:type="paragraph" w:customStyle="1" w:styleId="142">
    <w:name w:val="1"/>
    <w:basedOn w:val="17"/>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3">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44">
    <w:name w:val="修订1"/>
    <w:qFormat/>
    <w:uiPriority w:val="99"/>
    <w:rPr>
      <w:rFonts w:ascii="Times New Roman" w:hAnsi="Times New Roman" w:eastAsia="宋体" w:cs="Times New Roman"/>
      <w:kern w:val="2"/>
      <w:sz w:val="21"/>
      <w:szCs w:val="24"/>
      <w:lang w:val="en-US" w:eastAsia="zh-CN" w:bidi="ar-SA"/>
    </w:rPr>
  </w:style>
  <w:style w:type="paragraph" w:customStyle="1" w:styleId="1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6">
    <w:name w:val="BZ_二级标题"/>
    <w:basedOn w:val="6"/>
    <w:next w:val="131"/>
    <w:qFormat/>
    <w:uiPriority w:val="0"/>
    <w:pPr>
      <w:widowControl/>
      <w:spacing w:beforeLines="50" w:afterLines="50" w:line="240" w:lineRule="auto"/>
      <w:ind w:left="576" w:hanging="576"/>
    </w:pPr>
    <w:rPr>
      <w:rFonts w:ascii="Times New Roman" w:hAnsi="Times New Roman" w:eastAsia="楷体"/>
    </w:rPr>
  </w:style>
  <w:style w:type="paragraph" w:customStyle="1" w:styleId="147">
    <w:name w:val="Char1 Char Char Char1"/>
    <w:basedOn w:val="1"/>
    <w:qFormat/>
    <w:uiPriority w:val="0"/>
    <w:rPr>
      <w:rFonts w:ascii="仿宋_GB2312" w:eastAsia="仿宋_GB2312"/>
      <w:b/>
      <w:sz w:val="32"/>
      <w:szCs w:val="32"/>
    </w:rPr>
  </w:style>
  <w:style w:type="character" w:customStyle="1" w:styleId="148">
    <w:name w:val="纯文本 Char1"/>
    <w:qFormat/>
    <w:uiPriority w:val="0"/>
    <w:rPr>
      <w:rFonts w:ascii="宋体" w:hAnsi="Courier New"/>
      <w:kern w:val="2"/>
      <w:sz w:val="21"/>
      <w:szCs w:val="24"/>
    </w:rPr>
  </w:style>
  <w:style w:type="paragraph" w:customStyle="1" w:styleId="149">
    <w:name w:val="样式6"/>
    <w:basedOn w:val="1"/>
    <w:qFormat/>
    <w:uiPriority w:val="0"/>
    <w:pPr>
      <w:spacing w:line="360" w:lineRule="auto"/>
      <w:ind w:firstLine="200" w:firstLineChars="200"/>
      <w:jc w:val="left"/>
    </w:pPr>
    <w:rPr>
      <w:sz w:val="24"/>
    </w:rPr>
  </w:style>
  <w:style w:type="paragraph" w:customStyle="1" w:styleId="150">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1">
    <w:name w:val="正文首行缩进2字符 Char"/>
    <w:link w:val="152"/>
    <w:qFormat/>
    <w:uiPriority w:val="0"/>
    <w:rPr>
      <w:rFonts w:eastAsia="仿宋"/>
      <w:sz w:val="28"/>
    </w:rPr>
  </w:style>
  <w:style w:type="paragraph" w:customStyle="1" w:styleId="152">
    <w:name w:val="正文首行缩进2字符"/>
    <w:basedOn w:val="1"/>
    <w:link w:val="151"/>
    <w:qFormat/>
    <w:locked/>
    <w:uiPriority w:val="0"/>
    <w:pPr>
      <w:spacing w:line="360" w:lineRule="auto"/>
      <w:ind w:firstLine="200" w:firstLineChars="200"/>
    </w:pPr>
    <w:rPr>
      <w:rFonts w:eastAsia="仿宋"/>
      <w:kern w:val="0"/>
      <w:sz w:val="28"/>
      <w:szCs w:val="20"/>
    </w:rPr>
  </w:style>
  <w:style w:type="character" w:customStyle="1" w:styleId="153">
    <w:name w:val="generalinfo-address-text"/>
    <w:basedOn w:val="65"/>
    <w:qFormat/>
    <w:uiPriority w:val="0"/>
  </w:style>
  <w:style w:type="character" w:customStyle="1" w:styleId="154">
    <w:name w:val="标题 字符"/>
    <w:link w:val="60"/>
    <w:qFormat/>
    <w:uiPriority w:val="0"/>
    <w:rPr>
      <w:rFonts w:ascii="Verdana" w:hAnsi="Verdana" w:eastAsia="仿宋_GB2312"/>
      <w:b/>
      <w:bCs/>
      <w:sz w:val="32"/>
      <w:szCs w:val="32"/>
    </w:rPr>
  </w:style>
  <w:style w:type="paragraph" w:customStyle="1" w:styleId="155">
    <w:name w:val="方案正文"/>
    <w:basedOn w:val="1"/>
    <w:link w:val="156"/>
    <w:qFormat/>
    <w:uiPriority w:val="0"/>
    <w:pPr>
      <w:spacing w:line="360" w:lineRule="auto"/>
      <w:ind w:firstLine="200" w:firstLineChars="200"/>
    </w:pPr>
    <w:rPr>
      <w:rFonts w:ascii="Century Gothic" w:hAnsi="Century Gothic"/>
      <w:szCs w:val="28"/>
    </w:rPr>
  </w:style>
  <w:style w:type="character" w:customStyle="1" w:styleId="156">
    <w:name w:val="方案正文 字符"/>
    <w:link w:val="155"/>
    <w:qFormat/>
    <w:uiPriority w:val="0"/>
    <w:rPr>
      <w:rFonts w:ascii="Century Gothic" w:hAnsi="Century Gothic" w:cs="Times New Roman"/>
      <w:kern w:val="2"/>
      <w:sz w:val="21"/>
      <w:szCs w:val="28"/>
    </w:rPr>
  </w:style>
  <w:style w:type="paragraph" w:customStyle="1" w:styleId="157">
    <w:name w:val="正文缩进1"/>
    <w:basedOn w:val="1"/>
    <w:qFormat/>
    <w:uiPriority w:val="0"/>
    <w:pPr>
      <w:spacing w:line="360" w:lineRule="auto"/>
      <w:ind w:firstLine="454"/>
      <w:jc w:val="left"/>
    </w:pPr>
    <w:rPr>
      <w:sz w:val="24"/>
    </w:rPr>
  </w:style>
  <w:style w:type="character" w:customStyle="1" w:styleId="158">
    <w:name w:val="ant-form-item-children"/>
    <w:basedOn w:val="65"/>
    <w:qFormat/>
    <w:uiPriority w:val="0"/>
  </w:style>
  <w:style w:type="paragraph" w:customStyle="1" w:styleId="159">
    <w:name w:val="BZ_四级标题"/>
    <w:basedOn w:val="8"/>
    <w:next w:val="1"/>
    <w:link w:val="307"/>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0">
    <w:name w:val="_Style 10"/>
    <w:basedOn w:val="1"/>
    <w:qFormat/>
    <w:uiPriority w:val="0"/>
    <w:pPr>
      <w:spacing w:beforeLines="50" w:afterLines="50"/>
    </w:pPr>
    <w:rPr>
      <w:rFonts w:ascii="Calibri" w:hAnsi="Calibri"/>
      <w:szCs w:val="20"/>
    </w:rPr>
  </w:style>
  <w:style w:type="paragraph" w:customStyle="1" w:styleId="161">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普通(网站) 字符"/>
    <w:link w:val="58"/>
    <w:qFormat/>
    <w:uiPriority w:val="0"/>
    <w:rPr>
      <w:rFonts w:ascii="宋体" w:hAnsi="宋体" w:cs="宋体"/>
      <w:sz w:val="24"/>
      <w:szCs w:val="24"/>
    </w:rPr>
  </w:style>
  <w:style w:type="character" w:customStyle="1" w:styleId="164">
    <w:name w:val="标题 7 字符1"/>
    <w:basedOn w:val="65"/>
    <w:link w:val="11"/>
    <w:qFormat/>
    <w:uiPriority w:val="9"/>
    <w:rPr>
      <w:rFonts w:eastAsia="等线"/>
      <w:b/>
      <w:kern w:val="2"/>
      <w:sz w:val="24"/>
      <w:szCs w:val="24"/>
    </w:rPr>
  </w:style>
  <w:style w:type="character" w:customStyle="1" w:styleId="165">
    <w:name w:val="标题 8 字符1"/>
    <w:basedOn w:val="65"/>
    <w:link w:val="12"/>
    <w:qFormat/>
    <w:uiPriority w:val="9"/>
    <w:rPr>
      <w:rFonts w:ascii="Arial" w:hAnsi="Arial" w:eastAsia="黑体"/>
      <w:kern w:val="2"/>
      <w:sz w:val="24"/>
      <w:szCs w:val="24"/>
    </w:rPr>
  </w:style>
  <w:style w:type="character" w:customStyle="1" w:styleId="166">
    <w:name w:val="标题 9 字符1"/>
    <w:basedOn w:val="65"/>
    <w:link w:val="13"/>
    <w:qFormat/>
    <w:uiPriority w:val="9"/>
    <w:rPr>
      <w:rFonts w:ascii="Arial" w:hAnsi="Arial" w:eastAsia="黑体"/>
      <w:kern w:val="2"/>
      <w:sz w:val="24"/>
      <w:szCs w:val="24"/>
    </w:rPr>
  </w:style>
  <w:style w:type="character" w:customStyle="1" w:styleId="167">
    <w:name w:val="批注主题 字符"/>
    <w:link w:val="61"/>
    <w:qFormat/>
    <w:uiPriority w:val="1"/>
    <w:rPr>
      <w:b/>
      <w:bCs/>
      <w:kern w:val="2"/>
      <w:sz w:val="21"/>
      <w:szCs w:val="24"/>
    </w:rPr>
  </w:style>
  <w:style w:type="character" w:customStyle="1" w:styleId="168">
    <w:name w:val="Char Char112"/>
    <w:qFormat/>
    <w:uiPriority w:val="0"/>
    <w:rPr>
      <w:rFonts w:eastAsia="仿宋_GB2312"/>
      <w:kern w:val="2"/>
      <w:sz w:val="21"/>
      <w:szCs w:val="24"/>
      <w:lang w:val="en-US" w:eastAsia="zh-CN" w:bidi="ar-SA"/>
    </w:rPr>
  </w:style>
  <w:style w:type="character" w:customStyle="1" w:styleId="169">
    <w:name w:val="No Spacing Char"/>
    <w:link w:val="170"/>
    <w:qFormat/>
    <w:locked/>
    <w:uiPriority w:val="0"/>
    <w:rPr>
      <w:rFonts w:ascii="Calibri" w:hAnsi="Calibri" w:eastAsia="仿宋_GB2312"/>
      <w:sz w:val="28"/>
      <w:szCs w:val="22"/>
    </w:rPr>
  </w:style>
  <w:style w:type="paragraph" w:customStyle="1" w:styleId="170">
    <w:name w:val="无间隔1"/>
    <w:link w:val="169"/>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1">
    <w:name w:val="Char Char14"/>
    <w:qFormat/>
    <w:uiPriority w:val="0"/>
    <w:rPr>
      <w:rFonts w:eastAsia="仿宋_GB2312"/>
      <w:kern w:val="2"/>
      <w:sz w:val="21"/>
      <w:szCs w:val="24"/>
      <w:lang w:val="en-US" w:eastAsia="zh-CN" w:bidi="ar-SA"/>
    </w:rPr>
  </w:style>
  <w:style w:type="character" w:customStyle="1" w:styleId="172">
    <w:name w:val="明显强调1"/>
    <w:qFormat/>
    <w:uiPriority w:val="0"/>
    <w:rPr>
      <w:rFonts w:eastAsia="宋体"/>
      <w:b/>
      <w:bCs/>
      <w:iCs/>
      <w:color w:val="auto"/>
      <w:sz w:val="24"/>
    </w:rPr>
  </w:style>
  <w:style w:type="character" w:customStyle="1" w:styleId="173">
    <w:name w:val="BZ_一级标题 Char"/>
    <w:link w:val="129"/>
    <w:qFormat/>
    <w:uiPriority w:val="0"/>
    <w:rPr>
      <w:rFonts w:eastAsia="华文中宋"/>
      <w:b/>
      <w:bCs/>
      <w:kern w:val="44"/>
      <w:sz w:val="36"/>
      <w:szCs w:val="36"/>
    </w:rPr>
  </w:style>
  <w:style w:type="character" w:customStyle="1" w:styleId="174">
    <w:name w:val="样式 宋体 小四 行距: 1.5 倍行距 Char"/>
    <w:link w:val="175"/>
    <w:qFormat/>
    <w:uiPriority w:val="0"/>
    <w:rPr>
      <w:rFonts w:ascii="宋体" w:hAnsi="宋体" w:cs="宋体"/>
      <w:kern w:val="2"/>
      <w:sz w:val="24"/>
    </w:rPr>
  </w:style>
  <w:style w:type="paragraph" w:customStyle="1" w:styleId="175">
    <w:name w:val="样式 宋体 小四 行距: 1.5 倍行距"/>
    <w:basedOn w:val="1"/>
    <w:link w:val="174"/>
    <w:qFormat/>
    <w:uiPriority w:val="0"/>
    <w:pPr>
      <w:spacing w:line="360" w:lineRule="auto"/>
      <w:ind w:firstLine="540" w:firstLineChars="225"/>
    </w:pPr>
    <w:rPr>
      <w:rFonts w:ascii="宋体" w:hAnsi="宋体" w:cs="宋体"/>
      <w:sz w:val="24"/>
      <w:szCs w:val="20"/>
    </w:rPr>
  </w:style>
  <w:style w:type="character" w:customStyle="1" w:styleId="176">
    <w:name w:val="正文1 Char Char"/>
    <w:qFormat/>
    <w:uiPriority w:val="0"/>
    <w:rPr>
      <w:rFonts w:ascii="仿宋_GB2312" w:hAnsi="仿宋_GB2312" w:eastAsia="仿宋_GB2312" w:cs="仿宋_GB2312"/>
      <w:sz w:val="21"/>
      <w:lang w:val="en-US" w:eastAsia="zh-CN" w:bidi="ar-SA"/>
    </w:rPr>
  </w:style>
  <w:style w:type="character" w:customStyle="1" w:styleId="177">
    <w:name w:val="编号正文缩进 Char Char"/>
    <w:link w:val="178"/>
    <w:qFormat/>
    <w:uiPriority w:val="0"/>
    <w:rPr>
      <w:kern w:val="2"/>
      <w:sz w:val="24"/>
      <w:szCs w:val="24"/>
    </w:rPr>
  </w:style>
  <w:style w:type="paragraph" w:customStyle="1" w:styleId="178">
    <w:name w:val="编号正文缩进"/>
    <w:basedOn w:val="17"/>
    <w:link w:val="177"/>
    <w:qFormat/>
    <w:uiPriority w:val="0"/>
    <w:pPr>
      <w:tabs>
        <w:tab w:val="left" w:pos="1497"/>
      </w:tabs>
      <w:spacing w:line="400" w:lineRule="atLeast"/>
      <w:ind w:left="567" w:firstLine="510"/>
    </w:pPr>
    <w:rPr>
      <w:kern w:val="2"/>
      <w:sz w:val="24"/>
      <w:szCs w:val="24"/>
    </w:rPr>
  </w:style>
  <w:style w:type="character" w:customStyle="1" w:styleId="179">
    <w:name w:val="Char Char18"/>
    <w:qFormat/>
    <w:uiPriority w:val="0"/>
    <w:rPr>
      <w:b/>
      <w:bCs/>
      <w:kern w:val="2"/>
      <w:sz w:val="32"/>
      <w:szCs w:val="32"/>
    </w:rPr>
  </w:style>
  <w:style w:type="character" w:customStyle="1" w:styleId="180">
    <w:name w:val="样式1 Char"/>
    <w:link w:val="181"/>
    <w:qFormat/>
    <w:uiPriority w:val="0"/>
    <w:rPr>
      <w:rFonts w:ascii="楷体_GB2312" w:hAnsi="Calibri" w:eastAsia="楷体_GB2312"/>
      <w:kern w:val="2"/>
      <w:sz w:val="24"/>
      <w:szCs w:val="24"/>
    </w:rPr>
  </w:style>
  <w:style w:type="paragraph" w:customStyle="1" w:styleId="181">
    <w:name w:val="样式1"/>
    <w:basedOn w:val="182"/>
    <w:link w:val="180"/>
    <w:qFormat/>
    <w:uiPriority w:val="0"/>
    <w:pPr>
      <w:spacing w:line="360" w:lineRule="auto"/>
      <w:ind w:firstLine="480"/>
    </w:pPr>
    <w:rPr>
      <w:rFonts w:ascii="楷体_GB2312" w:eastAsia="楷体_GB2312" w:cs="Times New Roman"/>
      <w:sz w:val="24"/>
      <w:szCs w:val="24"/>
    </w:rPr>
  </w:style>
  <w:style w:type="paragraph" w:customStyle="1" w:styleId="182">
    <w:name w:val="列出段落11"/>
    <w:basedOn w:val="1"/>
    <w:qFormat/>
    <w:uiPriority w:val="34"/>
    <w:pPr>
      <w:ind w:firstLine="420" w:firstLineChars="200"/>
    </w:pPr>
    <w:rPr>
      <w:rFonts w:ascii="Calibri" w:hAnsi="Calibri" w:eastAsia="等线" w:cs="黑体"/>
      <w:szCs w:val="22"/>
    </w:rPr>
  </w:style>
  <w:style w:type="character" w:customStyle="1" w:styleId="183">
    <w:name w:val="Style3"/>
    <w:qFormat/>
    <w:uiPriority w:val="0"/>
    <w:rPr>
      <w:rFonts w:ascii="Century Gothic" w:hAnsi="仿宋_GB2312" w:eastAsia="仿宋_GB2312" w:cs="新宋体"/>
      <w:szCs w:val="22"/>
      <w:lang w:eastAsia="zh-CN"/>
    </w:rPr>
  </w:style>
  <w:style w:type="character" w:customStyle="1" w:styleId="184">
    <w:name w:val="副标题 Char1"/>
    <w:qFormat/>
    <w:uiPriority w:val="11"/>
    <w:rPr>
      <w:rFonts w:ascii="Cambria" w:hAnsi="Cambria" w:cs="Times New Roman"/>
      <w:b/>
      <w:bCs/>
      <w:kern w:val="28"/>
      <w:sz w:val="32"/>
      <w:szCs w:val="32"/>
    </w:rPr>
  </w:style>
  <w:style w:type="character" w:customStyle="1" w:styleId="185">
    <w:name w:val="Style4"/>
    <w:qFormat/>
    <w:uiPriority w:val="0"/>
    <w:rPr>
      <w:rFonts w:ascii="Century Gothic" w:hAnsi="仿宋_GB2312" w:eastAsia="仿宋_GB2312" w:cs="新宋体"/>
      <w:szCs w:val="22"/>
      <w:lang w:eastAsia="zh-CN"/>
    </w:rPr>
  </w:style>
  <w:style w:type="character" w:customStyle="1" w:styleId="186">
    <w:name w:val="页眉注释 Char Char"/>
    <w:link w:val="187"/>
    <w:qFormat/>
    <w:uiPriority w:val="0"/>
    <w:rPr>
      <w:rFonts w:ascii="华文细黑" w:hAnsi="华文细黑" w:eastAsia="华文细黑"/>
      <w:b/>
      <w:color w:val="FFFFFF"/>
      <w:kern w:val="2"/>
      <w:sz w:val="18"/>
      <w:szCs w:val="18"/>
    </w:rPr>
  </w:style>
  <w:style w:type="paragraph" w:customStyle="1" w:styleId="187">
    <w:name w:val="页眉注释"/>
    <w:basedOn w:val="1"/>
    <w:link w:val="186"/>
    <w:qFormat/>
    <w:uiPriority w:val="0"/>
    <w:pPr>
      <w:spacing w:line="0" w:lineRule="atLeast"/>
      <w:jc w:val="center"/>
    </w:pPr>
    <w:rPr>
      <w:rFonts w:ascii="华文细黑" w:hAnsi="华文细黑" w:eastAsia="华文细黑"/>
      <w:b/>
      <w:color w:val="FFFFFF"/>
      <w:sz w:val="18"/>
      <w:szCs w:val="18"/>
    </w:rPr>
  </w:style>
  <w:style w:type="character" w:customStyle="1" w:styleId="188">
    <w:name w:val="heading 2 Char1"/>
    <w:qFormat/>
    <w:uiPriority w:val="0"/>
    <w:rPr>
      <w:rFonts w:ascii="Verdana" w:hAnsi="Verdana" w:eastAsia="仿宋_GB2312"/>
      <w:b/>
      <w:bCs/>
      <w:kern w:val="2"/>
      <w:sz w:val="32"/>
      <w:szCs w:val="32"/>
      <w:lang w:val="en-US" w:eastAsia="zh-CN" w:bidi="ar-SA"/>
    </w:rPr>
  </w:style>
  <w:style w:type="character" w:customStyle="1" w:styleId="189">
    <w:name w:val="heading 4 Char"/>
    <w:qFormat/>
    <w:uiPriority w:val="0"/>
    <w:rPr>
      <w:rFonts w:ascii="Tahoma" w:hAnsi="Tahoma" w:eastAsia="Helvetica" w:cs="新宋体"/>
      <w:sz w:val="21"/>
      <w:szCs w:val="21"/>
    </w:rPr>
  </w:style>
  <w:style w:type="character" w:customStyle="1" w:styleId="190">
    <w:name w:val="Char Char16"/>
    <w:qFormat/>
    <w:uiPriority w:val="0"/>
    <w:rPr>
      <w:b/>
      <w:bCs/>
      <w:kern w:val="2"/>
      <w:sz w:val="28"/>
      <w:szCs w:val="28"/>
    </w:rPr>
  </w:style>
  <w:style w:type="character" w:customStyle="1" w:styleId="191">
    <w:name w:val="Char Char23"/>
    <w:qFormat/>
    <w:uiPriority w:val="0"/>
    <w:rPr>
      <w:rFonts w:eastAsia="仿宋_GB2312"/>
      <w:b/>
      <w:bCs/>
      <w:kern w:val="2"/>
      <w:sz w:val="32"/>
      <w:szCs w:val="32"/>
      <w:lang w:val="en-US" w:eastAsia="zh-CN" w:bidi="ar-SA"/>
    </w:rPr>
  </w:style>
  <w:style w:type="character" w:customStyle="1" w:styleId="192">
    <w:name w:val="apple-converted-space"/>
    <w:qFormat/>
    <w:uiPriority w:val="0"/>
  </w:style>
  <w:style w:type="character" w:customStyle="1" w:styleId="193">
    <w:name w:val="Char Char25"/>
    <w:qFormat/>
    <w:uiPriority w:val="0"/>
    <w:rPr>
      <w:rFonts w:ascii="Arial Unicode MS" w:eastAsia="Arial Unicode MS"/>
      <w:b/>
      <w:bCs/>
      <w:kern w:val="2"/>
      <w:sz w:val="21"/>
      <w:szCs w:val="24"/>
      <w:lang w:val="en-US" w:eastAsia="zh-CN" w:bidi="ar-SA"/>
    </w:rPr>
  </w:style>
  <w:style w:type="character" w:customStyle="1" w:styleId="194">
    <w:name w:val="heading 3 Char1"/>
    <w:qFormat/>
    <w:uiPriority w:val="0"/>
    <w:rPr>
      <w:rFonts w:eastAsia="仿宋_GB2312"/>
      <w:b/>
      <w:bCs/>
      <w:kern w:val="2"/>
      <w:sz w:val="32"/>
      <w:szCs w:val="32"/>
      <w:lang w:val="en-US" w:eastAsia="zh-CN" w:bidi="ar-SA"/>
    </w:rPr>
  </w:style>
  <w:style w:type="character" w:customStyle="1" w:styleId="195">
    <w:name w:val="不明显强调1"/>
    <w:qFormat/>
    <w:uiPriority w:val="0"/>
    <w:rPr>
      <w:i/>
      <w:iCs/>
      <w:color w:val="808080"/>
    </w:rPr>
  </w:style>
  <w:style w:type="character" w:customStyle="1" w:styleId="196">
    <w:name w:val="pt141"/>
    <w:qFormat/>
    <w:uiPriority w:val="0"/>
    <w:rPr>
      <w:color w:val="330066"/>
      <w:spacing w:val="450"/>
      <w:sz w:val="22"/>
      <w:szCs w:val="22"/>
    </w:rPr>
  </w:style>
  <w:style w:type="character" w:customStyle="1" w:styleId="197">
    <w:name w:val="无间隔 字符"/>
    <w:link w:val="198"/>
    <w:qFormat/>
    <w:uiPriority w:val="1"/>
    <w:rPr>
      <w:rFonts w:ascii="Century Gothic" w:hAnsi="Century Gothic" w:eastAsia="Times New Roman"/>
      <w:sz w:val="22"/>
      <w:szCs w:val="22"/>
    </w:rPr>
  </w:style>
  <w:style w:type="paragraph" w:styleId="198">
    <w:name w:val="No Spacing"/>
    <w:link w:val="197"/>
    <w:qFormat/>
    <w:uiPriority w:val="1"/>
    <w:rPr>
      <w:rFonts w:ascii="Century Gothic" w:hAnsi="Century Gothic" w:eastAsia="Times New Roman" w:cs="Times New Roman"/>
      <w:sz w:val="22"/>
      <w:szCs w:val="22"/>
      <w:lang w:val="en-US" w:eastAsia="zh-CN" w:bidi="ar-SA"/>
    </w:rPr>
  </w:style>
  <w:style w:type="character" w:customStyle="1" w:styleId="199">
    <w:name w:val="明显参考1"/>
    <w:qFormat/>
    <w:uiPriority w:val="0"/>
    <w:rPr>
      <w:b/>
      <w:bCs/>
      <w:smallCaps/>
      <w:color w:val="C0504D"/>
      <w:spacing w:val="5"/>
      <w:u w:val="single"/>
    </w:rPr>
  </w:style>
  <w:style w:type="character" w:customStyle="1" w:styleId="200">
    <w:name w:val="正文文本缩进 3 字符1"/>
    <w:link w:val="52"/>
    <w:qFormat/>
    <w:uiPriority w:val="0"/>
    <w:rPr>
      <w:kern w:val="2"/>
      <w:sz w:val="24"/>
      <w:szCs w:val="24"/>
    </w:rPr>
  </w:style>
  <w:style w:type="character" w:customStyle="1" w:styleId="201">
    <w:name w:val="样式2 Char"/>
    <w:link w:val="202"/>
    <w:qFormat/>
    <w:uiPriority w:val="0"/>
    <w:rPr>
      <w:rFonts w:ascii="仿宋_GB2312" w:hAnsi="仿宋_GB2312" w:eastAsia="仿宋_GB2312"/>
      <w:bCs/>
      <w:kern w:val="2"/>
      <w:sz w:val="28"/>
      <w:szCs w:val="28"/>
    </w:rPr>
  </w:style>
  <w:style w:type="paragraph" w:customStyle="1" w:styleId="202">
    <w:name w:val="样式2"/>
    <w:basedOn w:val="6"/>
    <w:link w:val="201"/>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3">
    <w:name w:val="文档结构图 字符1"/>
    <w:link w:val="20"/>
    <w:qFormat/>
    <w:uiPriority w:val="0"/>
    <w:rPr>
      <w:kern w:val="2"/>
      <w:sz w:val="21"/>
      <w:szCs w:val="24"/>
      <w:shd w:val="clear" w:color="auto" w:fill="000080"/>
    </w:rPr>
  </w:style>
  <w:style w:type="character" w:customStyle="1" w:styleId="204">
    <w:name w:val="1233 Char"/>
    <w:link w:val="205"/>
    <w:qFormat/>
    <w:uiPriority w:val="0"/>
    <w:rPr>
      <w:rFonts w:ascii="仿宋" w:hAnsi="仿宋" w:eastAsia="仿宋"/>
      <w:b/>
      <w:bCs/>
      <w:kern w:val="44"/>
      <w:sz w:val="24"/>
      <w:szCs w:val="24"/>
    </w:rPr>
  </w:style>
  <w:style w:type="paragraph" w:customStyle="1" w:styleId="205">
    <w:name w:val="1233"/>
    <w:basedOn w:val="5"/>
    <w:link w:val="204"/>
    <w:qFormat/>
    <w:uiPriority w:val="0"/>
    <w:pPr>
      <w:keepLines/>
      <w:spacing w:line="360" w:lineRule="auto"/>
      <w:ind w:firstLine="200" w:firstLineChars="200"/>
      <w:jc w:val="both"/>
    </w:pPr>
    <w:rPr>
      <w:rFonts w:ascii="仿宋" w:hAnsi="仿宋" w:eastAsia="仿宋"/>
      <w:kern w:val="44"/>
      <w:sz w:val="24"/>
    </w:rPr>
  </w:style>
  <w:style w:type="character" w:customStyle="1" w:styleId="206">
    <w:name w:val="heading 2 Char"/>
    <w:qFormat/>
    <w:uiPriority w:val="0"/>
    <w:rPr>
      <w:rFonts w:ascii="Tahoma" w:hAnsi="Tahoma" w:eastAsia="Helvetica" w:cs="新宋体"/>
      <w:sz w:val="30"/>
      <w:szCs w:val="24"/>
    </w:rPr>
  </w:style>
  <w:style w:type="character" w:customStyle="1" w:styleId="207">
    <w:name w:val="Intense Emphasis1"/>
    <w:qFormat/>
    <w:uiPriority w:val="0"/>
    <w:rPr>
      <w:b/>
      <w:bCs/>
      <w:i/>
      <w:iCs/>
      <w:color w:val="4F81BD"/>
    </w:rPr>
  </w:style>
  <w:style w:type="character" w:customStyle="1" w:styleId="208">
    <w:name w:val="emailstyle16"/>
    <w:qFormat/>
    <w:uiPriority w:val="0"/>
    <w:rPr>
      <w:rFonts w:ascii="Arial" w:hAnsi="Arial" w:eastAsia="宋体" w:cs="Arial"/>
      <w:color w:val="auto"/>
      <w:kern w:val="2"/>
      <w:sz w:val="20"/>
      <w:szCs w:val="24"/>
      <w:lang w:val="en-US" w:eastAsia="zh-CN" w:bidi="ar-SA"/>
    </w:rPr>
  </w:style>
  <w:style w:type="character" w:customStyle="1" w:styleId="209">
    <w:name w:val="正文靠右 Char Char"/>
    <w:link w:val="210"/>
    <w:qFormat/>
    <w:uiPriority w:val="0"/>
    <w:rPr>
      <w:kern w:val="2"/>
      <w:sz w:val="21"/>
      <w:szCs w:val="24"/>
    </w:rPr>
  </w:style>
  <w:style w:type="paragraph" w:customStyle="1" w:styleId="210">
    <w:name w:val="正文靠右"/>
    <w:basedOn w:val="1"/>
    <w:link w:val="209"/>
    <w:qFormat/>
    <w:uiPriority w:val="0"/>
    <w:pPr>
      <w:jc w:val="right"/>
    </w:pPr>
  </w:style>
  <w:style w:type="character" w:customStyle="1" w:styleId="211">
    <w:name w:val="Char Char111"/>
    <w:qFormat/>
    <w:uiPriority w:val="0"/>
    <w:rPr>
      <w:rFonts w:ascii="新宋体" w:hAnsi="新宋体" w:eastAsia="仿宋_GB2312" w:cs="新宋体"/>
      <w:sz w:val="18"/>
      <w:szCs w:val="18"/>
    </w:rPr>
  </w:style>
  <w:style w:type="character" w:customStyle="1" w:styleId="212">
    <w:name w:val="HTML 预设格式 Char1"/>
    <w:qFormat/>
    <w:uiPriority w:val="0"/>
    <w:rPr>
      <w:rFonts w:ascii="宋体" w:hAnsi="宋体" w:cs="宋体"/>
      <w:sz w:val="24"/>
      <w:szCs w:val="24"/>
    </w:rPr>
  </w:style>
  <w:style w:type="character" w:customStyle="1" w:styleId="213">
    <w:name w:val="正文缩进 字符"/>
    <w:qFormat/>
    <w:uiPriority w:val="0"/>
    <w:rPr>
      <w:sz w:val="28"/>
    </w:rPr>
  </w:style>
  <w:style w:type="character" w:customStyle="1" w:styleId="214">
    <w:name w:val="Style1"/>
    <w:qFormat/>
    <w:uiPriority w:val="0"/>
    <w:rPr>
      <w:rFonts w:ascii="Century Gothic" w:hAnsi="仿宋_GB2312" w:eastAsia="仿宋_GB2312" w:cs="新宋体"/>
      <w:sz w:val="22"/>
      <w:szCs w:val="22"/>
      <w:lang w:eastAsia="zh-CN"/>
    </w:rPr>
  </w:style>
  <w:style w:type="character" w:customStyle="1" w:styleId="215">
    <w:name w:val="BZ_封面_名称 Char"/>
    <w:link w:val="216"/>
    <w:qFormat/>
    <w:uiPriority w:val="0"/>
    <w:rPr>
      <w:rFonts w:eastAsia="黑体"/>
      <w:kern w:val="2"/>
      <w:sz w:val="44"/>
      <w:szCs w:val="44"/>
    </w:rPr>
  </w:style>
  <w:style w:type="paragraph" w:customStyle="1" w:styleId="216">
    <w:name w:val="BZ_封面_名称"/>
    <w:basedOn w:val="1"/>
    <w:link w:val="215"/>
    <w:qFormat/>
    <w:uiPriority w:val="0"/>
    <w:pPr>
      <w:widowControl/>
      <w:jc w:val="center"/>
    </w:pPr>
    <w:rPr>
      <w:rFonts w:eastAsia="黑体"/>
      <w:sz w:val="44"/>
      <w:szCs w:val="44"/>
    </w:rPr>
  </w:style>
  <w:style w:type="character" w:customStyle="1" w:styleId="217">
    <w:name w:val="个人答复风格"/>
    <w:qFormat/>
    <w:uiPriority w:val="0"/>
    <w:rPr>
      <w:rFonts w:ascii="Arial" w:hAnsi="Arial" w:eastAsia="宋体" w:cs="Arial"/>
      <w:color w:val="auto"/>
      <w:kern w:val="2"/>
      <w:sz w:val="20"/>
      <w:szCs w:val="24"/>
      <w:lang w:val="en-US" w:eastAsia="zh-CN" w:bidi="ar-SA"/>
    </w:rPr>
  </w:style>
  <w:style w:type="character" w:customStyle="1" w:styleId="218">
    <w:name w:val="kpk:3级 Char"/>
    <w:link w:val="219"/>
    <w:qFormat/>
    <w:uiPriority w:val="0"/>
    <w:rPr>
      <w:rFonts w:ascii="黑体" w:eastAsia="黑体"/>
      <w:b/>
      <w:bCs/>
      <w:kern w:val="2"/>
      <w:sz w:val="24"/>
      <w:szCs w:val="24"/>
    </w:rPr>
  </w:style>
  <w:style w:type="paragraph" w:customStyle="1" w:styleId="219">
    <w:name w:val="kpk:3级"/>
    <w:basedOn w:val="7"/>
    <w:link w:val="218"/>
    <w:qFormat/>
    <w:uiPriority w:val="0"/>
    <w:pPr>
      <w:tabs>
        <w:tab w:val="left" w:pos="420"/>
      </w:tabs>
      <w:spacing w:before="0" w:after="0" w:line="360" w:lineRule="auto"/>
      <w:ind w:left="420" w:hanging="420"/>
    </w:pPr>
    <w:rPr>
      <w:rFonts w:ascii="黑体" w:eastAsia="黑体"/>
      <w:sz w:val="24"/>
      <w:szCs w:val="24"/>
    </w:rPr>
  </w:style>
  <w:style w:type="character" w:customStyle="1" w:styleId="220">
    <w:name w:val="Char Char19"/>
    <w:qFormat/>
    <w:uiPriority w:val="0"/>
    <w:rPr>
      <w:rFonts w:ascii="Tahoma" w:hAnsi="Tahoma" w:eastAsia="Helvetica"/>
      <w:sz w:val="21"/>
      <w:szCs w:val="21"/>
      <w:lang w:val="en-US" w:eastAsia="zh-CN" w:bidi="ar-SA"/>
    </w:rPr>
  </w:style>
  <w:style w:type="character" w:customStyle="1" w:styleId="221">
    <w:name w:val="Table Text Char Char"/>
    <w:qFormat/>
    <w:uiPriority w:val="0"/>
    <w:rPr>
      <w:rFonts w:eastAsia="仿宋_GB2312"/>
      <w:sz w:val="24"/>
      <w:lang w:bidi="ar-SA"/>
    </w:rPr>
  </w:style>
  <w:style w:type="character" w:customStyle="1" w:styleId="222">
    <w:name w:val="heading 4 Char1"/>
    <w:qFormat/>
    <w:uiPriority w:val="0"/>
    <w:rPr>
      <w:rFonts w:ascii="Verdana" w:hAnsi="Verdana" w:eastAsia="仿宋_GB2312"/>
      <w:b/>
      <w:bCs/>
      <w:kern w:val="2"/>
      <w:sz w:val="28"/>
      <w:szCs w:val="28"/>
      <w:lang w:val="en-US" w:eastAsia="zh-CN" w:bidi="ar-SA"/>
    </w:rPr>
  </w:style>
  <w:style w:type="character" w:customStyle="1" w:styleId="223">
    <w:name w:val="a61"/>
    <w:qFormat/>
    <w:uiPriority w:val="0"/>
    <w:rPr>
      <w:rFonts w:hint="eastAsia" w:ascii="宋体" w:hAnsi="宋体" w:eastAsia="宋体"/>
      <w:kern w:val="2"/>
      <w:sz w:val="23"/>
      <w:szCs w:val="23"/>
      <w:lang w:val="en-US" w:eastAsia="zh-CN" w:bidi="ar-SA"/>
    </w:rPr>
  </w:style>
  <w:style w:type="character" w:customStyle="1" w:styleId="224">
    <w:name w:val="kpk:4级 Char1"/>
    <w:link w:val="225"/>
    <w:qFormat/>
    <w:locked/>
    <w:uiPriority w:val="0"/>
    <w:rPr>
      <w:rFonts w:ascii="Arial" w:hAnsi="Arial" w:eastAsia="黑体"/>
      <w:bCs/>
      <w:sz w:val="24"/>
      <w:szCs w:val="28"/>
    </w:rPr>
  </w:style>
  <w:style w:type="paragraph" w:customStyle="1" w:styleId="225">
    <w:name w:val="kpk:4级"/>
    <w:basedOn w:val="8"/>
    <w:link w:val="224"/>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6">
    <w:name w:val="heading 3 Char"/>
    <w:qFormat/>
    <w:uiPriority w:val="0"/>
    <w:rPr>
      <w:rFonts w:ascii="Tahoma" w:hAnsi="Tahoma" w:eastAsia="Helvetica"/>
      <w:sz w:val="28"/>
      <w:szCs w:val="24"/>
    </w:rPr>
  </w:style>
  <w:style w:type="character" w:customStyle="1" w:styleId="227">
    <w:name w:val="heading 4 Char2"/>
    <w:qFormat/>
    <w:uiPriority w:val="0"/>
    <w:rPr>
      <w:rFonts w:ascii="Verdana" w:hAnsi="Verdana"/>
      <w:b/>
      <w:bCs/>
      <w:kern w:val="2"/>
      <w:sz w:val="28"/>
      <w:szCs w:val="28"/>
    </w:rPr>
  </w:style>
  <w:style w:type="character" w:customStyle="1" w:styleId="228">
    <w:name w:val="样式 标题 3 + 黑体 小四 Char Char"/>
    <w:qFormat/>
    <w:uiPriority w:val="0"/>
    <w:rPr>
      <w:rFonts w:ascii="Helvetica" w:hAnsi="Tahoma" w:eastAsia="Helvetica"/>
      <w:bCs/>
      <w:sz w:val="24"/>
      <w:szCs w:val="24"/>
      <w:lang w:bidi="ar-SA"/>
    </w:rPr>
  </w:style>
  <w:style w:type="character" w:customStyle="1" w:styleId="229">
    <w:name w:val="四级标题 Char"/>
    <w:link w:val="230"/>
    <w:qFormat/>
    <w:uiPriority w:val="0"/>
    <w:rPr>
      <w:rFonts w:eastAsia="黑体"/>
      <w:b/>
      <w:kern w:val="2"/>
      <w:sz w:val="28"/>
      <w:szCs w:val="22"/>
    </w:rPr>
  </w:style>
  <w:style w:type="paragraph" w:customStyle="1" w:styleId="230">
    <w:name w:val="四级标题"/>
    <w:basedOn w:val="1"/>
    <w:link w:val="229"/>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1">
    <w:name w:val="标题 4 字符"/>
    <w:qFormat/>
    <w:uiPriority w:val="0"/>
    <w:rPr>
      <w:rFonts w:eastAsia="楷体_GB2312"/>
      <w:b/>
      <w:snapToGrid/>
      <w:sz w:val="28"/>
    </w:rPr>
  </w:style>
  <w:style w:type="character" w:customStyle="1" w:styleId="232">
    <w:name w:val="heading 5 Char2"/>
    <w:qFormat/>
    <w:uiPriority w:val="0"/>
    <w:rPr>
      <w:b/>
      <w:bCs/>
      <w:kern w:val="2"/>
      <w:sz w:val="28"/>
      <w:szCs w:val="28"/>
    </w:rPr>
  </w:style>
  <w:style w:type="character" w:customStyle="1" w:styleId="233">
    <w:name w:val="书籍标题1"/>
    <w:qFormat/>
    <w:uiPriority w:val="0"/>
    <w:rPr>
      <w:b/>
      <w:bCs/>
      <w:smallCaps/>
      <w:spacing w:val="5"/>
    </w:rPr>
  </w:style>
  <w:style w:type="character" w:customStyle="1" w:styleId="234">
    <w:name w:val="Ò³Ã¼ Char Char2"/>
    <w:qFormat/>
    <w:uiPriority w:val="0"/>
    <w:rPr>
      <w:kern w:val="2"/>
      <w:sz w:val="18"/>
      <w:szCs w:val="18"/>
    </w:rPr>
  </w:style>
  <w:style w:type="character" w:customStyle="1" w:styleId="235">
    <w:name w:val="不明显参考1"/>
    <w:qFormat/>
    <w:uiPriority w:val="0"/>
    <w:rPr>
      <w:smallCaps/>
      <w:color w:val="C0504D"/>
      <w:u w:val="single"/>
    </w:rPr>
  </w:style>
  <w:style w:type="character" w:customStyle="1" w:styleId="236">
    <w:name w:val="标题 6 字符"/>
    <w:qFormat/>
    <w:uiPriority w:val="0"/>
    <w:rPr>
      <w:rFonts w:ascii="Arial" w:hAnsi="Arial" w:eastAsia="黑体"/>
      <w:spacing w:val="20"/>
      <w:kern w:val="2"/>
      <w:sz w:val="28"/>
    </w:rPr>
  </w:style>
  <w:style w:type="character" w:customStyle="1" w:styleId="237">
    <w:name w:val="A3 Char Char"/>
    <w:qFormat/>
    <w:uiPriority w:val="0"/>
    <w:rPr>
      <w:rFonts w:eastAsia="宋体"/>
      <w:b/>
      <w:bCs/>
      <w:sz w:val="32"/>
      <w:szCs w:val="32"/>
      <w:lang w:bidi="ar-SA"/>
    </w:rPr>
  </w:style>
  <w:style w:type="character" w:customStyle="1" w:styleId="238">
    <w:name w:val="Footer-Even Char"/>
    <w:qFormat/>
    <w:uiPriority w:val="0"/>
    <w:rPr>
      <w:sz w:val="18"/>
      <w:szCs w:val="18"/>
    </w:rPr>
  </w:style>
  <w:style w:type="character" w:customStyle="1" w:styleId="239">
    <w:name w:val="标题 8 字符"/>
    <w:qFormat/>
    <w:uiPriority w:val="0"/>
    <w:rPr>
      <w:rFonts w:ascii="Arial" w:hAnsi="Arial" w:eastAsia="黑体"/>
      <w:kern w:val="2"/>
      <w:sz w:val="24"/>
      <w:vertAlign w:val="superscript"/>
    </w:rPr>
  </w:style>
  <w:style w:type="character" w:customStyle="1" w:styleId="240">
    <w:name w:val="标题 1 字符"/>
    <w:qFormat/>
    <w:uiPriority w:val="0"/>
    <w:rPr>
      <w:rFonts w:eastAsia="黑体"/>
      <w:snapToGrid/>
      <w:sz w:val="44"/>
    </w:rPr>
  </w:style>
  <w:style w:type="character" w:customStyle="1" w:styleId="241">
    <w:name w:val="content_title1"/>
    <w:qFormat/>
    <w:uiPriority w:val="0"/>
    <w:rPr>
      <w:rFonts w:eastAsia="宋体"/>
      <w:color w:val="9A1601"/>
      <w:kern w:val="2"/>
      <w:sz w:val="21"/>
      <w:szCs w:val="21"/>
      <w:lang w:val="en-US" w:eastAsia="zh-CN" w:bidi="ar-SA"/>
    </w:rPr>
  </w:style>
  <w:style w:type="character" w:customStyle="1" w:styleId="242">
    <w:name w:val="正文文本 2 Char"/>
    <w:qFormat/>
    <w:uiPriority w:val="0"/>
    <w:rPr>
      <w:rFonts w:ascii="等线" w:hAnsi="等线" w:eastAsia="等线" w:cs="等线"/>
    </w:rPr>
  </w:style>
  <w:style w:type="character" w:customStyle="1" w:styleId="243">
    <w:name w:val="标题 7 字符"/>
    <w:qFormat/>
    <w:uiPriority w:val="0"/>
    <w:rPr>
      <w:b/>
      <w:kern w:val="2"/>
      <w:sz w:val="24"/>
      <w:vertAlign w:val="superscript"/>
    </w:rPr>
  </w:style>
  <w:style w:type="character" w:customStyle="1" w:styleId="244">
    <w:name w:val="Char Char6"/>
    <w:qFormat/>
    <w:uiPriority w:val="0"/>
    <w:rPr>
      <w:rFonts w:ascii="新宋体" w:hAnsi="新宋体" w:eastAsia="仿宋_GB2312" w:cs="新宋体"/>
      <w:szCs w:val="24"/>
    </w:rPr>
  </w:style>
  <w:style w:type="character" w:customStyle="1" w:styleId="245">
    <w:name w:val="标题 5 字符"/>
    <w:qFormat/>
    <w:uiPriority w:val="0"/>
    <w:rPr>
      <w:kern w:val="2"/>
      <w:sz w:val="28"/>
    </w:rPr>
  </w:style>
  <w:style w:type="character" w:customStyle="1" w:styleId="246">
    <w:name w:val="smalltxt1"/>
    <w:qFormat/>
    <w:uiPriority w:val="0"/>
    <w:rPr>
      <w:rFonts w:hint="default" w:ascii="宋体,Verdana,Arial" w:hAnsi="宋体,Verdana,Arial"/>
      <w:sz w:val="24"/>
      <w:szCs w:val="24"/>
    </w:rPr>
  </w:style>
  <w:style w:type="character" w:customStyle="1" w:styleId="247">
    <w:name w:val="正文居中 Char Char"/>
    <w:link w:val="248"/>
    <w:qFormat/>
    <w:uiPriority w:val="0"/>
    <w:rPr>
      <w:kern w:val="2"/>
      <w:sz w:val="21"/>
      <w:szCs w:val="24"/>
    </w:rPr>
  </w:style>
  <w:style w:type="paragraph" w:customStyle="1" w:styleId="248">
    <w:name w:val="正文居中"/>
    <w:basedOn w:val="1"/>
    <w:link w:val="247"/>
    <w:qFormat/>
    <w:uiPriority w:val="0"/>
    <w:pPr>
      <w:jc w:val="center"/>
    </w:pPr>
  </w:style>
  <w:style w:type="character" w:customStyle="1" w:styleId="249">
    <w:name w:val="样式2 Char Char"/>
    <w:qFormat/>
    <w:uiPriority w:val="0"/>
    <w:rPr>
      <w:rFonts w:ascii="仿宋_GB2312" w:hAnsi="仿宋_GB2312" w:eastAsia="仿宋_GB2312"/>
      <w:bCs/>
      <w:kern w:val="2"/>
      <w:sz w:val="28"/>
      <w:szCs w:val="28"/>
      <w:lang w:val="en-US" w:eastAsia="zh-CN" w:bidi="ar-SA"/>
    </w:rPr>
  </w:style>
  <w:style w:type="character" w:customStyle="1" w:styleId="250">
    <w:name w:val="heading 6 Char1"/>
    <w:qFormat/>
    <w:uiPriority w:val="0"/>
    <w:rPr>
      <w:rFonts w:ascii="Tahoma" w:hAnsi="Tahoma" w:eastAsia="Helvetica"/>
      <w:kern w:val="2"/>
      <w:sz w:val="24"/>
      <w:szCs w:val="24"/>
      <w:lang w:val="en-US" w:eastAsia="zh-CN" w:bidi="ar-SA"/>
    </w:rPr>
  </w:style>
  <w:style w:type="character" w:customStyle="1" w:styleId="251">
    <w:name w:val="正文文本缩进 2 字符"/>
    <w:qFormat/>
    <w:uiPriority w:val="0"/>
    <w:rPr>
      <w:sz w:val="28"/>
    </w:rPr>
  </w:style>
  <w:style w:type="character" w:customStyle="1" w:styleId="252">
    <w:name w:val="正文文本缩进 字符"/>
    <w:qFormat/>
    <w:uiPriority w:val="0"/>
    <w:rPr>
      <w:sz w:val="28"/>
    </w:rPr>
  </w:style>
  <w:style w:type="character" w:customStyle="1" w:styleId="253">
    <w:name w:val="t11"/>
    <w:qFormat/>
    <w:uiPriority w:val="0"/>
    <w:rPr>
      <w:rFonts w:eastAsia="宋体"/>
      <w:color w:val="333333"/>
      <w:kern w:val="2"/>
      <w:sz w:val="18"/>
      <w:szCs w:val="18"/>
      <w:lang w:val="en-US" w:eastAsia="zh-CN" w:bidi="ar-SA"/>
    </w:rPr>
  </w:style>
  <w:style w:type="character" w:customStyle="1" w:styleId="254">
    <w:name w:val="正文文本 Char Char"/>
    <w:qFormat/>
    <w:uiPriority w:val="0"/>
    <w:rPr>
      <w:rFonts w:ascii="Times New Roman" w:hAnsi="Times New Roman"/>
      <w:kern w:val="2"/>
      <w:sz w:val="21"/>
      <w:szCs w:val="24"/>
    </w:rPr>
  </w:style>
  <w:style w:type="character" w:customStyle="1" w:styleId="255">
    <w:name w:val="引用 Char"/>
    <w:qFormat/>
    <w:uiPriority w:val="0"/>
    <w:rPr>
      <w:rFonts w:ascii="Century Gothic" w:hAnsi="Century Gothic" w:eastAsia="仿宋_GB2312"/>
      <w:i/>
      <w:iCs/>
      <w:color w:val="000000"/>
    </w:rPr>
  </w:style>
  <w:style w:type="paragraph" w:styleId="256">
    <w:name w:val="Quote"/>
    <w:basedOn w:val="1"/>
    <w:next w:val="1"/>
    <w:link w:val="457"/>
    <w:qFormat/>
    <w:uiPriority w:val="0"/>
    <w:rPr>
      <w:rFonts w:ascii="Century Gothic" w:hAnsi="Century Gothic" w:eastAsia="仿宋_GB2312"/>
      <w:i/>
      <w:iCs/>
      <w:color w:val="000000"/>
      <w:kern w:val="0"/>
      <w:sz w:val="20"/>
      <w:szCs w:val="20"/>
    </w:rPr>
  </w:style>
  <w:style w:type="character" w:customStyle="1" w:styleId="257">
    <w:name w:val="Plain Text Char"/>
    <w:qFormat/>
    <w:uiPriority w:val="0"/>
    <w:rPr>
      <w:rFonts w:ascii="仿宋_GB2312" w:hAnsi="Wingdings" w:eastAsia="仿宋_GB2312" w:cs="新宋体"/>
      <w:sz w:val="21"/>
      <w:szCs w:val="21"/>
    </w:rPr>
  </w:style>
  <w:style w:type="character" w:customStyle="1" w:styleId="258">
    <w:name w:val="A4 Char Char"/>
    <w:qFormat/>
    <w:uiPriority w:val="0"/>
    <w:rPr>
      <w:rFonts w:ascii="Cambria" w:hAnsi="Cambria" w:eastAsia="宋体"/>
      <w:b/>
      <w:bCs/>
      <w:sz w:val="28"/>
      <w:szCs w:val="28"/>
    </w:rPr>
  </w:style>
  <w:style w:type="character" w:customStyle="1" w:styleId="259">
    <w:name w:val="正文4 Char"/>
    <w:qFormat/>
    <w:uiPriority w:val="0"/>
    <w:rPr>
      <w:rFonts w:ascii="新宋体" w:hAnsi="新宋体" w:eastAsia="宋体" w:cs="新宋体"/>
      <w:kern w:val="2"/>
      <w:sz w:val="24"/>
      <w:szCs w:val="24"/>
      <w:lang w:val="en-US" w:eastAsia="zh-CN" w:bidi="ar-SA"/>
    </w:rPr>
  </w:style>
  <w:style w:type="character" w:customStyle="1" w:styleId="260">
    <w:name w:val="heading 5 Char1"/>
    <w:qFormat/>
    <w:uiPriority w:val="0"/>
    <w:rPr>
      <w:rFonts w:eastAsia="仿宋_GB2312"/>
      <w:b/>
      <w:bCs/>
      <w:kern w:val="2"/>
      <w:sz w:val="28"/>
      <w:szCs w:val="28"/>
      <w:lang w:val="en-US" w:eastAsia="zh-CN" w:bidi="ar-SA"/>
    </w:rPr>
  </w:style>
  <w:style w:type="character" w:customStyle="1" w:styleId="261">
    <w:name w:val="Char Char22"/>
    <w:qFormat/>
    <w:uiPriority w:val="0"/>
    <w:rPr>
      <w:rFonts w:ascii="Tahoma" w:hAnsi="Tahoma" w:eastAsia="Helvetica"/>
      <w:b/>
      <w:bCs/>
      <w:kern w:val="44"/>
      <w:sz w:val="30"/>
      <w:szCs w:val="44"/>
      <w:lang w:val="en-US" w:eastAsia="zh-CN" w:bidi="ar-SA"/>
    </w:rPr>
  </w:style>
  <w:style w:type="character" w:customStyle="1" w:styleId="262">
    <w:name w:val="表格 Char Char"/>
    <w:link w:val="263"/>
    <w:qFormat/>
    <w:uiPriority w:val="0"/>
    <w:rPr>
      <w:rFonts w:ascii="仿宋_GB2312" w:hAnsi="仿宋_GB2312" w:eastAsia="仿宋_GB2312"/>
    </w:rPr>
  </w:style>
  <w:style w:type="paragraph" w:customStyle="1" w:styleId="263">
    <w:name w:val="表格"/>
    <w:basedOn w:val="1"/>
    <w:link w:val="262"/>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4">
    <w:name w:val="一级标题 Char"/>
    <w:link w:val="265"/>
    <w:qFormat/>
    <w:uiPriority w:val="0"/>
    <w:rPr>
      <w:rFonts w:ascii="黑体" w:eastAsia="华文中宋"/>
      <w:b/>
      <w:kern w:val="44"/>
      <w:sz w:val="36"/>
      <w:szCs w:val="44"/>
    </w:rPr>
  </w:style>
  <w:style w:type="paragraph" w:customStyle="1" w:styleId="265">
    <w:name w:val="一级标题"/>
    <w:basedOn w:val="5"/>
    <w:link w:val="264"/>
    <w:qFormat/>
    <w:uiPriority w:val="0"/>
    <w:pPr>
      <w:keepLines/>
      <w:pageBreakBefore/>
      <w:spacing w:line="578" w:lineRule="auto"/>
      <w:ind w:left="432" w:hanging="432"/>
    </w:pPr>
    <w:rPr>
      <w:rFonts w:ascii="黑体" w:eastAsia="华文中宋"/>
      <w:bCs w:val="0"/>
      <w:kern w:val="44"/>
      <w:sz w:val="36"/>
      <w:szCs w:val="44"/>
    </w:rPr>
  </w:style>
  <w:style w:type="character" w:customStyle="1" w:styleId="266">
    <w:name w:val="批注框文本 字符1"/>
    <w:link w:val="41"/>
    <w:qFormat/>
    <w:uiPriority w:val="0"/>
    <w:rPr>
      <w:kern w:val="2"/>
      <w:sz w:val="18"/>
      <w:szCs w:val="18"/>
    </w:rPr>
  </w:style>
  <w:style w:type="character" w:customStyle="1" w:styleId="267">
    <w:name w:val="正文（小四+1.25倍行距） Char"/>
    <w:link w:val="268"/>
    <w:qFormat/>
    <w:uiPriority w:val="0"/>
    <w:rPr>
      <w:sz w:val="24"/>
      <w:szCs w:val="24"/>
    </w:rPr>
  </w:style>
  <w:style w:type="paragraph" w:customStyle="1" w:styleId="268">
    <w:name w:val="正文（小四+1.25倍行距）"/>
    <w:basedOn w:val="1"/>
    <w:link w:val="267"/>
    <w:qFormat/>
    <w:uiPriority w:val="0"/>
    <w:pPr>
      <w:spacing w:afterLines="50" w:line="300" w:lineRule="auto"/>
      <w:ind w:firstLine="420"/>
    </w:pPr>
    <w:rPr>
      <w:kern w:val="0"/>
      <w:sz w:val="24"/>
    </w:rPr>
  </w:style>
  <w:style w:type="character" w:customStyle="1" w:styleId="269">
    <w:name w:val="Ò³Ã¼ Char Char1"/>
    <w:qFormat/>
    <w:uiPriority w:val="0"/>
    <w:rPr>
      <w:rFonts w:eastAsia="仿宋_GB2312"/>
      <w:kern w:val="2"/>
      <w:sz w:val="18"/>
      <w:szCs w:val="18"/>
      <w:lang w:val="en-US" w:eastAsia="zh-CN" w:bidi="ar-SA"/>
    </w:rPr>
  </w:style>
  <w:style w:type="character" w:customStyle="1" w:styleId="270">
    <w:name w:val="正文首行缩进 字符"/>
    <w:basedOn w:val="271"/>
    <w:qFormat/>
    <w:uiPriority w:val="0"/>
    <w:rPr>
      <w:rFonts w:ascii="宋体"/>
      <w:sz w:val="21"/>
    </w:rPr>
  </w:style>
  <w:style w:type="character" w:customStyle="1" w:styleId="271">
    <w:name w:val="正文文本 字符"/>
    <w:qFormat/>
    <w:uiPriority w:val="0"/>
    <w:rPr>
      <w:rFonts w:ascii="宋体"/>
      <w:sz w:val="21"/>
    </w:rPr>
  </w:style>
  <w:style w:type="character" w:customStyle="1" w:styleId="272">
    <w:name w:val="信息标题 Char"/>
    <w:qFormat/>
    <w:uiPriority w:val="0"/>
    <w:rPr>
      <w:rFonts w:eastAsia="仿宋_GB2312"/>
      <w:kern w:val="2"/>
      <w:sz w:val="21"/>
      <w:szCs w:val="24"/>
      <w:shd w:val="pct20" w:color="auto" w:fill="auto"/>
    </w:rPr>
  </w:style>
  <w:style w:type="character" w:customStyle="1" w:styleId="273">
    <w:name w:val="A4 Char"/>
    <w:link w:val="274"/>
    <w:qFormat/>
    <w:uiPriority w:val="0"/>
    <w:rPr>
      <w:rFonts w:ascii="Cambria" w:hAnsi="Cambria" w:cs="新宋体"/>
      <w:b/>
      <w:bCs/>
      <w:sz w:val="28"/>
      <w:szCs w:val="28"/>
    </w:rPr>
  </w:style>
  <w:style w:type="paragraph" w:customStyle="1" w:styleId="274">
    <w:name w:val="A4"/>
    <w:basedOn w:val="8"/>
    <w:link w:val="273"/>
    <w:qFormat/>
    <w:uiPriority w:val="0"/>
    <w:pPr>
      <w:spacing w:line="377" w:lineRule="auto"/>
      <w:jc w:val="left"/>
    </w:pPr>
    <w:rPr>
      <w:rFonts w:cs="新宋体"/>
      <w:kern w:val="0"/>
    </w:rPr>
  </w:style>
  <w:style w:type="character" w:customStyle="1" w:styleId="275">
    <w:name w:val="Char Char61"/>
    <w:qFormat/>
    <w:uiPriority w:val="0"/>
    <w:rPr>
      <w:rFonts w:ascii="新宋体" w:hAnsi="新宋体" w:eastAsia="仿宋_GB2312" w:cs="新宋体"/>
      <w:szCs w:val="24"/>
    </w:rPr>
  </w:style>
  <w:style w:type="character" w:customStyle="1" w:styleId="276">
    <w:name w:val="符号正文缩进 Char Char"/>
    <w:link w:val="277"/>
    <w:qFormat/>
    <w:uiPriority w:val="0"/>
    <w:rPr>
      <w:kern w:val="2"/>
      <w:sz w:val="24"/>
      <w:szCs w:val="24"/>
    </w:rPr>
  </w:style>
  <w:style w:type="paragraph" w:customStyle="1" w:styleId="277">
    <w:name w:val="符号正文缩进"/>
    <w:basedOn w:val="17"/>
    <w:link w:val="276"/>
    <w:qFormat/>
    <w:uiPriority w:val="0"/>
    <w:pPr>
      <w:tabs>
        <w:tab w:val="left" w:pos="1497"/>
      </w:tabs>
      <w:spacing w:line="400" w:lineRule="atLeast"/>
      <w:ind w:left="567" w:firstLine="510"/>
    </w:pPr>
    <w:rPr>
      <w:kern w:val="2"/>
      <w:sz w:val="24"/>
      <w:szCs w:val="24"/>
    </w:rPr>
  </w:style>
  <w:style w:type="character" w:customStyle="1" w:styleId="278">
    <w:name w:val="Char Char11"/>
    <w:qFormat/>
    <w:uiPriority w:val="0"/>
    <w:rPr>
      <w:rFonts w:ascii="新宋体" w:hAnsi="新宋体" w:eastAsia="仿宋_GB2312" w:cs="新宋体"/>
      <w:sz w:val="18"/>
      <w:szCs w:val="18"/>
    </w:rPr>
  </w:style>
  <w:style w:type="character" w:customStyle="1" w:styleId="279">
    <w:name w:val="heading 1 Char2"/>
    <w:qFormat/>
    <w:uiPriority w:val="0"/>
    <w:rPr>
      <w:b/>
      <w:bCs/>
      <w:kern w:val="44"/>
      <w:sz w:val="44"/>
      <w:szCs w:val="44"/>
    </w:rPr>
  </w:style>
  <w:style w:type="character" w:customStyle="1" w:styleId="280">
    <w:name w:val="Char Char13"/>
    <w:basedOn w:val="65"/>
    <w:qFormat/>
    <w:uiPriority w:val="0"/>
    <w:rPr>
      <w:rFonts w:ascii="Times New Roman" w:hAnsi="Times New Roman" w:eastAsia="宋体" w:cs="Times New Roman"/>
      <w:b/>
      <w:bCs/>
      <w:color w:val="auto"/>
      <w:kern w:val="2"/>
      <w:szCs w:val="20"/>
    </w:rPr>
  </w:style>
  <w:style w:type="character" w:customStyle="1" w:styleId="281">
    <w:name w:val="heading 7 Char1"/>
    <w:qFormat/>
    <w:uiPriority w:val="0"/>
    <w:rPr>
      <w:rFonts w:ascii="Tahoma" w:hAnsi="Tahoma" w:eastAsia="Helvetica"/>
      <w:sz w:val="21"/>
      <w:szCs w:val="21"/>
      <w:lang w:val="en-US" w:eastAsia="zh-CN" w:bidi="ar-SA"/>
    </w:rPr>
  </w:style>
  <w:style w:type="character" w:customStyle="1" w:styleId="282">
    <w:name w:val="Style2"/>
    <w:qFormat/>
    <w:uiPriority w:val="0"/>
    <w:rPr>
      <w:rFonts w:ascii="Century Gothic" w:hAnsi="仿宋_GB2312" w:eastAsia="仿宋_GB2312" w:cs="新宋体"/>
      <w:sz w:val="22"/>
      <w:szCs w:val="22"/>
      <w:lang w:eastAsia="zh-CN"/>
    </w:rPr>
  </w:style>
  <w:style w:type="character" w:customStyle="1" w:styleId="283">
    <w:name w:val="blue1"/>
    <w:basedOn w:val="65"/>
    <w:qFormat/>
    <w:uiPriority w:val="0"/>
  </w:style>
  <w:style w:type="character" w:customStyle="1" w:styleId="284">
    <w:name w:val="style111"/>
    <w:qFormat/>
    <w:uiPriority w:val="0"/>
    <w:rPr>
      <w:sz w:val="27"/>
      <w:szCs w:val="27"/>
    </w:rPr>
  </w:style>
  <w:style w:type="character" w:customStyle="1" w:styleId="285">
    <w:name w:val="emailstyle15"/>
    <w:qFormat/>
    <w:uiPriority w:val="0"/>
    <w:rPr>
      <w:rFonts w:ascii="Arial" w:hAnsi="Arial" w:eastAsia="宋体" w:cs="Arial"/>
      <w:color w:val="auto"/>
      <w:kern w:val="2"/>
      <w:sz w:val="20"/>
      <w:szCs w:val="24"/>
      <w:lang w:val="en-US" w:eastAsia="zh-CN" w:bidi="ar-SA"/>
    </w:rPr>
  </w:style>
  <w:style w:type="character" w:customStyle="1" w:styleId="286">
    <w:name w:val="个人撰写风格"/>
    <w:qFormat/>
    <w:uiPriority w:val="0"/>
    <w:rPr>
      <w:rFonts w:ascii="Arial" w:hAnsi="Arial" w:eastAsia="宋体" w:cs="Arial"/>
      <w:color w:val="auto"/>
      <w:kern w:val="2"/>
      <w:sz w:val="20"/>
      <w:szCs w:val="24"/>
      <w:lang w:val="en-US" w:eastAsia="zh-CN" w:bidi="ar-SA"/>
    </w:rPr>
  </w:style>
  <w:style w:type="character" w:customStyle="1" w:styleId="287">
    <w:name w:val="font01"/>
    <w:qFormat/>
    <w:uiPriority w:val="0"/>
    <w:rPr>
      <w:rFonts w:hint="eastAsia" w:ascii="宋体" w:hAnsi="宋体" w:eastAsia="宋体" w:cs="宋体"/>
      <w:color w:val="000000"/>
      <w:sz w:val="18"/>
      <w:szCs w:val="18"/>
      <w:u w:val="none"/>
      <w:vertAlign w:val="superscript"/>
    </w:rPr>
  </w:style>
  <w:style w:type="character" w:customStyle="1" w:styleId="288">
    <w:name w:val="Char Char21"/>
    <w:qFormat/>
    <w:uiPriority w:val="0"/>
    <w:rPr>
      <w:rFonts w:ascii="新宋体" w:hAnsi="新宋体" w:eastAsia="仿宋_GB2312" w:cs="新宋体"/>
      <w:b/>
      <w:bCs/>
      <w:kern w:val="44"/>
      <w:sz w:val="44"/>
      <w:szCs w:val="44"/>
    </w:rPr>
  </w:style>
  <w:style w:type="character" w:customStyle="1" w:styleId="289">
    <w:name w:val="Char Char24"/>
    <w:qFormat/>
    <w:uiPriority w:val="0"/>
    <w:rPr>
      <w:rFonts w:ascii="Verdana" w:hAnsi="Verdana" w:eastAsia="仿宋_GB2312"/>
      <w:b/>
      <w:bCs/>
      <w:kern w:val="2"/>
      <w:sz w:val="32"/>
      <w:szCs w:val="32"/>
      <w:lang w:val="en-US" w:eastAsia="zh-CN" w:bidi="ar-SA"/>
    </w:rPr>
  </w:style>
  <w:style w:type="character" w:customStyle="1" w:styleId="290">
    <w:name w:val="Char Char181"/>
    <w:qFormat/>
    <w:uiPriority w:val="0"/>
    <w:rPr>
      <w:rFonts w:ascii="Tahoma" w:hAnsi="Tahoma" w:eastAsia="Helvetica"/>
      <w:sz w:val="24"/>
      <w:lang w:val="en-US" w:eastAsia="zh-CN" w:bidi="ar-SA"/>
    </w:rPr>
  </w:style>
  <w:style w:type="character" w:customStyle="1" w:styleId="291">
    <w:name w:val="heading 5 Char"/>
    <w:qFormat/>
    <w:uiPriority w:val="0"/>
    <w:rPr>
      <w:rFonts w:ascii="Tahoma" w:hAnsi="Tahoma" w:eastAsia="Helvetica"/>
      <w:sz w:val="21"/>
      <w:szCs w:val="21"/>
    </w:rPr>
  </w:style>
  <w:style w:type="character" w:customStyle="1" w:styleId="292">
    <w:name w:val="heading 3 Char2"/>
    <w:qFormat/>
    <w:uiPriority w:val="0"/>
    <w:rPr>
      <w:b/>
      <w:bCs/>
      <w:kern w:val="2"/>
      <w:sz w:val="32"/>
      <w:szCs w:val="32"/>
    </w:rPr>
  </w:style>
  <w:style w:type="character" w:customStyle="1" w:styleId="293">
    <w:name w:val="列出段落 Char1"/>
    <w:qFormat/>
    <w:uiPriority w:val="0"/>
    <w:rPr>
      <w:kern w:val="2"/>
      <w:sz w:val="21"/>
      <w:szCs w:val="24"/>
    </w:rPr>
  </w:style>
  <w:style w:type="character" w:customStyle="1" w:styleId="294">
    <w:name w:val="Footer-Even Char2"/>
    <w:qFormat/>
    <w:uiPriority w:val="0"/>
    <w:rPr>
      <w:kern w:val="2"/>
      <w:sz w:val="18"/>
      <w:szCs w:val="18"/>
    </w:rPr>
  </w:style>
  <w:style w:type="character" w:customStyle="1" w:styleId="295">
    <w:name w:val="heading 1 Char1"/>
    <w:qFormat/>
    <w:uiPriority w:val="0"/>
    <w:rPr>
      <w:rFonts w:eastAsia="仿宋_GB2312"/>
      <w:b/>
      <w:bCs/>
      <w:kern w:val="44"/>
      <w:sz w:val="44"/>
      <w:szCs w:val="44"/>
      <w:lang w:val="en-US" w:eastAsia="zh-CN" w:bidi="ar-SA"/>
    </w:rPr>
  </w:style>
  <w:style w:type="character" w:customStyle="1" w:styleId="296">
    <w:name w:val="kpk:正文 Char"/>
    <w:link w:val="297"/>
    <w:qFormat/>
    <w:uiPriority w:val="0"/>
    <w:rPr>
      <w:rFonts w:ascii="宋体" w:hAnsi="宋体"/>
      <w:kern w:val="2"/>
      <w:sz w:val="24"/>
      <w:szCs w:val="24"/>
      <w:lang w:val="en-GB"/>
    </w:rPr>
  </w:style>
  <w:style w:type="paragraph" w:customStyle="1" w:styleId="297">
    <w:name w:val="kpk:正文"/>
    <w:basedOn w:val="1"/>
    <w:link w:val="296"/>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8">
    <w:name w:val="彩色列表 - 强调文字颜色 1 Char"/>
    <w:link w:val="299"/>
    <w:qFormat/>
    <w:uiPriority w:val="0"/>
    <w:rPr>
      <w:kern w:val="2"/>
      <w:sz w:val="21"/>
      <w:szCs w:val="22"/>
    </w:rPr>
  </w:style>
  <w:style w:type="paragraph" w:customStyle="1" w:styleId="299">
    <w:name w:val="彩色列表 - 强调文字颜色 11"/>
    <w:basedOn w:val="1"/>
    <w:link w:val="298"/>
    <w:qFormat/>
    <w:uiPriority w:val="0"/>
    <w:pPr>
      <w:ind w:firstLine="420" w:firstLineChars="200"/>
    </w:pPr>
    <w:rPr>
      <w:szCs w:val="22"/>
    </w:rPr>
  </w:style>
  <w:style w:type="character" w:customStyle="1" w:styleId="300">
    <w:name w:val="A3 Char"/>
    <w:link w:val="301"/>
    <w:qFormat/>
    <w:uiPriority w:val="0"/>
    <w:rPr>
      <w:b/>
      <w:bCs/>
      <w:sz w:val="32"/>
      <w:szCs w:val="32"/>
    </w:rPr>
  </w:style>
  <w:style w:type="paragraph" w:customStyle="1" w:styleId="301">
    <w:name w:val="A3"/>
    <w:basedOn w:val="7"/>
    <w:link w:val="300"/>
    <w:qFormat/>
    <w:uiPriority w:val="0"/>
    <w:pPr>
      <w:spacing w:before="0" w:after="0" w:line="415" w:lineRule="auto"/>
      <w:ind w:left="720" w:hanging="720"/>
      <w:jc w:val="left"/>
    </w:pPr>
    <w:rPr>
      <w:kern w:val="0"/>
    </w:rPr>
  </w:style>
  <w:style w:type="character" w:customStyle="1" w:styleId="302">
    <w:name w:val="批注框文本 字符"/>
    <w:semiHidden/>
    <w:qFormat/>
    <w:uiPriority w:val="0"/>
    <w:rPr>
      <w:sz w:val="18"/>
      <w:szCs w:val="18"/>
    </w:rPr>
  </w:style>
  <w:style w:type="character" w:customStyle="1" w:styleId="303">
    <w:name w:val="正文文本缩进 2 字符1"/>
    <w:link w:val="39"/>
    <w:qFormat/>
    <w:uiPriority w:val="0"/>
    <w:rPr>
      <w:kern w:val="2"/>
      <w:sz w:val="24"/>
      <w:szCs w:val="24"/>
    </w:rPr>
  </w:style>
  <w:style w:type="character" w:customStyle="1" w:styleId="304">
    <w:name w:val="Table Text Char"/>
    <w:link w:val="305"/>
    <w:qFormat/>
    <w:uiPriority w:val="0"/>
    <w:rPr>
      <w:rFonts w:eastAsia="仿宋_GB2312"/>
      <w:sz w:val="24"/>
    </w:rPr>
  </w:style>
  <w:style w:type="paragraph" w:customStyle="1" w:styleId="305">
    <w:name w:val="Table Text"/>
    <w:basedOn w:val="1"/>
    <w:link w:val="304"/>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6">
    <w:name w:val="!我的正文 Ctr+Q Char Char"/>
    <w:qFormat/>
    <w:uiPriority w:val="0"/>
    <w:rPr>
      <w:rFonts w:ascii="Arial" w:hAnsi="Arial"/>
      <w:kern w:val="2"/>
      <w:sz w:val="24"/>
      <w:szCs w:val="21"/>
      <w:lang w:bidi="ar-SA"/>
    </w:rPr>
  </w:style>
  <w:style w:type="character" w:customStyle="1" w:styleId="307">
    <w:name w:val="BZ_四级标题 Char"/>
    <w:link w:val="159"/>
    <w:qFormat/>
    <w:uiPriority w:val="0"/>
    <w:rPr>
      <w:rFonts w:eastAsia="黑体"/>
      <w:bCs/>
      <w:kern w:val="2"/>
      <w:sz w:val="24"/>
      <w:szCs w:val="28"/>
    </w:rPr>
  </w:style>
  <w:style w:type="character" w:customStyle="1" w:styleId="308">
    <w:name w:val="Char Char17"/>
    <w:qFormat/>
    <w:uiPriority w:val="0"/>
    <w:rPr>
      <w:rFonts w:ascii="Tahoma" w:hAnsi="Tahoma" w:eastAsia="Helvetica"/>
      <w:sz w:val="21"/>
      <w:lang w:val="en-US" w:eastAsia="zh-CN" w:bidi="ar-SA"/>
    </w:rPr>
  </w:style>
  <w:style w:type="character" w:customStyle="1" w:styleId="309">
    <w:name w:val="heading 2 Char2"/>
    <w:qFormat/>
    <w:uiPriority w:val="0"/>
    <w:rPr>
      <w:rFonts w:ascii="Verdana" w:hAnsi="Verdana"/>
      <w:b/>
      <w:bCs/>
      <w:kern w:val="2"/>
      <w:sz w:val="32"/>
      <w:szCs w:val="32"/>
    </w:rPr>
  </w:style>
  <w:style w:type="character" w:customStyle="1" w:styleId="310">
    <w:name w:val="正文缩进字符"/>
    <w:link w:val="311"/>
    <w:qFormat/>
    <w:uiPriority w:val="0"/>
    <w:rPr>
      <w:rFonts w:ascii="宋体"/>
      <w:sz w:val="24"/>
    </w:rPr>
  </w:style>
  <w:style w:type="paragraph" w:customStyle="1" w:styleId="311">
    <w:name w:val="正文缩进2"/>
    <w:basedOn w:val="1"/>
    <w:link w:val="310"/>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2">
    <w:name w:val="1Text Char"/>
    <w:link w:val="313"/>
    <w:qFormat/>
    <w:uiPriority w:val="0"/>
    <w:rPr>
      <w:rFonts w:ascii="Calibri" w:hAnsi="Calibri"/>
      <w:sz w:val="24"/>
      <w:szCs w:val="24"/>
    </w:rPr>
  </w:style>
  <w:style w:type="paragraph" w:customStyle="1" w:styleId="313">
    <w:name w:val="1Text"/>
    <w:basedOn w:val="1"/>
    <w:link w:val="312"/>
    <w:qFormat/>
    <w:uiPriority w:val="0"/>
    <w:pPr>
      <w:spacing w:beforeLines="50" w:afterLines="50" w:line="360" w:lineRule="auto"/>
      <w:ind w:firstLine="480" w:firstLineChars="200"/>
      <w:jc w:val="left"/>
    </w:pPr>
    <w:rPr>
      <w:rFonts w:ascii="Calibri" w:hAnsi="Calibri"/>
      <w:kern w:val="0"/>
      <w:sz w:val="24"/>
    </w:rPr>
  </w:style>
  <w:style w:type="character" w:customStyle="1" w:styleId="314">
    <w:name w:val="文档结构图 字符"/>
    <w:semiHidden/>
    <w:qFormat/>
    <w:uiPriority w:val="99"/>
    <w:rPr>
      <w:rFonts w:ascii="宋体"/>
      <w:sz w:val="18"/>
      <w:szCs w:val="18"/>
    </w:rPr>
  </w:style>
  <w:style w:type="character" w:customStyle="1" w:styleId="315">
    <w:name w:val="heading 8 Char1"/>
    <w:qFormat/>
    <w:uiPriority w:val="0"/>
    <w:rPr>
      <w:rFonts w:ascii="Tahoma" w:hAnsi="Tahoma" w:eastAsia="Helvetica"/>
      <w:sz w:val="24"/>
      <w:lang w:val="en-US" w:eastAsia="zh-CN" w:bidi="ar-SA"/>
    </w:rPr>
  </w:style>
  <w:style w:type="character" w:customStyle="1" w:styleId="316">
    <w:name w:val="Char Char171"/>
    <w:qFormat/>
    <w:uiPriority w:val="0"/>
    <w:rPr>
      <w:rFonts w:ascii="Verdana" w:hAnsi="Verdana"/>
      <w:b/>
      <w:bCs/>
      <w:kern w:val="2"/>
      <w:sz w:val="28"/>
      <w:szCs w:val="28"/>
    </w:rPr>
  </w:style>
  <w:style w:type="character" w:customStyle="1" w:styleId="317">
    <w:name w:val="副标题 Char"/>
    <w:qFormat/>
    <w:uiPriority w:val="0"/>
    <w:rPr>
      <w:rFonts w:ascii="Verdana" w:hAnsi="Verdana" w:eastAsia="仿宋_GB2312"/>
      <w:b/>
      <w:bCs/>
      <w:kern w:val="28"/>
      <w:sz w:val="32"/>
      <w:szCs w:val="32"/>
    </w:rPr>
  </w:style>
  <w:style w:type="character" w:customStyle="1" w:styleId="318">
    <w:name w:val="内容文本 Char"/>
    <w:link w:val="319"/>
    <w:qFormat/>
    <w:uiPriority w:val="0"/>
    <w:rPr>
      <w:rFonts w:ascii="宋体" w:hAnsi="宋体"/>
      <w:sz w:val="24"/>
      <w:szCs w:val="24"/>
      <w:lang w:eastAsia="en-US" w:bidi="en-US"/>
    </w:rPr>
  </w:style>
  <w:style w:type="paragraph" w:customStyle="1" w:styleId="319">
    <w:name w:val="内容文本"/>
    <w:basedOn w:val="299"/>
    <w:link w:val="318"/>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0">
    <w:name w:val="明显引用 Char"/>
    <w:qFormat/>
    <w:uiPriority w:val="0"/>
    <w:rPr>
      <w:rFonts w:ascii="Century Gothic" w:hAnsi="Century Gothic" w:eastAsia="仿宋_GB2312"/>
      <w:b/>
      <w:bCs/>
      <w:i/>
      <w:iCs/>
      <w:color w:val="4F81BD"/>
    </w:rPr>
  </w:style>
  <w:style w:type="paragraph" w:styleId="321">
    <w:name w:val="Intense Quote"/>
    <w:basedOn w:val="1"/>
    <w:next w:val="1"/>
    <w:link w:val="592"/>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2">
    <w:name w:val="Style5"/>
    <w:qFormat/>
    <w:uiPriority w:val="0"/>
    <w:rPr>
      <w:rFonts w:ascii="Century Gothic" w:hAnsi="仿宋_GB2312" w:eastAsia="仿宋_GB2312" w:cs="新宋体"/>
      <w:sz w:val="22"/>
      <w:szCs w:val="22"/>
      <w:lang w:eastAsia="zh-CN"/>
    </w:rPr>
  </w:style>
  <w:style w:type="character" w:customStyle="1" w:styleId="323">
    <w:name w:val="HTML 预设格式 Char"/>
    <w:qFormat/>
    <w:uiPriority w:val="0"/>
    <w:rPr>
      <w:rFonts w:ascii="黑体" w:hAnsi="Courier New" w:eastAsia="黑体"/>
    </w:rPr>
  </w:style>
  <w:style w:type="character" w:customStyle="1" w:styleId="324">
    <w:name w:val="BZ_图 Char"/>
    <w:link w:val="325"/>
    <w:qFormat/>
    <w:uiPriority w:val="0"/>
    <w:rPr>
      <w:kern w:val="2"/>
      <w:sz w:val="21"/>
      <w:szCs w:val="24"/>
    </w:rPr>
  </w:style>
  <w:style w:type="paragraph" w:customStyle="1" w:styleId="325">
    <w:name w:val="BZ_图"/>
    <w:basedOn w:val="1"/>
    <w:next w:val="1"/>
    <w:link w:val="324"/>
    <w:qFormat/>
    <w:uiPriority w:val="0"/>
    <w:pPr>
      <w:keepNext/>
      <w:widowControl/>
      <w:spacing w:beforeLines="50" w:afterLines="50"/>
      <w:jc w:val="center"/>
    </w:pPr>
  </w:style>
  <w:style w:type="character" w:customStyle="1" w:styleId="326">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27">
    <w:name w:val="标题 3 字符"/>
    <w:qFormat/>
    <w:uiPriority w:val="0"/>
    <w:rPr>
      <w:rFonts w:eastAsia="黑体"/>
      <w:b/>
      <w:sz w:val="28"/>
    </w:rPr>
  </w:style>
  <w:style w:type="character" w:customStyle="1" w:styleId="328">
    <w:name w:val="dandyren_title1"/>
    <w:qFormat/>
    <w:uiPriority w:val="0"/>
    <w:rPr>
      <w:b/>
      <w:bCs/>
      <w:color w:val="FF6633"/>
      <w:sz w:val="18"/>
      <w:szCs w:val="18"/>
    </w:rPr>
  </w:style>
  <w:style w:type="character" w:customStyle="1" w:styleId="329">
    <w:name w:val="样式 正文缩进首行缩进两字正文（首行缩进两字） Char正文（首行缩进两字） Char Char Char正文（首行缩进... Char"/>
    <w:link w:val="330"/>
    <w:qFormat/>
    <w:uiPriority w:val="0"/>
    <w:rPr>
      <w:rFonts w:cs="宋体"/>
      <w:szCs w:val="28"/>
    </w:rPr>
  </w:style>
  <w:style w:type="paragraph" w:customStyle="1" w:styleId="330">
    <w:name w:val="样式 正文缩进首行缩进两字正文（首行缩进两字） Char正文（首行缩进两字） Char Char Char正文（首行缩进..."/>
    <w:basedOn w:val="17"/>
    <w:link w:val="329"/>
    <w:qFormat/>
    <w:uiPriority w:val="0"/>
    <w:pPr>
      <w:autoSpaceDE w:val="0"/>
      <w:autoSpaceDN w:val="0"/>
      <w:spacing w:line="240" w:lineRule="auto"/>
      <w:ind w:firstLine="567"/>
    </w:pPr>
    <w:rPr>
      <w:rFonts w:cs="宋体"/>
      <w:sz w:val="20"/>
      <w:szCs w:val="28"/>
    </w:rPr>
  </w:style>
  <w:style w:type="character" w:customStyle="1" w:styleId="331">
    <w:name w:val="1Text Char Char"/>
    <w:qFormat/>
    <w:uiPriority w:val="0"/>
    <w:rPr>
      <w:rFonts w:ascii="Calibri" w:hAnsi="Calibri" w:eastAsia="宋体"/>
      <w:sz w:val="24"/>
      <w:szCs w:val="24"/>
      <w:lang w:bidi="ar-SA"/>
    </w:rPr>
  </w:style>
  <w:style w:type="character" w:customStyle="1" w:styleId="332">
    <w:name w:val="Char Char211"/>
    <w:qFormat/>
    <w:uiPriority w:val="0"/>
    <w:rPr>
      <w:rFonts w:ascii="新宋体" w:hAnsi="新宋体" w:eastAsia="仿宋_GB2312" w:cs="新宋体"/>
      <w:b/>
      <w:bCs/>
      <w:kern w:val="44"/>
      <w:sz w:val="44"/>
      <w:szCs w:val="44"/>
    </w:rPr>
  </w:style>
  <w:style w:type="character" w:customStyle="1" w:styleId="333">
    <w:name w:val="强调划线"/>
    <w:qFormat/>
    <w:uiPriority w:val="0"/>
    <w:rPr>
      <w:u w:val="single"/>
    </w:rPr>
  </w:style>
  <w:style w:type="character" w:customStyle="1" w:styleId="334">
    <w:name w:val="backtitle1"/>
    <w:qFormat/>
    <w:uiPriority w:val="0"/>
    <w:rPr>
      <w:rFonts w:eastAsia="宋体"/>
      <w:b/>
      <w:bCs/>
      <w:color w:val="000000"/>
      <w:kern w:val="2"/>
      <w:sz w:val="18"/>
      <w:szCs w:val="18"/>
      <w:lang w:val="en-US" w:eastAsia="zh-CN" w:bidi="ar-SA"/>
    </w:rPr>
  </w:style>
  <w:style w:type="character" w:customStyle="1" w:styleId="335">
    <w:name w:val="哈哈正文 Char Char"/>
    <w:qFormat/>
    <w:uiPriority w:val="0"/>
    <w:rPr>
      <w:rFonts w:ascii="宋体" w:hAnsi="宋体"/>
      <w:kern w:val="2"/>
      <w:sz w:val="24"/>
      <w:lang w:bidi="ar-SA"/>
    </w:rPr>
  </w:style>
  <w:style w:type="character" w:customStyle="1" w:styleId="336">
    <w:name w:val="正文首行缩进 2 Char"/>
    <w:qFormat/>
    <w:uiPriority w:val="0"/>
    <w:rPr>
      <w:kern w:val="2"/>
      <w:sz w:val="21"/>
      <w:szCs w:val="24"/>
    </w:rPr>
  </w:style>
  <w:style w:type="character" w:customStyle="1" w:styleId="337">
    <w:name w:val="注释题目"/>
    <w:qFormat/>
    <w:uiPriority w:val="0"/>
    <w:rPr>
      <w:rFonts w:eastAsia="黑体"/>
      <w:sz w:val="28"/>
      <w:u w:val="none"/>
    </w:rPr>
  </w:style>
  <w:style w:type="character" w:customStyle="1" w:styleId="338">
    <w:name w:val="三级标题 Char"/>
    <w:link w:val="339"/>
    <w:qFormat/>
    <w:uiPriority w:val="0"/>
    <w:rPr>
      <w:rFonts w:eastAsia="黑体"/>
      <w:b/>
      <w:kern w:val="2"/>
      <w:sz w:val="28"/>
      <w:szCs w:val="22"/>
    </w:rPr>
  </w:style>
  <w:style w:type="paragraph" w:customStyle="1" w:styleId="339">
    <w:name w:val="三级标题"/>
    <w:basedOn w:val="1"/>
    <w:link w:val="338"/>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0">
    <w:name w:val="样式 宋体"/>
    <w:qFormat/>
    <w:uiPriority w:val="0"/>
    <w:rPr>
      <w:rFonts w:ascii="仿宋_GB2312" w:hAnsi="仿宋_GB2312" w:eastAsia="仿宋_GB2312"/>
      <w:sz w:val="24"/>
      <w:szCs w:val="24"/>
    </w:rPr>
  </w:style>
  <w:style w:type="character" w:customStyle="1" w:styleId="341">
    <w:name w:val="heading 1 Char"/>
    <w:qFormat/>
    <w:uiPriority w:val="0"/>
    <w:rPr>
      <w:rFonts w:ascii="Tahoma" w:hAnsi="Tahoma" w:eastAsia="Helvetica"/>
      <w:b/>
      <w:sz w:val="36"/>
      <w:szCs w:val="36"/>
    </w:rPr>
  </w:style>
  <w:style w:type="character" w:customStyle="1" w:styleId="342">
    <w:name w:val="栏目标题 Char Char"/>
    <w:link w:val="343"/>
    <w:qFormat/>
    <w:uiPriority w:val="0"/>
    <w:rPr>
      <w:rFonts w:ascii="黑体" w:hAnsi="黑体" w:eastAsia="黑体"/>
      <w:b/>
      <w:kern w:val="2"/>
      <w:sz w:val="21"/>
      <w:szCs w:val="24"/>
    </w:rPr>
  </w:style>
  <w:style w:type="paragraph" w:customStyle="1" w:styleId="343">
    <w:name w:val="栏目标题"/>
    <w:basedOn w:val="1"/>
    <w:link w:val="342"/>
    <w:qFormat/>
    <w:uiPriority w:val="0"/>
    <w:pPr>
      <w:jc w:val="center"/>
    </w:pPr>
    <w:rPr>
      <w:rFonts w:ascii="黑体" w:hAnsi="黑体" w:eastAsia="黑体"/>
      <w:b/>
    </w:rPr>
  </w:style>
  <w:style w:type="character" w:customStyle="1" w:styleId="344">
    <w:name w:val="纯文本 字符"/>
    <w:qFormat/>
    <w:uiPriority w:val="0"/>
    <w:rPr>
      <w:rFonts w:ascii="宋体" w:hAnsi="Courier New"/>
      <w:kern w:val="2"/>
      <w:sz w:val="21"/>
    </w:rPr>
  </w:style>
  <w:style w:type="character" w:customStyle="1" w:styleId="345">
    <w:name w:val="!我的正文 Ctr+Q Char"/>
    <w:link w:val="346"/>
    <w:qFormat/>
    <w:uiPriority w:val="0"/>
    <w:rPr>
      <w:rFonts w:ascii="Arial" w:hAnsi="Arial"/>
      <w:kern w:val="2"/>
      <w:sz w:val="24"/>
      <w:szCs w:val="21"/>
    </w:rPr>
  </w:style>
  <w:style w:type="paragraph" w:customStyle="1" w:styleId="346">
    <w:name w:val="!我的正文 Ctr+Q"/>
    <w:basedOn w:val="1"/>
    <w:link w:val="345"/>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7">
    <w:name w:val="标题 9 字符"/>
    <w:qFormat/>
    <w:uiPriority w:val="0"/>
    <w:rPr>
      <w:rFonts w:ascii="Arial" w:hAnsi="Arial" w:eastAsia="黑体"/>
      <w:kern w:val="2"/>
      <w:sz w:val="21"/>
      <w:vertAlign w:val="superscript"/>
    </w:rPr>
  </w:style>
  <w:style w:type="character" w:customStyle="1" w:styleId="348">
    <w:name w:val="Char Char12"/>
    <w:qFormat/>
    <w:uiPriority w:val="0"/>
    <w:rPr>
      <w:rFonts w:ascii="仿宋_GB2312" w:hAnsi="Wingdings" w:eastAsia="仿宋_GB2312"/>
      <w:sz w:val="21"/>
      <w:szCs w:val="21"/>
      <w:lang w:val="en-US" w:eastAsia="zh-CN" w:bidi="ar-SA"/>
    </w:rPr>
  </w:style>
  <w:style w:type="character" w:customStyle="1" w:styleId="349">
    <w:name w:val="Char Char221"/>
    <w:qFormat/>
    <w:uiPriority w:val="0"/>
    <w:rPr>
      <w:rFonts w:ascii="Verdana" w:hAnsi="Verdana" w:eastAsia="仿宋_GB2312"/>
      <w:b/>
      <w:bCs/>
      <w:kern w:val="2"/>
      <w:sz w:val="28"/>
      <w:szCs w:val="28"/>
      <w:lang w:val="en-US" w:eastAsia="zh-CN" w:bidi="ar-SA"/>
    </w:rPr>
  </w:style>
  <w:style w:type="character" w:customStyle="1" w:styleId="350">
    <w:name w:val="Footer-Even Char1"/>
    <w:qFormat/>
    <w:uiPriority w:val="0"/>
    <w:rPr>
      <w:rFonts w:eastAsia="仿宋_GB2312"/>
      <w:kern w:val="2"/>
      <w:sz w:val="18"/>
      <w:szCs w:val="18"/>
      <w:lang w:val="en-US" w:eastAsia="zh-CN" w:bidi="ar-SA"/>
    </w:rPr>
  </w:style>
  <w:style w:type="character" w:customStyle="1" w:styleId="351">
    <w:name w:val="xl77 Char"/>
    <w:link w:val="352"/>
    <w:qFormat/>
    <w:uiPriority w:val="0"/>
    <w:rPr>
      <w:b/>
      <w:bCs/>
      <w:sz w:val="28"/>
      <w:szCs w:val="28"/>
    </w:rPr>
  </w:style>
  <w:style w:type="paragraph" w:customStyle="1" w:styleId="352">
    <w:name w:val="xl77"/>
    <w:basedOn w:val="1"/>
    <w:link w:val="35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3">
    <w:name w:val="正文文本缩进 3 字符"/>
    <w:qFormat/>
    <w:uiPriority w:val="0"/>
    <w:rPr>
      <w:kern w:val="2"/>
      <w:sz w:val="16"/>
      <w:szCs w:val="16"/>
    </w:rPr>
  </w:style>
  <w:style w:type="character" w:customStyle="1" w:styleId="354">
    <w:name w:val="Subtle Emphasis1"/>
    <w:qFormat/>
    <w:uiPriority w:val="0"/>
    <w:rPr>
      <w:i/>
      <w:iCs/>
      <w:color w:val="808080"/>
    </w:rPr>
  </w:style>
  <w:style w:type="character" w:customStyle="1" w:styleId="355">
    <w:name w:val="Book Title1"/>
    <w:qFormat/>
    <w:uiPriority w:val="0"/>
    <w:rPr>
      <w:b/>
      <w:bCs/>
      <w:smallCaps/>
      <w:spacing w:val="5"/>
    </w:rPr>
  </w:style>
  <w:style w:type="character" w:customStyle="1" w:styleId="356">
    <w:name w:val="目录标题 Char Char"/>
    <w:link w:val="357"/>
    <w:qFormat/>
    <w:uiPriority w:val="0"/>
    <w:rPr>
      <w:rFonts w:eastAsia="黑体"/>
      <w:b/>
      <w:bCs/>
      <w:kern w:val="2"/>
      <w:sz w:val="44"/>
      <w:szCs w:val="44"/>
    </w:rPr>
  </w:style>
  <w:style w:type="paragraph" w:customStyle="1" w:styleId="357">
    <w:name w:val="目录标题"/>
    <w:basedOn w:val="1"/>
    <w:link w:val="356"/>
    <w:qFormat/>
    <w:uiPriority w:val="0"/>
    <w:pPr>
      <w:jc w:val="center"/>
    </w:pPr>
    <w:rPr>
      <w:rFonts w:eastAsia="黑体"/>
      <w:b/>
      <w:bCs/>
      <w:sz w:val="44"/>
      <w:szCs w:val="44"/>
    </w:rPr>
  </w:style>
  <w:style w:type="character" w:customStyle="1" w:styleId="358">
    <w:name w:val="4 Char"/>
    <w:link w:val="359"/>
    <w:qFormat/>
    <w:uiPriority w:val="0"/>
    <w:rPr>
      <w:rFonts w:ascii="仿宋" w:hAnsi="仿宋" w:eastAsia="仿宋"/>
      <w:b/>
      <w:bCs/>
      <w:kern w:val="2"/>
      <w:sz w:val="24"/>
      <w:szCs w:val="24"/>
    </w:rPr>
  </w:style>
  <w:style w:type="paragraph" w:customStyle="1" w:styleId="359">
    <w:name w:val="4"/>
    <w:basedOn w:val="8"/>
    <w:link w:val="358"/>
    <w:qFormat/>
    <w:uiPriority w:val="0"/>
    <w:pPr>
      <w:spacing w:before="0" w:after="0" w:line="360" w:lineRule="auto"/>
      <w:ind w:firstLine="200" w:firstLineChars="200"/>
    </w:pPr>
    <w:rPr>
      <w:rFonts w:ascii="仿宋" w:hAnsi="仿宋" w:eastAsia="仿宋"/>
      <w:sz w:val="24"/>
      <w:szCs w:val="24"/>
    </w:rPr>
  </w:style>
  <w:style w:type="character" w:customStyle="1" w:styleId="360">
    <w:name w:val="文本正文 Char"/>
    <w:link w:val="361"/>
    <w:qFormat/>
    <w:uiPriority w:val="0"/>
    <w:rPr>
      <w:rFonts w:ascii="Calibri" w:hAnsi="Calibri" w:eastAsia="仿宋"/>
      <w:kern w:val="2"/>
      <w:sz w:val="24"/>
      <w:szCs w:val="22"/>
    </w:rPr>
  </w:style>
  <w:style w:type="paragraph" w:customStyle="1" w:styleId="361">
    <w:name w:val="文本正文"/>
    <w:basedOn w:val="1"/>
    <w:link w:val="360"/>
    <w:qFormat/>
    <w:uiPriority w:val="0"/>
    <w:pPr>
      <w:spacing w:beforeLines="50" w:afterLines="50" w:line="360" w:lineRule="auto"/>
      <w:ind w:firstLine="200" w:firstLineChars="200"/>
    </w:pPr>
    <w:rPr>
      <w:rFonts w:ascii="Calibri" w:hAnsi="Calibri" w:eastAsia="仿宋"/>
      <w:sz w:val="24"/>
      <w:szCs w:val="22"/>
    </w:rPr>
  </w:style>
  <w:style w:type="character" w:customStyle="1" w:styleId="362">
    <w:name w:val="ll"/>
    <w:qFormat/>
    <w:uiPriority w:val="0"/>
    <w:rPr>
      <w:rFonts w:eastAsia="宋体"/>
      <w:kern w:val="2"/>
      <w:sz w:val="21"/>
      <w:szCs w:val="24"/>
      <w:lang w:val="en-US" w:eastAsia="zh-CN" w:bidi="ar-SA"/>
    </w:rPr>
  </w:style>
  <w:style w:type="character" w:customStyle="1" w:styleId="363">
    <w:name w:val="五级标题 Char"/>
    <w:link w:val="364"/>
    <w:qFormat/>
    <w:uiPriority w:val="0"/>
    <w:rPr>
      <w:rFonts w:eastAsia="黑体"/>
      <w:b/>
      <w:kern w:val="2"/>
      <w:sz w:val="28"/>
      <w:szCs w:val="22"/>
    </w:rPr>
  </w:style>
  <w:style w:type="paragraph" w:customStyle="1" w:styleId="364">
    <w:name w:val="五级标题"/>
    <w:basedOn w:val="1"/>
    <w:link w:val="363"/>
    <w:qFormat/>
    <w:uiPriority w:val="0"/>
    <w:pPr>
      <w:spacing w:line="360" w:lineRule="auto"/>
      <w:ind w:left="420" w:firstLine="200" w:firstLineChars="200"/>
      <w:outlineLvl w:val="4"/>
    </w:pPr>
    <w:rPr>
      <w:rFonts w:eastAsia="黑体"/>
      <w:b/>
      <w:sz w:val="28"/>
      <w:szCs w:val="22"/>
    </w:rPr>
  </w:style>
  <w:style w:type="character" w:customStyle="1" w:styleId="365">
    <w:name w:val="正文首行缩进 Char1"/>
    <w:qFormat/>
    <w:uiPriority w:val="0"/>
    <w:rPr>
      <w:rFonts w:eastAsia="仿宋_GB2312"/>
      <w:lang w:val="en-US" w:eastAsia="zh-CN" w:bidi="ar-SA"/>
    </w:rPr>
  </w:style>
  <w:style w:type="character" w:customStyle="1" w:styleId="366">
    <w:name w:val="Char Char212"/>
    <w:qFormat/>
    <w:uiPriority w:val="0"/>
    <w:rPr>
      <w:rFonts w:eastAsia="仿宋_GB2312"/>
      <w:b/>
      <w:bCs/>
      <w:kern w:val="2"/>
      <w:sz w:val="28"/>
      <w:szCs w:val="28"/>
      <w:lang w:val="en-US" w:eastAsia="zh-CN" w:bidi="ar-SA"/>
    </w:rPr>
  </w:style>
  <w:style w:type="character" w:customStyle="1" w:styleId="367">
    <w:name w:val="PI Char"/>
    <w:qFormat/>
    <w:uiPriority w:val="0"/>
    <w:rPr>
      <w:rFonts w:ascii="仿宋_GB2312" w:hAnsi="仿宋_GB2312"/>
      <w:sz w:val="24"/>
    </w:rPr>
  </w:style>
  <w:style w:type="character" w:customStyle="1" w:styleId="368">
    <w:name w:val="表正文 Char2"/>
    <w:qFormat/>
    <w:uiPriority w:val="0"/>
    <w:rPr>
      <w:rFonts w:ascii="新宋体" w:hAnsi="新宋体" w:eastAsia="仿宋_GB2312" w:cs="新宋体"/>
      <w:szCs w:val="24"/>
    </w:rPr>
  </w:style>
  <w:style w:type="character" w:customStyle="1" w:styleId="369">
    <w:name w:val="页眉 字符"/>
    <w:link w:val="44"/>
    <w:qFormat/>
    <w:uiPriority w:val="99"/>
    <w:rPr>
      <w:kern w:val="2"/>
      <w:sz w:val="18"/>
      <w:szCs w:val="18"/>
    </w:rPr>
  </w:style>
  <w:style w:type="character" w:customStyle="1" w:styleId="370">
    <w:name w:val="大标题 Char"/>
    <w:qFormat/>
    <w:uiPriority w:val="0"/>
    <w:rPr>
      <w:rFonts w:ascii="黑体" w:hAnsi="黑体" w:eastAsia="黑体"/>
      <w:b/>
      <w:bCs/>
      <w:kern w:val="2"/>
      <w:sz w:val="72"/>
      <w:szCs w:val="72"/>
    </w:rPr>
  </w:style>
  <w:style w:type="character" w:customStyle="1" w:styleId="371">
    <w:name w:val="Char Char Char1"/>
    <w:qFormat/>
    <w:uiPriority w:val="0"/>
    <w:rPr>
      <w:rFonts w:ascii="仿宋_GB2312" w:hAnsi="Wingdings"/>
      <w:sz w:val="21"/>
      <w:szCs w:val="21"/>
    </w:rPr>
  </w:style>
  <w:style w:type="character" w:customStyle="1" w:styleId="372">
    <w:name w:val="Char Char15"/>
    <w:qFormat/>
    <w:uiPriority w:val="0"/>
    <w:rPr>
      <w:rFonts w:ascii="Tahoma" w:hAnsi="Tahoma" w:eastAsia="Helvetica"/>
      <w:sz w:val="24"/>
      <w:szCs w:val="24"/>
    </w:rPr>
  </w:style>
  <w:style w:type="character" w:customStyle="1" w:styleId="373">
    <w:name w:val="表格标题 Char Char"/>
    <w:link w:val="374"/>
    <w:qFormat/>
    <w:uiPriority w:val="0"/>
    <w:rPr>
      <w:rFonts w:ascii="黑体" w:hAnsi="黑体" w:eastAsia="黑体"/>
      <w:b/>
      <w:color w:val="FFFFFF"/>
      <w:kern w:val="2"/>
      <w:sz w:val="21"/>
      <w:szCs w:val="24"/>
    </w:rPr>
  </w:style>
  <w:style w:type="paragraph" w:customStyle="1" w:styleId="374">
    <w:name w:val="表格标题"/>
    <w:basedOn w:val="1"/>
    <w:link w:val="373"/>
    <w:qFormat/>
    <w:uiPriority w:val="0"/>
    <w:rPr>
      <w:rFonts w:ascii="黑体" w:hAnsi="黑体" w:eastAsia="黑体"/>
      <w:b/>
      <w:color w:val="FFFFFF"/>
    </w:rPr>
  </w:style>
  <w:style w:type="character" w:customStyle="1" w:styleId="375">
    <w:name w:val="Intense Reference1"/>
    <w:qFormat/>
    <w:uiPriority w:val="32"/>
    <w:rPr>
      <w:b/>
      <w:bCs/>
      <w:smallCaps/>
      <w:color w:val="C0504D"/>
      <w:spacing w:val="5"/>
      <w:u w:val="single"/>
    </w:rPr>
  </w:style>
  <w:style w:type="character" w:customStyle="1" w:styleId="376">
    <w:name w:val="gray6"/>
    <w:basedOn w:val="65"/>
    <w:qFormat/>
    <w:uiPriority w:val="0"/>
  </w:style>
  <w:style w:type="character" w:customStyle="1" w:styleId="377">
    <w:name w:val="Char Char202"/>
    <w:qFormat/>
    <w:uiPriority w:val="0"/>
    <w:rPr>
      <w:b/>
      <w:bCs/>
      <w:kern w:val="44"/>
      <w:sz w:val="44"/>
      <w:szCs w:val="44"/>
    </w:rPr>
  </w:style>
  <w:style w:type="character" w:customStyle="1" w:styleId="378">
    <w:name w:val="ändrad Char"/>
    <w:qFormat/>
    <w:uiPriority w:val="0"/>
    <w:rPr>
      <w:rFonts w:eastAsia="仿宋_GB2312"/>
      <w:kern w:val="2"/>
      <w:sz w:val="21"/>
      <w:szCs w:val="24"/>
      <w:lang w:val="en-US" w:eastAsia="zh-CN" w:bidi="ar-SA"/>
    </w:rPr>
  </w:style>
  <w:style w:type="character" w:customStyle="1" w:styleId="379">
    <w:name w:val="大标题 Char Char"/>
    <w:link w:val="380"/>
    <w:qFormat/>
    <w:uiPriority w:val="0"/>
    <w:rPr>
      <w:rFonts w:ascii="黑体" w:hAnsi="黑体" w:eastAsia="黑体"/>
      <w:b/>
      <w:bCs/>
      <w:kern w:val="2"/>
      <w:sz w:val="72"/>
      <w:szCs w:val="72"/>
    </w:rPr>
  </w:style>
  <w:style w:type="paragraph" w:customStyle="1" w:styleId="380">
    <w:name w:val="大标题"/>
    <w:basedOn w:val="1"/>
    <w:link w:val="379"/>
    <w:qFormat/>
    <w:uiPriority w:val="0"/>
    <w:pPr>
      <w:spacing w:line="40" w:lineRule="atLeast"/>
    </w:pPr>
    <w:rPr>
      <w:rFonts w:ascii="黑体" w:hAnsi="黑体" w:eastAsia="黑体"/>
      <w:b/>
      <w:bCs/>
      <w:sz w:val="72"/>
      <w:szCs w:val="72"/>
    </w:rPr>
  </w:style>
  <w:style w:type="character" w:customStyle="1" w:styleId="381">
    <w:name w:val="Ò³Ã¼ Char Char"/>
    <w:qFormat/>
    <w:uiPriority w:val="0"/>
    <w:rPr>
      <w:sz w:val="18"/>
      <w:szCs w:val="18"/>
    </w:rPr>
  </w:style>
  <w:style w:type="character" w:customStyle="1" w:styleId="382">
    <w:name w:val="Char Char161"/>
    <w:qFormat/>
    <w:uiPriority w:val="0"/>
    <w:rPr>
      <w:rFonts w:eastAsia="仿宋_GB2312"/>
      <w:sz w:val="21"/>
      <w:lang w:val="en-US" w:eastAsia="zh-CN" w:bidi="ar-SA"/>
    </w:rPr>
  </w:style>
  <w:style w:type="character" w:customStyle="1" w:styleId="383">
    <w:name w:val="style41"/>
    <w:qFormat/>
    <w:uiPriority w:val="0"/>
    <w:rPr>
      <w:color w:val="auto"/>
    </w:rPr>
  </w:style>
  <w:style w:type="character" w:customStyle="1" w:styleId="384">
    <w:name w:val="正文4 Char Char"/>
    <w:link w:val="385"/>
    <w:qFormat/>
    <w:uiPriority w:val="0"/>
    <w:rPr>
      <w:kern w:val="2"/>
      <w:sz w:val="24"/>
      <w:szCs w:val="24"/>
    </w:rPr>
  </w:style>
  <w:style w:type="paragraph" w:customStyle="1" w:styleId="385">
    <w:name w:val="正文4"/>
    <w:basedOn w:val="1"/>
    <w:link w:val="384"/>
    <w:qFormat/>
    <w:uiPriority w:val="0"/>
    <w:pPr>
      <w:tabs>
        <w:tab w:val="left" w:pos="520"/>
      </w:tabs>
      <w:spacing w:before="60" w:after="60" w:line="360" w:lineRule="auto"/>
    </w:pPr>
    <w:rPr>
      <w:sz w:val="24"/>
    </w:rPr>
  </w:style>
  <w:style w:type="character" w:customStyle="1" w:styleId="386">
    <w:name w:val="Char Char201"/>
    <w:qFormat/>
    <w:uiPriority w:val="0"/>
    <w:rPr>
      <w:rFonts w:ascii="Verdana" w:hAnsi="Verdana" w:eastAsia="仿宋_GB2312" w:cs="新宋体"/>
      <w:b/>
      <w:bCs/>
      <w:sz w:val="32"/>
      <w:szCs w:val="32"/>
    </w:rPr>
  </w:style>
  <w:style w:type="character" w:customStyle="1" w:styleId="387">
    <w:name w:val="Char Char20"/>
    <w:qFormat/>
    <w:uiPriority w:val="0"/>
    <w:rPr>
      <w:rFonts w:ascii="Tahoma" w:hAnsi="Tahoma" w:eastAsia="Helvetica"/>
      <w:sz w:val="21"/>
      <w:szCs w:val="21"/>
      <w:lang w:val="en-US" w:eastAsia="zh-CN" w:bidi="ar-SA"/>
    </w:rPr>
  </w:style>
  <w:style w:type="character" w:customStyle="1" w:styleId="388">
    <w:name w:val="Char Char10"/>
    <w:qFormat/>
    <w:uiPriority w:val="0"/>
    <w:rPr>
      <w:rFonts w:eastAsia="仿宋_GB2312"/>
      <w:b/>
      <w:bCs/>
      <w:kern w:val="2"/>
      <w:sz w:val="21"/>
      <w:szCs w:val="24"/>
      <w:lang w:val="en-US" w:eastAsia="zh-CN" w:bidi="ar-SA"/>
    </w:rPr>
  </w:style>
  <w:style w:type="character" w:customStyle="1" w:styleId="389">
    <w:name w:val="heading 9 Char1"/>
    <w:qFormat/>
    <w:uiPriority w:val="0"/>
    <w:rPr>
      <w:rFonts w:ascii="Tahoma" w:hAnsi="Tahoma" w:eastAsia="Helvetica"/>
      <w:sz w:val="21"/>
      <w:lang w:val="en-US" w:eastAsia="zh-CN" w:bidi="ar-SA"/>
    </w:rPr>
  </w:style>
  <w:style w:type="character" w:customStyle="1" w:styleId="390">
    <w:name w:val="PI Char1"/>
    <w:qFormat/>
    <w:uiPriority w:val="0"/>
    <w:rPr>
      <w:rFonts w:eastAsia="仿宋_GB2312"/>
      <w:kern w:val="2"/>
      <w:sz w:val="24"/>
      <w:szCs w:val="24"/>
      <w:lang w:val="en-US" w:eastAsia="zh-CN" w:bidi="ar-SA"/>
    </w:rPr>
  </w:style>
  <w:style w:type="character" w:customStyle="1" w:styleId="391">
    <w:name w:val="注释正文"/>
    <w:qFormat/>
    <w:uiPriority w:val="0"/>
    <w:rPr>
      <w:rFonts w:eastAsia="宋体"/>
      <w:sz w:val="28"/>
      <w:u w:val="single"/>
    </w:rPr>
  </w:style>
  <w:style w:type="character" w:customStyle="1" w:styleId="392">
    <w:name w:val="金保标题2 Char"/>
    <w:link w:val="393"/>
    <w:qFormat/>
    <w:locked/>
    <w:uiPriority w:val="0"/>
    <w:rPr>
      <w:rFonts w:ascii="新宋体" w:hAnsi="新宋体" w:eastAsia="新宋体"/>
      <w:b/>
      <w:bCs/>
      <w:color w:val="000000"/>
      <w:kern w:val="2"/>
      <w:sz w:val="22"/>
      <w:szCs w:val="22"/>
      <w:lang w:val="zh-CN"/>
    </w:rPr>
  </w:style>
  <w:style w:type="paragraph" w:customStyle="1" w:styleId="393">
    <w:name w:val="金保标题2"/>
    <w:basedOn w:val="6"/>
    <w:next w:val="1"/>
    <w:link w:val="392"/>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4">
    <w:name w:val="样式 标题 3 + 黑体 小四 Char"/>
    <w:link w:val="395"/>
    <w:qFormat/>
    <w:uiPriority w:val="0"/>
    <w:rPr>
      <w:rFonts w:ascii="Helvetica" w:hAnsi="Tahoma" w:eastAsia="Helvetica"/>
      <w:bCs/>
      <w:sz w:val="24"/>
      <w:szCs w:val="24"/>
    </w:rPr>
  </w:style>
  <w:style w:type="paragraph" w:customStyle="1" w:styleId="395">
    <w:name w:val="样式 标题 3 + 黑体 小四"/>
    <w:basedOn w:val="7"/>
    <w:link w:val="394"/>
    <w:qFormat/>
    <w:uiPriority w:val="0"/>
    <w:pPr>
      <w:spacing w:before="0" w:after="0" w:line="415" w:lineRule="auto"/>
    </w:pPr>
    <w:rPr>
      <w:rFonts w:ascii="Helvetica" w:hAnsi="Tahoma" w:eastAsia="Helvetica"/>
      <w:b w:val="0"/>
      <w:kern w:val="0"/>
      <w:sz w:val="24"/>
      <w:szCs w:val="24"/>
    </w:rPr>
  </w:style>
  <w:style w:type="character" w:customStyle="1" w:styleId="396">
    <w:name w:val="宏文本 Char"/>
    <w:qFormat/>
    <w:uiPriority w:val="0"/>
    <w:rPr>
      <w:rFonts w:ascii="Wingdings" w:hAnsi="Wingdings" w:eastAsia="Times New Roman"/>
      <w:kern w:val="2"/>
      <w:sz w:val="24"/>
      <w:szCs w:val="24"/>
    </w:rPr>
  </w:style>
  <w:style w:type="character" w:customStyle="1" w:styleId="397">
    <w:name w:val="Subtle Reference1"/>
    <w:qFormat/>
    <w:uiPriority w:val="0"/>
    <w:rPr>
      <w:smallCaps/>
      <w:color w:val="C0504D"/>
      <w:u w:val="single"/>
    </w:rPr>
  </w:style>
  <w:style w:type="character" w:customStyle="1" w:styleId="398">
    <w:name w:val="Char Char191"/>
    <w:qFormat/>
    <w:uiPriority w:val="0"/>
    <w:rPr>
      <w:rFonts w:ascii="Verdana" w:hAnsi="Verdana"/>
      <w:b/>
      <w:bCs/>
      <w:kern w:val="2"/>
      <w:sz w:val="32"/>
      <w:szCs w:val="32"/>
    </w:rPr>
  </w:style>
  <w:style w:type="character" w:customStyle="1" w:styleId="399">
    <w:name w:val="Char Char Char2"/>
    <w:qFormat/>
    <w:uiPriority w:val="0"/>
    <w:rPr>
      <w:rFonts w:ascii="仿宋_GB2312" w:hAnsi="Wingdings" w:eastAsia="仿宋_GB2312"/>
      <w:sz w:val="21"/>
      <w:szCs w:val="21"/>
      <w:lang w:val="en-US" w:eastAsia="zh-CN" w:bidi="ar-SA"/>
    </w:rPr>
  </w:style>
  <w:style w:type="character" w:customStyle="1" w:styleId="400">
    <w:name w:val="PI Char2"/>
    <w:qFormat/>
    <w:uiPriority w:val="0"/>
    <w:rPr>
      <w:kern w:val="2"/>
      <w:sz w:val="24"/>
      <w:szCs w:val="24"/>
    </w:rPr>
  </w:style>
  <w:style w:type="character" w:customStyle="1" w:styleId="401">
    <w:name w:val="小标题 Char Char"/>
    <w:link w:val="402"/>
    <w:qFormat/>
    <w:uiPriority w:val="0"/>
    <w:rPr>
      <w:rFonts w:ascii="黑体" w:hAnsi="黑体" w:eastAsia="黑体"/>
      <w:b/>
      <w:bCs/>
      <w:kern w:val="2"/>
      <w:sz w:val="48"/>
      <w:szCs w:val="48"/>
    </w:rPr>
  </w:style>
  <w:style w:type="paragraph" w:customStyle="1" w:styleId="402">
    <w:name w:val="小标题"/>
    <w:basedOn w:val="1"/>
    <w:link w:val="401"/>
    <w:qFormat/>
    <w:uiPriority w:val="0"/>
    <w:pPr>
      <w:spacing w:line="40" w:lineRule="atLeast"/>
    </w:pPr>
    <w:rPr>
      <w:rFonts w:ascii="黑体" w:hAnsi="黑体" w:eastAsia="黑体"/>
      <w:b/>
      <w:bCs/>
      <w:sz w:val="48"/>
      <w:szCs w:val="48"/>
    </w:rPr>
  </w:style>
  <w:style w:type="paragraph" w:customStyle="1" w:styleId="403">
    <w:name w:val="標題10.3-1"/>
    <w:basedOn w:val="404"/>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4">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5">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6">
    <w:name w:val="称呼 字符"/>
    <w:basedOn w:val="65"/>
    <w:link w:val="23"/>
    <w:qFormat/>
    <w:uiPriority w:val="0"/>
    <w:rPr>
      <w:rFonts w:ascii="等线" w:hAnsi="等线" w:eastAsia="等线" w:cs="等线"/>
      <w:sz w:val="24"/>
    </w:rPr>
  </w:style>
  <w:style w:type="paragraph" w:customStyle="1" w:styleId="407">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8">
    <w:name w:val="kpk:1级"/>
    <w:basedOn w:val="5"/>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09">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0">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1">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2">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3">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4">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5">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8">
    <w:name w:val="注释标题 字符"/>
    <w:basedOn w:val="65"/>
    <w:link w:val="15"/>
    <w:qFormat/>
    <w:uiPriority w:val="0"/>
    <w:rPr>
      <w:rFonts w:ascii="DFKai-SB" w:hAnsi="DFKai-SB" w:eastAsia="DFKai-SB" w:cs="等线"/>
      <w:kern w:val="2"/>
      <w:lang w:eastAsia="zh-TW"/>
    </w:rPr>
  </w:style>
  <w:style w:type="paragraph" w:customStyle="1" w:styleId="41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0">
    <w:name w:val="二级标题"/>
    <w:basedOn w:val="6"/>
    <w:qFormat/>
    <w:uiPriority w:val="0"/>
    <w:pPr>
      <w:ind w:left="576" w:hanging="576"/>
    </w:pPr>
    <w:rPr>
      <w:rFonts w:ascii="华文中宋" w:eastAsia="华文中宋"/>
      <w:kern w:val="0"/>
    </w:rPr>
  </w:style>
  <w:style w:type="character" w:customStyle="1" w:styleId="421">
    <w:name w:val="正文文本 3 字符"/>
    <w:basedOn w:val="65"/>
    <w:link w:val="24"/>
    <w:qFormat/>
    <w:uiPriority w:val="0"/>
    <w:rPr>
      <w:rFonts w:ascii="等线" w:hAnsi="等线" w:eastAsia="等线" w:cs="等线"/>
    </w:rPr>
  </w:style>
  <w:style w:type="paragraph" w:customStyle="1" w:styleId="422">
    <w:name w:val="数字级连标题2"/>
    <w:basedOn w:val="6"/>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3">
    <w:name w:val="四级条标题"/>
    <w:basedOn w:val="424"/>
    <w:next w:val="1"/>
    <w:qFormat/>
    <w:uiPriority w:val="0"/>
    <w:pPr>
      <w:outlineLvl w:val="5"/>
    </w:pPr>
  </w:style>
  <w:style w:type="paragraph" w:customStyle="1" w:styleId="424">
    <w:name w:val="三级条标题"/>
    <w:basedOn w:val="425"/>
    <w:next w:val="1"/>
    <w:qFormat/>
    <w:uiPriority w:val="0"/>
    <w:pPr>
      <w:outlineLvl w:val="4"/>
    </w:pPr>
  </w:style>
  <w:style w:type="paragraph" w:customStyle="1" w:styleId="425">
    <w:name w:val="二级条标题"/>
    <w:basedOn w:val="426"/>
    <w:next w:val="1"/>
    <w:qFormat/>
    <w:uiPriority w:val="0"/>
    <w:pPr>
      <w:outlineLvl w:val="3"/>
    </w:pPr>
  </w:style>
  <w:style w:type="paragraph" w:customStyle="1" w:styleId="426">
    <w:name w:val="一级条标题"/>
    <w:next w:val="1"/>
    <w:qFormat/>
    <w:uiPriority w:val="0"/>
    <w:pPr>
      <w:outlineLvl w:val="2"/>
    </w:pPr>
    <w:rPr>
      <w:rFonts w:ascii="等线" w:hAnsi="等线" w:eastAsia="Helvetica" w:cs="等线"/>
      <w:sz w:val="21"/>
      <w:lang w:val="en-US" w:eastAsia="zh-CN" w:bidi="ar-SA"/>
    </w:rPr>
  </w:style>
  <w:style w:type="character" w:customStyle="1" w:styleId="427">
    <w:name w:val="宏文本 字符"/>
    <w:basedOn w:val="65"/>
    <w:link w:val="4"/>
    <w:qFormat/>
    <w:uiPriority w:val="0"/>
    <w:rPr>
      <w:rFonts w:ascii="Courier New" w:hAnsi="Courier New" w:cs="Courier New"/>
      <w:kern w:val="2"/>
      <w:sz w:val="24"/>
      <w:szCs w:val="24"/>
    </w:rPr>
  </w:style>
  <w:style w:type="paragraph" w:customStyle="1" w:styleId="428">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29">
    <w:name w:val="正文首行缩进1"/>
    <w:basedOn w:val="3"/>
    <w:qFormat/>
    <w:uiPriority w:val="0"/>
    <w:pPr>
      <w:suppressAutoHyphens/>
      <w:ind w:firstLine="420"/>
      <w:jc w:val="left"/>
    </w:pPr>
    <w:rPr>
      <w:rFonts w:ascii="等线" w:hAnsi="等线" w:cs="等线"/>
      <w:kern w:val="1"/>
      <w:sz w:val="28"/>
      <w:lang w:eastAsia="ar-SA"/>
    </w:rPr>
  </w:style>
  <w:style w:type="paragraph" w:customStyle="1" w:styleId="430">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1">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2">
    <w:name w:val="正文文本 2 字符"/>
    <w:basedOn w:val="65"/>
    <w:link w:val="55"/>
    <w:qFormat/>
    <w:uiPriority w:val="0"/>
    <w:rPr>
      <w:kern w:val="2"/>
      <w:sz w:val="21"/>
      <w:szCs w:val="24"/>
    </w:rPr>
  </w:style>
  <w:style w:type="character" w:customStyle="1" w:styleId="433">
    <w:name w:val="脚注文本 字符"/>
    <w:basedOn w:val="65"/>
    <w:link w:val="50"/>
    <w:qFormat/>
    <w:uiPriority w:val="0"/>
    <w:rPr>
      <w:rFonts w:ascii="等线" w:hAnsi="等线" w:eastAsia="等线" w:cs="等线"/>
      <w:kern w:val="2"/>
      <w:sz w:val="18"/>
      <w:szCs w:val="18"/>
    </w:rPr>
  </w:style>
  <w:style w:type="character" w:customStyle="1" w:styleId="434">
    <w:name w:val="副标题 字符"/>
    <w:basedOn w:val="65"/>
    <w:link w:val="48"/>
    <w:qFormat/>
    <w:uiPriority w:val="0"/>
    <w:rPr>
      <w:rFonts w:asciiTheme="majorHAnsi" w:hAnsiTheme="majorHAnsi" w:cstheme="majorBidi"/>
      <w:b/>
      <w:bCs/>
      <w:kern w:val="28"/>
      <w:sz w:val="32"/>
      <w:szCs w:val="32"/>
    </w:rPr>
  </w:style>
  <w:style w:type="character" w:customStyle="1" w:styleId="435">
    <w:name w:val="信息标题 字符"/>
    <w:basedOn w:val="65"/>
    <w:link w:val="56"/>
    <w:qFormat/>
    <w:uiPriority w:val="0"/>
    <w:rPr>
      <w:rFonts w:asciiTheme="majorHAnsi" w:hAnsiTheme="majorHAnsi" w:eastAsiaTheme="majorEastAsia" w:cstheme="majorBidi"/>
      <w:kern w:val="2"/>
      <w:sz w:val="24"/>
      <w:szCs w:val="24"/>
      <w:shd w:val="pct20" w:color="auto" w:fill="auto"/>
    </w:rPr>
  </w:style>
  <w:style w:type="character" w:customStyle="1" w:styleId="436">
    <w:name w:val="正文文本首行缩进 2 字符"/>
    <w:basedOn w:val="88"/>
    <w:link w:val="27"/>
    <w:qFormat/>
    <w:uiPriority w:val="0"/>
    <w:rPr>
      <w:kern w:val="2"/>
      <w:sz w:val="21"/>
      <w:szCs w:val="24"/>
    </w:rPr>
  </w:style>
  <w:style w:type="character" w:customStyle="1" w:styleId="437">
    <w:name w:val="HTML 预设格式 字符"/>
    <w:basedOn w:val="65"/>
    <w:link w:val="57"/>
    <w:qFormat/>
    <w:uiPriority w:val="0"/>
    <w:rPr>
      <w:rFonts w:ascii="Courier New" w:hAnsi="Courier New" w:cs="Courier New"/>
      <w:kern w:val="2"/>
    </w:rPr>
  </w:style>
  <w:style w:type="character" w:customStyle="1" w:styleId="438">
    <w:name w:val="签名 字符"/>
    <w:basedOn w:val="65"/>
    <w:link w:val="45"/>
    <w:qFormat/>
    <w:uiPriority w:val="0"/>
    <w:rPr>
      <w:rFonts w:ascii="等线" w:hAnsi="等线" w:eastAsia="黑体" w:cs="等线"/>
      <w:sz w:val="24"/>
    </w:rPr>
  </w:style>
  <w:style w:type="paragraph" w:customStyle="1" w:styleId="439">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0">
    <w:name w:val="1 Char"/>
    <w:basedOn w:val="17"/>
    <w:qFormat/>
    <w:uiPriority w:val="0"/>
    <w:pPr>
      <w:adjustRightInd/>
      <w:spacing w:line="360" w:lineRule="auto"/>
      <w:ind w:firstLine="200" w:firstLineChars="200"/>
      <w:textAlignment w:val="auto"/>
    </w:pPr>
    <w:rPr>
      <w:rFonts w:eastAsia="仿宋_GB2312"/>
      <w:kern w:val="2"/>
    </w:rPr>
  </w:style>
  <w:style w:type="paragraph" w:customStyle="1" w:styleId="441">
    <w:name w:val="Char1 Char Char Char Char"/>
    <w:basedOn w:val="20"/>
    <w:qFormat/>
    <w:uiPriority w:val="0"/>
    <w:rPr>
      <w:rFonts w:ascii="Tahoma" w:hAnsi="Tahoma" w:eastAsia="等线" w:cs="Tahoma"/>
      <w:kern w:val="0"/>
      <w:sz w:val="18"/>
    </w:rPr>
  </w:style>
  <w:style w:type="paragraph" w:customStyle="1" w:styleId="442">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4">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5">
    <w:name w:val="样式 正文缩进正文（首行缩进两字）表正文正文非缩进特点段1正文不缩进标题4水上软件ALT+Z四号正文文字3..."/>
    <w:basedOn w:val="17"/>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6">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7">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8">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4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0">
    <w:name w:val="注："/>
    <w:next w:val="451"/>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1">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2">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3">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4">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5">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56">
    <w:name w:val="Para"/>
    <w:qFormat/>
    <w:uiPriority w:val="0"/>
    <w:pPr>
      <w:spacing w:before="120"/>
    </w:pPr>
    <w:rPr>
      <w:rFonts w:ascii="等线" w:hAnsi="等线" w:eastAsia="等线" w:cs="等线"/>
      <w:sz w:val="18"/>
      <w:lang w:val="en-US" w:eastAsia="zh-CN" w:bidi="ar-SA"/>
    </w:rPr>
  </w:style>
  <w:style w:type="character" w:customStyle="1" w:styleId="457">
    <w:name w:val="引用 字符"/>
    <w:basedOn w:val="65"/>
    <w:link w:val="256"/>
    <w:semiHidden/>
    <w:qFormat/>
    <w:uiPriority w:val="99"/>
    <w:rPr>
      <w:i/>
      <w:iCs/>
      <w:color w:val="000000" w:themeColor="text1"/>
      <w:kern w:val="2"/>
      <w:sz w:val="21"/>
      <w:szCs w:val="24"/>
      <w14:textFill>
        <w14:solidFill>
          <w14:schemeClr w14:val="tx1"/>
        </w14:solidFill>
      </w14:textFill>
    </w:rPr>
  </w:style>
  <w:style w:type="paragraph" w:customStyle="1" w:styleId="458">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59">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0">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1">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2">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4">
    <w:name w:val="NICMAN Body Text"/>
    <w:basedOn w:val="1"/>
    <w:next w:val="3"/>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5">
    <w:name w:val="第一個訊息標題"/>
    <w:basedOn w:val="56"/>
    <w:next w:val="56"/>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6">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7">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8">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69">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0">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1">
    <w:name w:val="正文3"/>
    <w:qFormat/>
    <w:uiPriority w:val="0"/>
    <w:pPr>
      <w:jc w:val="both"/>
    </w:pPr>
    <w:rPr>
      <w:rFonts w:ascii="等线" w:hAnsi="等线" w:eastAsia="等线" w:cs="等线"/>
      <w:kern w:val="2"/>
      <w:sz w:val="21"/>
      <w:szCs w:val="21"/>
      <w:lang w:val="en-US" w:eastAsia="zh-CN" w:bidi="ar-SA"/>
    </w:rPr>
  </w:style>
  <w:style w:type="paragraph" w:customStyle="1" w:styleId="472">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4">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5">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6">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7">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79">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0">
    <w:name w:val="样式7"/>
    <w:basedOn w:val="8"/>
    <w:qFormat/>
    <w:uiPriority w:val="0"/>
  </w:style>
  <w:style w:type="paragraph" w:customStyle="1" w:styleId="481">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2">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3">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5">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8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7">
    <w:name w:val="样式 标题 3 + 黑体 小四 非加粗"/>
    <w:basedOn w:val="7"/>
    <w:qFormat/>
    <w:uiPriority w:val="0"/>
    <w:pPr>
      <w:spacing w:before="0" w:after="0" w:line="415" w:lineRule="auto"/>
    </w:pPr>
    <w:rPr>
      <w:rFonts w:ascii="Helvetica" w:hAnsi="Helvetica" w:eastAsia="Helvetica"/>
      <w:b w:val="0"/>
      <w:bCs w:val="0"/>
      <w:kern w:val="0"/>
      <w:sz w:val="24"/>
    </w:rPr>
  </w:style>
  <w:style w:type="paragraph" w:customStyle="1" w:styleId="488">
    <w:name w:val="工可正文"/>
    <w:basedOn w:val="34"/>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89">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0">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1">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2">
    <w:name w:val="信息标题2"/>
    <w:basedOn w:val="18"/>
    <w:next w:val="18"/>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3">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5">
    <w:name w:val="样式 标题 1"/>
    <w:basedOn w:val="5"/>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6">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4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8">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49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0">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3">
    <w:name w:val="_Style 113"/>
    <w:basedOn w:val="1"/>
    <w:qFormat/>
    <w:uiPriority w:val="0"/>
    <w:pPr>
      <w:spacing w:line="360" w:lineRule="auto"/>
      <w:ind w:firstLine="420" w:firstLineChars="200"/>
    </w:pPr>
    <w:rPr>
      <w:rFonts w:ascii="等线" w:hAnsi="等线" w:eastAsia="等线" w:cs="等线"/>
      <w:szCs w:val="20"/>
    </w:rPr>
  </w:style>
  <w:style w:type="paragraph" w:customStyle="1" w:styleId="504">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05">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6">
    <w:name w:val="五级条标题"/>
    <w:basedOn w:val="423"/>
    <w:next w:val="1"/>
    <w:qFormat/>
    <w:uiPriority w:val="0"/>
    <w:pPr>
      <w:outlineLvl w:val="6"/>
    </w:pPr>
  </w:style>
  <w:style w:type="paragraph" w:customStyle="1" w:styleId="507">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8">
    <w:name w:val="数字级连标题1"/>
    <w:basedOn w:val="5"/>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09">
    <w:name w:val="款1"/>
    <w:basedOn w:val="507"/>
    <w:qFormat/>
    <w:uiPriority w:val="0"/>
    <w:pPr>
      <w:ind w:left="1146"/>
    </w:pPr>
  </w:style>
  <w:style w:type="paragraph" w:customStyle="1" w:styleId="510">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1">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2">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5">
    <w:name w:val="標題 (一)"/>
    <w:basedOn w:val="6"/>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6">
    <w:name w:val="List Paragraph11"/>
    <w:basedOn w:val="1"/>
    <w:qFormat/>
    <w:uiPriority w:val="0"/>
    <w:pPr>
      <w:ind w:firstLine="420" w:firstLineChars="200"/>
    </w:pPr>
    <w:rPr>
      <w:rFonts w:ascii="Century Gothic" w:hAnsi="Century Gothic" w:eastAsia="仿宋_GB2312" w:cs="新宋体"/>
      <w:szCs w:val="22"/>
    </w:rPr>
  </w:style>
  <w:style w:type="paragraph" w:customStyle="1" w:styleId="517">
    <w:name w:val="正文文字 5"/>
    <w:basedOn w:val="26"/>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1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0">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1">
    <w:name w:val="七级标题"/>
    <w:basedOn w:val="11"/>
    <w:qFormat/>
    <w:uiPriority w:val="0"/>
    <w:pPr>
      <w:adjustRightInd/>
      <w:spacing w:line="320" w:lineRule="auto"/>
      <w:ind w:left="1276" w:hanging="1276"/>
      <w:textAlignment w:val="auto"/>
    </w:pPr>
    <w:rPr>
      <w:rFonts w:ascii="黑体" w:hAnsi="黑体" w:eastAsia="黑体"/>
      <w:bCs/>
      <w:kern w:val="0"/>
    </w:rPr>
  </w:style>
  <w:style w:type="paragraph" w:customStyle="1" w:styleId="522">
    <w:name w:val="样式 标题 1Level 1Level 11h1II+IHeading1H1-Heading 1Header 1..."/>
    <w:basedOn w:val="5"/>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3">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5">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6">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7">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29">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0">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1">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2">
    <w:name w:val="表格栏头"/>
    <w:basedOn w:val="533"/>
    <w:next w:val="533"/>
    <w:qFormat/>
    <w:uiPriority w:val="0"/>
    <w:rPr>
      <w:b/>
    </w:rPr>
  </w:style>
  <w:style w:type="paragraph" w:customStyle="1" w:styleId="533">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4">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3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6">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7">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8">
    <w:name w:val="修订2"/>
    <w:qFormat/>
    <w:uiPriority w:val="99"/>
    <w:rPr>
      <w:rFonts w:ascii="等线" w:hAnsi="等线" w:eastAsia="等线" w:cs="等线"/>
      <w:kern w:val="2"/>
      <w:sz w:val="21"/>
      <w:szCs w:val="24"/>
      <w:lang w:val="en-US" w:eastAsia="zh-CN" w:bidi="ar-SA"/>
    </w:rPr>
  </w:style>
  <w:style w:type="paragraph" w:customStyle="1" w:styleId="539">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0">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1">
    <w:name w:val="Copyright"/>
    <w:basedOn w:val="3"/>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3">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44">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5">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6">
    <w:name w:val="kpk:2级"/>
    <w:basedOn w:val="6"/>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7">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49">
    <w:name w:val="标题1"/>
    <w:basedOn w:val="60"/>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1">
    <w:name w:val="1."/>
    <w:basedOn w:val="7"/>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2">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3">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4">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6">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7">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8">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59">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0">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1">
    <w:name w:val="六级标题"/>
    <w:basedOn w:val="10"/>
    <w:qFormat/>
    <w:uiPriority w:val="0"/>
    <w:pPr>
      <w:ind w:left="1134" w:hanging="1134"/>
    </w:pPr>
    <w:rPr>
      <w:rFonts w:ascii="黑体" w:hAnsi="黑体" w:eastAsia="黑体"/>
      <w:kern w:val="0"/>
    </w:rPr>
  </w:style>
  <w:style w:type="paragraph" w:customStyle="1" w:styleId="562">
    <w:name w:val="Normal0"/>
    <w:qFormat/>
    <w:uiPriority w:val="0"/>
    <w:rPr>
      <w:rFonts w:ascii="等线" w:hAnsi="等线" w:eastAsia="等线" w:cs="等线"/>
      <w:lang w:val="en-US" w:eastAsia="en-US" w:bidi="ar-SA"/>
    </w:rPr>
  </w:style>
  <w:style w:type="paragraph" w:customStyle="1" w:styleId="563">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4">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65">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7">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68">
    <w:name w:val="标-1"/>
    <w:basedOn w:val="5"/>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69">
    <w:name w:val="標題 1."/>
    <w:basedOn w:val="7"/>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0">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1">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2">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3">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4">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5">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7">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8">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79">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0">
    <w:name w:val="默认段落字体 Para Char Char Char Char Char Char Char"/>
    <w:basedOn w:val="1"/>
    <w:qFormat/>
    <w:uiPriority w:val="0"/>
    <w:rPr>
      <w:rFonts w:ascii="等线" w:hAnsi="等线" w:eastAsia="黑体" w:cs="等线"/>
      <w:sz w:val="28"/>
    </w:rPr>
  </w:style>
  <w:style w:type="paragraph" w:customStyle="1" w:styleId="58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2">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3">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4">
    <w:name w:val="2"/>
    <w:basedOn w:val="1"/>
    <w:next w:val="26"/>
    <w:qFormat/>
    <w:uiPriority w:val="0"/>
    <w:pPr>
      <w:spacing w:line="440" w:lineRule="exact"/>
      <w:ind w:firstLine="420" w:firstLineChars="200"/>
    </w:pPr>
    <w:rPr>
      <w:rFonts w:ascii="等线" w:hAnsi="等线" w:eastAsia="等线" w:cs="等线"/>
      <w:sz w:val="28"/>
      <w:szCs w:val="20"/>
    </w:rPr>
  </w:style>
  <w:style w:type="paragraph" w:customStyle="1" w:styleId="585">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7">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89">
    <w:name w:val="网格表 31"/>
    <w:basedOn w:val="5"/>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0">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1">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2">
    <w:name w:val="明显引用 字符"/>
    <w:basedOn w:val="65"/>
    <w:link w:val="321"/>
    <w:semiHidden/>
    <w:qFormat/>
    <w:uiPriority w:val="99"/>
    <w:rPr>
      <w:b/>
      <w:bCs/>
      <w:i/>
      <w:iCs/>
      <w:color w:val="4F81BD" w:themeColor="accent1"/>
      <w:kern w:val="2"/>
      <w:sz w:val="21"/>
      <w:szCs w:val="24"/>
      <w14:textFill>
        <w14:solidFill>
          <w14:schemeClr w14:val="accent1"/>
        </w14:solidFill>
      </w14:textFill>
    </w:rPr>
  </w:style>
  <w:style w:type="paragraph" w:customStyle="1" w:styleId="593">
    <w:name w:val="Char Char Char Char Char Char1 Char Char Char Char"/>
    <w:basedOn w:val="20"/>
    <w:qFormat/>
    <w:uiPriority w:val="0"/>
    <w:pPr>
      <w:spacing w:line="360" w:lineRule="auto"/>
      <w:ind w:firstLine="200" w:firstLineChars="200"/>
    </w:pPr>
    <w:rPr>
      <w:rFonts w:ascii="Tahoma" w:hAnsi="Tahoma" w:eastAsia="等线"/>
      <w:sz w:val="24"/>
      <w:szCs w:val="20"/>
    </w:rPr>
  </w:style>
  <w:style w:type="paragraph" w:customStyle="1" w:styleId="59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6">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7">
    <w:name w:val="正文Y"/>
    <w:basedOn w:val="1"/>
    <w:qFormat/>
    <w:uiPriority w:val="0"/>
    <w:pPr>
      <w:spacing w:line="360" w:lineRule="auto"/>
      <w:ind w:firstLine="420" w:firstLineChars="200"/>
    </w:pPr>
    <w:rPr>
      <w:rFonts w:ascii="等线" w:hAnsi="等线" w:eastAsia="等线" w:cs="等线"/>
      <w:sz w:val="24"/>
    </w:rPr>
  </w:style>
  <w:style w:type="paragraph" w:customStyle="1" w:styleId="598">
    <w:name w:val="_Style 54"/>
    <w:basedOn w:val="1"/>
    <w:qFormat/>
    <w:uiPriority w:val="0"/>
    <w:rPr>
      <w:rFonts w:ascii="等线" w:hAnsi="等线" w:eastAsia="等线" w:cs="等线"/>
    </w:rPr>
  </w:style>
  <w:style w:type="paragraph" w:customStyle="1" w:styleId="599">
    <w:name w:val="标3"/>
    <w:basedOn w:val="7"/>
    <w:next w:val="8"/>
    <w:qFormat/>
    <w:uiPriority w:val="0"/>
    <w:pPr>
      <w:spacing w:before="240" w:after="180" w:line="360" w:lineRule="auto"/>
      <w:ind w:firstLine="576" w:firstLineChars="205"/>
    </w:pPr>
    <w:rPr>
      <w:rFonts w:ascii="等线" w:hAnsi="等线" w:eastAsia="等线"/>
      <w:bCs w:val="0"/>
      <w:sz w:val="28"/>
    </w:rPr>
  </w:style>
  <w:style w:type="paragraph" w:customStyle="1" w:styleId="600">
    <w:name w:val="纯文本1"/>
    <w:basedOn w:val="1"/>
    <w:qFormat/>
    <w:uiPriority w:val="0"/>
    <w:pPr>
      <w:adjustRightInd w:val="0"/>
      <w:jc w:val="left"/>
      <w:textAlignment w:val="baseline"/>
    </w:pPr>
    <w:rPr>
      <w:rFonts w:ascii="宋体" w:hAnsi="Courier New" w:eastAsia="等线" w:cs="等线"/>
      <w:szCs w:val="20"/>
    </w:rPr>
  </w:style>
  <w:style w:type="paragraph" w:customStyle="1" w:styleId="601">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3">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4">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5">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6">
    <w:name w:val="中等深浅底纹 1 - 着色 11"/>
    <w:qFormat/>
    <w:uiPriority w:val="0"/>
    <w:rPr>
      <w:rFonts w:ascii="等线" w:hAnsi="等线" w:eastAsia="等线" w:cs="等线"/>
      <w:sz w:val="22"/>
      <w:szCs w:val="22"/>
      <w:lang w:val="en-US" w:eastAsia="zh-CN" w:bidi="ar-SA"/>
    </w:rPr>
  </w:style>
  <w:style w:type="paragraph" w:customStyle="1" w:styleId="607">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09">
    <w:name w:val="样式5"/>
    <w:basedOn w:val="17"/>
    <w:qFormat/>
    <w:uiPriority w:val="0"/>
    <w:pPr>
      <w:adjustRightInd/>
      <w:spacing w:line="360" w:lineRule="auto"/>
      <w:ind w:firstLine="200" w:firstLineChars="200"/>
      <w:textAlignment w:val="auto"/>
    </w:pPr>
    <w:rPr>
      <w:rFonts w:eastAsia="仿宋_GB2312"/>
      <w:kern w:val="2"/>
      <w:sz w:val="28"/>
      <w:szCs w:val="21"/>
    </w:rPr>
  </w:style>
  <w:style w:type="paragraph" w:customStyle="1" w:styleId="610">
    <w:name w:val="1级编号"/>
    <w:basedOn w:val="1"/>
    <w:qFormat/>
    <w:uiPriority w:val="0"/>
    <w:pPr>
      <w:numPr>
        <w:ilvl w:val="0"/>
        <w:numId w:val="1"/>
      </w:numPr>
      <w:spacing w:beforeLines="200" w:afterLines="50" w:line="480" w:lineRule="exact"/>
      <w:jc w:val="center"/>
      <w:outlineLvl w:val="0"/>
    </w:pPr>
    <w:rPr>
      <w:rFonts w:eastAsia="仿宋"/>
      <w:b/>
      <w:sz w:val="28"/>
      <w:lang w:val="zh-CN"/>
    </w:rPr>
  </w:style>
  <w:style w:type="paragraph" w:customStyle="1" w:styleId="611">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6"/>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qFormat/>
    <w:uiPriority w:val="0"/>
    <w:rPr>
      <w:rFonts w:ascii="等线" w:hAnsi="等线" w:eastAsia="等线" w:cs="等线"/>
    </w:rPr>
  </w:style>
  <w:style w:type="paragraph" w:customStyle="1" w:styleId="615">
    <w:name w:val="其他标准标志"/>
    <w:basedOn w:val="494"/>
    <w:qFormat/>
    <w:uiPriority w:val="0"/>
    <w:pPr>
      <w:framePr w:w="6101" w:wrap="around" w:vAnchor="page" w:hAnchor="page" w:x="4673" w:y="942"/>
    </w:pPr>
    <w:rPr>
      <w:w w:val="130"/>
    </w:rPr>
  </w:style>
  <w:style w:type="paragraph" w:customStyle="1" w:styleId="61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6"/>
    <w:next w:val="27"/>
    <w:qFormat/>
    <w:uiPriority w:val="0"/>
    <w:pPr>
      <w:spacing w:line="415" w:lineRule="auto"/>
      <w:ind w:left="420"/>
    </w:pPr>
    <w:rPr>
      <w:rFonts w:eastAsia="黑体"/>
      <w:kern w:val="0"/>
      <w:sz w:val="30"/>
    </w:rPr>
  </w:style>
  <w:style w:type="paragraph" w:customStyle="1" w:styleId="618">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qFormat/>
    <w:uiPriority w:val="0"/>
    <w:rPr>
      <w:rFonts w:ascii="等线" w:hAnsi="等线" w:eastAsia="等线" w:cs="等线"/>
    </w:rPr>
  </w:style>
  <w:style w:type="paragraph" w:customStyle="1" w:styleId="62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3"/>
    <w:qFormat/>
    <w:uiPriority w:val="0"/>
    <w:pPr>
      <w:jc w:val="left"/>
    </w:pPr>
    <w:rPr>
      <w:rFonts w:ascii="等线" w:hAnsi="等线" w:eastAsia="等线"/>
      <w:shd w:val="clear" w:color="auto" w:fill="auto"/>
    </w:rPr>
  </w:style>
  <w:style w:type="paragraph" w:customStyle="1" w:styleId="62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7"/>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5"/>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6"/>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46">
    <w:name w:val="_Style 3"/>
    <w:qFormat/>
    <w:uiPriority w:val="0"/>
    <w:rPr>
      <w:rFonts w:ascii="Calibri" w:hAnsi="Calibri" w:eastAsia="等线" w:cs="等线"/>
      <w:sz w:val="22"/>
      <w:szCs w:val="22"/>
      <w:lang w:val="en-US" w:eastAsia="zh-CN" w:bidi="ar-SA"/>
    </w:rPr>
  </w:style>
  <w:style w:type="paragraph" w:customStyle="1" w:styleId="647">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9"/>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qFormat/>
    <w:uiPriority w:val="0"/>
    <w:pPr>
      <w:ind w:firstLine="420" w:firstLineChars="200"/>
    </w:pPr>
    <w:rPr>
      <w:rFonts w:ascii="Calibri" w:hAnsi="Calibri" w:eastAsia="等线" w:cs="等线"/>
      <w:szCs w:val="22"/>
    </w:rPr>
  </w:style>
  <w:style w:type="paragraph" w:customStyle="1" w:styleId="656">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5"/>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2">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1"/>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qFormat/>
    <w:uiPriority w:val="0"/>
    <w:rPr>
      <w:rFonts w:ascii="等线" w:hAnsi="等线" w:eastAsia="等线" w:cs="等线"/>
    </w:rPr>
  </w:style>
  <w:style w:type="paragraph" w:customStyle="1" w:styleId="673">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qFormat/>
    <w:uiPriority w:val="0"/>
    <w:pPr>
      <w:ind w:left="1418" w:hanging="284"/>
    </w:pPr>
  </w:style>
  <w:style w:type="paragraph" w:customStyle="1" w:styleId="678">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0"/>
    <w:qFormat/>
    <w:uiPriority w:val="0"/>
    <w:rPr>
      <w:rFonts w:eastAsia="等线"/>
    </w:rPr>
  </w:style>
  <w:style w:type="paragraph" w:customStyle="1" w:styleId="680">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8"/>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qFormat/>
    <w:uiPriority w:val="0"/>
    <w:rPr>
      <w:rFonts w:ascii="Tahoma" w:hAnsi="Tahoma" w:eastAsia="等线" w:cs="等线"/>
      <w:sz w:val="24"/>
      <w:szCs w:val="20"/>
    </w:rPr>
  </w:style>
  <w:style w:type="paragraph" w:customStyle="1" w:styleId="699">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5"/>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5"/>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0">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qFormat/>
    <w:uiPriority w:val="0"/>
    <w:pPr>
      <w:jc w:val="center"/>
    </w:pPr>
    <w:rPr>
      <w:rFonts w:ascii="宋体" w:hAnsi="宋体" w:eastAsia="等线" w:cs="等线"/>
      <w:color w:val="000000"/>
      <w:szCs w:val="21"/>
    </w:rPr>
  </w:style>
  <w:style w:type="paragraph" w:customStyle="1" w:styleId="718">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qFormat/>
    <w:uiPriority w:val="0"/>
    <w:pPr>
      <w:tabs>
        <w:tab w:val="left" w:pos="360"/>
      </w:tabs>
    </w:pPr>
    <w:rPr>
      <w:rFonts w:ascii="等线" w:hAnsi="等线" w:eastAsia="等线" w:cs="等线"/>
      <w:szCs w:val="20"/>
    </w:rPr>
  </w:style>
  <w:style w:type="paragraph" w:customStyle="1" w:styleId="7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3">
    <w:name w:val="text1"/>
    <w:qFormat/>
    <w:uiPriority w:val="0"/>
    <w:rPr>
      <w:rFonts w:ascii="等线" w:hAnsi="等线" w:eastAsia="DFKai-SB" w:cs="等线"/>
      <w:sz w:val="28"/>
      <w:lang w:val="en-US" w:eastAsia="zh-TW" w:bidi="ar-SA"/>
    </w:rPr>
  </w:style>
  <w:style w:type="table" w:customStyle="1" w:styleId="734">
    <w:name w:val="网格表 1 浅色 - 着色 41"/>
    <w:basedOn w:val="62"/>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2"/>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qFormat/>
    <w:uiPriority w:val="99"/>
    <w:rPr>
      <w:kern w:val="2"/>
      <w:sz w:val="24"/>
    </w:rPr>
  </w:style>
  <w:style w:type="character" w:customStyle="1" w:styleId="739">
    <w:name w:val="font51"/>
    <w:qFormat/>
    <w:uiPriority w:val="0"/>
    <w:rPr>
      <w:rFonts w:hint="eastAsia" w:ascii="宋体" w:hAnsi="宋体" w:eastAsia="宋体" w:cs="宋体"/>
      <w:color w:val="000000"/>
      <w:sz w:val="24"/>
      <w:szCs w:val="24"/>
      <w:u w:val="none"/>
    </w:rPr>
  </w:style>
  <w:style w:type="character" w:customStyle="1" w:styleId="740">
    <w:name w:val="fontstyle31"/>
    <w:qFormat/>
    <w:uiPriority w:val="0"/>
    <w:rPr>
      <w:rFonts w:ascii="TimesNewRomanPSMT" w:hAnsi="TimesNewRomanPSMT" w:eastAsia="TimesNewRomanPSMT" w:cs="TimesNewRomanPSMT"/>
      <w:color w:val="000000"/>
      <w:sz w:val="22"/>
      <w:szCs w:val="22"/>
    </w:rPr>
  </w:style>
  <w:style w:type="character" w:customStyle="1" w:styleId="741">
    <w:name w:val="尾注文本 Char"/>
    <w:qFormat/>
    <w:uiPriority w:val="1"/>
    <w:rPr>
      <w:kern w:val="2"/>
      <w:sz w:val="28"/>
      <w:szCs w:val="24"/>
    </w:rPr>
  </w:style>
  <w:style w:type="character" w:customStyle="1" w:styleId="742">
    <w:name w:val="font81"/>
    <w:qFormat/>
    <w:uiPriority w:val="0"/>
    <w:rPr>
      <w:rFonts w:hint="eastAsia" w:ascii="宋体" w:hAnsi="宋体" w:eastAsia="宋体" w:cs="宋体"/>
      <w:color w:val="000000"/>
      <w:sz w:val="20"/>
      <w:szCs w:val="20"/>
      <w:u w:val="none"/>
    </w:rPr>
  </w:style>
  <w:style w:type="character" w:customStyle="1" w:styleId="743">
    <w:name w:val="font101"/>
    <w:qFormat/>
    <w:uiPriority w:val="0"/>
    <w:rPr>
      <w:rFonts w:hint="eastAsia" w:ascii="宋体" w:hAnsi="宋体" w:eastAsia="宋体" w:cs="宋体"/>
      <w:b/>
      <w:color w:val="000000"/>
      <w:sz w:val="24"/>
      <w:szCs w:val="24"/>
      <w:u w:val="none"/>
    </w:rPr>
  </w:style>
  <w:style w:type="character" w:customStyle="1" w:styleId="744">
    <w:name w:val="表头编号 Char"/>
    <w:link w:val="745"/>
    <w:qFormat/>
    <w:uiPriority w:val="0"/>
    <w:rPr>
      <w:rFonts w:eastAsia="黑体"/>
      <w:sz w:val="24"/>
      <w:szCs w:val="24"/>
    </w:rPr>
  </w:style>
  <w:style w:type="paragraph" w:customStyle="1" w:styleId="745">
    <w:name w:val="表头编号"/>
    <w:basedOn w:val="1"/>
    <w:next w:val="746"/>
    <w:link w:val="744"/>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qFormat/>
    <w:uiPriority w:val="0"/>
    <w:pPr>
      <w:adjustRightInd w:val="0"/>
      <w:snapToGrid w:val="0"/>
      <w:jc w:val="center"/>
    </w:pPr>
    <w:rPr>
      <w:color w:val="000000"/>
      <w:kern w:val="0"/>
      <w:sz w:val="24"/>
      <w:szCs w:val="21"/>
    </w:rPr>
  </w:style>
  <w:style w:type="character" w:customStyle="1" w:styleId="747">
    <w:name w:val="表格文字 Char"/>
    <w:link w:val="748"/>
    <w:qFormat/>
    <w:uiPriority w:val="0"/>
    <w:rPr>
      <w:kern w:val="2"/>
      <w:sz w:val="21"/>
      <w:szCs w:val="21"/>
    </w:rPr>
  </w:style>
  <w:style w:type="paragraph" w:customStyle="1" w:styleId="748">
    <w:name w:val="表格文字"/>
    <w:basedOn w:val="263"/>
    <w:next w:val="3"/>
    <w:link w:val="747"/>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qFormat/>
    <w:uiPriority w:val="0"/>
    <w:rPr>
      <w:b/>
      <w:kern w:val="2"/>
      <w:sz w:val="28"/>
      <w:szCs w:val="24"/>
    </w:rPr>
  </w:style>
  <w:style w:type="paragraph" w:customStyle="1" w:styleId="751">
    <w:name w:val="表格标题/图片标题/日期格式/图片居中"/>
    <w:link w:val="750"/>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basedOn w:val="65"/>
    <w:qFormat/>
    <w:uiPriority w:val="0"/>
    <w:rPr>
      <w:rFonts w:hint="eastAsia" w:ascii="宋体" w:hAnsi="宋体" w:eastAsia="宋体" w:cs="宋体"/>
      <w:b/>
      <w:color w:val="000000"/>
      <w:sz w:val="24"/>
      <w:szCs w:val="24"/>
      <w:u w:val="none"/>
    </w:rPr>
  </w:style>
  <w:style w:type="character" w:customStyle="1" w:styleId="753">
    <w:name w:val="font41"/>
    <w:qFormat/>
    <w:uiPriority w:val="0"/>
    <w:rPr>
      <w:rFonts w:hint="default" w:ascii="Times New Roman" w:hAnsi="Times New Roman" w:cs="Times New Roman"/>
      <w:color w:val="000000"/>
      <w:sz w:val="20"/>
      <w:szCs w:val="20"/>
      <w:u w:val="none"/>
    </w:rPr>
  </w:style>
  <w:style w:type="character" w:customStyle="1" w:styleId="754">
    <w:name w:val="fontstyle21"/>
    <w:qFormat/>
    <w:uiPriority w:val="0"/>
    <w:rPr>
      <w:rFonts w:ascii="宋体" w:hAnsi="宋体" w:eastAsia="宋体" w:cs="宋体"/>
      <w:color w:val="000000"/>
      <w:sz w:val="22"/>
      <w:szCs w:val="22"/>
    </w:rPr>
  </w:style>
  <w:style w:type="character" w:customStyle="1" w:styleId="755">
    <w:name w:val="font201"/>
    <w:qFormat/>
    <w:uiPriority w:val="0"/>
    <w:rPr>
      <w:rFonts w:hint="eastAsia" w:ascii="宋体" w:hAnsi="宋体" w:eastAsia="宋体" w:cs="宋体"/>
      <w:b/>
      <w:color w:val="000000"/>
      <w:sz w:val="24"/>
      <w:szCs w:val="24"/>
      <w:u w:val="none"/>
    </w:rPr>
  </w:style>
  <w:style w:type="character" w:customStyle="1" w:styleId="756">
    <w:name w:val="font221"/>
    <w:qFormat/>
    <w:uiPriority w:val="0"/>
    <w:rPr>
      <w:rFonts w:hint="eastAsia" w:ascii="宋体" w:hAnsi="宋体" w:eastAsia="宋体" w:cs="宋体"/>
      <w:color w:val="000000"/>
      <w:sz w:val="24"/>
      <w:szCs w:val="24"/>
      <w:u w:val="none"/>
    </w:rPr>
  </w:style>
  <w:style w:type="character" w:customStyle="1" w:styleId="757">
    <w:name w:val="尾注文本 字符"/>
    <w:basedOn w:val="65"/>
    <w:link w:val="40"/>
    <w:qFormat/>
    <w:uiPriority w:val="99"/>
    <w:rPr>
      <w:kern w:val="2"/>
      <w:sz w:val="21"/>
      <w:szCs w:val="24"/>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表格文字（居中）"/>
    <w:basedOn w:val="1"/>
    <w:qFormat/>
    <w:uiPriority w:val="0"/>
    <w:pPr>
      <w:spacing w:line="360" w:lineRule="auto"/>
      <w:ind w:firstLine="200" w:firstLineChars="200"/>
      <w:jc w:val="center"/>
    </w:pPr>
    <w:rPr>
      <w:sz w:val="28"/>
    </w:rPr>
  </w:style>
  <w:style w:type="paragraph" w:customStyle="1" w:styleId="760">
    <w:name w:val="文章正文"/>
    <w:basedOn w:val="1"/>
    <w:qFormat/>
    <w:uiPriority w:val="0"/>
    <w:pPr>
      <w:spacing w:line="360" w:lineRule="auto"/>
      <w:ind w:firstLine="200" w:firstLineChars="200"/>
    </w:pPr>
    <w:rPr>
      <w:kern w:val="0"/>
      <w:sz w:val="28"/>
      <w:szCs w:val="22"/>
    </w:rPr>
  </w:style>
  <w:style w:type="paragraph" w:customStyle="1" w:styleId="761">
    <w:name w:val="表格内容"/>
    <w:basedOn w:val="1"/>
    <w:qFormat/>
    <w:uiPriority w:val="0"/>
    <w:pPr>
      <w:jc w:val="center"/>
    </w:pPr>
    <w:rPr>
      <w:sz w:val="24"/>
      <w:szCs w:val="21"/>
    </w:rPr>
  </w:style>
  <w:style w:type="paragraph" w:customStyle="1" w:styleId="762">
    <w:name w:val="图名"/>
    <w:basedOn w:val="1"/>
    <w:next w:val="1"/>
    <w:qFormat/>
    <w:uiPriority w:val="1"/>
    <w:pPr>
      <w:spacing w:line="360" w:lineRule="auto"/>
      <w:jc w:val="center"/>
    </w:pPr>
    <w:rPr>
      <w:rFonts w:eastAsia="Times New Roman"/>
      <w:b/>
      <w:color w:val="000000"/>
      <w:sz w:val="28"/>
    </w:rPr>
  </w:style>
  <w:style w:type="paragraph" w:customStyle="1" w:styleId="763">
    <w:name w:val="08-123456789"/>
    <w:basedOn w:val="1"/>
    <w:qFormat/>
    <w:uiPriority w:val="0"/>
    <w:pPr>
      <w:ind w:firstLine="553" w:firstLineChars="200"/>
    </w:pPr>
    <w:rPr>
      <w:rFonts w:cs="宋体"/>
      <w:sz w:val="26"/>
      <w:szCs w:val="26"/>
    </w:rPr>
  </w:style>
  <w:style w:type="paragraph" w:customStyle="1" w:styleId="764">
    <w:name w:val="封面文字"/>
    <w:basedOn w:val="1"/>
    <w:qFormat/>
    <w:uiPriority w:val="0"/>
    <w:pPr>
      <w:spacing w:line="360" w:lineRule="auto"/>
      <w:jc w:val="center"/>
    </w:pPr>
    <w:rPr>
      <w:rFonts w:hAnsi="宋体" w:eastAsia="黑体"/>
      <w:sz w:val="48"/>
    </w:rPr>
  </w:style>
  <w:style w:type="paragraph" w:customStyle="1" w:styleId="765">
    <w:name w:val="表头、图名"/>
    <w:basedOn w:val="1"/>
    <w:link w:val="807"/>
    <w:qFormat/>
    <w:uiPriority w:val="0"/>
    <w:pPr>
      <w:spacing w:line="360" w:lineRule="auto"/>
      <w:ind w:firstLine="200" w:firstLineChars="200"/>
      <w:jc w:val="center"/>
    </w:pPr>
    <w:rPr>
      <w:b/>
      <w:sz w:val="28"/>
      <w:szCs w:val="20"/>
    </w:rPr>
  </w:style>
  <w:style w:type="paragraph" w:customStyle="1" w:styleId="766">
    <w:name w:val="表头2"/>
    <w:basedOn w:val="374"/>
    <w:qFormat/>
    <w:uiPriority w:val="0"/>
    <w:pPr>
      <w:spacing w:line="520" w:lineRule="exact"/>
      <w:jc w:val="left"/>
    </w:pPr>
    <w:rPr>
      <w:rFonts w:ascii="Calibri" w:hAnsi="Calibri" w:eastAsia="宋体"/>
      <w:color w:val="auto"/>
      <w:szCs w:val="28"/>
    </w:rPr>
  </w:style>
  <w:style w:type="paragraph" w:customStyle="1" w:styleId="767">
    <w:name w:val="WPSOffice手动目录 1"/>
    <w:qFormat/>
    <w:uiPriority w:val="0"/>
    <w:rPr>
      <w:rFonts w:ascii="Times New Roman" w:hAnsi="Times New Roman" w:eastAsia="宋体" w:cs="Times New Roman"/>
      <w:lang w:val="en-US" w:eastAsia="zh-CN" w:bidi="ar-SA"/>
    </w:rPr>
  </w:style>
  <w:style w:type="paragraph" w:customStyle="1" w:styleId="768">
    <w:name w:val="表格备注"/>
    <w:basedOn w:val="1"/>
    <w:next w:val="1"/>
    <w:qFormat/>
    <w:uiPriority w:val="2"/>
    <w:pPr>
      <w:spacing w:afterLines="50"/>
    </w:pPr>
  </w:style>
  <w:style w:type="paragraph" w:customStyle="1" w:styleId="769">
    <w:name w:val="目  录"/>
    <w:basedOn w:val="1"/>
    <w:qFormat/>
    <w:uiPriority w:val="0"/>
    <w:pPr>
      <w:spacing w:line="360" w:lineRule="auto"/>
      <w:jc w:val="center"/>
    </w:pPr>
    <w:rPr>
      <w:rFonts w:hAnsi="宋体" w:eastAsia="黑体"/>
      <w:sz w:val="44"/>
    </w:rPr>
  </w:style>
  <w:style w:type="paragraph" w:customStyle="1" w:styleId="770">
    <w:name w:val="表格样式"/>
    <w:basedOn w:val="1"/>
    <w:qFormat/>
    <w:uiPriority w:val="0"/>
    <w:pPr>
      <w:widowControl/>
      <w:jc w:val="center"/>
    </w:pPr>
    <w:rPr>
      <w:bCs/>
      <w:kern w:val="0"/>
      <w:sz w:val="24"/>
    </w:rPr>
  </w:style>
  <w:style w:type="paragraph" w:customStyle="1" w:styleId="771">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qFormat/>
    <w:uiPriority w:val="0"/>
    <w:pPr>
      <w:spacing w:line="360" w:lineRule="auto"/>
      <w:ind w:firstLine="200" w:firstLineChars="200"/>
      <w:jc w:val="center"/>
    </w:pPr>
    <w:rPr>
      <w:sz w:val="24"/>
      <w:szCs w:val="21"/>
    </w:rPr>
  </w:style>
  <w:style w:type="paragraph" w:customStyle="1" w:styleId="7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qFormat/>
    <w:uiPriority w:val="0"/>
    <w:pPr>
      <w:jc w:val="center"/>
    </w:pPr>
    <w:rPr>
      <w:sz w:val="28"/>
    </w:rPr>
  </w:style>
  <w:style w:type="character" w:customStyle="1" w:styleId="776">
    <w:name w:val="招标正文 字符"/>
    <w:link w:val="777"/>
    <w:qFormat/>
    <w:uiPriority w:val="0"/>
    <w:rPr>
      <w:rFonts w:ascii="宋体" w:hAnsi="宋体"/>
      <w:color w:val="000000"/>
      <w:sz w:val="24"/>
      <w:szCs w:val="21"/>
    </w:rPr>
  </w:style>
  <w:style w:type="paragraph" w:customStyle="1" w:styleId="777">
    <w:name w:val="招标正文"/>
    <w:basedOn w:val="1"/>
    <w:link w:val="77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qFormat/>
    <w:uiPriority w:val="0"/>
    <w:rPr>
      <w:rFonts w:ascii="宋体" w:hAnsi="宋体"/>
      <w:b/>
      <w:bCs/>
      <w:sz w:val="28"/>
      <w:szCs w:val="21"/>
    </w:rPr>
  </w:style>
  <w:style w:type="paragraph" w:customStyle="1" w:styleId="779">
    <w:name w:val="招标-标题1"/>
    <w:basedOn w:val="1"/>
    <w:link w:val="778"/>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qFormat/>
    <w:uiPriority w:val="0"/>
    <w:rPr>
      <w:rFonts w:ascii="宋体" w:hAnsi="宋体"/>
      <w:b/>
      <w:sz w:val="32"/>
    </w:rPr>
  </w:style>
  <w:style w:type="paragraph" w:customStyle="1" w:styleId="781">
    <w:name w:val="招标-主标题"/>
    <w:basedOn w:val="1"/>
    <w:link w:val="78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qFormat/>
    <w:uiPriority w:val="10"/>
    <w:rPr>
      <w:rFonts w:eastAsia="宋体" w:asciiTheme="majorHAnsi" w:hAnsiTheme="majorHAnsi" w:cstheme="majorBidi"/>
      <w:b/>
      <w:bCs/>
      <w:sz w:val="32"/>
      <w:szCs w:val="32"/>
    </w:rPr>
  </w:style>
  <w:style w:type="paragraph" w:customStyle="1" w:styleId="783">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qFormat/>
    <w:uiPriority w:val="0"/>
    <w:rPr>
      <w:rFonts w:ascii="仿宋_GB2312" w:eastAsia="仿宋_GB2312" w:cs="仿宋_GB2312"/>
      <w:kern w:val="2"/>
      <w:sz w:val="30"/>
      <w:szCs w:val="30"/>
      <w:lang w:val="zh-CN" w:eastAsia="zh-CN" w:bidi="ar-SA"/>
    </w:rPr>
  </w:style>
  <w:style w:type="paragraph" w:customStyle="1" w:styleId="790">
    <w:name w:val="样式4"/>
    <w:basedOn w:val="1"/>
    <w:qFormat/>
    <w:uiPriority w:val="0"/>
    <w:pPr>
      <w:spacing w:line="360" w:lineRule="auto"/>
      <w:ind w:firstLine="200" w:firstLineChars="200"/>
    </w:pPr>
    <w:rPr>
      <w:sz w:val="28"/>
      <w:szCs w:val="21"/>
    </w:rPr>
  </w:style>
  <w:style w:type="paragraph" w:customStyle="1" w:styleId="791">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qFormat/>
    <w:uiPriority w:val="0"/>
    <w:rPr>
      <w:rFonts w:ascii="仿宋_GB2312" w:eastAsia="仿宋_GB2312"/>
      <w:kern w:val="2"/>
      <w:sz w:val="32"/>
      <w:szCs w:val="32"/>
      <w:lang w:val="zh-CN"/>
    </w:rPr>
  </w:style>
  <w:style w:type="paragraph" w:customStyle="1" w:styleId="796">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5"/>
    <w:next w:val="5"/>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6"/>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7"/>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qFormat/>
    <w:uiPriority w:val="0"/>
    <w:pPr>
      <w:spacing w:beforeLines="100"/>
    </w:pPr>
    <w:rPr>
      <w:rFonts w:cs="宋体"/>
      <w:bCs w:val="0"/>
      <w:szCs w:val="20"/>
    </w:rPr>
  </w:style>
  <w:style w:type="paragraph" w:customStyle="1" w:styleId="801">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qFormat/>
    <w:uiPriority w:val="0"/>
    <w:pPr>
      <w:widowControl/>
      <w:spacing w:line="360" w:lineRule="auto"/>
      <w:ind w:firstLine="200" w:firstLineChars="200"/>
    </w:pPr>
    <w:rPr>
      <w:color w:val="000000"/>
      <w:sz w:val="28"/>
      <w:szCs w:val="28"/>
    </w:rPr>
  </w:style>
  <w:style w:type="paragraph" w:customStyle="1" w:styleId="803">
    <w:name w:val="附图表"/>
    <w:basedOn w:val="1"/>
    <w:link w:val="804"/>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qFormat/>
    <w:uiPriority w:val="0"/>
    <w:rPr>
      <w:rFonts w:ascii="黑体" w:hAnsi="黑体" w:eastAsia="黑体"/>
      <w:color w:val="000000"/>
      <w:sz w:val="28"/>
      <w:szCs w:val="30"/>
      <w:lang w:val="zh-CN"/>
    </w:rPr>
  </w:style>
  <w:style w:type="character" w:customStyle="1" w:styleId="805">
    <w:name w:val="Char Char7"/>
    <w:qFormat/>
    <w:uiPriority w:val="0"/>
    <w:rPr>
      <w:rFonts w:hAnsi="宋体" w:eastAsia="宋体"/>
      <w:kern w:val="2"/>
      <w:sz w:val="18"/>
      <w:szCs w:val="18"/>
      <w:lang w:val="zh-CN" w:eastAsia="zh-CN" w:bidi="ar-SA"/>
    </w:rPr>
  </w:style>
  <w:style w:type="character" w:customStyle="1" w:styleId="806">
    <w:name w:val="content1"/>
    <w:qFormat/>
    <w:uiPriority w:val="0"/>
    <w:rPr>
      <w:sz w:val="22"/>
      <w:szCs w:val="22"/>
    </w:rPr>
  </w:style>
  <w:style w:type="character" w:customStyle="1" w:styleId="807">
    <w:name w:val="表头 Char"/>
    <w:link w:val="765"/>
    <w:qFormat/>
    <w:uiPriority w:val="0"/>
    <w:rPr>
      <w:b/>
      <w:kern w:val="2"/>
      <w:sz w:val="28"/>
    </w:rPr>
  </w:style>
  <w:style w:type="character" w:customStyle="1" w:styleId="808">
    <w:name w:val="表格文本 Char"/>
    <w:link w:val="746"/>
    <w:qFormat/>
    <w:uiPriority w:val="0"/>
    <w:rPr>
      <w:color w:val="000000"/>
      <w:sz w:val="24"/>
      <w:szCs w:val="21"/>
    </w:rPr>
  </w:style>
  <w:style w:type="character" w:customStyle="1" w:styleId="809">
    <w:name w:val="批注主题 Char1"/>
    <w:basedOn w:val="111"/>
    <w:semiHidden/>
    <w:qFormat/>
    <w:uiPriority w:val="99"/>
    <w:rPr>
      <w:rFonts w:ascii="Calibri" w:hAnsi="Calibri" w:eastAsia="仿宋" w:cs="Times New Roman"/>
      <w:b/>
      <w:bCs/>
      <w:kern w:val="2"/>
      <w:sz w:val="28"/>
      <w:szCs w:val="22"/>
    </w:rPr>
  </w:style>
  <w:style w:type="paragraph" w:customStyle="1" w:styleId="81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qFormat/>
    <w:uiPriority w:val="0"/>
    <w:pPr>
      <w:widowControl/>
      <w:jc w:val="left"/>
    </w:pPr>
    <w:rPr>
      <w:rFonts w:ascii="宋体" w:hAnsi="Courier New"/>
    </w:rPr>
  </w:style>
  <w:style w:type="paragraph" w:customStyle="1" w:styleId="812">
    <w:name w:val="二级无"/>
    <w:basedOn w:val="425"/>
    <w:qFormat/>
    <w:uiPriority w:val="0"/>
    <w:pPr>
      <w:ind w:left="735"/>
    </w:pPr>
    <w:rPr>
      <w:rFonts w:ascii="宋体" w:hAnsi="Calibri" w:eastAsia="宋体" w:cs="Times New Roman"/>
      <w:szCs w:val="21"/>
    </w:rPr>
  </w:style>
  <w:style w:type="paragraph" w:customStyle="1" w:styleId="81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qFormat/>
    <w:uiPriority w:val="0"/>
    <w:rPr>
      <w:rFonts w:ascii="宋体" w:hAnsi="宋体"/>
      <w:sz w:val="24"/>
    </w:rPr>
  </w:style>
  <w:style w:type="table" w:customStyle="1" w:styleId="815">
    <w:name w:val="Table Normal"/>
    <w:semiHidden/>
    <w:unhideWhenUsed/>
    <w:qFormat/>
    <w:uiPriority w:val="0"/>
    <w:tblPr>
      <w:tblCellMar>
        <w:top w:w="0" w:type="dxa"/>
        <w:left w:w="0" w:type="dxa"/>
        <w:bottom w:w="0" w:type="dxa"/>
        <w:right w:w="0" w:type="dxa"/>
      </w:tblCellMar>
    </w:tblPr>
  </w:style>
  <w:style w:type="paragraph" w:customStyle="1" w:styleId="816">
    <w:name w:val="列表段落1"/>
    <w:basedOn w:val="1"/>
    <w:qFormat/>
    <w:uiPriority w:val="0"/>
    <w:pPr>
      <w:ind w:firstLine="420" w:firstLineChars="200"/>
    </w:pPr>
    <w:rPr>
      <w:szCs w:val="21"/>
    </w:rPr>
  </w:style>
  <w:style w:type="paragraph" w:customStyle="1" w:styleId="817">
    <w:name w:val="列表段落2"/>
    <w:basedOn w:val="1"/>
    <w:qFormat/>
    <w:uiPriority w:val="0"/>
    <w:pPr>
      <w:ind w:firstLine="420" w:firstLineChars="200"/>
    </w:pPr>
    <w:rPr>
      <w:szCs w:val="21"/>
    </w:rPr>
  </w:style>
  <w:style w:type="paragraph" w:customStyle="1" w:styleId="818">
    <w:name w:val="msolistparagraph"/>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77225-142F-46AC-A367-C77C4358C1A0}">
  <ds:schemaRefs/>
</ds:datastoreItem>
</file>

<file path=docProps/app.xml><?xml version="1.0" encoding="utf-8"?>
<Properties xmlns="http://schemas.openxmlformats.org/officeDocument/2006/extended-properties" xmlns:vt="http://schemas.openxmlformats.org/officeDocument/2006/docPropsVTypes">
  <Template>Normal</Template>
  <Pages>61</Pages>
  <Words>40500</Words>
  <Characters>42040</Characters>
  <Lines>408</Lines>
  <Paragraphs>115</Paragraphs>
  <TotalTime>24</TotalTime>
  <ScaleCrop>false</ScaleCrop>
  <LinksUpToDate>false</LinksUpToDate>
  <CharactersWithSpaces>43516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进击的大雪参</cp:lastModifiedBy>
  <cp:lastPrinted>2022-08-12T02:13:00Z</cp:lastPrinted>
  <dcterms:modified xsi:type="dcterms:W3CDTF">2023-01-11T02:57:36Z</dcterms:modified>
  <dc:title>温州市政府采购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AB6EB03A826C42B9AC54AA6B763530B8</vt:lpwstr>
  </property>
  <property fmtid="{D5CDD505-2E9C-101B-9397-08002B2CF9AE}" pid="4" name="commondata">
    <vt:lpwstr>eyJoZGlkIjoiZDRhNzcwYWMxNDc0YjRjN2UxZDk1NTg4ZWEwNTIzZDUifQ==</vt:lpwstr>
  </property>
</Properties>
</file>