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bCs/>
          <w:color w:val="auto"/>
          <w:spacing w:val="100"/>
          <w:sz w:val="84"/>
          <w:szCs w:val="84"/>
          <w:highlight w:val="none"/>
        </w:rPr>
      </w:pPr>
      <w:r>
        <w:rPr>
          <w:rFonts w:hint="eastAsia" w:ascii="新宋体" w:hAnsi="新宋体" w:eastAsia="新宋体" w:cs="新宋体"/>
          <w:b/>
          <w:bCs/>
          <w:color w:val="auto"/>
          <w:spacing w:val="100"/>
          <w:sz w:val="84"/>
          <w:szCs w:val="84"/>
          <w:highlight w:val="none"/>
        </w:rPr>
        <w:t>鹿城区政府采购</w:t>
      </w:r>
    </w:p>
    <w:p>
      <w:pPr>
        <w:jc w:val="center"/>
        <w:rPr>
          <w:rFonts w:ascii="新宋体" w:hAnsi="新宋体" w:eastAsia="新宋体" w:cs="新宋体"/>
          <w:b/>
          <w:bCs/>
          <w:color w:val="auto"/>
          <w:spacing w:val="26"/>
          <w:sz w:val="52"/>
          <w:highlight w:val="none"/>
        </w:rPr>
      </w:pPr>
    </w:p>
    <w:p>
      <w:pPr>
        <w:jc w:val="center"/>
        <w:rPr>
          <w:rFonts w:ascii="新宋体" w:hAnsi="新宋体" w:eastAsia="新宋体" w:cs="新宋体"/>
          <w:b/>
          <w:bCs/>
          <w:color w:val="auto"/>
          <w:spacing w:val="140"/>
          <w:sz w:val="84"/>
          <w:szCs w:val="84"/>
          <w:highlight w:val="none"/>
        </w:rPr>
      </w:pPr>
    </w:p>
    <w:p>
      <w:pPr>
        <w:jc w:val="center"/>
        <w:rPr>
          <w:rFonts w:ascii="新宋体" w:hAnsi="新宋体" w:eastAsia="新宋体" w:cs="新宋体"/>
          <w:b/>
          <w:bCs/>
          <w:color w:val="auto"/>
          <w:spacing w:val="140"/>
          <w:sz w:val="84"/>
          <w:szCs w:val="84"/>
          <w:highlight w:val="none"/>
        </w:rPr>
      </w:pPr>
    </w:p>
    <w:p>
      <w:pPr>
        <w:jc w:val="center"/>
        <w:rPr>
          <w:rFonts w:ascii="新宋体" w:hAnsi="新宋体" w:eastAsia="新宋体" w:cs="新宋体"/>
          <w:b/>
          <w:bCs/>
          <w:color w:val="auto"/>
          <w:spacing w:val="140"/>
          <w:sz w:val="84"/>
          <w:szCs w:val="84"/>
          <w:highlight w:val="none"/>
        </w:rPr>
      </w:pPr>
      <w:r>
        <w:rPr>
          <w:rFonts w:hint="eastAsia" w:ascii="新宋体" w:hAnsi="新宋体" w:eastAsia="新宋体" w:cs="新宋体"/>
          <w:b/>
          <w:bCs/>
          <w:color w:val="auto"/>
          <w:spacing w:val="140"/>
          <w:sz w:val="84"/>
          <w:szCs w:val="84"/>
          <w:highlight w:val="none"/>
        </w:rPr>
        <w:t>采购文件</w:t>
      </w:r>
    </w:p>
    <w:p>
      <w:pPr>
        <w:pStyle w:val="23"/>
        <w:ind w:firstLine="0" w:firstLineChars="0"/>
        <w:jc w:val="center"/>
        <w:rPr>
          <w:rFonts w:ascii="新宋体" w:hAnsi="新宋体" w:eastAsia="新宋体" w:cs="新宋体"/>
          <w:b w:val="0"/>
          <w:bCs/>
          <w:color w:val="auto"/>
          <w:szCs w:val="21"/>
          <w:highlight w:val="none"/>
        </w:rPr>
      </w:pPr>
    </w:p>
    <w:p>
      <w:pPr>
        <w:pStyle w:val="23"/>
        <w:ind w:firstLine="0" w:firstLineChars="0"/>
        <w:jc w:val="center"/>
        <w:rPr>
          <w:rFonts w:ascii="新宋体" w:hAnsi="新宋体" w:eastAsia="新宋体" w:cs="新宋体"/>
          <w:b w:val="0"/>
          <w:bCs/>
          <w:color w:val="auto"/>
          <w:szCs w:val="21"/>
          <w:highlight w:val="none"/>
        </w:rPr>
      </w:pPr>
    </w:p>
    <w:p>
      <w:pPr>
        <w:pStyle w:val="23"/>
        <w:ind w:firstLine="0" w:firstLineChars="0"/>
        <w:jc w:val="center"/>
        <w:rPr>
          <w:rFonts w:ascii="新宋体" w:hAnsi="新宋体" w:eastAsia="新宋体" w:cs="新宋体"/>
          <w:b w:val="0"/>
          <w:bCs/>
          <w:color w:val="auto"/>
          <w:szCs w:val="21"/>
          <w:highlight w:val="none"/>
        </w:rPr>
      </w:pPr>
    </w:p>
    <w:p>
      <w:pPr>
        <w:pStyle w:val="23"/>
        <w:ind w:firstLine="0" w:firstLineChars="0"/>
        <w:jc w:val="center"/>
        <w:rPr>
          <w:rFonts w:ascii="新宋体" w:hAnsi="新宋体" w:eastAsia="新宋体" w:cs="新宋体"/>
          <w:b w:val="0"/>
          <w:bCs/>
          <w:color w:val="auto"/>
          <w:szCs w:val="21"/>
          <w:highlight w:val="none"/>
        </w:rPr>
      </w:pPr>
    </w:p>
    <w:tbl>
      <w:tblPr>
        <w:tblStyle w:val="56"/>
        <w:tblW w:w="0" w:type="auto"/>
        <w:jc w:val="center"/>
        <w:tblLayout w:type="fixed"/>
        <w:tblCellMar>
          <w:top w:w="0" w:type="dxa"/>
          <w:left w:w="108" w:type="dxa"/>
          <w:bottom w:w="0" w:type="dxa"/>
          <w:right w:w="108" w:type="dxa"/>
        </w:tblCellMar>
      </w:tblPr>
      <w:tblGrid>
        <w:gridCol w:w="1483"/>
        <w:gridCol w:w="3072"/>
      </w:tblGrid>
      <w:tr>
        <w:tblPrEx>
          <w:tblCellMar>
            <w:top w:w="0" w:type="dxa"/>
            <w:left w:w="108" w:type="dxa"/>
            <w:bottom w:w="0" w:type="dxa"/>
            <w:right w:w="108" w:type="dxa"/>
          </w:tblCellMar>
        </w:tblPrEx>
        <w:trPr>
          <w:trHeight w:val="707" w:hRule="atLeast"/>
          <w:jc w:val="center"/>
        </w:trPr>
        <w:tc>
          <w:tcPr>
            <w:tcW w:w="1483" w:type="dxa"/>
            <w:vAlign w:val="center"/>
          </w:tcPr>
          <w:p>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3072" w:type="dxa"/>
            <w:vAlign w:val="center"/>
          </w:tcPr>
          <w:p>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HCZB-F20220518-AZ</w:t>
            </w:r>
          </w:p>
        </w:tc>
      </w:tr>
      <w:tr>
        <w:tblPrEx>
          <w:tblCellMar>
            <w:top w:w="0" w:type="dxa"/>
            <w:left w:w="108" w:type="dxa"/>
            <w:bottom w:w="0" w:type="dxa"/>
            <w:right w:w="108" w:type="dxa"/>
          </w:tblCellMar>
        </w:tblPrEx>
        <w:trPr>
          <w:trHeight w:val="942" w:hRule="atLeast"/>
          <w:jc w:val="center"/>
        </w:trPr>
        <w:tc>
          <w:tcPr>
            <w:tcW w:w="1483" w:type="dxa"/>
            <w:vAlign w:val="center"/>
          </w:tcPr>
          <w:p>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3072" w:type="dxa"/>
            <w:vAlign w:val="center"/>
          </w:tcPr>
          <w:p>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鹿城区安置服务项目（三期）</w:t>
            </w:r>
          </w:p>
        </w:tc>
      </w:tr>
      <w:tr>
        <w:tblPrEx>
          <w:tblCellMar>
            <w:top w:w="0" w:type="dxa"/>
            <w:left w:w="108" w:type="dxa"/>
            <w:bottom w:w="0" w:type="dxa"/>
            <w:right w:w="108" w:type="dxa"/>
          </w:tblCellMar>
        </w:tblPrEx>
        <w:trPr>
          <w:trHeight w:val="707" w:hRule="atLeast"/>
          <w:jc w:val="center"/>
        </w:trPr>
        <w:tc>
          <w:tcPr>
            <w:tcW w:w="1483" w:type="dxa"/>
            <w:vAlign w:val="center"/>
          </w:tcPr>
          <w:p>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3072" w:type="dxa"/>
            <w:vAlign w:val="center"/>
          </w:tcPr>
          <w:p>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pPr>
        <w:pStyle w:val="23"/>
        <w:ind w:firstLine="0" w:firstLineChars="0"/>
        <w:jc w:val="center"/>
        <w:rPr>
          <w:rFonts w:ascii="新宋体" w:hAnsi="新宋体" w:eastAsia="新宋体" w:cs="新宋体"/>
          <w:b w:val="0"/>
          <w:bCs/>
          <w:color w:val="auto"/>
          <w:szCs w:val="21"/>
          <w:highlight w:val="none"/>
        </w:rPr>
      </w:pPr>
    </w:p>
    <w:p>
      <w:pPr>
        <w:pStyle w:val="23"/>
        <w:ind w:firstLine="0" w:firstLineChars="0"/>
        <w:jc w:val="center"/>
        <w:rPr>
          <w:rFonts w:ascii="新宋体" w:hAnsi="新宋体" w:eastAsia="新宋体" w:cs="新宋体"/>
          <w:b w:val="0"/>
          <w:bCs/>
          <w:color w:val="auto"/>
          <w:szCs w:val="21"/>
          <w:highlight w:val="none"/>
        </w:rPr>
      </w:pPr>
    </w:p>
    <w:p>
      <w:pPr>
        <w:pStyle w:val="23"/>
        <w:ind w:firstLine="0" w:firstLineChars="0"/>
        <w:jc w:val="center"/>
        <w:rPr>
          <w:rFonts w:ascii="新宋体" w:hAnsi="新宋体" w:eastAsia="新宋体" w:cs="新宋体"/>
          <w:b w:val="0"/>
          <w:bCs/>
          <w:color w:val="auto"/>
          <w:szCs w:val="21"/>
          <w:highlight w:val="none"/>
        </w:rPr>
      </w:pPr>
    </w:p>
    <w:p>
      <w:pPr>
        <w:pStyle w:val="23"/>
        <w:ind w:firstLine="0" w:firstLineChars="0"/>
        <w:jc w:val="center"/>
        <w:rPr>
          <w:rFonts w:ascii="新宋体" w:hAnsi="新宋体" w:eastAsia="新宋体" w:cs="新宋体"/>
          <w:b w:val="0"/>
          <w:bCs/>
          <w:color w:val="auto"/>
          <w:szCs w:val="21"/>
          <w:highlight w:val="none"/>
        </w:rPr>
      </w:pPr>
    </w:p>
    <w:p>
      <w:pPr>
        <w:pStyle w:val="23"/>
        <w:ind w:firstLine="0" w:firstLineChars="0"/>
        <w:jc w:val="center"/>
        <w:rPr>
          <w:rFonts w:ascii="新宋体" w:hAnsi="新宋体" w:eastAsia="新宋体" w:cs="新宋体"/>
          <w:b w:val="0"/>
          <w:bCs/>
          <w:color w:val="auto"/>
          <w:szCs w:val="21"/>
          <w:highlight w:val="none"/>
        </w:rPr>
      </w:pPr>
    </w:p>
    <w:tbl>
      <w:tblPr>
        <w:tblStyle w:val="56"/>
        <w:tblW w:w="0" w:type="auto"/>
        <w:jc w:val="center"/>
        <w:tblLayout w:type="fixed"/>
        <w:tblCellMar>
          <w:top w:w="0" w:type="dxa"/>
          <w:left w:w="108" w:type="dxa"/>
          <w:bottom w:w="0" w:type="dxa"/>
          <w:right w:w="108" w:type="dxa"/>
        </w:tblCellMar>
      </w:tblPr>
      <w:tblGrid>
        <w:gridCol w:w="1342"/>
        <w:gridCol w:w="236"/>
        <w:gridCol w:w="4915"/>
      </w:tblGrid>
      <w:tr>
        <w:tblPrEx>
          <w:tblCellMar>
            <w:top w:w="0" w:type="dxa"/>
            <w:left w:w="108" w:type="dxa"/>
            <w:bottom w:w="0" w:type="dxa"/>
            <w:right w:w="108" w:type="dxa"/>
          </w:tblCellMar>
        </w:tblPrEx>
        <w:trPr>
          <w:trHeight w:val="707" w:hRule="atLeast"/>
          <w:jc w:val="center"/>
        </w:trPr>
        <w:tc>
          <w:tcPr>
            <w:tcW w:w="1342" w:type="dxa"/>
            <w:vAlign w:val="center"/>
          </w:tcPr>
          <w:p>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236" w:type="dxa"/>
            <w:vAlign w:val="center"/>
          </w:tcPr>
          <w:p>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915" w:type="dxa"/>
            <w:vAlign w:val="center"/>
          </w:tcPr>
          <w:p>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温州市鹿城区城中村改造建设中心</w:t>
            </w:r>
          </w:p>
        </w:tc>
      </w:tr>
      <w:tr>
        <w:tblPrEx>
          <w:tblCellMar>
            <w:top w:w="0" w:type="dxa"/>
            <w:left w:w="108" w:type="dxa"/>
            <w:bottom w:w="0" w:type="dxa"/>
            <w:right w:w="108" w:type="dxa"/>
          </w:tblCellMar>
        </w:tblPrEx>
        <w:trPr>
          <w:trHeight w:val="707" w:hRule="atLeast"/>
          <w:jc w:val="center"/>
        </w:trPr>
        <w:tc>
          <w:tcPr>
            <w:tcW w:w="1342" w:type="dxa"/>
            <w:vAlign w:val="center"/>
          </w:tcPr>
          <w:p>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代理机构</w:t>
            </w:r>
          </w:p>
        </w:tc>
        <w:tc>
          <w:tcPr>
            <w:tcW w:w="236" w:type="dxa"/>
            <w:vAlign w:val="center"/>
          </w:tcPr>
          <w:p>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915" w:type="dxa"/>
            <w:vAlign w:val="center"/>
          </w:tcPr>
          <w:p>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华诚工程咨询集团有限公司</w:t>
            </w:r>
          </w:p>
        </w:tc>
      </w:tr>
    </w:tbl>
    <w:p>
      <w:pPr>
        <w:spacing w:line="600" w:lineRule="exact"/>
        <w:jc w:val="center"/>
        <w:rPr>
          <w:rFonts w:ascii="新宋体" w:hAnsi="新宋体" w:eastAsia="新宋体" w:cs="新宋体"/>
          <w:b/>
          <w:color w:val="auto"/>
          <w:sz w:val="30"/>
          <w:szCs w:val="30"/>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pgNumType w:start="0"/>
          <w:cols w:space="720" w:num="1"/>
          <w:titlePg/>
          <w:docGrid w:linePitch="312" w:charSpace="0"/>
        </w:sectPr>
      </w:pPr>
      <w:r>
        <w:rPr>
          <w:rFonts w:hint="eastAsia" w:ascii="新宋体" w:hAnsi="新宋体" w:eastAsia="新宋体" w:cs="新宋体"/>
          <w:b/>
          <w:color w:val="auto"/>
          <w:sz w:val="30"/>
          <w:szCs w:val="30"/>
          <w:highlight w:val="none"/>
        </w:rPr>
        <w:t>二○二二年</w:t>
      </w:r>
      <w:r>
        <w:rPr>
          <w:rFonts w:hint="eastAsia" w:ascii="新宋体" w:hAnsi="新宋体" w:eastAsia="新宋体" w:cs="新宋体"/>
          <w:b/>
          <w:color w:val="auto"/>
          <w:sz w:val="30"/>
          <w:szCs w:val="30"/>
          <w:highlight w:val="none"/>
          <w:lang w:eastAsia="zh-CN"/>
        </w:rPr>
        <w:t>五</w:t>
      </w:r>
      <w:r>
        <w:rPr>
          <w:rFonts w:hint="eastAsia" w:ascii="新宋体" w:hAnsi="新宋体" w:eastAsia="新宋体" w:cs="新宋体"/>
          <w:b/>
          <w:color w:val="auto"/>
          <w:sz w:val="30"/>
          <w:szCs w:val="30"/>
          <w:highlight w:val="none"/>
        </w:rPr>
        <w:t>月</w:t>
      </w:r>
    </w:p>
    <w:p>
      <w:pPr>
        <w:pStyle w:val="40"/>
        <w:tabs>
          <w:tab w:val="right" w:leader="dot" w:pos="9638"/>
        </w:tabs>
        <w:ind w:left="1030" w:hanging="1030"/>
        <w:jc w:val="center"/>
        <w:rPr>
          <w:rFonts w:ascii="新宋体" w:hAnsi="新宋体" w:eastAsia="新宋体" w:cs="新宋体"/>
          <w:b/>
          <w:bCs/>
          <w:color w:val="auto"/>
          <w:sz w:val="30"/>
          <w:szCs w:val="30"/>
          <w:highlight w:val="none"/>
        </w:rPr>
      </w:pPr>
      <w:r>
        <w:rPr>
          <w:rFonts w:hint="eastAsia" w:ascii="新宋体" w:hAnsi="新宋体" w:eastAsia="新宋体" w:cs="新宋体"/>
          <w:b/>
          <w:bCs/>
          <w:color w:val="auto"/>
          <w:sz w:val="30"/>
          <w:szCs w:val="30"/>
          <w:highlight w:val="none"/>
        </w:rPr>
        <w:t>目 录</w:t>
      </w:r>
    </w:p>
    <w:p>
      <w:pPr>
        <w:rPr>
          <w:rFonts w:ascii="新宋体" w:hAnsi="新宋体" w:eastAsia="新宋体"/>
          <w:color w:val="auto"/>
          <w:highlight w:val="none"/>
        </w:rPr>
      </w:pPr>
    </w:p>
    <w:p>
      <w:pPr>
        <w:pStyle w:val="40"/>
        <w:tabs>
          <w:tab w:val="right" w:leader="dot" w:pos="9628"/>
        </w:tabs>
        <w:spacing w:line="480" w:lineRule="auto"/>
        <w:ind w:left="1" w:firstLine="0" w:firstLineChars="0"/>
        <w:rPr>
          <w:rFonts w:ascii="新宋体" w:hAnsi="新宋体" w:eastAsia="新宋体" w:cs="新宋体"/>
          <w:b/>
          <w:bCs/>
          <w:color w:val="auto"/>
          <w:szCs w:val="21"/>
          <w:highlight w:val="none"/>
        </w:rPr>
      </w:pPr>
    </w:p>
    <w:p>
      <w:pPr>
        <w:pStyle w:val="40"/>
        <w:tabs>
          <w:tab w:val="right" w:leader="dot" w:pos="9638"/>
        </w:tabs>
        <w:spacing w:line="480" w:lineRule="auto"/>
        <w:ind w:left="824" w:hanging="824"/>
        <w:rPr>
          <w:rFonts w:ascii="新宋体" w:hAnsi="新宋体" w:eastAsia="新宋体" w:cs="宋体"/>
          <w:color w:val="auto"/>
          <w:sz w:val="24"/>
          <w:highlight w:val="none"/>
        </w:rPr>
      </w:pPr>
      <w:r>
        <w:rPr>
          <w:rFonts w:hint="eastAsia" w:ascii="新宋体" w:hAnsi="新宋体" w:eastAsia="新宋体" w:cs="宋体"/>
          <w:b/>
          <w:bCs/>
          <w:color w:val="auto"/>
          <w:sz w:val="24"/>
          <w:highlight w:val="none"/>
        </w:rPr>
        <w:fldChar w:fldCharType="begin"/>
      </w:r>
      <w:r>
        <w:rPr>
          <w:rFonts w:hint="eastAsia" w:ascii="新宋体" w:hAnsi="新宋体" w:eastAsia="新宋体" w:cs="宋体"/>
          <w:b/>
          <w:bCs/>
          <w:color w:val="auto"/>
          <w:sz w:val="24"/>
          <w:highlight w:val="none"/>
        </w:rPr>
        <w:instrText xml:space="preserve">TOC \o "1-3" \h \u </w:instrText>
      </w:r>
      <w:r>
        <w:rPr>
          <w:rFonts w:hint="eastAsia" w:ascii="新宋体" w:hAnsi="新宋体" w:eastAsia="新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"_Toc9549" </w:instrText>
      </w:r>
      <w:r>
        <w:rPr>
          <w:color w:val="auto"/>
          <w:highlight w:val="none"/>
        </w:rPr>
        <w:fldChar w:fldCharType="separate"/>
      </w:r>
      <w:r>
        <w:rPr>
          <w:rFonts w:hint="eastAsia" w:ascii="新宋体" w:hAnsi="新宋体" w:eastAsia="新宋体" w:cs="宋体"/>
          <w:color w:val="auto"/>
          <w:sz w:val="24"/>
          <w:highlight w:val="none"/>
        </w:rPr>
        <w:t>第一部分   投标人须知</w:t>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_Toc9549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2</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0"/>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"_Toc1188" </w:instrText>
      </w:r>
      <w:r>
        <w:rPr>
          <w:color w:val="auto"/>
          <w:highlight w:val="none"/>
        </w:rPr>
        <w:fldChar w:fldCharType="separate"/>
      </w:r>
      <w:r>
        <w:rPr>
          <w:rFonts w:hint="eastAsia" w:ascii="新宋体" w:hAnsi="新宋体" w:eastAsia="新宋体" w:cs="宋体"/>
          <w:color w:val="auto"/>
          <w:sz w:val="24"/>
          <w:highlight w:val="none"/>
        </w:rPr>
        <w:t>投标人须知前附表</w:t>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_Toc1188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2</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7"/>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"_Toc19309" </w:instrText>
      </w:r>
      <w:r>
        <w:rPr>
          <w:color w:val="auto"/>
          <w:highlight w:val="none"/>
        </w:rPr>
        <w:fldChar w:fldCharType="separate"/>
      </w:r>
      <w:r>
        <w:rPr>
          <w:rFonts w:hint="eastAsia" w:ascii="新宋体" w:hAnsi="新宋体" w:eastAsia="新宋体" w:cs="宋体"/>
          <w:color w:val="auto"/>
          <w:sz w:val="24"/>
          <w:highlight w:val="none"/>
        </w:rPr>
        <w:t>一、  说明</w:t>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_Toc19309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7</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7"/>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"_Toc4884" </w:instrText>
      </w:r>
      <w:r>
        <w:rPr>
          <w:color w:val="auto"/>
          <w:highlight w:val="none"/>
        </w:rPr>
        <w:fldChar w:fldCharType="separate"/>
      </w:r>
      <w:r>
        <w:rPr>
          <w:rFonts w:hint="eastAsia" w:ascii="新宋体" w:hAnsi="新宋体" w:eastAsia="新宋体" w:cs="宋体"/>
          <w:color w:val="auto"/>
          <w:sz w:val="24"/>
          <w:highlight w:val="none"/>
        </w:rPr>
        <w:t>二、 采购文件</w:t>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_Toc4884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8</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7"/>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"_Toc18636" </w:instrText>
      </w:r>
      <w:r>
        <w:rPr>
          <w:color w:val="auto"/>
          <w:highlight w:val="none"/>
        </w:rPr>
        <w:fldChar w:fldCharType="separate"/>
      </w:r>
      <w:r>
        <w:rPr>
          <w:rFonts w:hint="eastAsia" w:ascii="新宋体" w:hAnsi="新宋体" w:eastAsia="新宋体" w:cs="宋体"/>
          <w:color w:val="auto"/>
          <w:sz w:val="24"/>
          <w:highlight w:val="none"/>
        </w:rPr>
        <w:t>三、 投标文件的编制</w:t>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_Toc18636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9</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7"/>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"_Toc8072" </w:instrText>
      </w:r>
      <w:r>
        <w:rPr>
          <w:color w:val="auto"/>
          <w:highlight w:val="none"/>
        </w:rPr>
        <w:fldChar w:fldCharType="separate"/>
      </w:r>
      <w:r>
        <w:rPr>
          <w:rFonts w:hint="eastAsia" w:ascii="新宋体" w:hAnsi="新宋体" w:eastAsia="新宋体" w:cs="宋体"/>
          <w:color w:val="auto"/>
          <w:sz w:val="24"/>
          <w:highlight w:val="none"/>
        </w:rPr>
        <w:t>四、 投标文件的递交</w:t>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_Toc8072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13</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7"/>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"_Toc6618" </w:instrText>
      </w:r>
      <w:r>
        <w:rPr>
          <w:color w:val="auto"/>
          <w:highlight w:val="none"/>
        </w:rPr>
        <w:fldChar w:fldCharType="separate"/>
      </w:r>
      <w:r>
        <w:rPr>
          <w:rFonts w:hint="eastAsia" w:ascii="新宋体" w:hAnsi="新宋体" w:eastAsia="新宋体" w:cs="宋体"/>
          <w:color w:val="auto"/>
          <w:sz w:val="24"/>
          <w:highlight w:val="none"/>
        </w:rPr>
        <w:t>五、 开标</w:t>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_Toc6618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13</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7"/>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"_Toc15556" </w:instrText>
      </w:r>
      <w:r>
        <w:rPr>
          <w:color w:val="auto"/>
          <w:highlight w:val="none"/>
        </w:rPr>
        <w:fldChar w:fldCharType="separate"/>
      </w:r>
      <w:r>
        <w:rPr>
          <w:rFonts w:hint="eastAsia" w:ascii="新宋体" w:hAnsi="新宋体" w:eastAsia="新宋体" w:cs="宋体"/>
          <w:color w:val="auto"/>
          <w:sz w:val="24"/>
          <w:highlight w:val="none"/>
        </w:rPr>
        <w:t>六、 评  标</w:t>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_Toc15556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15</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7"/>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"_Toc13841" </w:instrText>
      </w:r>
      <w:r>
        <w:rPr>
          <w:color w:val="auto"/>
          <w:highlight w:val="none"/>
        </w:rPr>
        <w:fldChar w:fldCharType="separate"/>
      </w:r>
      <w:r>
        <w:rPr>
          <w:rFonts w:hint="eastAsia" w:ascii="新宋体" w:hAnsi="新宋体" w:eastAsia="新宋体" w:cs="宋体"/>
          <w:color w:val="auto"/>
          <w:sz w:val="24"/>
          <w:highlight w:val="none"/>
        </w:rPr>
        <w:t>七、 授予合同</w:t>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_Toc13841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18</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0"/>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"_Toc7422" </w:instrText>
      </w:r>
      <w:r>
        <w:rPr>
          <w:color w:val="auto"/>
          <w:highlight w:val="none"/>
        </w:rPr>
        <w:fldChar w:fldCharType="separate"/>
      </w:r>
      <w:r>
        <w:rPr>
          <w:rFonts w:hint="eastAsia" w:ascii="新宋体" w:hAnsi="新宋体" w:eastAsia="新宋体" w:cs="宋体"/>
          <w:color w:val="auto"/>
          <w:sz w:val="24"/>
          <w:highlight w:val="none"/>
        </w:rPr>
        <w:t>第二部分   政府采购政策功能相关说明</w:t>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_Toc7422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21</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0"/>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"_Toc17643" </w:instrText>
      </w:r>
      <w:r>
        <w:rPr>
          <w:color w:val="auto"/>
          <w:highlight w:val="none"/>
        </w:rPr>
        <w:fldChar w:fldCharType="separate"/>
      </w:r>
      <w:r>
        <w:rPr>
          <w:rFonts w:hint="eastAsia" w:ascii="新宋体" w:hAnsi="新宋体" w:eastAsia="新宋体" w:cs="宋体"/>
          <w:color w:val="auto"/>
          <w:sz w:val="24"/>
          <w:highlight w:val="none"/>
        </w:rPr>
        <w:t>第三部分   合同条款及格</w:t>
      </w:r>
      <w:bookmarkStart w:id="0" w:name="_Hlt73024829"/>
      <w:r>
        <w:rPr>
          <w:rFonts w:hint="eastAsia" w:ascii="新宋体" w:hAnsi="新宋体" w:eastAsia="新宋体" w:cs="宋体"/>
          <w:color w:val="auto"/>
          <w:sz w:val="24"/>
          <w:highlight w:val="none"/>
        </w:rPr>
        <w:t>式</w:t>
      </w:r>
      <w:bookmarkEnd w:id="0"/>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_Toc17643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26</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0"/>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"_Toc30581" </w:instrText>
      </w:r>
      <w:r>
        <w:rPr>
          <w:color w:val="auto"/>
          <w:highlight w:val="none"/>
        </w:rPr>
        <w:fldChar w:fldCharType="separate"/>
      </w:r>
      <w:r>
        <w:rPr>
          <w:rFonts w:hint="eastAsia" w:ascii="新宋体" w:hAnsi="新宋体" w:eastAsia="新宋体" w:cs="宋体"/>
          <w:bCs/>
          <w:color w:val="auto"/>
          <w:sz w:val="24"/>
          <w:highlight w:val="none"/>
        </w:rPr>
        <w:t>第四部分   投标文件格式</w:t>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_Toc30581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37</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0"/>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"_Toc24471" </w:instrText>
      </w:r>
      <w:r>
        <w:rPr>
          <w:color w:val="auto"/>
          <w:highlight w:val="none"/>
        </w:rPr>
        <w:fldChar w:fldCharType="separate"/>
      </w:r>
      <w:r>
        <w:rPr>
          <w:rFonts w:hint="eastAsia" w:ascii="新宋体" w:hAnsi="新宋体" w:eastAsia="新宋体" w:cs="宋体"/>
          <w:color w:val="auto"/>
          <w:sz w:val="24"/>
          <w:highlight w:val="none"/>
        </w:rPr>
        <w:t>第五部分   采购内容及要求</w:t>
      </w:r>
      <w:bookmarkStart w:id="1" w:name="_Hlt60149576"/>
      <w:bookmarkStart w:id="2" w:name="_Hlt77151859"/>
      <w:bookmarkStart w:id="3" w:name="_Hlt77151860"/>
      <w:r>
        <w:rPr>
          <w:rFonts w:hint="eastAsia" w:ascii="新宋体" w:hAnsi="新宋体" w:eastAsia="新宋体" w:cs="宋体"/>
          <w:color w:val="auto"/>
          <w:sz w:val="24"/>
          <w:highlight w:val="none"/>
        </w:rPr>
        <w:tab/>
      </w:r>
      <w:bookmarkEnd w:id="1"/>
      <w:bookmarkEnd w:id="2"/>
      <w:bookmarkEnd w:id="3"/>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_Toc24471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56</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40"/>
        <w:tabs>
          <w:tab w:val="right" w:leader="dot" w:pos="9638"/>
        </w:tabs>
        <w:spacing w:line="480" w:lineRule="auto"/>
        <w:rPr>
          <w:rFonts w:ascii="新宋体" w:hAnsi="新宋体" w:eastAsia="新宋体" w:cs="宋体"/>
          <w:color w:val="auto"/>
          <w:sz w:val="24"/>
          <w:highlight w:val="none"/>
        </w:rPr>
      </w:pPr>
      <w:r>
        <w:rPr>
          <w:color w:val="auto"/>
          <w:highlight w:val="none"/>
        </w:rPr>
        <w:fldChar w:fldCharType="begin"/>
      </w:r>
      <w:r>
        <w:rPr>
          <w:color w:val="auto"/>
          <w:highlight w:val="none"/>
        </w:rPr>
        <w:instrText xml:space="preserve"> HYPERLINK \l "_Toc31492" </w:instrText>
      </w:r>
      <w:r>
        <w:rPr>
          <w:color w:val="auto"/>
          <w:highlight w:val="none"/>
        </w:rPr>
        <w:fldChar w:fldCharType="separate"/>
      </w:r>
      <w:r>
        <w:rPr>
          <w:rFonts w:hint="eastAsia" w:ascii="新宋体" w:hAnsi="新宋体" w:eastAsia="新宋体" w:cs="宋体"/>
          <w:color w:val="auto"/>
          <w:sz w:val="24"/>
          <w:highlight w:val="none"/>
        </w:rPr>
        <w:t>第六部分   评标原则及方法</w:t>
      </w:r>
      <w:bookmarkStart w:id="4" w:name="_Hlt59529737"/>
      <w:bookmarkStart w:id="5" w:name="_Hlt59529738"/>
      <w:r>
        <w:rPr>
          <w:rFonts w:hint="eastAsia" w:ascii="新宋体" w:hAnsi="新宋体" w:eastAsia="新宋体" w:cs="宋体"/>
          <w:color w:val="auto"/>
          <w:sz w:val="24"/>
          <w:highlight w:val="none"/>
        </w:rPr>
        <w:tab/>
      </w:r>
      <w:bookmarkEnd w:id="4"/>
      <w:bookmarkEnd w:id="5"/>
      <w:r>
        <w:rPr>
          <w:rFonts w:hint="eastAsia" w:ascii="新宋体" w:hAnsi="新宋体" w:eastAsia="新宋体" w:cs="宋体"/>
          <w:color w:val="auto"/>
          <w:sz w:val="24"/>
          <w:highlight w:val="none"/>
        </w:rPr>
        <w:fldChar w:fldCharType="begin"/>
      </w:r>
      <w:r>
        <w:rPr>
          <w:rFonts w:hint="eastAsia" w:ascii="新宋体" w:hAnsi="新宋体" w:eastAsia="新宋体" w:cs="宋体"/>
          <w:color w:val="auto"/>
          <w:sz w:val="24"/>
          <w:highlight w:val="none"/>
        </w:rPr>
        <w:instrText xml:space="preserve"> PAGEREF _Toc31492 </w:instrText>
      </w:r>
      <w:r>
        <w:rPr>
          <w:rFonts w:hint="eastAsia" w:ascii="新宋体" w:hAnsi="新宋体" w:eastAsia="新宋体" w:cs="宋体"/>
          <w:color w:val="auto"/>
          <w:sz w:val="24"/>
          <w:highlight w:val="none"/>
        </w:rPr>
        <w:fldChar w:fldCharType="separate"/>
      </w:r>
      <w:r>
        <w:rPr>
          <w:rFonts w:hint="eastAsia" w:ascii="新宋体" w:hAnsi="新宋体" w:eastAsia="新宋体" w:cs="宋体"/>
          <w:color w:val="auto"/>
          <w:sz w:val="24"/>
          <w:highlight w:val="none"/>
        </w:rPr>
        <w:t>59</w:t>
      </w:r>
      <w:r>
        <w:rPr>
          <w:rFonts w:hint="eastAsia" w:ascii="新宋体" w:hAnsi="新宋体" w:eastAsia="新宋体" w:cs="宋体"/>
          <w:color w:val="auto"/>
          <w:sz w:val="24"/>
          <w:highlight w:val="none"/>
        </w:rPr>
        <w:fldChar w:fldCharType="end"/>
      </w:r>
      <w:r>
        <w:rPr>
          <w:rFonts w:hint="eastAsia" w:ascii="新宋体" w:hAnsi="新宋体" w:eastAsia="新宋体" w:cs="宋体"/>
          <w:color w:val="auto"/>
          <w:sz w:val="24"/>
          <w:highlight w:val="none"/>
        </w:rPr>
        <w:fldChar w:fldCharType="end"/>
      </w:r>
    </w:p>
    <w:p>
      <w:pPr>
        <w:pStyle w:val="23"/>
        <w:ind w:firstLine="0" w:firstLineChars="0"/>
        <w:rPr>
          <w:rFonts w:ascii="新宋体" w:hAnsi="新宋体" w:eastAsia="新宋体" w:cs="新宋体"/>
          <w:b w:val="0"/>
          <w:bCs/>
          <w:color w:val="auto"/>
          <w:szCs w:val="21"/>
          <w:highlight w:val="none"/>
        </w:rPr>
      </w:pPr>
      <w:r>
        <w:rPr>
          <w:rFonts w:hint="eastAsia" w:ascii="新宋体" w:hAnsi="新宋体" w:eastAsia="新宋体" w:cs="宋体"/>
          <w:bCs/>
          <w:color w:val="auto"/>
          <w:sz w:val="24"/>
          <w:highlight w:val="none"/>
        </w:rPr>
        <w:fldChar w:fldCharType="end"/>
      </w:r>
    </w:p>
    <w:p>
      <w:pPr>
        <w:pStyle w:val="23"/>
        <w:ind w:firstLine="0" w:firstLineChars="0"/>
        <w:rPr>
          <w:rFonts w:ascii="新宋体" w:hAnsi="新宋体" w:eastAsia="新宋体" w:cs="新宋体"/>
          <w:b w:val="0"/>
          <w:bCs/>
          <w:color w:val="auto"/>
          <w:szCs w:val="21"/>
          <w:highlight w:val="none"/>
        </w:rPr>
      </w:pPr>
    </w:p>
    <w:p>
      <w:pPr>
        <w:pStyle w:val="23"/>
        <w:ind w:firstLine="0" w:firstLineChars="0"/>
        <w:rPr>
          <w:rFonts w:ascii="新宋体" w:hAnsi="新宋体" w:eastAsia="新宋体" w:cs="新宋体"/>
          <w:b w:val="0"/>
          <w:bCs/>
          <w:color w:val="auto"/>
          <w:szCs w:val="21"/>
          <w:highlight w:val="none"/>
        </w:rPr>
      </w:pPr>
    </w:p>
    <w:p>
      <w:pPr>
        <w:pStyle w:val="23"/>
        <w:ind w:firstLine="0" w:firstLineChars="0"/>
        <w:rPr>
          <w:rFonts w:ascii="新宋体" w:hAnsi="新宋体" w:eastAsia="新宋体" w:cs="新宋体"/>
          <w:b w:val="0"/>
          <w:bCs/>
          <w:color w:val="auto"/>
          <w:szCs w:val="21"/>
          <w:highlight w:val="none"/>
        </w:rPr>
      </w:pPr>
    </w:p>
    <w:p>
      <w:pPr>
        <w:pStyle w:val="23"/>
        <w:ind w:firstLine="0" w:firstLineChars="0"/>
        <w:rPr>
          <w:rFonts w:ascii="新宋体" w:hAnsi="新宋体" w:eastAsia="新宋体" w:cs="新宋体"/>
          <w:b w:val="0"/>
          <w:bCs/>
          <w:color w:val="auto"/>
          <w:szCs w:val="21"/>
          <w:highlight w:val="none"/>
        </w:rPr>
      </w:pPr>
    </w:p>
    <w:p>
      <w:pPr>
        <w:pStyle w:val="23"/>
        <w:ind w:firstLine="0" w:firstLineChars="0"/>
        <w:rPr>
          <w:rFonts w:ascii="新宋体" w:hAnsi="新宋体" w:eastAsia="新宋体" w:cs="新宋体"/>
          <w:b w:val="0"/>
          <w:bCs/>
          <w:color w:val="auto"/>
          <w:szCs w:val="21"/>
          <w:highlight w:val="none"/>
        </w:rPr>
      </w:pPr>
    </w:p>
    <w:p>
      <w:pPr>
        <w:pStyle w:val="4"/>
        <w:rPr>
          <w:rFonts w:ascii="新宋体" w:hAnsi="新宋体" w:eastAsia="新宋体" w:cs="新宋体"/>
          <w:color w:val="auto"/>
          <w:sz w:val="36"/>
          <w:szCs w:val="36"/>
          <w:highlight w:val="none"/>
        </w:rPr>
      </w:pPr>
      <w:bookmarkStart w:id="6" w:name="_Toc445914867"/>
      <w:bookmarkStart w:id="7" w:name="_Toc363576971"/>
      <w:bookmarkStart w:id="8" w:name="_Toc361035134"/>
      <w:bookmarkStart w:id="9" w:name="_Toc26845"/>
      <w:r>
        <w:rPr>
          <w:rFonts w:hint="eastAsia" w:ascii="新宋体" w:hAnsi="新宋体" w:eastAsia="新宋体" w:cs="新宋体"/>
          <w:color w:val="auto"/>
          <w:sz w:val="32"/>
          <w:szCs w:val="32"/>
          <w:highlight w:val="none"/>
        </w:rPr>
        <w:br w:type="page"/>
      </w:r>
      <w:bookmarkEnd w:id="6"/>
      <w:bookmarkEnd w:id="7"/>
      <w:bookmarkEnd w:id="8"/>
      <w:bookmarkEnd w:id="9"/>
      <w:bookmarkStart w:id="10" w:name="_Toc9549"/>
      <w:bookmarkStart w:id="11" w:name="_Toc32301"/>
      <w:r>
        <w:rPr>
          <w:rFonts w:hint="eastAsia" w:ascii="新宋体" w:hAnsi="新宋体" w:eastAsia="新宋体" w:cs="新宋体"/>
          <w:color w:val="auto"/>
          <w:sz w:val="36"/>
          <w:szCs w:val="36"/>
          <w:highlight w:val="none"/>
        </w:rPr>
        <w:t>第一部分   投标人须知</w:t>
      </w:r>
      <w:bookmarkEnd w:id="10"/>
    </w:p>
    <w:p>
      <w:pPr>
        <w:pStyle w:val="4"/>
        <w:rPr>
          <w:rFonts w:ascii="新宋体" w:hAnsi="新宋体" w:eastAsia="新宋体" w:cs="新宋体"/>
          <w:color w:val="auto"/>
          <w:sz w:val="36"/>
          <w:szCs w:val="36"/>
          <w:highlight w:val="none"/>
        </w:rPr>
      </w:pPr>
      <w:bookmarkStart w:id="12" w:name="_Toc1188"/>
      <w:r>
        <w:rPr>
          <w:rFonts w:hint="eastAsia" w:ascii="新宋体" w:hAnsi="新宋体" w:eastAsia="新宋体" w:cs="新宋体"/>
          <w:color w:val="auto"/>
          <w:sz w:val="36"/>
          <w:szCs w:val="36"/>
          <w:highlight w:val="none"/>
        </w:rPr>
        <w:t>投标人须知前附表</w:t>
      </w:r>
      <w:bookmarkEnd w:id="11"/>
      <w:bookmarkEnd w:id="12"/>
    </w:p>
    <w:tbl>
      <w:tblPr>
        <w:tblStyle w:val="56"/>
        <w:tblW w:w="10123" w:type="dxa"/>
        <w:tblInd w:w="0" w:type="dxa"/>
        <w:tblLayout w:type="fixed"/>
        <w:tblCellMar>
          <w:top w:w="0" w:type="dxa"/>
          <w:left w:w="108" w:type="dxa"/>
          <w:bottom w:w="0" w:type="dxa"/>
          <w:right w:w="108" w:type="dxa"/>
        </w:tblCellMar>
      </w:tblPr>
      <w:tblGrid>
        <w:gridCol w:w="667"/>
        <w:gridCol w:w="2037"/>
        <w:gridCol w:w="7419"/>
      </w:tblGrid>
      <w:tr>
        <w:tblPrEx>
          <w:tblCellMar>
            <w:top w:w="0" w:type="dxa"/>
            <w:left w:w="108" w:type="dxa"/>
            <w:bottom w:w="0" w:type="dxa"/>
            <w:right w:w="108" w:type="dxa"/>
          </w:tblCellMar>
        </w:tblPrEx>
        <w:trPr>
          <w:trHeight w:val="850" w:hRule="atLeast"/>
          <w:tblHeader/>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编列内容</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采购人名称：温州市鹿城区城中村改造建设中心</w:t>
            </w:r>
          </w:p>
          <w:p>
            <w:pPr>
              <w:spacing w:line="3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联系地址：温州市鹿城区车站大道707号康宏大厦8楼</w:t>
            </w:r>
          </w:p>
          <w:p>
            <w:pPr>
              <w:spacing w:line="3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联系人：潘先生</w:t>
            </w:r>
          </w:p>
          <w:p>
            <w:pPr>
              <w:spacing w:line="3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联系电话：0577</w:t>
            </w:r>
            <w:r>
              <w:rPr>
                <w:rFonts w:hint="eastAsia" w:ascii="新宋体" w:hAnsi="新宋体" w:eastAsia="新宋体" w:cs="新宋体"/>
                <w:bCs/>
                <w:color w:val="auto"/>
                <w:kern w:val="0"/>
                <w:sz w:val="22"/>
                <w:szCs w:val="22"/>
                <w:highlight w:val="none"/>
              </w:rPr>
              <w:t>- 88831737</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采购代理机构名称：华诚工程咨询集团有限公司</w:t>
            </w:r>
          </w:p>
          <w:p>
            <w:pPr>
              <w:spacing w:line="3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地 址：温州市鹿城区洛河路18号C幢6楼。</w:t>
            </w:r>
          </w:p>
          <w:p>
            <w:pPr>
              <w:spacing w:line="3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联系人：黄先生</w:t>
            </w:r>
          </w:p>
          <w:p>
            <w:pPr>
              <w:spacing w:line="3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联系电话：15067836449</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lang w:eastAsia="zh-CN"/>
              </w:rPr>
              <w:t>鹿城区安置服务项目（三期）</w:t>
            </w:r>
            <w:r>
              <w:rPr>
                <w:rFonts w:hint="eastAsia" w:ascii="新宋体" w:hAnsi="新宋体" w:eastAsia="新宋体" w:cs="新宋体"/>
                <w:bCs/>
                <w:color w:val="auto"/>
                <w:kern w:val="0"/>
                <w:sz w:val="22"/>
                <w:szCs w:val="22"/>
                <w:highlight w:val="none"/>
              </w:rPr>
              <w:t xml:space="preserve"> </w:t>
            </w:r>
          </w:p>
          <w:p>
            <w:pPr>
              <w:spacing w:line="3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项目编号：</w:t>
            </w:r>
            <w:r>
              <w:rPr>
                <w:rFonts w:hint="eastAsia" w:ascii="新宋体" w:hAnsi="新宋体" w:eastAsia="新宋体" w:cs="新宋体"/>
                <w:bCs/>
                <w:color w:val="auto"/>
                <w:kern w:val="0"/>
                <w:sz w:val="22"/>
                <w:szCs w:val="22"/>
                <w:highlight w:val="none"/>
                <w:lang w:eastAsia="zh-CN"/>
              </w:rPr>
              <w:t>HCZB-F20220518-AZ</w:t>
            </w:r>
            <w:r>
              <w:rPr>
                <w:rFonts w:hint="eastAsia" w:ascii="新宋体" w:hAnsi="新宋体" w:eastAsia="新宋体" w:cs="新宋体"/>
                <w:bCs/>
                <w:color w:val="auto"/>
                <w:kern w:val="0"/>
                <w:sz w:val="22"/>
                <w:szCs w:val="22"/>
                <w:highlight w:val="none"/>
              </w:rPr>
              <w:t xml:space="preserve"> </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rPr>
              <w:t>鹿城区安置</w:t>
            </w:r>
            <w:r>
              <w:rPr>
                <w:rFonts w:hint="eastAsia" w:ascii="新宋体" w:hAnsi="新宋体" w:eastAsia="新宋体" w:cs="新宋体"/>
                <w:bCs/>
                <w:color w:val="auto"/>
                <w:kern w:val="0"/>
                <w:sz w:val="22"/>
                <w:szCs w:val="22"/>
                <w:highlight w:val="none"/>
              </w:rPr>
              <w:t>服务（</w:t>
            </w:r>
            <w:r>
              <w:rPr>
                <w:rFonts w:hint="eastAsia" w:ascii="新宋体" w:hAnsi="新宋体" w:eastAsia="新宋体" w:cs="新宋体"/>
                <w:bCs/>
                <w:color w:val="auto"/>
                <w:kern w:val="0"/>
                <w:sz w:val="22"/>
                <w:szCs w:val="22"/>
                <w:highlight w:val="none"/>
                <w:lang w:eastAsia="zh-CN"/>
              </w:rPr>
              <w:t>三</w:t>
            </w:r>
            <w:r>
              <w:rPr>
                <w:rFonts w:hint="eastAsia" w:ascii="新宋体" w:hAnsi="新宋体" w:eastAsia="新宋体" w:cs="新宋体"/>
                <w:bCs/>
                <w:color w:val="auto"/>
                <w:kern w:val="0"/>
                <w:sz w:val="22"/>
                <w:szCs w:val="22"/>
                <w:highlight w:val="none"/>
              </w:rPr>
              <w:t>期）</w:t>
            </w:r>
            <w:r>
              <w:rPr>
                <w:rFonts w:hint="eastAsia" w:ascii="新宋体" w:hAnsi="新宋体" w:eastAsia="新宋体" w:cs="新宋体"/>
                <w:bCs/>
                <w:color w:val="auto"/>
                <w:kern w:val="0"/>
                <w:sz w:val="22"/>
                <w:szCs w:val="22"/>
                <w:highlight w:val="none"/>
              </w:rPr>
              <w:t>，安置规模约</w:t>
            </w:r>
            <w:r>
              <w:rPr>
                <w:rFonts w:hint="eastAsia" w:ascii="新宋体" w:hAnsi="新宋体" w:eastAsia="新宋体" w:cs="新宋体"/>
                <w:bCs/>
                <w:color w:val="auto"/>
                <w:kern w:val="0"/>
                <w:sz w:val="22"/>
                <w:szCs w:val="22"/>
                <w:highlight w:val="none"/>
                <w:lang w:eastAsia="zh-CN"/>
              </w:rPr>
              <w:t>447802</w:t>
            </w:r>
            <w:r>
              <w:rPr>
                <w:rFonts w:hint="eastAsia" w:ascii="新宋体" w:hAnsi="新宋体" w:eastAsia="新宋体" w:cs="新宋体"/>
                <w:bCs/>
                <w:color w:val="auto"/>
                <w:kern w:val="0"/>
                <w:sz w:val="22"/>
                <w:szCs w:val="22"/>
                <w:highlight w:val="none"/>
              </w:rPr>
              <w:t>平方米。</w:t>
            </w:r>
            <w:r>
              <w:rPr>
                <w:rFonts w:hint="eastAsia" w:ascii="新宋体" w:hAnsi="新宋体" w:eastAsia="新宋体" w:cs="新宋体"/>
                <w:bCs/>
                <w:color w:val="auto"/>
                <w:kern w:val="0"/>
                <w:sz w:val="22"/>
                <w:szCs w:val="22"/>
                <w:highlight w:val="none"/>
              </w:rPr>
              <w:t>服务主体通过采购安置性商品房、市场化采购房源用</w:t>
            </w:r>
            <w:r>
              <w:rPr>
                <w:rFonts w:hint="eastAsia" w:ascii="新宋体" w:hAnsi="新宋体" w:eastAsia="新宋体"/>
                <w:color w:val="auto"/>
                <w:sz w:val="22"/>
                <w:szCs w:val="22"/>
                <w:highlight w:val="none"/>
              </w:rPr>
              <w:t>于本项目安置户的安置</w:t>
            </w:r>
            <w:r>
              <w:rPr>
                <w:rFonts w:hint="eastAsia" w:ascii="新宋体" w:hAnsi="新宋体" w:eastAsia="新宋体" w:cs="新宋体"/>
                <w:bCs/>
                <w:color w:val="auto"/>
                <w:kern w:val="0"/>
                <w:sz w:val="22"/>
                <w:szCs w:val="22"/>
                <w:highlight w:val="none"/>
              </w:rPr>
              <w:t>，并且提供完成本项目安置所需的安置服务工作。具体服务内容详见项目采购文件第五部分。</w:t>
            </w:r>
            <w:r>
              <w:rPr>
                <w:rFonts w:hint="eastAsia" w:ascii="新宋体" w:hAnsi="新宋体" w:eastAsia="新宋体" w:cs="新宋体"/>
                <w:bCs/>
                <w:color w:val="auto"/>
                <w:kern w:val="0"/>
                <w:sz w:val="22"/>
                <w:szCs w:val="22"/>
                <w:highlight w:val="none"/>
                <w:lang w:val="en-US" w:eastAsia="zh-CN"/>
              </w:rPr>
              <w:t xml:space="preserve"> </w:t>
            </w:r>
          </w:p>
          <w:p>
            <w:pPr>
              <w:spacing w:line="3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本项目采购预算（最高限价）为：</w:t>
            </w:r>
            <w:r>
              <w:rPr>
                <w:rFonts w:hint="eastAsia" w:ascii="新宋体" w:hAnsi="新宋体" w:eastAsia="新宋体" w:cs="新宋体"/>
                <w:bCs/>
                <w:color w:val="auto"/>
                <w:kern w:val="0"/>
                <w:sz w:val="22"/>
                <w:szCs w:val="22"/>
                <w:highlight w:val="none"/>
                <w:lang w:val="en-US" w:eastAsia="zh-CN"/>
              </w:rPr>
              <w:t>14</w:t>
            </w:r>
            <w:r>
              <w:rPr>
                <w:rFonts w:hint="eastAsia" w:ascii="新宋体" w:hAnsi="新宋体" w:eastAsia="新宋体" w:cs="新宋体"/>
                <w:bCs/>
                <w:color w:val="auto"/>
                <w:kern w:val="0"/>
                <w:sz w:val="22"/>
                <w:szCs w:val="22"/>
                <w:highlight w:val="none"/>
              </w:rPr>
              <w:t>000万元（3</w:t>
            </w:r>
            <w:r>
              <w:rPr>
                <w:rFonts w:hint="eastAsia" w:ascii="新宋体" w:hAnsi="新宋体" w:eastAsia="新宋体" w:cs="新宋体"/>
                <w:bCs/>
                <w:color w:val="auto"/>
                <w:kern w:val="0"/>
                <w:sz w:val="22"/>
                <w:szCs w:val="22"/>
                <w:highlight w:val="none"/>
                <w:lang w:val="en-US" w:eastAsia="zh-CN"/>
              </w:rPr>
              <w:t>1</w:t>
            </w:r>
            <w:r>
              <w:rPr>
                <w:rFonts w:hint="eastAsia" w:ascii="新宋体" w:hAnsi="新宋体" w:eastAsia="新宋体" w:cs="新宋体"/>
                <w:bCs/>
                <w:color w:val="auto"/>
                <w:kern w:val="0"/>
                <w:sz w:val="22"/>
                <w:szCs w:val="22"/>
                <w:highlight w:val="none"/>
              </w:rPr>
              <w:t>3元/</w:t>
            </w:r>
            <w:r>
              <w:rPr>
                <w:rFonts w:ascii="新宋体" w:hAnsi="新宋体" w:eastAsia="新宋体" w:cs="新宋体"/>
                <w:bCs/>
                <w:color w:val="auto"/>
                <w:kern w:val="0"/>
                <w:sz w:val="22"/>
                <w:szCs w:val="22"/>
                <w:highlight w:val="none"/>
              </w:rPr>
              <w:t>m</w:t>
            </w:r>
            <w:r>
              <w:rPr>
                <w:rFonts w:ascii="新宋体" w:hAnsi="新宋体" w:eastAsia="新宋体" w:cs="新宋体"/>
                <w:bCs/>
                <w:color w:val="auto"/>
                <w:kern w:val="0"/>
                <w:sz w:val="22"/>
                <w:szCs w:val="22"/>
                <w:highlight w:val="none"/>
                <w:vertAlign w:val="superscript"/>
              </w:rPr>
              <w:t>2</w:t>
            </w:r>
            <w:r>
              <w:rPr>
                <w:rFonts w:hint="eastAsia" w:ascii="新宋体" w:hAnsi="新宋体" w:eastAsia="新宋体" w:cs="新宋体"/>
                <w:bCs/>
                <w:color w:val="auto"/>
                <w:kern w:val="0"/>
                <w:sz w:val="22"/>
                <w:szCs w:val="22"/>
                <w:highlight w:val="none"/>
              </w:rPr>
              <w:t>）。</w:t>
            </w:r>
          </w:p>
        </w:tc>
      </w:tr>
      <w:tr>
        <w:tblPrEx>
          <w:tblCellMar>
            <w:top w:w="0" w:type="dxa"/>
            <w:left w:w="108" w:type="dxa"/>
            <w:bottom w:w="0" w:type="dxa"/>
            <w:right w:w="108" w:type="dxa"/>
          </w:tblCellMar>
        </w:tblPrEx>
        <w:trPr>
          <w:trHeight w:val="733"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供应商资格要求</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1.一般资格条件：</w:t>
            </w:r>
          </w:p>
          <w:p>
            <w:pPr>
              <w:autoSpaceDE w:val="0"/>
              <w:autoSpaceDN w:val="0"/>
              <w:adjustRightInd w:val="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autoSpaceDE w:val="0"/>
              <w:autoSpaceDN w:val="0"/>
              <w:adjustRightInd w:val="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（2）单位负责人为同一人或者存在直接控股、管理关系的不同供应商，不得参加同一合同项下的政府采购活动。</w:t>
            </w:r>
          </w:p>
          <w:p>
            <w:pPr>
              <w:autoSpaceDE w:val="0"/>
              <w:autoSpaceDN w:val="0"/>
              <w:adjustRightInd w:val="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（3）公益一类事业单位、使用事业编制且由财政拨款保障的群团组织，不得参加本项目的政府采购活动。</w:t>
            </w:r>
          </w:p>
          <w:p>
            <w:pPr>
              <w:autoSpaceDE w:val="0"/>
              <w:autoSpaceDN w:val="0"/>
              <w:adjustRightInd w:val="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（4）供应商未被列入失信被执行人名单、重大税收违法案件当事人名单、政府采购严重违法失信行为记录名单，信用信息以信用中国网站（www.creditchina.gov.cn）、中国政府采购网（www.ccgp.gov.cn）公布为准。</w:t>
            </w:r>
          </w:p>
          <w:p>
            <w:pPr>
              <w:widowControl/>
              <w:jc w:val="left"/>
              <w:rPr>
                <w:rFonts w:ascii="新宋体" w:hAnsi="新宋体" w:eastAsia="新宋体" w:cs="新宋体"/>
                <w:bCs/>
                <w:color w:val="auto"/>
                <w:sz w:val="22"/>
                <w:szCs w:val="22"/>
                <w:highlight w:val="none"/>
              </w:rPr>
            </w:pPr>
            <w:r>
              <w:rPr>
                <w:rFonts w:hint="eastAsia" w:ascii="新宋体" w:hAnsi="新宋体" w:eastAsia="新宋体" w:cs="宋体"/>
                <w:color w:val="auto"/>
                <w:kern w:val="0"/>
                <w:sz w:val="22"/>
                <w:szCs w:val="22"/>
                <w:highlight w:val="none"/>
              </w:rPr>
              <w:t>2.特殊资格条件：经营范围须包括城市综合建设开发投资或土地整治相关（以营业执照为准）</w:t>
            </w:r>
            <w:r>
              <w:rPr>
                <w:rFonts w:hint="eastAsia" w:ascii="新宋体" w:hAnsi="新宋体" w:eastAsia="新宋体" w:cs="新宋体"/>
                <w:color w:val="auto"/>
                <w:kern w:val="0"/>
                <w:sz w:val="22"/>
                <w:szCs w:val="22"/>
                <w:highlight w:val="none"/>
                <w:lang w:val="zh-CN"/>
              </w:rPr>
              <w:t>。</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接受，应满足下列要求：</w:t>
            </w:r>
          </w:p>
          <w:p>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（1）允许大中型企业与小微企业组成联合体参与投标；</w:t>
            </w:r>
          </w:p>
          <w:p>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（2）需提供联合体协议书，明确双方各自责任与义务；</w:t>
            </w:r>
          </w:p>
          <w:p>
            <w:pPr>
              <w:spacing w:line="300" w:lineRule="exact"/>
              <w:rPr>
                <w:rFonts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（3）联合体成员不超过两家。</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pPr>
              <w:spacing w:line="300" w:lineRule="exact"/>
              <w:rPr>
                <w:rFonts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不组织，供应商自行前往项目现场进行踏勘。</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pPr>
              <w:spacing w:line="300" w:lineRule="exact"/>
              <w:rPr>
                <w:rFonts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2022年</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13</w:t>
            </w:r>
            <w:r>
              <w:rPr>
                <w:rFonts w:hint="eastAsia" w:ascii="新宋体" w:hAnsi="新宋体" w:eastAsia="新宋体" w:cs="新宋体"/>
                <w:color w:val="auto"/>
                <w:kern w:val="0"/>
                <w:sz w:val="22"/>
                <w:szCs w:val="22"/>
                <w:highlight w:val="none"/>
              </w:rPr>
              <w:t>日09时30分整</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允许，非核心内容允许大中型企业向小微企业合理分包，若分包需在磋商响应文件内提供分包意向书，明确分包内容及金额比例。</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w:t>
            </w:r>
            <w:r>
              <w:rPr>
                <w:rFonts w:hint="eastAsia" w:ascii="新宋体" w:hAnsi="新宋体" w:eastAsia="新宋体" w:cs="新宋体"/>
                <w:color w:val="auto"/>
                <w:kern w:val="0"/>
                <w:sz w:val="22"/>
                <w:szCs w:val="22"/>
                <w:highlight w:val="none"/>
                <w:u w:val="single"/>
              </w:rPr>
              <w:t>90</w:t>
            </w:r>
            <w:r>
              <w:rPr>
                <w:rFonts w:hint="eastAsia" w:ascii="新宋体" w:hAnsi="新宋体" w:eastAsia="新宋体" w:cs="新宋体"/>
                <w:color w:val="auto"/>
                <w:kern w:val="0"/>
                <w:sz w:val="22"/>
                <w:szCs w:val="22"/>
                <w:highlight w:val="none"/>
              </w:rPr>
              <w:t>天。</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无须提交。</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完整的投标文件由资格审查资料、商务技术文件、报价文件三个部分组成。</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投标文件的相应位置应加盖：电子签章。</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以上两类投标文件均由资格审查资料、商务技术文件、报价文件三部分组成。</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（2）“备份投标文件”：以U盘存储，密封包装后（顺丰快递形式）在</w:t>
            </w:r>
            <w:r>
              <w:rPr>
                <w:rFonts w:hint="eastAsia" w:ascii="新宋体" w:hAnsi="新宋体" w:eastAsia="新宋体" w:cs="新宋体"/>
                <w:color w:val="auto"/>
                <w:sz w:val="22"/>
                <w:highlight w:val="none"/>
              </w:rPr>
              <w:t>2022年</w:t>
            </w:r>
            <w:r>
              <w:rPr>
                <w:rFonts w:hint="eastAsia" w:ascii="新宋体" w:hAnsi="新宋体" w:eastAsia="新宋体" w:cs="新宋体"/>
                <w:color w:val="auto"/>
                <w:sz w:val="22"/>
                <w:highlight w:val="none"/>
                <w:lang w:val="en-US" w:eastAsia="zh-CN"/>
              </w:rPr>
              <w:t>6</w:t>
            </w:r>
            <w:r>
              <w:rPr>
                <w:rFonts w:hint="eastAsia" w:ascii="新宋体" w:hAnsi="新宋体" w:eastAsia="新宋体" w:cs="新宋体"/>
                <w:color w:val="auto"/>
                <w:sz w:val="22"/>
                <w:highlight w:val="none"/>
              </w:rPr>
              <w:t>月</w:t>
            </w:r>
            <w:r>
              <w:rPr>
                <w:rFonts w:hint="eastAsia" w:ascii="新宋体" w:hAnsi="新宋体" w:eastAsia="新宋体" w:cs="新宋体"/>
                <w:color w:val="auto"/>
                <w:sz w:val="22"/>
                <w:highlight w:val="none"/>
                <w:lang w:val="en-US" w:eastAsia="zh-CN"/>
              </w:rPr>
              <w:t>10</w:t>
            </w:r>
            <w:r>
              <w:rPr>
                <w:rFonts w:hint="eastAsia" w:ascii="新宋体" w:hAnsi="新宋体" w:eastAsia="新宋体" w:cs="新宋体"/>
                <w:color w:val="auto"/>
                <w:sz w:val="22"/>
                <w:highlight w:val="none"/>
              </w:rPr>
              <w:t>日17时30分前</w:t>
            </w:r>
            <w:r>
              <w:rPr>
                <w:rFonts w:hint="eastAsia" w:ascii="新宋体" w:hAnsi="新宋体" w:eastAsia="新宋体" w:cs="新宋体"/>
                <w:color w:val="auto"/>
                <w:kern w:val="0"/>
                <w:sz w:val="22"/>
                <w:szCs w:val="22"/>
                <w:highlight w:val="none"/>
                <w:lang w:val="zh-CN"/>
              </w:rPr>
              <w:t>递交，一份，邮寄地址：</w:t>
            </w:r>
            <w:r>
              <w:rPr>
                <w:rFonts w:hint="eastAsia" w:ascii="新宋体" w:hAnsi="新宋体" w:eastAsia="新宋体" w:cs="新宋体"/>
                <w:bCs/>
                <w:color w:val="auto"/>
                <w:kern w:val="0"/>
                <w:sz w:val="22"/>
                <w:szCs w:val="22"/>
                <w:highlight w:val="none"/>
              </w:rPr>
              <w:t>温州市鹿城区洛河路18号C幢6楼</w:t>
            </w:r>
            <w:r>
              <w:rPr>
                <w:rFonts w:hint="eastAsia" w:ascii="新宋体" w:hAnsi="新宋体" w:eastAsia="新宋体" w:cs="新宋体"/>
                <w:color w:val="auto"/>
                <w:kern w:val="0"/>
                <w:sz w:val="22"/>
                <w:szCs w:val="22"/>
                <w:highlight w:val="none"/>
                <w:lang w:val="zh-CN"/>
              </w:rPr>
              <w:t>，王先生收。</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vAlign w:val="center"/>
          </w:tcPr>
          <w:p>
            <w:pPr>
              <w:pStyle w:val="493"/>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pPr>
              <w:pStyle w:val="493"/>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pPr>
              <w:pStyle w:val="493"/>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pPr>
              <w:pStyle w:val="493"/>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pPr>
              <w:pStyle w:val="493"/>
              <w:autoSpaceDE w:val="0"/>
              <w:autoSpaceDN w:val="0"/>
              <w:adjustRightInd w:val="0"/>
              <w:spacing w:line="300" w:lineRule="atLeast"/>
              <w:jc w:val="both"/>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a.投标人在“政采云平台”完成“电子加密投标文件”的上传递交后，还可以（建议顺丰快递形式）在</w:t>
            </w:r>
            <w:r>
              <w:rPr>
                <w:rFonts w:hint="eastAsia" w:ascii="新宋体" w:hAnsi="新宋体" w:eastAsia="新宋体" w:cs="新宋体"/>
                <w:color w:val="auto"/>
                <w:sz w:val="22"/>
                <w:highlight w:val="none"/>
              </w:rPr>
              <w:t>202</w:t>
            </w:r>
            <w:r>
              <w:rPr>
                <w:rFonts w:hint="eastAsia" w:ascii="新宋体" w:hAnsi="新宋体" w:eastAsia="新宋体" w:cs="新宋体"/>
                <w:color w:val="auto"/>
                <w:sz w:val="22"/>
                <w:highlight w:val="none"/>
                <w:lang w:val="en-US"/>
              </w:rPr>
              <w:t>2</w:t>
            </w:r>
            <w:r>
              <w:rPr>
                <w:rFonts w:hint="eastAsia" w:ascii="新宋体" w:hAnsi="新宋体" w:eastAsia="新宋体" w:cs="新宋体"/>
                <w:color w:val="auto"/>
                <w:sz w:val="22"/>
                <w:highlight w:val="none"/>
              </w:rPr>
              <w:t>年</w:t>
            </w:r>
            <w:r>
              <w:rPr>
                <w:rFonts w:hint="eastAsia" w:ascii="新宋体" w:hAnsi="新宋体" w:eastAsia="新宋体" w:cs="新宋体"/>
                <w:color w:val="auto"/>
                <w:sz w:val="22"/>
                <w:highlight w:val="none"/>
                <w:lang w:val="en-US" w:eastAsia="zh-CN"/>
              </w:rPr>
              <w:t>6</w:t>
            </w:r>
            <w:r>
              <w:rPr>
                <w:rFonts w:hint="eastAsia" w:ascii="新宋体" w:hAnsi="新宋体" w:eastAsia="新宋体" w:cs="新宋体"/>
                <w:color w:val="auto"/>
                <w:sz w:val="22"/>
                <w:highlight w:val="none"/>
              </w:rPr>
              <w:t>月</w:t>
            </w:r>
            <w:r>
              <w:rPr>
                <w:rFonts w:hint="eastAsia" w:ascii="新宋体" w:hAnsi="新宋体" w:eastAsia="新宋体" w:cs="新宋体"/>
                <w:color w:val="auto"/>
                <w:sz w:val="22"/>
                <w:highlight w:val="none"/>
                <w:lang w:val="en-US" w:eastAsia="zh-CN"/>
              </w:rPr>
              <w:t>10</w:t>
            </w:r>
            <w:r>
              <w:rPr>
                <w:rFonts w:hint="eastAsia" w:ascii="新宋体" w:hAnsi="新宋体" w:eastAsia="新宋体" w:cs="新宋体"/>
                <w:color w:val="auto"/>
                <w:sz w:val="22"/>
                <w:highlight w:val="none"/>
              </w:rPr>
              <w:t>日17时30分前</w:t>
            </w:r>
            <w:r>
              <w:rPr>
                <w:rFonts w:hint="eastAsia" w:ascii="新宋体" w:hAnsi="新宋体" w:eastAsia="新宋体" w:cs="新宋体"/>
                <w:color w:val="auto"/>
                <w:sz w:val="22"/>
                <w:highlight w:val="none"/>
              </w:rPr>
              <w:t>递交以介质（U盘）存储的 “备份投标文件”（一份）；顺丰快递形式快递至采购代理机构地址（</w:t>
            </w:r>
            <w:r>
              <w:rPr>
                <w:rFonts w:hint="eastAsia" w:ascii="新宋体" w:hAnsi="新宋体" w:eastAsia="新宋体" w:cs="新宋体"/>
                <w:bCs/>
                <w:color w:val="auto"/>
                <w:sz w:val="22"/>
                <w:highlight w:val="none"/>
              </w:rPr>
              <w:t>温州市鹿城区洛河路18号C幢6楼</w:t>
            </w:r>
            <w:r>
              <w:rPr>
                <w:rFonts w:hint="eastAsia" w:ascii="新宋体" w:hAnsi="新宋体" w:eastAsia="新宋体" w:cs="新宋体"/>
                <w:color w:val="auto"/>
                <w:sz w:val="22"/>
                <w:highlight w:val="none"/>
              </w:rPr>
              <w:t>，防疫期间不建议供应商本代表抵达开评标地点）；解密CA必须是上传并制作电子投标文件CA锁。</w:t>
            </w:r>
          </w:p>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p>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tblPrEx>
          <w:tblCellMar>
            <w:top w:w="0" w:type="dxa"/>
            <w:left w:w="108" w:type="dxa"/>
            <w:bottom w:w="0" w:type="dxa"/>
            <w:right w:w="108" w:type="dxa"/>
          </w:tblCellMar>
        </w:tblPrEx>
        <w:trPr>
          <w:trHeight w:val="678"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递交投标</w:t>
            </w:r>
          </w:p>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政采云平台在线提交（www.zcygov.cn）</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开、评标时间</w:t>
            </w:r>
          </w:p>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和地点</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r>
              <w:rPr>
                <w:rFonts w:hint="eastAsia" w:ascii="新宋体" w:hAnsi="新宋体" w:eastAsia="新宋体" w:cs="新宋体"/>
                <w:color w:val="auto"/>
                <w:kern w:val="0"/>
                <w:sz w:val="22"/>
                <w:szCs w:val="22"/>
                <w:highlight w:val="none"/>
              </w:rPr>
              <w:t>2022年</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13</w:t>
            </w:r>
            <w:r>
              <w:rPr>
                <w:rFonts w:hint="eastAsia" w:ascii="新宋体" w:hAnsi="新宋体" w:eastAsia="新宋体" w:cs="新宋体"/>
                <w:color w:val="auto"/>
                <w:kern w:val="0"/>
                <w:sz w:val="22"/>
                <w:szCs w:val="22"/>
                <w:highlight w:val="none"/>
              </w:rPr>
              <w:t>日09时30分整</w:t>
            </w:r>
          </w:p>
          <w:p>
            <w:pPr>
              <w:spacing w:line="30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开标地点：政采云平台在线开标（www.zcygov.cn）</w:t>
            </w:r>
          </w:p>
          <w:p>
            <w:pPr>
              <w:pStyle w:val="2"/>
              <w:ind w:firstLine="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评标地点：温州市公共资源交易中心鹿城分中心三楼开标室（温州市宽带路18号科技大楼）</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tblPrEx>
          <w:tblCellMar>
            <w:top w:w="0" w:type="dxa"/>
            <w:left w:w="108" w:type="dxa"/>
            <w:bottom w:w="0" w:type="dxa"/>
            <w:right w:w="108" w:type="dxa"/>
          </w:tblCellMar>
        </w:tblPrEx>
        <w:trPr>
          <w:trHeight w:val="69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履约保证金</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本项目政府采购合同签订后二十个工作日内，中标人须向采购人提供履约保证金200万元（</w:t>
            </w:r>
            <w:r>
              <w:rPr>
                <w:rFonts w:hint="eastAsia" w:ascii="新宋体" w:hAnsi="新宋体" w:eastAsia="新宋体" w:cs="新宋体"/>
                <w:bCs/>
                <w:color w:val="auto"/>
                <w:sz w:val="22"/>
                <w:szCs w:val="22"/>
                <w:highlight w:val="none"/>
                <w:lang w:eastAsia="zh-CN"/>
              </w:rPr>
              <w:t>可</w:t>
            </w:r>
            <w:r>
              <w:rPr>
                <w:rFonts w:hint="eastAsia" w:ascii="新宋体" w:hAnsi="新宋体" w:eastAsia="新宋体"/>
                <w:color w:val="auto"/>
                <w:sz w:val="22"/>
                <w:szCs w:val="22"/>
                <w:highlight w:val="none"/>
              </w:rPr>
              <w:t>采用履约保函形式</w:t>
            </w:r>
            <w:r>
              <w:rPr>
                <w:rFonts w:hint="eastAsia" w:ascii="新宋体" w:hAnsi="新宋体" w:eastAsia="新宋体" w:cs="新宋体"/>
                <w:bCs/>
                <w:color w:val="auto"/>
                <w:sz w:val="22"/>
                <w:szCs w:val="22"/>
                <w:highlight w:val="none"/>
              </w:rPr>
              <w:t>）。</w:t>
            </w:r>
          </w:p>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履约担保细则见项目合同条款第十一条。</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pPr>
              <w:adjustRightInd w:val="0"/>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1.本项目对符合财政扶持政策的中小企业（小型、微型）、监狱企业、残疾人福利性单位给予价格优惠扶持（价格优惠扶持见第六部分：评标原则及方法）。</w:t>
            </w:r>
          </w:p>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2. 满足转发财政部 工业和信息化部关于印发《政府采购促进中小企业发展管理办法》（财库﹝2020﹞46 号）的规定的中小企业可享受优惠扶持。</w:t>
            </w:r>
          </w:p>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3.满足关于政府采购支持监狱企业发展有关问题的通知（财库[2014]68号）的规定的供应商可享受优惠扶持。</w:t>
            </w:r>
          </w:p>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4.满足关于促进残疾人就业政府采购政策的通知（财库[2017]141号）的规定的供应商可享受优惠扶持。</w:t>
            </w:r>
          </w:p>
          <w:p>
            <w:pPr>
              <w:widowControl/>
              <w:rPr>
                <w:rFonts w:ascii="新宋体" w:hAnsi="新宋体" w:eastAsia="新宋体" w:cs="新宋体"/>
                <w:b/>
                <w:bCs/>
                <w:color w:val="auto"/>
                <w:sz w:val="22"/>
                <w:szCs w:val="22"/>
                <w:highlight w:val="none"/>
              </w:rPr>
            </w:pPr>
            <w:r>
              <w:rPr>
                <w:rFonts w:hint="eastAsia" w:ascii="宋体" w:hAnsi="宋体" w:cs="宋体"/>
                <w:color w:val="auto"/>
                <w:kern w:val="0"/>
                <w:sz w:val="22"/>
                <w:szCs w:val="22"/>
                <w:highlight w:val="none"/>
              </w:rPr>
              <w:t>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274"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color w:val="auto"/>
                <w:sz w:val="22"/>
                <w:szCs w:val="22"/>
                <w:highlight w:val="none"/>
              </w:rPr>
              <w:t>www.creditchina.gov.cn</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)；“中国政府采购网”（http://www.ccgp.gov.cn/）；</w:t>
            </w:r>
          </w:p>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（2）供应商信用信息查询截止时点：本项目投标文件递交截止时间。</w:t>
            </w:r>
          </w:p>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（3）供应商信用信息查询记录和证据留存的具体方式：网页截图打印；</w:t>
            </w:r>
          </w:p>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（4）信用信息的使用规则：</w:t>
            </w:r>
          </w:p>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①在“信用中国”具有负面记录：列入失信被执行人、重大税收违法案件当事人名单、政府采购严重违法失信行为名单；</w:t>
            </w:r>
          </w:p>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②被“中国政府采购网”(www.ccgp.gov.cn)列入政府采购严重违法失信行为记录名单。</w:t>
            </w:r>
          </w:p>
          <w:p>
            <w:pPr>
              <w:rPr>
                <w:rFonts w:ascii="新宋体" w:hAnsi="新宋体" w:eastAsia="新宋体" w:cs="新宋体"/>
                <w:color w:val="auto"/>
                <w:highlight w:val="none"/>
              </w:rPr>
            </w:pPr>
            <w:r>
              <w:rPr>
                <w:rFonts w:hint="eastAsia" w:ascii="新宋体" w:hAnsi="新宋体" w:eastAsia="新宋体" w:cs="新宋体"/>
                <w:b/>
                <w:bCs/>
                <w:color w:val="auto"/>
                <w:szCs w:val="21"/>
                <w:highlight w:val="none"/>
                <w:u w:val="single"/>
              </w:rPr>
              <w:t>（5）▲</w:t>
            </w:r>
            <w:r>
              <w:rPr>
                <w:rFonts w:hint="eastAsia" w:ascii="新宋体" w:hAnsi="新宋体" w:eastAsia="新宋体" w:cs="新宋体"/>
                <w:b/>
                <w:color w:val="auto"/>
                <w:sz w:val="22"/>
                <w:szCs w:val="22"/>
                <w:highlight w:val="none"/>
                <w:u w:val="single"/>
              </w:rPr>
              <w:t>关于</w:t>
            </w:r>
            <w:r>
              <w:rPr>
                <w:rFonts w:hint="eastAsia" w:ascii="新宋体" w:hAnsi="新宋体" w:eastAsia="新宋体" w:cs="新宋体"/>
                <w:b/>
                <w:bCs/>
                <w:color w:val="auto"/>
                <w:sz w:val="22"/>
                <w:szCs w:val="22"/>
                <w:highlight w:val="none"/>
                <w:u w:val="single"/>
              </w:rPr>
              <w:t>“信用中国”(www.creditchina.gov.cn) 信用记录网页截图相关说明</w:t>
            </w:r>
            <w:r>
              <w:rPr>
                <w:rFonts w:hint="eastAsia" w:ascii="新宋体" w:hAnsi="新宋体" w:eastAsia="新宋体" w:cs="新宋体"/>
                <w:bCs/>
                <w:color w:val="auto"/>
                <w:sz w:val="22"/>
                <w:szCs w:val="22"/>
                <w:highlight w:val="none"/>
              </w:rPr>
              <w:t>：</w:t>
            </w:r>
          </w:p>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②若供应商在“信用中国”无数据，亦须将搜索结果页面打印，并附说明。</w:t>
            </w:r>
          </w:p>
          <w:p>
            <w:pPr>
              <w:rPr>
                <w:rFonts w:ascii="新宋体" w:hAnsi="新宋体" w:eastAsia="新宋体"/>
                <w:color w:val="auto"/>
                <w:highlight w:val="none"/>
              </w:rPr>
            </w:pPr>
            <w:r>
              <w:rPr>
                <w:rFonts w:hint="eastAsia" w:ascii="新宋体" w:hAnsi="新宋体" w:eastAsia="新宋体" w:cs="新宋体"/>
                <w:bCs/>
                <w:color w:val="auto"/>
                <w:sz w:val="22"/>
                <w:szCs w:val="22"/>
                <w:highlight w:val="none"/>
              </w:rPr>
              <w:t>（7）具体结果以开标当日采购人或采购代理机构对</w:t>
            </w:r>
            <w:r>
              <w:rPr>
                <w:rFonts w:hint="eastAsia" w:ascii="新宋体" w:hAnsi="新宋体" w:eastAsia="新宋体" w:cs="楷体"/>
                <w:color w:val="auto"/>
                <w:kern w:val="0"/>
                <w:sz w:val="22"/>
                <w:szCs w:val="22"/>
                <w:highlight w:val="none"/>
              </w:rPr>
              <w:t>投标人信用查询网页的</w:t>
            </w:r>
            <w:r>
              <w:rPr>
                <w:rFonts w:hint="eastAsia" w:ascii="新宋体" w:hAnsi="新宋体" w:eastAsia="新宋体" w:cs="新宋体"/>
                <w:bCs/>
                <w:color w:val="auto"/>
                <w:sz w:val="22"/>
                <w:szCs w:val="22"/>
                <w:highlight w:val="none"/>
              </w:rPr>
              <w:t>查询结果为准。</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合同签订及备案</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（1）中标投标人须在中标通知书发出之日起30日历天内与采购人签订合同。</w:t>
            </w:r>
          </w:p>
          <w:p>
            <w:pPr>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（2）中标投标人与采购人签订合同后，2日历天内将合同扫描件电子版发给招标代理机构。</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联合体投标相关说明</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2"/>
                <w:szCs w:val="22"/>
                <w:highlight w:val="none"/>
              </w:rPr>
            </w:pPr>
            <w:r>
              <w:rPr>
                <w:rFonts w:hint="eastAsia" w:ascii="宋体" w:hAnsi="宋体" w:cs="宋体"/>
                <w:color w:val="auto"/>
                <w:sz w:val="22"/>
                <w:szCs w:val="22"/>
                <w:highlight w:val="none"/>
              </w:rPr>
              <w:t>（1）供应商如为联合体，必须提供双方签章的联合体协议书，明确联合体牵头人和各方权利义务，并承诺就成交项目向采购人承担连带责任。</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（2）供应商如为联合体，联合体成员各方资格审查资料、企业证书、人员证书、业绩证明材料等复印件应由联合体成员各自盖章。</w:t>
            </w:r>
          </w:p>
          <w:p>
            <w:pPr>
              <w:pStyle w:val="22"/>
              <w:spacing w:after="0"/>
              <w:jc w:val="left"/>
              <w:rPr>
                <w:rFonts w:ascii="宋体" w:hAnsi="宋体" w:cs="宋体"/>
                <w:color w:val="auto"/>
                <w:sz w:val="22"/>
                <w:szCs w:val="22"/>
                <w:highlight w:val="none"/>
              </w:rPr>
            </w:pPr>
            <w:r>
              <w:rPr>
                <w:rFonts w:hint="eastAsia" w:ascii="宋体" w:hAnsi="宋体" w:cs="宋体"/>
                <w:color w:val="auto"/>
                <w:sz w:val="22"/>
                <w:szCs w:val="22"/>
                <w:highlight w:val="none"/>
              </w:rPr>
              <w:t>（3）由同一专业的单位组成的联合体，按照资质等级较低的单位确定资质等级。</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（4）其他文件可由联合体牵头方盖章。</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（5）供应商若为联合体，电子投标工作由联合体牵头方的账号制作电子磋商响应文件并提交。</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（6）联合体各方不得再以自己名义单独或参加其他联合体在本项目中投标，否则各相关投标均无效。</w:t>
            </w:r>
          </w:p>
          <w:p>
            <w:pPr>
              <w:rPr>
                <w:rFonts w:ascii="宋体" w:hAnsi="宋体" w:cs="宋体"/>
                <w:color w:val="auto"/>
                <w:sz w:val="22"/>
                <w:szCs w:val="22"/>
                <w:highlight w:val="none"/>
              </w:rPr>
            </w:pPr>
            <w:r>
              <w:rPr>
                <w:rFonts w:hint="eastAsia" w:ascii="宋体" w:hAnsi="宋体" w:cs="宋体"/>
                <w:color w:val="auto"/>
                <w:sz w:val="22"/>
                <w:szCs w:val="22"/>
                <w:highlight w:val="none"/>
              </w:rPr>
              <w:t>（7）中标后，联合体各方根据联合体协议约定承担的项目采购内容与项目采购人签订政府采购合同。</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olor w:val="auto"/>
                <w:sz w:val="22"/>
                <w:szCs w:val="22"/>
                <w:highlight w:val="none"/>
              </w:rPr>
              <w:t>本项目招标代理服务费按人民币</w:t>
            </w:r>
            <w:r>
              <w:rPr>
                <w:rFonts w:hint="eastAsia" w:ascii="新宋体" w:hAnsi="新宋体" w:eastAsia="新宋体"/>
                <w:color w:val="auto"/>
                <w:sz w:val="22"/>
                <w:szCs w:val="22"/>
                <w:highlight w:val="none"/>
                <w:u w:val="single"/>
              </w:rPr>
              <w:t>伍</w:t>
            </w:r>
            <w:r>
              <w:rPr>
                <w:rFonts w:hint="eastAsia" w:ascii="新宋体" w:hAnsi="新宋体" w:eastAsia="新宋体"/>
                <w:color w:val="auto"/>
                <w:sz w:val="22"/>
                <w:szCs w:val="22"/>
                <w:highlight w:val="none"/>
              </w:rPr>
              <w:t>万元整收取。由中标供应商在领取成交通知书时向采购代理机构进行支付。</w:t>
            </w:r>
          </w:p>
          <w:p>
            <w:pPr>
              <w:rPr>
                <w:color w:val="auto"/>
                <w:highlight w:val="none"/>
              </w:rPr>
            </w:pPr>
            <w:r>
              <w:rPr>
                <w:rFonts w:hint="eastAsia" w:ascii="新宋体" w:hAnsi="新宋体" w:eastAsia="新宋体" w:cs="新宋体"/>
                <w:color w:val="auto"/>
                <w:sz w:val="22"/>
                <w:szCs w:val="22"/>
                <w:highlight w:val="none"/>
              </w:rPr>
              <w:t>（2）采购代理服务费可以是现金、支票、汇票或银行转账。</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项目类型</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其他未列明行业</w:t>
            </w:r>
          </w:p>
        </w:tc>
      </w:tr>
    </w:tbl>
    <w:p>
      <w:pPr>
        <w:spacing w:line="500" w:lineRule="exact"/>
        <w:rPr>
          <w:rFonts w:ascii="新宋体" w:hAnsi="新宋体" w:eastAsia="新宋体" w:cs="新宋体"/>
          <w:b/>
          <w:bCs/>
          <w:color w:val="auto"/>
          <w:sz w:val="36"/>
          <w:szCs w:val="36"/>
          <w:highlight w:val="none"/>
        </w:rPr>
      </w:pPr>
    </w:p>
    <w:p>
      <w:pPr>
        <w:spacing w:line="500" w:lineRule="exact"/>
        <w:jc w:val="center"/>
        <w:rPr>
          <w:rFonts w:ascii="新宋体" w:hAnsi="新宋体" w:eastAsia="新宋体" w:cs="新宋体"/>
          <w:b/>
          <w:bCs/>
          <w:color w:val="auto"/>
          <w:sz w:val="36"/>
          <w:szCs w:val="36"/>
          <w:highlight w:val="none"/>
        </w:rPr>
      </w:pPr>
    </w:p>
    <w:p>
      <w:pPr>
        <w:pStyle w:val="5"/>
        <w:spacing w:line="500" w:lineRule="exact"/>
        <w:jc w:val="center"/>
        <w:rPr>
          <w:rFonts w:ascii="新宋体" w:hAnsi="新宋体" w:eastAsia="新宋体"/>
          <w:color w:val="auto"/>
          <w:sz w:val="24"/>
          <w:szCs w:val="24"/>
          <w:highlight w:val="none"/>
        </w:rPr>
      </w:pPr>
      <w:r>
        <w:rPr>
          <w:rFonts w:hint="eastAsia" w:ascii="新宋体" w:hAnsi="新宋体" w:eastAsia="新宋体" w:cs="新宋体"/>
          <w:color w:val="auto"/>
          <w:sz w:val="36"/>
          <w:szCs w:val="36"/>
          <w:highlight w:val="none"/>
        </w:rPr>
        <w:br w:type="page"/>
      </w:r>
      <w:bookmarkStart w:id="13" w:name="_Toc265529380"/>
      <w:bookmarkStart w:id="14" w:name="_Toc221374623"/>
      <w:bookmarkStart w:id="15" w:name="_Toc222114876"/>
      <w:bookmarkStart w:id="16" w:name="_Toc221356948"/>
      <w:bookmarkStart w:id="17" w:name="_Toc221356883"/>
      <w:bookmarkStart w:id="18" w:name="_Toc241404199"/>
      <w:bookmarkStart w:id="19" w:name="_Toc239145351"/>
      <w:bookmarkStart w:id="20" w:name="_Toc221423616"/>
      <w:bookmarkStart w:id="21" w:name="_Toc34508130"/>
      <w:bookmarkStart w:id="22" w:name="_Toc223715995"/>
      <w:bookmarkStart w:id="23" w:name="_Toc19309"/>
      <w:bookmarkStart w:id="24" w:name="_Toc393699549"/>
      <w:r>
        <w:rPr>
          <w:rFonts w:hint="eastAsia" w:ascii="新宋体" w:hAnsi="新宋体" w:eastAsia="新宋体"/>
          <w:color w:val="auto"/>
          <w:sz w:val="24"/>
          <w:szCs w:val="24"/>
          <w:highlight w:val="none"/>
        </w:rPr>
        <w:t>一、  说明</w:t>
      </w:r>
      <w:bookmarkEnd w:id="13"/>
      <w:bookmarkEnd w:id="14"/>
      <w:bookmarkEnd w:id="15"/>
      <w:bookmarkEnd w:id="16"/>
      <w:bookmarkEnd w:id="17"/>
      <w:bookmarkEnd w:id="18"/>
      <w:bookmarkEnd w:id="19"/>
      <w:bookmarkEnd w:id="20"/>
      <w:bookmarkEnd w:id="21"/>
      <w:bookmarkEnd w:id="22"/>
      <w:bookmarkEnd w:id="23"/>
    </w:p>
    <w:p>
      <w:pPr>
        <w:tabs>
          <w:tab w:val="left" w:pos="540"/>
          <w:tab w:val="left" w:pos="90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招标是参照《中华人民共和国政府采购法》、《中华人民共和国政府采购法实施条例》、《政府采购货物和服务招标投标管理办法》和《关于进一步规范政府采购活动的若干意见》等法律及有关法规组织和实施的。</w:t>
      </w:r>
    </w:p>
    <w:p>
      <w:pPr>
        <w:tabs>
          <w:tab w:val="left" w:pos="540"/>
          <w:tab w:val="left" w:pos="90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2.合格投标人要求以招标公告对投标人资格条件要求的表述为准。</w:t>
      </w:r>
    </w:p>
    <w:p>
      <w:pPr>
        <w:tabs>
          <w:tab w:val="left" w:pos="540"/>
          <w:tab w:val="left" w:pos="90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指全权代表投标人参加投标活动并签署投标文件的人。如果投标人代表不是法定代表人，须持有《法定代表人授权书》。</w:t>
      </w:r>
    </w:p>
    <w:p>
      <w:pPr>
        <w:tabs>
          <w:tab w:val="left" w:pos="540"/>
          <w:tab w:val="left" w:pos="90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投标人应承担所有与准备和参加投标有关费用，不论投标的结果如何，采购人和招标代理机构均无义务和责任承担这些费用。</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5.优化政府采购金融服务</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6.特别说明：</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6.1投标人应仔细阅读采购文件的所有内容，按照采购文件的要求提交投标文件，并对所提供的全部资料的真实性承担法律责任。</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00" w:lineRule="exact"/>
        <w:ind w:firstLine="464" w:firstLineChars="200"/>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pPr>
        <w:spacing w:line="400" w:lineRule="exact"/>
        <w:ind w:firstLine="464" w:firstLineChars="200"/>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注：所有核心产品品牌均相同按同品牌投标人计算。</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宋体"/>
          <w:bCs/>
          <w:color w:val="auto"/>
          <w:spacing w:val="6"/>
          <w:sz w:val="22"/>
          <w:szCs w:val="22"/>
          <w:highlight w:val="none"/>
        </w:rPr>
        <w:t>6.5</w:t>
      </w:r>
      <w:r>
        <w:rPr>
          <w:rFonts w:hint="eastAsia" w:ascii="新宋体" w:hAnsi="新宋体" w:eastAsia="新宋体" w:cs="宋体"/>
          <w:bCs/>
          <w:color w:val="auto"/>
          <w:kern w:val="0"/>
          <w:sz w:val="22"/>
          <w:szCs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pStyle w:val="5"/>
        <w:spacing w:line="500" w:lineRule="exact"/>
        <w:jc w:val="center"/>
        <w:rPr>
          <w:rFonts w:ascii="新宋体" w:hAnsi="新宋体" w:eastAsia="新宋体"/>
          <w:color w:val="auto"/>
          <w:sz w:val="24"/>
          <w:szCs w:val="24"/>
          <w:highlight w:val="none"/>
        </w:rPr>
      </w:pPr>
      <w:bookmarkStart w:id="25" w:name="_Toc222114877"/>
      <w:bookmarkStart w:id="26" w:name="_Toc221374624"/>
      <w:bookmarkStart w:id="27" w:name="_Toc221356884"/>
      <w:bookmarkStart w:id="28" w:name="_Toc241404200"/>
      <w:bookmarkStart w:id="29" w:name="_Toc4884"/>
      <w:bookmarkStart w:id="30" w:name="_Toc265529381"/>
      <w:bookmarkStart w:id="31" w:name="_Toc221356949"/>
      <w:bookmarkStart w:id="32" w:name="_Toc221423617"/>
      <w:bookmarkStart w:id="33" w:name="_Toc239145352"/>
      <w:bookmarkStart w:id="34" w:name="_Toc223715996"/>
      <w:bookmarkStart w:id="35" w:name="_Toc34508131"/>
      <w:r>
        <w:rPr>
          <w:rFonts w:hint="eastAsia" w:ascii="新宋体" w:hAnsi="新宋体" w:eastAsia="新宋体"/>
          <w:color w:val="auto"/>
          <w:sz w:val="24"/>
          <w:szCs w:val="24"/>
          <w:highlight w:val="none"/>
        </w:rPr>
        <w:t>二、 采购文件</w:t>
      </w:r>
      <w:bookmarkEnd w:id="25"/>
      <w:bookmarkEnd w:id="26"/>
      <w:bookmarkEnd w:id="27"/>
      <w:bookmarkEnd w:id="28"/>
      <w:bookmarkEnd w:id="29"/>
      <w:bookmarkEnd w:id="30"/>
      <w:bookmarkEnd w:id="31"/>
      <w:bookmarkEnd w:id="32"/>
      <w:bookmarkEnd w:id="33"/>
      <w:bookmarkEnd w:id="34"/>
      <w:bookmarkEnd w:id="35"/>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pPr>
        <w:tabs>
          <w:tab w:val="left" w:pos="540"/>
        </w:tabs>
        <w:spacing w:line="460" w:lineRule="exact"/>
        <w:rPr>
          <w:rFonts w:ascii="新宋体" w:hAnsi="新宋体" w:eastAsia="新宋体" w:cs="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460" w:lineRule="exact"/>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8.2投标人提出质疑应当提交质疑函和必要的证明材料，质疑函范本请到“浙江政府采购网下载专区”下载，质疑函内容及签署等相关要求请参看《政府采购质疑和投诉办法》相关规定。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ascii="新宋体" w:hAnsi="新宋体" w:eastAsia="新宋体" w:cs="宋体"/>
          <w:bCs/>
          <w:color w:val="auto"/>
          <w:spacing w:val="6"/>
          <w:sz w:val="22"/>
          <w:szCs w:val="22"/>
          <w:highlight w:val="none"/>
        </w:rPr>
      </w:pPr>
      <w:r>
        <w:rPr>
          <w:rFonts w:hint="eastAsia" w:ascii="新宋体" w:hAnsi="新宋体" w:eastAsia="新宋体" w:cs="宋体"/>
          <w:color w:val="auto"/>
          <w:spacing w:val="6"/>
          <w:sz w:val="22"/>
          <w:szCs w:val="22"/>
          <w:highlight w:val="none"/>
        </w:rPr>
        <w:t>8.3提出质疑的投标人应当是参与本项目招标活动的投标人。</w:t>
      </w:r>
      <w:r>
        <w:rPr>
          <w:rFonts w:hint="eastAsia" w:ascii="新宋体" w:hAnsi="新宋体" w:eastAsia="新宋体" w:cs="宋体"/>
          <w:bCs/>
          <w:color w:val="auto"/>
          <w:spacing w:val="6"/>
          <w:sz w:val="22"/>
          <w:szCs w:val="22"/>
          <w:highlight w:val="none"/>
        </w:rPr>
        <w:t>投标人在法定质疑期内一次性提出针对同一采购程序环节的质疑。</w:t>
      </w:r>
    </w:p>
    <w:p>
      <w:pPr>
        <w:tabs>
          <w:tab w:val="left" w:pos="540"/>
        </w:tabs>
        <w:spacing w:line="460" w:lineRule="exact"/>
        <w:rPr>
          <w:rFonts w:ascii="新宋体" w:hAnsi="新宋体" w:eastAsia="新宋体" w:cs="宋体"/>
          <w:color w:val="auto"/>
          <w:spacing w:val="6"/>
          <w:sz w:val="22"/>
          <w:szCs w:val="22"/>
          <w:highlight w:val="none"/>
        </w:rPr>
      </w:pPr>
      <w:r>
        <w:rPr>
          <w:rFonts w:hint="eastAsia" w:ascii="新宋体" w:hAnsi="新宋体" w:eastAsia="新宋体" w:cs="宋体"/>
          <w:bCs/>
          <w:color w:val="auto"/>
          <w:spacing w:val="6"/>
          <w:sz w:val="22"/>
          <w:szCs w:val="22"/>
          <w:highlight w:val="none"/>
        </w:rPr>
        <w:t>8.4</w:t>
      </w:r>
      <w:r>
        <w:rPr>
          <w:rFonts w:hint="eastAsia" w:ascii="新宋体" w:hAnsi="新宋体" w:eastAsia="新宋体" w:cs="宋体"/>
          <w:color w:val="auto"/>
          <w:spacing w:val="6"/>
          <w:sz w:val="22"/>
          <w:szCs w:val="22"/>
          <w:highlight w:val="none"/>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9.投诉</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宋体"/>
          <w:color w:val="auto"/>
          <w:spacing w:val="6"/>
          <w:sz w:val="22"/>
          <w:szCs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pPr>
        <w:spacing w:line="400" w:lineRule="exact"/>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10.1采购人或者采购代理机构可以对已发出的采购文件进行必要的澄清或者修改。澄清或者修改</w:t>
      </w:r>
      <w:r>
        <w:rPr>
          <w:rFonts w:hint="eastAsia" w:ascii="新宋体" w:hAnsi="新宋体" w:eastAsia="新宋体" w:cs="宋体"/>
          <w:bCs/>
          <w:color w:val="auto"/>
          <w:spacing w:val="6"/>
          <w:sz w:val="22"/>
          <w:szCs w:val="22"/>
          <w:highlight w:val="none"/>
        </w:rPr>
        <w:t>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新宋体" w:hAnsi="新宋体" w:eastAsia="新宋体" w:cs="宋体"/>
          <w:color w:val="auto"/>
          <w:spacing w:val="6"/>
          <w:sz w:val="22"/>
          <w:szCs w:val="22"/>
          <w:highlight w:val="none"/>
        </w:rPr>
        <w:t>澄清或者修改的内容为采购文件的组成部分。</w:t>
      </w:r>
    </w:p>
    <w:p>
      <w:pPr>
        <w:spacing w:line="400" w:lineRule="exact"/>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10.2澄清或者修改的内容可能影响投标文件编制的，采购人或者采购代理机构应当在投标截止时间至少15日前，以书面形式（</w:t>
      </w:r>
      <w:r>
        <w:rPr>
          <w:rFonts w:hint="eastAsia" w:ascii="新宋体" w:hAnsi="新宋体" w:eastAsia="新宋体" w:cs="宋体"/>
          <w:bCs/>
          <w:color w:val="auto"/>
          <w:spacing w:val="6"/>
          <w:sz w:val="22"/>
          <w:szCs w:val="22"/>
          <w:highlight w:val="none"/>
        </w:rPr>
        <w:t>在浙江政府采购网上发布公告</w:t>
      </w:r>
      <w:r>
        <w:rPr>
          <w:rFonts w:hint="eastAsia" w:ascii="新宋体" w:hAnsi="新宋体" w:eastAsia="新宋体" w:cs="宋体"/>
          <w:color w:val="auto"/>
          <w:spacing w:val="6"/>
          <w:sz w:val="22"/>
          <w:szCs w:val="22"/>
          <w:highlight w:val="none"/>
        </w:rPr>
        <w:t>）通知所有获取采购文件的潜在投标人；不足15日的，采购人或者采购代理机构应当顺延提交投标文件的截止时间。</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宋体"/>
          <w:color w:val="auto"/>
          <w:spacing w:val="6"/>
          <w:sz w:val="22"/>
          <w:szCs w:val="22"/>
          <w:highlight w:val="none"/>
        </w:rPr>
        <w:t>10.3采购文件如有补充更正均见“政采云”（http://www.zjzfcg.gov.cn）。投标人须在开标前一日自行查看是否有补充更正文件，并按补充更正文件要求投标，否则责任自负。</w:t>
      </w:r>
    </w:p>
    <w:p>
      <w:pPr>
        <w:pStyle w:val="5"/>
        <w:spacing w:line="500" w:lineRule="exact"/>
        <w:jc w:val="center"/>
        <w:rPr>
          <w:rFonts w:ascii="新宋体" w:hAnsi="新宋体" w:eastAsia="新宋体"/>
          <w:color w:val="auto"/>
          <w:sz w:val="24"/>
          <w:szCs w:val="24"/>
          <w:highlight w:val="none"/>
        </w:rPr>
      </w:pPr>
      <w:bookmarkStart w:id="36" w:name="_Toc34508132"/>
      <w:bookmarkStart w:id="37" w:name="_Toc221356885"/>
      <w:bookmarkStart w:id="38" w:name="_Toc223715997"/>
      <w:bookmarkStart w:id="39" w:name="_Toc221374625"/>
      <w:bookmarkStart w:id="40" w:name="_Toc221356950"/>
      <w:bookmarkStart w:id="41" w:name="_Toc221423618"/>
      <w:bookmarkStart w:id="42" w:name="_Toc18636"/>
      <w:bookmarkStart w:id="43" w:name="_Toc239145353"/>
      <w:bookmarkStart w:id="44" w:name="_Toc265529382"/>
      <w:bookmarkStart w:id="45" w:name="_Toc241404201"/>
      <w:bookmarkStart w:id="46" w:name="_Toc222114878"/>
      <w:r>
        <w:rPr>
          <w:rFonts w:hint="eastAsia" w:ascii="新宋体" w:hAnsi="新宋体" w:eastAsia="新宋体"/>
          <w:color w:val="auto"/>
          <w:sz w:val="24"/>
          <w:szCs w:val="24"/>
          <w:highlight w:val="none"/>
        </w:rPr>
        <w:t>三、 投标文件的编制</w:t>
      </w:r>
      <w:bookmarkEnd w:id="36"/>
      <w:bookmarkEnd w:id="37"/>
      <w:bookmarkEnd w:id="38"/>
      <w:bookmarkEnd w:id="39"/>
      <w:bookmarkEnd w:id="40"/>
      <w:bookmarkEnd w:id="41"/>
      <w:bookmarkEnd w:id="42"/>
      <w:bookmarkEnd w:id="43"/>
      <w:bookmarkEnd w:id="44"/>
      <w:bookmarkEnd w:id="45"/>
      <w:bookmarkEnd w:id="46"/>
    </w:p>
    <w:p>
      <w:pPr>
        <w:spacing w:line="440" w:lineRule="exact"/>
        <w:rPr>
          <w:rFonts w:ascii="新宋体" w:hAnsi="新宋体" w:eastAsia="新宋体" w:cs="新宋体"/>
          <w:snapToGrid w:val="0"/>
          <w:color w:val="auto"/>
          <w:sz w:val="22"/>
          <w:szCs w:val="22"/>
          <w:highlight w:val="none"/>
        </w:rPr>
      </w:pPr>
      <w:bookmarkStart w:id="47" w:name="_Toc221356886"/>
      <w:r>
        <w:rPr>
          <w:rFonts w:hint="eastAsia" w:ascii="新宋体" w:hAnsi="新宋体" w:eastAsia="新宋体" w:cs="新宋体"/>
          <w:snapToGrid w:val="0"/>
          <w:color w:val="auto"/>
          <w:sz w:val="22"/>
          <w:szCs w:val="22"/>
          <w:highlight w:val="none"/>
        </w:rPr>
        <w:t>11. 投标文件的形式和效力</w:t>
      </w:r>
    </w:p>
    <w:p>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pPr>
        <w:spacing w:line="440" w:lineRule="exac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 投标文件的构成</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12.1 投标文件包括资格审查资料、商务技术文件、报价文件三部分。</w:t>
      </w:r>
    </w:p>
    <w:p>
      <w:pPr>
        <w:spacing w:line="43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投标文件资格审查资料须包括下列部分：</w:t>
      </w:r>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vAlign w:val="center"/>
          </w:tcPr>
          <w:p>
            <w:pPr>
              <w:overflowPunct w:val="0"/>
              <w:spacing w:line="43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新宋体" w:hAnsi="新宋体" w:eastAsia="新宋体" w:cs="新宋体"/>
                <w:bCs/>
                <w:color w:val="auto"/>
                <w:sz w:val="22"/>
                <w:szCs w:val="22"/>
                <w:highlight w:val="none"/>
              </w:rPr>
            </w:pPr>
            <w:bookmarkStart w:id="48" w:name="_Hlk16667472"/>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法定代表人（单位负责人）授权书和被授权人有效身份证明。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联合体协议书（非联合体无需提供）。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rPr>
              <w:t>最近一个年度的资产负债表等财务报表资料文件或开标前三个月内出具的银行资信证明（若资信证明中注明复印无效，需提交原件扫描件），新成立的公司，必须提供情况说明。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具有履行合同所必需的设备和专业技术能力的承诺函。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参加政府采购活动前3年内（新成立不满三年的组织机构自成立之日起算）在经营活动中没有重大违法记录的声明函。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单位组织形式声明函。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w:t>
            </w:r>
          </w:p>
        </w:tc>
        <w:tc>
          <w:tcPr>
            <w:tcW w:w="91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至本项目投标截止时间内任意时间的“信用中国（https://www.creditchina.gov.cn/）”、“中国政府采购网（http://www.ccgp.gov.cn/）”投标人信用查询网页截图（以开标当日采购人或采购代理机构网页查询结果为准）。</w:t>
            </w:r>
          </w:p>
        </w:tc>
      </w:tr>
      <w:bookmarkEnd w:id="48"/>
    </w:tbl>
    <w:p>
      <w:pPr>
        <w:spacing w:line="43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p>
      <w:pPr>
        <w:numPr>
          <w:ilvl w:val="0"/>
          <w:numId w:val="17"/>
        </w:numPr>
        <w:spacing w:line="430" w:lineRule="exact"/>
        <w:rPr>
          <w:rFonts w:ascii="新宋体" w:hAnsi="新宋体" w:eastAsia="新宋体" w:cs="新宋体"/>
          <w:color w:val="auto"/>
          <w:highlight w:val="none"/>
        </w:rPr>
      </w:pPr>
      <w:r>
        <w:rPr>
          <w:rFonts w:hint="eastAsia" w:ascii="宋体" w:hAnsi="宋体" w:cs="宋体"/>
          <w:b/>
          <w:bCs/>
          <w:color w:val="auto"/>
          <w:sz w:val="22"/>
          <w:szCs w:val="22"/>
          <w:highlight w:val="none"/>
        </w:rPr>
        <w:t>如为联合体，3至9项材料联合体双方均需提供。</w:t>
      </w:r>
    </w:p>
    <w:p>
      <w:pPr>
        <w:numPr>
          <w:ilvl w:val="0"/>
          <w:numId w:val="17"/>
        </w:numPr>
        <w:spacing w:line="430" w:lineRule="exac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numPr>
          <w:ilvl w:val="0"/>
          <w:numId w:val="17"/>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Cs w:val="21"/>
          <w:highlight w:val="none"/>
          <w:u w:val="single"/>
        </w:rPr>
        <w:t>▲</w:t>
      </w:r>
      <w:r>
        <w:rPr>
          <w:rFonts w:hint="eastAsia" w:ascii="新宋体" w:hAnsi="新宋体" w:eastAsia="新宋体" w:cs="新宋体"/>
          <w:b/>
          <w:color w:val="auto"/>
          <w:sz w:val="22"/>
          <w:szCs w:val="22"/>
          <w:highlight w:val="none"/>
          <w:u w:val="single"/>
        </w:rPr>
        <w:t>以上所需的各种证书、证件、证明等若系复印件、扫描件，须加盖投标人有效的公章（电子签章）。</w:t>
      </w:r>
    </w:p>
    <w:p>
      <w:pPr>
        <w:numPr>
          <w:ilvl w:val="0"/>
          <w:numId w:val="17"/>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pPr>
        <w:tabs>
          <w:tab w:val="left" w:pos="36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投标文件商务技术文件应包括下列部分：</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09" w:type="dxa"/>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9109" w:type="dxa"/>
            <w:vAlign w:val="center"/>
          </w:tcPr>
          <w:p>
            <w:pPr>
              <w:jc w:val="left"/>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109" w:type="dxa"/>
            <w:vAlign w:val="center"/>
          </w:tcPr>
          <w:p>
            <w:pP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109" w:type="dxa"/>
            <w:vAlign w:val="center"/>
          </w:tcPr>
          <w:p>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109" w:type="dxa"/>
            <w:vAlign w:val="center"/>
          </w:tcPr>
          <w:p>
            <w:pPr>
              <w:rPr>
                <w:rFonts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投标技术方案（以下内容及格式均由投标人自行拟定）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w:t>
            </w:r>
          </w:p>
        </w:tc>
        <w:tc>
          <w:tcPr>
            <w:tcW w:w="9109" w:type="dxa"/>
            <w:vAlign w:val="center"/>
          </w:tcPr>
          <w:p>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安置任务化解工作方案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w:t>
            </w:r>
          </w:p>
        </w:tc>
        <w:tc>
          <w:tcPr>
            <w:tcW w:w="9109" w:type="dxa"/>
            <w:vAlign w:val="center"/>
          </w:tcPr>
          <w:p>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资金筹措方案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4.3</w:t>
            </w:r>
          </w:p>
        </w:tc>
        <w:tc>
          <w:tcPr>
            <w:tcW w:w="9109" w:type="dxa"/>
            <w:vAlign w:val="center"/>
          </w:tcPr>
          <w:p>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金融机构融资意向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4.4</w:t>
            </w:r>
          </w:p>
        </w:tc>
        <w:tc>
          <w:tcPr>
            <w:tcW w:w="9109" w:type="dxa"/>
            <w:vAlign w:val="center"/>
          </w:tcPr>
          <w:p>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安置性商品房筹集（外购）方案及商品房区位品质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4.5</w:t>
            </w:r>
          </w:p>
        </w:tc>
        <w:tc>
          <w:tcPr>
            <w:tcW w:w="9109" w:type="dxa"/>
            <w:vAlign w:val="center"/>
          </w:tcPr>
          <w:p>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安置进度保障措施及人员配置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4.6</w:t>
            </w:r>
          </w:p>
        </w:tc>
        <w:tc>
          <w:tcPr>
            <w:tcW w:w="9109" w:type="dxa"/>
            <w:vAlign w:val="center"/>
          </w:tcPr>
          <w:p>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与政府有关部门的对接方案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4.9</w:t>
            </w:r>
          </w:p>
        </w:tc>
        <w:tc>
          <w:tcPr>
            <w:tcW w:w="9109" w:type="dxa"/>
            <w:vAlign w:val="center"/>
          </w:tcPr>
          <w:p>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投标人的社会责任承担能力与风险分析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109" w:type="dxa"/>
            <w:vAlign w:val="center"/>
          </w:tcPr>
          <w:p>
            <w:pPr>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资信证明文件（本部分为</w:t>
            </w:r>
            <w:r>
              <w:rPr>
                <w:rFonts w:hint="eastAsia" w:ascii="新宋体" w:hAnsi="新宋体" w:eastAsia="新宋体" w:cs="新宋体"/>
                <w:b/>
                <w:bCs/>
                <w:color w:val="auto"/>
                <w:sz w:val="22"/>
                <w:szCs w:val="22"/>
                <w:highlight w:val="none"/>
              </w:rPr>
              <w:t>商务技术文件</w:t>
            </w:r>
            <w:r>
              <w:rPr>
                <w:rFonts w:hint="eastAsia" w:ascii="新宋体" w:hAnsi="新宋体" w:eastAsia="新宋体" w:cs="新宋体"/>
                <w:b/>
                <w:color w:val="auto"/>
                <w:sz w:val="22"/>
                <w:szCs w:val="22"/>
                <w:highlight w:val="none"/>
              </w:rPr>
              <w:t>评分内容，各供应商参照评分标准根据自身情况提供）</w:t>
            </w:r>
          </w:p>
        </w:tc>
      </w:tr>
    </w:tbl>
    <w:p>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pPr>
        <w:numPr>
          <w:ilvl w:val="0"/>
          <w:numId w:val="18"/>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投标人可根据采购文件中的采购内容及需求和商务技术文件评分细则，提供投标人认为需要提供的文件和资料。</w:t>
      </w:r>
    </w:p>
    <w:p>
      <w:pPr>
        <w:numPr>
          <w:ilvl w:val="0"/>
          <w:numId w:val="18"/>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numPr>
          <w:ilvl w:val="0"/>
          <w:numId w:val="18"/>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以上所需的各种证书、证件、证明等若系复印件、扫描件，须加盖投标人有效的公章。</w:t>
      </w:r>
    </w:p>
    <w:p>
      <w:pPr>
        <w:numPr>
          <w:ilvl w:val="0"/>
          <w:numId w:val="18"/>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pPr>
        <w:tabs>
          <w:tab w:val="left" w:pos="5355"/>
        </w:tabs>
        <w:spacing w:line="43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12.4 投标文件商务报价标应包括下列部分：</w:t>
      </w:r>
    </w:p>
    <w:tbl>
      <w:tblPr>
        <w:tblStyle w:val="56"/>
        <w:tblW w:w="0" w:type="auto"/>
        <w:tblInd w:w="0" w:type="dxa"/>
        <w:tblLayout w:type="fixed"/>
        <w:tblCellMar>
          <w:top w:w="0" w:type="dxa"/>
          <w:left w:w="108" w:type="dxa"/>
          <w:bottom w:w="0" w:type="dxa"/>
          <w:right w:w="108" w:type="dxa"/>
        </w:tblCellMar>
      </w:tblPr>
      <w:tblGrid>
        <w:gridCol w:w="966"/>
        <w:gridCol w:w="8888"/>
      </w:tblGrid>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投标分项报价表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30" w:lineRule="atLeas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中小企业声明函（或监狱企业声明函）及其相关的充分的证明材料、残疾人福利性单位声明函（采购文件第二部分相关附件，非此类企业无须提供）</w:t>
            </w:r>
          </w:p>
        </w:tc>
      </w:tr>
      <w:bookmarkEnd w:id="47"/>
    </w:tbl>
    <w:p>
      <w:pPr>
        <w:spacing w:line="440" w:lineRule="exact"/>
        <w:ind w:left="331" w:hanging="331" w:hangingChars="15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13.投标文件编制</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14.投标文件的签章</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14.2投标文件应由投标人法定代表人或其授权代表签章，并时加盖投标人公章（电子签章）。</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电子签章操作指南详见采购公告附件《供应商项目采购-电子招投标操作指南》。</w:t>
      </w:r>
    </w:p>
    <w:p>
      <w:pPr>
        <w:spacing w:line="440" w:lineRule="exact"/>
        <w:ind w:left="331" w:hanging="331" w:hangingChars="15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15.投标文件的形式</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pPr>
        <w:tabs>
          <w:tab w:val="left" w:pos="360"/>
        </w:tabs>
        <w:spacing w:line="460" w:lineRule="exact"/>
        <w:rPr>
          <w:rFonts w:ascii="新宋体" w:hAnsi="新宋体" w:eastAsia="新宋体" w:cs="Arial"/>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16.投标文件的份数</w:t>
      </w:r>
    </w:p>
    <w:p>
      <w:pPr>
        <w:tabs>
          <w:tab w:val="left" w:pos="5355"/>
        </w:tabs>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安置服务所包含的所有单价和总价，并且报出价格组成表，对于投标人价格组成表中未列出的项目或没有填写单价和总价的项目,在合同执行时采购人将不予支付,并认为这些项目费用已包括在投标报价内。</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w:t>
      </w:r>
      <w:r>
        <w:rPr>
          <w:rFonts w:hint="eastAsia" w:ascii="新宋体" w:hAnsi="新宋体" w:eastAsia="新宋体" w:cs="新宋体"/>
          <w:bCs/>
          <w:color w:val="auto"/>
          <w:sz w:val="22"/>
          <w:szCs w:val="22"/>
          <w:highlight w:val="none"/>
        </w:rPr>
        <w:t>本项目</w:t>
      </w:r>
      <w:r>
        <w:rPr>
          <w:rFonts w:hint="eastAsia" w:ascii="新宋体" w:hAnsi="新宋体" w:eastAsia="新宋体" w:cs="新宋体"/>
          <w:bCs/>
          <w:color w:val="auto"/>
          <w:kern w:val="0"/>
          <w:sz w:val="22"/>
          <w:szCs w:val="22"/>
          <w:highlight w:val="none"/>
          <w:lang w:val="zh-CN"/>
        </w:rPr>
        <w:t>投标报价应是中标供应商在正确地完全履行合同义务后采购人应支付给中标供应商所有的价款，即</w:t>
      </w:r>
      <w:r>
        <w:rPr>
          <w:rFonts w:hint="eastAsia" w:ascii="新宋体" w:hAnsi="新宋体" w:eastAsia="新宋体" w:cs="新宋体"/>
          <w:color w:val="auto"/>
          <w:kern w:val="0"/>
          <w:sz w:val="22"/>
          <w:szCs w:val="22"/>
          <w:highlight w:val="none"/>
          <w:lang w:eastAsia="zh-CN"/>
        </w:rPr>
        <w:t>鹿城区安置服务项目（三期）</w:t>
      </w:r>
      <w:r>
        <w:rPr>
          <w:rFonts w:hint="eastAsia" w:ascii="新宋体" w:hAnsi="新宋体" w:eastAsia="新宋体" w:cs="新宋体"/>
          <w:color w:val="auto"/>
          <w:kern w:val="0"/>
          <w:sz w:val="22"/>
          <w:szCs w:val="22"/>
          <w:highlight w:val="none"/>
        </w:rPr>
        <w:t>所有费用</w:t>
      </w:r>
      <w:r>
        <w:rPr>
          <w:rFonts w:hint="eastAsia" w:ascii="新宋体" w:hAnsi="新宋体" w:eastAsia="新宋体" w:cs="新宋体"/>
          <w:bCs/>
          <w:color w:val="auto"/>
          <w:kern w:val="0"/>
          <w:sz w:val="22"/>
          <w:szCs w:val="22"/>
          <w:highlight w:val="none"/>
          <w:lang w:val="zh-CN"/>
        </w:rPr>
        <w:t>，包括完成本项目安置服务所需的所有需支出费用（包括人工、服务、培训、场地费、宣传费用、招标代理费、技术支持费用、法律支持费用、税费等完成本项目安置服务所需的一切费用）。</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本项目安置服务合同价款结算依据为投标人所报综合单价（元/m</w:t>
      </w:r>
      <w:r>
        <w:rPr>
          <w:rFonts w:hint="eastAsia" w:ascii="新宋体" w:hAnsi="新宋体" w:eastAsia="新宋体" w:cs="新宋体"/>
          <w:color w:val="auto"/>
          <w:sz w:val="22"/>
          <w:szCs w:val="22"/>
          <w:highlight w:val="none"/>
          <w:vertAlign w:val="superscript"/>
        </w:rPr>
        <w:t>2</w:t>
      </w:r>
      <w:r>
        <w:rPr>
          <w:rFonts w:hint="eastAsia" w:ascii="新宋体" w:hAnsi="新宋体" w:eastAsia="新宋体" w:cs="新宋体"/>
          <w:color w:val="auto"/>
          <w:sz w:val="22"/>
          <w:szCs w:val="22"/>
          <w:highlight w:val="none"/>
        </w:rPr>
        <w:t>）以及服务期内实际产生的服务数量。</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须认真阅读、充分理解采购文件，如有疑问可在询疑截止时间前送达（或传真）招标代理机构，招标代理机构将会统一解答。任何因对本项目采购文件理解不清、产生歧义等由此产生的费用，视作以含在投标总价中。</w:t>
      </w:r>
    </w:p>
    <w:p>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投标人必须按第三部分附件的开标一览表（统一格式）、投标分项报价表（统一格式）的内容填写单价、合价及其他事项，并由法定代表人或授权代表签署。</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所有投标报价均以人民币报价。</w:t>
      </w:r>
    </w:p>
    <w:p>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采购人不接受任何选择报价，对每一项服务只允许一个报价。</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pPr>
        <w:tabs>
          <w:tab w:val="left" w:pos="-180"/>
          <w:tab w:val="left" w:pos="180"/>
          <w:tab w:val="left" w:pos="360"/>
        </w:tabs>
        <w:spacing w:line="440" w:lineRule="exact"/>
        <w:ind w:left="660" w:hanging="660" w:hangingChars="300"/>
        <w:rPr>
          <w:rFonts w:ascii="新宋体" w:hAnsi="新宋体" w:eastAsia="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b/>
          <w:bCs/>
          <w:color w:val="auto"/>
          <w:sz w:val="22"/>
          <w:szCs w:val="22"/>
          <w:highlight w:val="none"/>
        </w:rPr>
        <w:t>投标人如发生下列情况之一，将上报同级政府采购监督管理部门，追究其责任：</w:t>
      </w:r>
    </w:p>
    <w:p>
      <w:pPr>
        <w:numPr>
          <w:ilvl w:val="0"/>
          <w:numId w:val="19"/>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pPr>
        <w:numPr>
          <w:ilvl w:val="0"/>
          <w:numId w:val="19"/>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pPr>
        <w:numPr>
          <w:ilvl w:val="0"/>
          <w:numId w:val="19"/>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pPr>
        <w:numPr>
          <w:ilvl w:val="0"/>
          <w:numId w:val="19"/>
        </w:numPr>
        <w:tabs>
          <w:tab w:val="left" w:pos="360"/>
          <w:tab w:val="clear" w:pos="420"/>
        </w:tabs>
        <w:spacing w:line="44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pPr>
        <w:tabs>
          <w:tab w:val="left" w:pos="-180"/>
          <w:tab w:val="left" w:pos="180"/>
          <w:tab w:val="left" w:pos="360"/>
        </w:tabs>
        <w:spacing w:line="440" w:lineRule="exact"/>
        <w:rPr>
          <w:rFonts w:ascii="新宋体" w:hAnsi="新宋体" w:eastAsia="新宋体"/>
          <w:b/>
          <w:bCs/>
          <w:color w:val="auto"/>
          <w:sz w:val="22"/>
          <w:szCs w:val="22"/>
          <w:highlight w:val="none"/>
        </w:rPr>
      </w:pPr>
      <w:bookmarkStart w:id="49" w:name="_Toc222114879"/>
      <w:bookmarkStart w:id="50" w:name="_Toc221356887"/>
      <w:bookmarkStart w:id="51" w:name="_Toc241404202"/>
      <w:bookmarkStart w:id="52" w:name="_Toc223715998"/>
      <w:bookmarkStart w:id="53" w:name="_Toc221423619"/>
      <w:bookmarkStart w:id="54" w:name="_Toc265529383"/>
      <w:bookmarkStart w:id="55" w:name="_Toc221356951"/>
      <w:bookmarkStart w:id="56" w:name="_Toc221374626"/>
      <w:bookmarkStart w:id="57" w:name="_Toc239145354"/>
      <w:r>
        <w:rPr>
          <w:rFonts w:hint="eastAsia" w:ascii="新宋体" w:hAnsi="新宋体" w:eastAsia="新宋体"/>
          <w:b/>
          <w:bCs/>
          <w:color w:val="auto"/>
          <w:sz w:val="22"/>
          <w:szCs w:val="22"/>
          <w:highlight w:val="none"/>
        </w:rPr>
        <w:t>19. 投标有效期</w:t>
      </w:r>
    </w:p>
    <w:p>
      <w:pPr>
        <w:tabs>
          <w:tab w:val="left" w:pos="540"/>
          <w:tab w:val="left" w:pos="992"/>
        </w:tabs>
        <w:autoSpaceDE w:val="0"/>
        <w:autoSpaceDN w:val="0"/>
        <w:adjustRightInd w:val="0"/>
        <w:spacing w:line="460" w:lineRule="atLeas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pPr>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5"/>
        <w:spacing w:line="500" w:lineRule="exact"/>
        <w:jc w:val="center"/>
        <w:rPr>
          <w:rFonts w:ascii="新宋体" w:hAnsi="新宋体" w:eastAsia="新宋体"/>
          <w:color w:val="auto"/>
          <w:sz w:val="24"/>
          <w:szCs w:val="24"/>
          <w:highlight w:val="none"/>
        </w:rPr>
      </w:pPr>
      <w:bookmarkStart w:id="58" w:name="_Toc8072"/>
      <w:bookmarkStart w:id="59" w:name="_Toc34508133"/>
      <w:r>
        <w:rPr>
          <w:rFonts w:hint="eastAsia" w:ascii="新宋体" w:hAnsi="新宋体" w:eastAsia="新宋体"/>
          <w:color w:val="auto"/>
          <w:sz w:val="24"/>
          <w:szCs w:val="24"/>
          <w:highlight w:val="none"/>
        </w:rPr>
        <w:t>四、 投标文件的递交</w:t>
      </w:r>
      <w:bookmarkEnd w:id="49"/>
      <w:bookmarkEnd w:id="50"/>
      <w:bookmarkEnd w:id="51"/>
      <w:bookmarkEnd w:id="52"/>
      <w:bookmarkEnd w:id="53"/>
      <w:bookmarkEnd w:id="54"/>
      <w:bookmarkEnd w:id="55"/>
      <w:bookmarkEnd w:id="56"/>
      <w:bookmarkEnd w:id="57"/>
      <w:bookmarkEnd w:id="58"/>
      <w:bookmarkEnd w:id="59"/>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w:t>
      </w:r>
      <w:r>
        <w:rPr>
          <w:rFonts w:ascii="新宋体" w:hAnsi="新宋体" w:eastAsia="新宋体" w:cs="新宋体"/>
          <w:bCs/>
          <w:color w:val="auto"/>
          <w:kern w:val="0"/>
          <w:sz w:val="22"/>
          <w:szCs w:val="22"/>
          <w:highlight w:val="none"/>
        </w:rPr>
        <w:t>投标文件递交截止时间后，投标人不得撤回、修改</w:t>
      </w:r>
      <w:r>
        <w:rPr>
          <w:rFonts w:hint="eastAsia" w:ascii="新宋体" w:hAnsi="新宋体" w:eastAsia="新宋体" w:cs="新宋体"/>
          <w:bCs/>
          <w:color w:val="auto"/>
          <w:kern w:val="0"/>
          <w:sz w:val="22"/>
          <w:szCs w:val="22"/>
          <w:highlight w:val="none"/>
        </w:rPr>
        <w:t>投标文件。</w:t>
      </w:r>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w:t>
      </w:r>
      <w:r>
        <w:rPr>
          <w:rFonts w:ascii="新宋体" w:hAnsi="新宋体" w:eastAsia="新宋体" w:cs="新宋体"/>
          <w:bCs/>
          <w:color w:val="auto"/>
          <w:kern w:val="0"/>
          <w:sz w:val="22"/>
          <w:szCs w:val="22"/>
          <w:highlight w:val="none"/>
        </w:rPr>
        <w:t>投标备选（替代）方案</w:t>
      </w:r>
      <w:r>
        <w:rPr>
          <w:rFonts w:hint="eastAsia" w:ascii="新宋体" w:hAnsi="新宋体" w:eastAsia="新宋体" w:cs="新宋体"/>
          <w:bCs/>
          <w:color w:val="auto"/>
          <w:kern w:val="0"/>
          <w:sz w:val="22"/>
          <w:szCs w:val="22"/>
          <w:highlight w:val="none"/>
        </w:rPr>
        <w:t>，否则其投标文件将作无效标处理。与“电子加密投标文件”同时生成的“备份投标文件”不是投标备选（替代）方案。</w:t>
      </w:r>
    </w:p>
    <w:p>
      <w:pPr>
        <w:tabs>
          <w:tab w:val="left" w:pos="540"/>
        </w:tabs>
        <w:spacing w:line="460" w:lineRule="exact"/>
        <w:rPr>
          <w:rFonts w:ascii="新宋体" w:hAnsi="新宋体" w:eastAsia="新宋体" w:cs="新宋体"/>
          <w:b/>
          <w:color w:val="auto"/>
          <w:sz w:val="22"/>
          <w:szCs w:val="22"/>
          <w:highlight w:val="none"/>
        </w:rPr>
      </w:pPr>
    </w:p>
    <w:p>
      <w:pPr>
        <w:pStyle w:val="5"/>
        <w:spacing w:line="500" w:lineRule="exact"/>
        <w:jc w:val="center"/>
        <w:rPr>
          <w:rFonts w:ascii="新宋体" w:hAnsi="新宋体" w:eastAsia="新宋体"/>
          <w:color w:val="auto"/>
          <w:sz w:val="24"/>
          <w:szCs w:val="24"/>
          <w:highlight w:val="none"/>
        </w:rPr>
      </w:pPr>
      <w:bookmarkStart w:id="60" w:name="_Toc265529384"/>
      <w:bookmarkStart w:id="61" w:name="_Toc239145355"/>
      <w:bookmarkStart w:id="62" w:name="_Toc221356888"/>
      <w:bookmarkStart w:id="63" w:name="_Toc221423620"/>
      <w:bookmarkStart w:id="64" w:name="_Toc34508134"/>
      <w:bookmarkStart w:id="65" w:name="_Toc222114880"/>
      <w:bookmarkStart w:id="66" w:name="_Toc6618"/>
      <w:bookmarkStart w:id="67" w:name="_Toc221356952"/>
      <w:bookmarkStart w:id="68" w:name="_Toc221374627"/>
      <w:bookmarkStart w:id="69" w:name="_Toc241404203"/>
      <w:bookmarkStart w:id="70" w:name="_Toc223715999"/>
      <w:r>
        <w:rPr>
          <w:rFonts w:hint="eastAsia" w:ascii="新宋体" w:hAnsi="新宋体" w:eastAsia="新宋体"/>
          <w:color w:val="auto"/>
          <w:sz w:val="24"/>
          <w:szCs w:val="24"/>
          <w:highlight w:val="none"/>
        </w:rPr>
        <w:t>五、 开标</w:t>
      </w:r>
      <w:bookmarkEnd w:id="60"/>
      <w:bookmarkEnd w:id="61"/>
      <w:bookmarkEnd w:id="62"/>
      <w:bookmarkEnd w:id="63"/>
      <w:bookmarkEnd w:id="64"/>
      <w:bookmarkEnd w:id="65"/>
      <w:bookmarkEnd w:id="66"/>
      <w:bookmarkEnd w:id="67"/>
      <w:bookmarkEnd w:id="68"/>
      <w:bookmarkEnd w:id="69"/>
      <w:bookmarkEnd w:id="70"/>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xml:space="preserve">25. </w:t>
      </w:r>
      <w:r>
        <w:rPr>
          <w:rFonts w:ascii="新宋体" w:hAnsi="新宋体" w:eastAsia="新宋体" w:cs="新宋体"/>
          <w:b/>
          <w:bCs/>
          <w:color w:val="auto"/>
          <w:kern w:val="0"/>
          <w:sz w:val="22"/>
          <w:szCs w:val="22"/>
          <w:highlight w:val="none"/>
        </w:rPr>
        <w:t>开标准备</w:t>
      </w:r>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25.2采购组织机构将按照采购文件规定的时间通过“政采云平台”组织开标、开启投标文件，所有供应商均应当准时在线参加。投标人</w:t>
      </w:r>
      <w:r>
        <w:rPr>
          <w:rFonts w:ascii="新宋体" w:hAnsi="新宋体" w:eastAsia="新宋体" w:cs="新宋体"/>
          <w:bCs/>
          <w:color w:val="auto"/>
          <w:kern w:val="0"/>
          <w:sz w:val="22"/>
          <w:szCs w:val="22"/>
          <w:highlight w:val="none"/>
        </w:rPr>
        <w:t>如不</w:t>
      </w:r>
      <w:r>
        <w:rPr>
          <w:rFonts w:hint="eastAsia" w:ascii="新宋体" w:hAnsi="新宋体" w:eastAsia="新宋体" w:cs="新宋体"/>
          <w:bCs/>
          <w:color w:val="auto"/>
          <w:kern w:val="0"/>
          <w:sz w:val="22"/>
          <w:szCs w:val="22"/>
          <w:highlight w:val="none"/>
        </w:rPr>
        <w:t>参加</w:t>
      </w:r>
      <w:r>
        <w:rPr>
          <w:rFonts w:ascii="新宋体" w:hAnsi="新宋体" w:eastAsia="新宋体" w:cs="新宋体"/>
          <w:bCs/>
          <w:color w:val="auto"/>
          <w:kern w:val="0"/>
          <w:sz w:val="22"/>
          <w:szCs w:val="22"/>
          <w:highlight w:val="none"/>
        </w:rPr>
        <w:t>开标大会的，</w:t>
      </w:r>
      <w:r>
        <w:rPr>
          <w:rFonts w:hint="eastAsia" w:ascii="新宋体" w:hAnsi="新宋体" w:eastAsia="新宋体" w:cs="新宋体"/>
          <w:bCs/>
          <w:color w:val="auto"/>
          <w:kern w:val="0"/>
          <w:sz w:val="22"/>
          <w:szCs w:val="22"/>
          <w:highlight w:val="none"/>
        </w:rPr>
        <w:t>视同认可开标结果，</w:t>
      </w:r>
      <w:r>
        <w:rPr>
          <w:rFonts w:ascii="新宋体" w:hAnsi="新宋体" w:eastAsia="新宋体" w:cs="新宋体"/>
          <w:bCs/>
          <w:color w:val="auto"/>
          <w:kern w:val="0"/>
          <w:sz w:val="22"/>
          <w:szCs w:val="22"/>
          <w:highlight w:val="none"/>
        </w:rPr>
        <w:t>事后不得对采购相关人员、开标过程和开标结果提出异议</w:t>
      </w:r>
      <w:r>
        <w:rPr>
          <w:rFonts w:hint="eastAsia" w:ascii="新宋体" w:hAnsi="新宋体" w:eastAsia="新宋体" w:cs="新宋体"/>
          <w:bCs/>
          <w:color w:val="auto"/>
          <w:kern w:val="0"/>
          <w:sz w:val="22"/>
          <w:szCs w:val="22"/>
          <w:highlight w:val="none"/>
        </w:rPr>
        <w:t>，同时投标人因未在线参加开标而导致投标文件无法按时解密等一切后果由供应商自己承担。</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w:t>
      </w:r>
      <w:r>
        <w:rPr>
          <w:rFonts w:ascii="新宋体" w:hAnsi="新宋体" w:eastAsia="新宋体" w:cs="新宋体"/>
          <w:b/>
          <w:bCs/>
          <w:color w:val="auto"/>
          <w:kern w:val="0"/>
          <w:sz w:val="22"/>
          <w:szCs w:val="22"/>
          <w:highlight w:val="none"/>
        </w:rPr>
        <w:t>开标</w:t>
      </w:r>
      <w:r>
        <w:rPr>
          <w:rFonts w:hint="eastAsia" w:ascii="新宋体" w:hAnsi="新宋体" w:eastAsia="新宋体" w:cs="新宋体"/>
          <w:b/>
          <w:bCs/>
          <w:color w:val="auto"/>
          <w:kern w:val="0"/>
          <w:sz w:val="22"/>
          <w:szCs w:val="22"/>
          <w:highlight w:val="none"/>
        </w:rPr>
        <w:t>流程（两阶段）</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26.1开标第一阶段</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w:t>
      </w:r>
      <w:r>
        <w:rPr>
          <w:rFonts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rPr>
        <w:t>）向各投标人发出电子加密投标文件【开始解密】通知，由供应商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w:t>
      </w:r>
      <w:r>
        <w:rPr>
          <w:rFonts w:ascii="新宋体" w:hAnsi="新宋体" w:eastAsia="新宋体" w:cs="新宋体"/>
          <w:b/>
          <w:bCs/>
          <w:color w:val="auto"/>
          <w:kern w:val="0"/>
          <w:sz w:val="22"/>
          <w:szCs w:val="22"/>
          <w:highlight w:val="none"/>
        </w:rPr>
        <w:t>2</w:t>
      </w:r>
      <w:r>
        <w:rPr>
          <w:rFonts w:hint="eastAsia" w:ascii="新宋体" w:hAnsi="新宋体" w:eastAsia="新宋体" w:cs="新宋体"/>
          <w:b/>
          <w:bCs/>
          <w:color w:val="auto"/>
          <w:kern w:val="0"/>
          <w:sz w:val="22"/>
          <w:szCs w:val="22"/>
          <w:highlight w:val="none"/>
        </w:rPr>
        <w:t>）投标文件解密结束，各投标人签署《政府采购活动现场确认声明书》（见附件）后将扫描件发送至采购代理机构；</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w:t>
      </w:r>
      <w:r>
        <w:rPr>
          <w:rFonts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rPr>
        <w:t>）开启投标文件，进入资格审查；</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w:t>
      </w:r>
      <w:r>
        <w:rPr>
          <w:rFonts w:ascii="新宋体" w:hAnsi="新宋体" w:eastAsia="新宋体" w:cs="新宋体"/>
          <w:b/>
          <w:bCs/>
          <w:color w:val="auto"/>
          <w:kern w:val="0"/>
          <w:sz w:val="22"/>
          <w:szCs w:val="22"/>
          <w:highlight w:val="none"/>
        </w:rPr>
        <w:t>4</w:t>
      </w:r>
      <w:r>
        <w:rPr>
          <w:rFonts w:hint="eastAsia" w:ascii="新宋体" w:hAnsi="新宋体" w:eastAsia="新宋体" w:cs="新宋体"/>
          <w:b/>
          <w:bCs/>
          <w:color w:val="auto"/>
          <w:kern w:val="0"/>
          <w:sz w:val="22"/>
          <w:szCs w:val="22"/>
          <w:highlight w:val="none"/>
        </w:rPr>
        <w:t>）开启资格审查通过的投标人的商务技术文件进入符合性审查、商务技术评审；</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w:t>
      </w:r>
      <w:r>
        <w:rPr>
          <w:rFonts w:ascii="新宋体" w:hAnsi="新宋体" w:eastAsia="新宋体" w:cs="新宋体"/>
          <w:b/>
          <w:bCs/>
          <w:color w:val="auto"/>
          <w:kern w:val="0"/>
          <w:sz w:val="22"/>
          <w:szCs w:val="22"/>
          <w:highlight w:val="none"/>
        </w:rPr>
        <w:t>5</w:t>
      </w:r>
      <w:r>
        <w:rPr>
          <w:rFonts w:hint="eastAsia" w:ascii="新宋体" w:hAnsi="新宋体" w:eastAsia="新宋体" w:cs="新宋体"/>
          <w:b/>
          <w:bCs/>
          <w:color w:val="auto"/>
          <w:kern w:val="0"/>
          <w:sz w:val="22"/>
          <w:szCs w:val="22"/>
          <w:highlight w:val="none"/>
        </w:rPr>
        <w:t>）第一阶段开标结束。</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备注：开标大会的第一阶段结束后，采购人或采购代理机构将对依法对投标人的资格进行审查，资格审查结束后进入符合性审查和商务技术文件的评审工作，具体见本章节“投标人资格审查”相关规定。</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26.2开标大会第二阶段</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（1）符合性审查、商务技术文件的评审结束后，举行开标大会第二阶段会议。首先在“政采云平台”系统平台上公布符合性审查、商务技术评审无效供应商名称及理由</w:t>
      </w:r>
      <w:r>
        <w:rPr>
          <w:rFonts w:ascii="新宋体" w:hAnsi="新宋体" w:eastAsia="新宋体" w:cs="新宋体"/>
          <w:b/>
          <w:bCs/>
          <w:color w:val="auto"/>
          <w:kern w:val="0"/>
          <w:sz w:val="22"/>
          <w:szCs w:val="22"/>
          <w:highlight w:val="none"/>
        </w:rPr>
        <w:t>；公布经商务技术评审</w:t>
      </w:r>
      <w:r>
        <w:rPr>
          <w:rFonts w:hint="eastAsia" w:ascii="新宋体" w:hAnsi="新宋体" w:eastAsia="新宋体" w:cs="新宋体"/>
          <w:b/>
          <w:bCs/>
          <w:color w:val="auto"/>
          <w:kern w:val="0"/>
          <w:sz w:val="22"/>
          <w:szCs w:val="22"/>
          <w:highlight w:val="none"/>
        </w:rPr>
        <w:t>后有效投标人的</w:t>
      </w:r>
      <w:r>
        <w:rPr>
          <w:rFonts w:ascii="新宋体" w:hAnsi="新宋体" w:eastAsia="新宋体" w:cs="新宋体"/>
          <w:b/>
          <w:bCs/>
          <w:color w:val="auto"/>
          <w:kern w:val="0"/>
          <w:sz w:val="22"/>
          <w:szCs w:val="22"/>
          <w:highlight w:val="none"/>
        </w:rPr>
        <w:t>名单，同时公布</w:t>
      </w:r>
      <w:r>
        <w:rPr>
          <w:rFonts w:hint="eastAsia" w:ascii="新宋体" w:hAnsi="新宋体" w:eastAsia="新宋体" w:cs="新宋体"/>
          <w:b/>
          <w:bCs/>
          <w:color w:val="auto"/>
          <w:kern w:val="0"/>
          <w:sz w:val="22"/>
          <w:szCs w:val="22"/>
          <w:highlight w:val="none"/>
        </w:rPr>
        <w:t>其</w:t>
      </w:r>
      <w:r>
        <w:rPr>
          <w:rFonts w:ascii="新宋体" w:hAnsi="新宋体" w:eastAsia="新宋体" w:cs="新宋体"/>
          <w:b/>
          <w:bCs/>
          <w:color w:val="auto"/>
          <w:kern w:val="0"/>
          <w:sz w:val="22"/>
          <w:szCs w:val="22"/>
          <w:highlight w:val="none"/>
        </w:rPr>
        <w:t>商务技术</w:t>
      </w:r>
      <w:r>
        <w:rPr>
          <w:rFonts w:hint="eastAsia" w:ascii="新宋体" w:hAnsi="新宋体" w:eastAsia="新宋体" w:cs="新宋体"/>
          <w:b/>
          <w:bCs/>
          <w:color w:val="auto"/>
          <w:kern w:val="0"/>
          <w:sz w:val="22"/>
          <w:szCs w:val="22"/>
          <w:highlight w:val="none"/>
        </w:rPr>
        <w:t>部分</w:t>
      </w:r>
      <w:r>
        <w:rPr>
          <w:rFonts w:ascii="新宋体" w:hAnsi="新宋体" w:eastAsia="新宋体" w:cs="新宋体"/>
          <w:b/>
          <w:bCs/>
          <w:color w:val="auto"/>
          <w:kern w:val="0"/>
          <w:sz w:val="22"/>
          <w:szCs w:val="22"/>
          <w:highlight w:val="none"/>
        </w:rPr>
        <w:t>得分情况</w:t>
      </w:r>
      <w:r>
        <w:rPr>
          <w:rFonts w:hint="eastAsia" w:ascii="新宋体" w:hAnsi="新宋体" w:eastAsia="新宋体" w:cs="新宋体"/>
          <w:b/>
          <w:bCs/>
          <w:color w:val="auto"/>
          <w:kern w:val="0"/>
          <w:sz w:val="22"/>
          <w:szCs w:val="22"/>
          <w:highlight w:val="none"/>
        </w:rPr>
        <w:t>。</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（2）开启通过符合性审查、商务技术文件评审有效投标人的报价文件，在“政采云平台”系统平台上公布开标一览表有关内容，同时当场制作开标记录</w:t>
      </w:r>
      <w:r>
        <w:rPr>
          <w:rFonts w:ascii="新宋体" w:hAnsi="新宋体" w:eastAsia="新宋体" w:cs="新宋体"/>
          <w:b/>
          <w:bCs/>
          <w:color w:val="auto"/>
          <w:kern w:val="0"/>
          <w:sz w:val="22"/>
          <w:szCs w:val="22"/>
          <w:highlight w:val="none"/>
        </w:rPr>
        <w:t>。</w:t>
      </w:r>
      <w:r>
        <w:rPr>
          <w:rFonts w:hint="eastAsia" w:ascii="新宋体" w:hAnsi="新宋体" w:eastAsia="新宋体" w:cs="新宋体"/>
          <w:b/>
          <w:bCs/>
          <w:color w:val="auto"/>
          <w:kern w:val="0"/>
          <w:sz w:val="22"/>
          <w:szCs w:val="22"/>
          <w:highlight w:val="none"/>
        </w:rPr>
        <w:t>开标</w:t>
      </w:r>
      <w:r>
        <w:rPr>
          <w:rFonts w:ascii="新宋体" w:hAnsi="新宋体" w:eastAsia="新宋体" w:cs="新宋体"/>
          <w:b/>
          <w:bCs/>
          <w:color w:val="auto"/>
          <w:kern w:val="0"/>
          <w:sz w:val="22"/>
          <w:szCs w:val="22"/>
          <w:highlight w:val="none"/>
        </w:rPr>
        <w:t>结束后，由评标委员会对报价的合理性、准确性等进行审查核实</w:t>
      </w:r>
      <w:r>
        <w:rPr>
          <w:rFonts w:hint="eastAsia" w:ascii="新宋体" w:hAnsi="新宋体" w:eastAsia="新宋体" w:cs="新宋体"/>
          <w:b/>
          <w:bCs/>
          <w:color w:val="auto"/>
          <w:kern w:val="0"/>
          <w:sz w:val="22"/>
          <w:szCs w:val="22"/>
          <w:highlight w:val="none"/>
        </w:rPr>
        <w:t>。</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（3）评审结束后，在“政采云平台”系统平台上公布中标（成交）候选供应商名单，及采购人最终确定中标或成交供应商名单的时间和公告方式等。</w:t>
      </w:r>
    </w:p>
    <w:p>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特别说明：如遇“政采云平台”电子化开标或评审程序调整的，按调整后程序执行。</w:t>
      </w:r>
    </w:p>
    <w:p>
      <w:pPr>
        <w:tabs>
          <w:tab w:val="left" w:pos="540"/>
        </w:tabs>
        <w:spacing w:line="460" w:lineRule="exact"/>
        <w:rPr>
          <w:rFonts w:ascii="新宋体" w:hAnsi="新宋体" w:eastAsia="新宋体" w:cs="新宋体"/>
          <w:b/>
          <w:bCs/>
          <w:color w:val="auto"/>
          <w:kern w:val="0"/>
          <w:sz w:val="22"/>
          <w:szCs w:val="22"/>
          <w:highlight w:val="none"/>
        </w:rPr>
      </w:pPr>
      <w:bookmarkStart w:id="71" w:name="_Toc24550037"/>
      <w:bookmarkStart w:id="72" w:name="_Toc33194393"/>
      <w:r>
        <w:rPr>
          <w:rFonts w:hint="eastAsia" w:ascii="新宋体" w:hAnsi="新宋体" w:eastAsia="新宋体" w:cs="新宋体"/>
          <w:b/>
          <w:bCs/>
          <w:color w:val="auto"/>
          <w:kern w:val="0"/>
          <w:sz w:val="22"/>
          <w:szCs w:val="22"/>
          <w:highlight w:val="none"/>
        </w:rPr>
        <w:t>27. 投标人资格审查</w:t>
      </w:r>
      <w:bookmarkEnd w:id="71"/>
      <w:bookmarkEnd w:id="72"/>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27.1开标大会第一阶段结束后，采购人或采购代理机构首先依法对各投标人的资格进行审查，审查各投标人的资格是否满足采购文件的要求。</w:t>
      </w:r>
      <w:r>
        <w:rPr>
          <w:rFonts w:ascii="新宋体" w:hAnsi="新宋体" w:eastAsia="新宋体" w:cs="新宋体"/>
          <w:bCs/>
          <w:color w:val="auto"/>
          <w:kern w:val="0"/>
          <w:sz w:val="22"/>
          <w:szCs w:val="22"/>
          <w:highlight w:val="none"/>
        </w:rPr>
        <w:t>采购人或采购代理机构对投标人所</w:t>
      </w:r>
      <w:r>
        <w:rPr>
          <w:rFonts w:hint="eastAsia" w:ascii="新宋体" w:hAnsi="新宋体" w:eastAsia="新宋体" w:cs="新宋体"/>
          <w:bCs/>
          <w:color w:val="auto"/>
          <w:kern w:val="0"/>
          <w:sz w:val="22"/>
          <w:szCs w:val="22"/>
          <w:highlight w:val="none"/>
        </w:rPr>
        <w:t>提交</w:t>
      </w:r>
      <w:r>
        <w:rPr>
          <w:rFonts w:ascii="新宋体" w:hAnsi="新宋体" w:eastAsia="新宋体" w:cs="新宋体"/>
          <w:bCs/>
          <w:color w:val="auto"/>
          <w:kern w:val="0"/>
          <w:sz w:val="22"/>
          <w:szCs w:val="22"/>
          <w:highlight w:val="none"/>
        </w:rPr>
        <w:t>的资格审查材料仅负审核的责任。如发现投标人所提</w:t>
      </w:r>
      <w:r>
        <w:rPr>
          <w:rFonts w:hint="eastAsia" w:ascii="新宋体" w:hAnsi="新宋体" w:eastAsia="新宋体" w:cs="新宋体"/>
          <w:bCs/>
          <w:color w:val="auto"/>
          <w:kern w:val="0"/>
          <w:sz w:val="22"/>
          <w:szCs w:val="22"/>
          <w:highlight w:val="none"/>
        </w:rPr>
        <w:t>交</w:t>
      </w:r>
      <w:r>
        <w:rPr>
          <w:rFonts w:ascii="新宋体" w:hAnsi="新宋体" w:eastAsia="新宋体" w:cs="新宋体"/>
          <w:bCs/>
          <w:color w:val="auto"/>
          <w:kern w:val="0"/>
          <w:sz w:val="22"/>
          <w:szCs w:val="22"/>
          <w:highlight w:val="none"/>
        </w:rPr>
        <w:t>的资格审查材料不合法或</w:t>
      </w:r>
      <w:r>
        <w:rPr>
          <w:rFonts w:hint="eastAsia" w:ascii="新宋体" w:hAnsi="新宋体" w:eastAsia="新宋体" w:cs="新宋体"/>
          <w:bCs/>
          <w:color w:val="auto"/>
          <w:kern w:val="0"/>
          <w:sz w:val="22"/>
          <w:szCs w:val="22"/>
          <w:highlight w:val="none"/>
        </w:rPr>
        <w:t>与事实不符</w:t>
      </w:r>
      <w:r>
        <w:rPr>
          <w:rFonts w:ascii="新宋体" w:hAnsi="新宋体" w:eastAsia="新宋体" w:cs="新宋体"/>
          <w:bCs/>
          <w:color w:val="auto"/>
          <w:kern w:val="0"/>
          <w:sz w:val="22"/>
          <w:szCs w:val="22"/>
          <w:highlight w:val="none"/>
        </w:rPr>
        <w:t>，采购人可取消</w:t>
      </w:r>
      <w:r>
        <w:rPr>
          <w:rFonts w:hint="eastAsia" w:ascii="新宋体" w:hAnsi="新宋体" w:eastAsia="新宋体" w:cs="新宋体"/>
          <w:bCs/>
          <w:color w:val="auto"/>
          <w:kern w:val="0"/>
          <w:sz w:val="22"/>
          <w:szCs w:val="22"/>
          <w:highlight w:val="none"/>
        </w:rPr>
        <w:t>其</w:t>
      </w:r>
      <w:r>
        <w:rPr>
          <w:rFonts w:ascii="新宋体" w:hAnsi="新宋体" w:eastAsia="新宋体" w:cs="新宋体"/>
          <w:bCs/>
          <w:color w:val="auto"/>
          <w:kern w:val="0"/>
          <w:sz w:val="22"/>
          <w:szCs w:val="22"/>
          <w:highlight w:val="none"/>
        </w:rPr>
        <w:t>中标资格并追究投标人的法律责任。</w:t>
      </w:r>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p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pPr>
        <w:pStyle w:val="5"/>
        <w:spacing w:line="500" w:lineRule="exact"/>
        <w:jc w:val="center"/>
        <w:rPr>
          <w:rFonts w:ascii="新宋体" w:hAnsi="新宋体" w:eastAsia="新宋体"/>
          <w:color w:val="auto"/>
          <w:sz w:val="24"/>
          <w:szCs w:val="24"/>
          <w:highlight w:val="none"/>
        </w:rPr>
      </w:pPr>
      <w:bookmarkStart w:id="73" w:name="_Toc15556"/>
      <w:bookmarkStart w:id="74" w:name="_Toc34508135"/>
      <w:bookmarkStart w:id="75" w:name="_Toc34221900"/>
      <w:r>
        <w:rPr>
          <w:rFonts w:hint="eastAsia" w:ascii="新宋体" w:hAnsi="新宋体" w:eastAsia="新宋体"/>
          <w:color w:val="auto"/>
          <w:sz w:val="24"/>
          <w:szCs w:val="24"/>
          <w:highlight w:val="none"/>
        </w:rPr>
        <w:t>六、 评  标</w:t>
      </w:r>
      <w:bookmarkEnd w:id="73"/>
      <w:bookmarkEnd w:id="74"/>
      <w:bookmarkEnd w:id="75"/>
    </w:p>
    <w:p>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1）投标文件正本未按采购文件要求签署、盖章的；</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2）不具备采购文件中规定的资格要求的；</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3）报价超过采购文件中规定的预算金额或者最高限价的；</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4）投标文件含有采购人不能接受的附加条件的；</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5）仅提交“备份投标文件”的；</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6）对关键条文的偏离、保留或反对，例如关于付款方式、服务期、适用法律法规、标准、税费等其他内容；</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7）存在串标、抬标或弄虚作假情况的；</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8）法律、法规和采购文件规定的其他无效情形（或出现重大偏差）。</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1）未按采购文件要求编制或字迹模糊、辨认不清的投标文件；</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2）除21.3条款以外，出现其它明显不符合技术规格、技术标准的要求或不满足采购文件技术规格书中的主要参数的投标文件；</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3）除21.3条款以外，出现投标项目数量与采购文件对比出现较大偏差；商务报价明细表计算错误，出现较大差错；</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4）除21.3条款以外，出现其它不符合采购文件中规定的实质性要求的投标文件，是否为偏离实质性要求由评标委员会认定。</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bCs/>
          <w:color w:val="auto"/>
          <w:kern w:val="0"/>
          <w:sz w:val="22"/>
          <w:szCs w:val="22"/>
          <w:highlight w:val="none"/>
          <w:u w:val="single"/>
        </w:rPr>
        <w:t>有下列情形之一的，视为投标人串通投标，其投标无效</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1)不同投标人的投标文件由同一单位或者个人编制；</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2)不同投标人委托同一单位或者个人办理投标事宜；</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3)不同投标人的投标文件载明的项目管理成员或者联系人员为同一人；</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4）不同投标人的投标文件异常一致或者投标报价呈规律性差异；</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5）不同投标人的投标文件相互混装；</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pPr>
        <w:spacing w:line="460" w:lineRule="exact"/>
        <w:rPr>
          <w:rFonts w:ascii="新宋体" w:hAnsi="新宋体" w:eastAsia="新宋体" w:cs="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ascii="新宋体" w:hAnsi="新宋体" w:eastAsia="新宋体" w:cs="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宋体"/>
          <w:color w:val="auto"/>
          <w:sz w:val="22"/>
          <w:highlight w:val="none"/>
        </w:rPr>
        <w:t>大写金额和小写金额不一致的，以大写金额为准。</w:t>
      </w:r>
    </w:p>
    <w:p>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宋体"/>
          <w:color w:val="auto"/>
          <w:sz w:val="22"/>
          <w:highlight w:val="none"/>
        </w:rPr>
        <w:t>3）单价金额小数点或者百分比有明显错位的，以开标一览表的总价为准，并修改单价。</w:t>
      </w:r>
    </w:p>
    <w:p>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宋体"/>
          <w:color w:val="auto"/>
          <w:sz w:val="22"/>
          <w:highlight w:val="none"/>
        </w:rPr>
        <w:t>4）总价金额与按单价汇总金额不一致的，以单价金额计算结果为准。</w:t>
      </w:r>
    </w:p>
    <w:p>
      <w:pPr>
        <w:spacing w:line="460" w:lineRule="exact"/>
        <w:ind w:firstLine="418" w:firstLineChars="190"/>
        <w:rPr>
          <w:rFonts w:ascii="新宋体" w:hAnsi="新宋体" w:eastAsia="新宋体" w:cs="宋体"/>
          <w:color w:val="auto"/>
          <w:sz w:val="22"/>
          <w:highlight w:val="none"/>
        </w:rPr>
      </w:pPr>
      <w:r>
        <w:rPr>
          <w:rFonts w:hint="eastAsia" w:ascii="新宋体" w:hAnsi="新宋体" w:eastAsia="新宋体" w:cs="宋体"/>
          <w:color w:val="auto"/>
          <w:sz w:val="22"/>
          <w:highlight w:val="none"/>
        </w:rPr>
        <w:t>5）</w:t>
      </w:r>
      <w:r>
        <w:rPr>
          <w:rFonts w:hint="eastAsia" w:ascii="新宋体" w:hAnsi="新宋体" w:eastAsia="新宋体" w:cs="宋体"/>
          <w:b/>
          <w:bCs/>
          <w:color w:val="auto"/>
          <w:sz w:val="22"/>
          <w:highlight w:val="none"/>
        </w:rPr>
        <w:t>同时出现两种以上不一致的，按照前款规定的顺序修正。修正后的报价按照本采购文件规定经投标人确认后产生约束力，投标人不确认的，其投标无效。</w:t>
      </w:r>
    </w:p>
    <w:p>
      <w:pPr>
        <w:spacing w:line="460" w:lineRule="exact"/>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pPr>
        <w:spacing w:line="460" w:lineRule="exact"/>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31.5如果投标人代表拒绝按评标委员会要求在“政采云平台”作出在线回复且无其他有效回复方式的，评标委员会可以对其作出否决投标处理。</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宋体"/>
          <w:b/>
          <w:bCs/>
          <w:color w:val="auto"/>
          <w:sz w:val="22"/>
          <w:szCs w:val="22"/>
          <w:highlight w:val="none"/>
        </w:rPr>
        <w:t>31.6</w:t>
      </w:r>
      <w:r>
        <w:rPr>
          <w:rFonts w:hint="eastAsia" w:ascii="新宋体" w:hAnsi="新宋体" w:eastAsia="新宋体" w:cs="宋体"/>
          <w:color w:val="auto"/>
          <w:sz w:val="22"/>
          <w:highlight w:val="none"/>
          <w:u w:val="single"/>
        </w:rPr>
        <w:t>经澄清后，若偏差仍存在，且不可接受，则投标文件将被认定为“没有实质性响应采购文件要求”，按无效投标处理，不再进入下一步评审。</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宋体"/>
          <w:b/>
          <w:bCs/>
          <w:color w:val="auto"/>
          <w:sz w:val="22"/>
          <w:highlight w:val="none"/>
        </w:rPr>
        <w:t xml:space="preserve"> 评标原则和评标办法</w:t>
      </w:r>
    </w:p>
    <w:p>
      <w:pPr>
        <w:pStyle w:val="31"/>
        <w:snapToGrid w:val="0"/>
        <w:spacing w:line="460" w:lineRule="exact"/>
        <w:rPr>
          <w:rFonts w:ascii="新宋体" w:hAnsi="新宋体" w:eastAsia="新宋体" w:cs="宋体"/>
          <w:color w:val="auto"/>
          <w:sz w:val="22"/>
          <w:highlight w:val="none"/>
        </w:rPr>
      </w:pPr>
      <w:r>
        <w:rPr>
          <w:rFonts w:hint="eastAsia" w:ascii="新宋体" w:hAnsi="新宋体" w:eastAsia="新宋体" w:cs="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51"/>
        <w:spacing w:before="0" w:beforeAutospacing="0" w:after="0" w:afterAutospacing="0" w:line="460" w:lineRule="exact"/>
        <w:jc w:val="both"/>
        <w:rPr>
          <w:rFonts w:ascii="新宋体" w:hAnsi="新宋体" w:eastAsia="新宋体"/>
          <w:color w:val="auto"/>
          <w:sz w:val="22"/>
          <w:highlight w:val="none"/>
        </w:rPr>
      </w:pPr>
      <w:r>
        <w:rPr>
          <w:rFonts w:hint="eastAsia" w:ascii="新宋体" w:hAnsi="新宋体" w:eastAsia="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pPr>
        <w:pStyle w:val="31"/>
        <w:snapToGrid w:val="0"/>
        <w:spacing w:line="460" w:lineRule="exact"/>
        <w:rPr>
          <w:rFonts w:ascii="新宋体" w:hAnsi="新宋体" w:eastAsia="新宋体" w:cs="宋体"/>
          <w:color w:val="auto"/>
          <w:sz w:val="22"/>
          <w:highlight w:val="none"/>
        </w:rPr>
      </w:pPr>
      <w:r>
        <w:rPr>
          <w:rFonts w:hint="eastAsia" w:ascii="新宋体" w:hAnsi="新宋体" w:eastAsia="新宋体" w:cs="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pPr>
        <w:pStyle w:val="31"/>
        <w:snapToGrid w:val="0"/>
        <w:spacing w:line="460" w:lineRule="exact"/>
        <w:rPr>
          <w:rFonts w:ascii="新宋体" w:hAnsi="新宋体" w:eastAsia="新宋体" w:cs="宋体"/>
          <w:color w:val="auto"/>
          <w:sz w:val="22"/>
          <w:highlight w:val="none"/>
        </w:rPr>
      </w:pPr>
      <w:r>
        <w:rPr>
          <w:rFonts w:hint="eastAsia" w:ascii="新宋体" w:hAnsi="新宋体" w:eastAsia="新宋体" w:cs="宋体"/>
          <w:color w:val="auto"/>
          <w:sz w:val="22"/>
          <w:highlight w:val="none"/>
        </w:rPr>
        <w:t>32.4本项目评标办法是综合评分法，具体评标内容及评分标准等详见第六部分“评标原则及方法”。</w:t>
      </w:r>
    </w:p>
    <w:p>
      <w:pPr>
        <w:pStyle w:val="31"/>
        <w:snapToGrid w:val="0"/>
        <w:spacing w:line="460" w:lineRule="exact"/>
        <w:rPr>
          <w:rFonts w:ascii="新宋体" w:hAnsi="新宋体" w:eastAsia="新宋体" w:cs="宋体"/>
          <w:color w:val="auto"/>
          <w:sz w:val="22"/>
          <w:highlight w:val="none"/>
        </w:rPr>
      </w:pPr>
      <w:r>
        <w:rPr>
          <w:rFonts w:hint="eastAsia" w:ascii="新宋体" w:hAnsi="新宋体" w:eastAsia="新宋体" w:cs="宋体"/>
          <w:color w:val="auto"/>
          <w:sz w:val="22"/>
          <w:highlight w:val="none"/>
          <w:u w:val="single"/>
        </w:rPr>
        <w:t>32.5▲根据《中华人民共和国政府采购法》第三十六条规定：在招标采购中，符合专业条件的投标人或者对采购文件作实质响应的投标人不足三家的，此项目废标，应重新组织采购。</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宋体"/>
          <w:color w:val="auto"/>
          <w:sz w:val="22"/>
          <w:highlight w:val="none"/>
        </w:rPr>
        <w:t>32.6评标过程中遇到特殊情况，由评标委员会遵循公开、公正原则，采取投票方式按照少数服从多数原则决定。</w:t>
      </w:r>
    </w:p>
    <w:p>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评标委员会依据法律、法规及采购文件有关规定在有效标中按投标人的最终得分（即技术分与商务分之和）高低进行排序，</w:t>
      </w:r>
      <w:r>
        <w:rPr>
          <w:rFonts w:hint="eastAsia" w:ascii="新宋体" w:hAnsi="新宋体" w:eastAsia="新宋体" w:cs="宋体"/>
          <w:color w:val="auto"/>
          <w:sz w:val="22"/>
          <w:szCs w:val="22"/>
          <w:highlight w:val="none"/>
        </w:rPr>
        <w:t>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新宋体" w:hAnsi="新宋体" w:eastAsia="新宋体" w:cs="新宋体"/>
          <w:color w:val="auto"/>
          <w:kern w:val="0"/>
          <w:sz w:val="22"/>
          <w:szCs w:val="22"/>
          <w:highlight w:val="none"/>
        </w:rPr>
        <w:t>。</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33.3若出现以下情形之一，采购人可视具体情况确定是否由备选中标人为中标人或重新组织招标：</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1）中标候选人放弃中标资格；</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2）中标候选人因不可抗力提出不能履行合同；</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3）中标候选人未能在规定时间内与采购单位签订合同；</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4）经质疑，采购人审查后，中标候选人确实在本次采购活动中存在违法违规行为或其他原因使质疑成立的。</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w:t>
      </w:r>
    </w:p>
    <w:p>
      <w:pPr>
        <w:tabs>
          <w:tab w:val="left" w:pos="1365"/>
        </w:tabs>
        <w:spacing w:line="460" w:lineRule="exact"/>
        <w:ind w:left="550" w:hanging="550" w:hangingChars="250"/>
        <w:rPr>
          <w:rFonts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评标细则详见“评标原则及方法”</w:t>
      </w:r>
      <w:r>
        <w:rPr>
          <w:rFonts w:hint="eastAsia" w:ascii="新宋体" w:hAnsi="新宋体" w:eastAsia="新宋体" w:cs="新宋体"/>
          <w:bCs/>
          <w:color w:val="auto"/>
          <w:sz w:val="22"/>
          <w:szCs w:val="22"/>
          <w:highlight w:val="none"/>
        </w:rPr>
        <w:t>。</w:t>
      </w:r>
    </w:p>
    <w:p>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pPr>
        <w:numPr>
          <w:ilvl w:val="2"/>
          <w:numId w:val="20"/>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pPr>
        <w:numPr>
          <w:ilvl w:val="2"/>
          <w:numId w:val="20"/>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pPr>
        <w:numPr>
          <w:ilvl w:val="2"/>
          <w:numId w:val="20"/>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pPr>
        <w:numPr>
          <w:ilvl w:val="2"/>
          <w:numId w:val="20"/>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pPr>
        <w:numPr>
          <w:ilvl w:val="2"/>
          <w:numId w:val="20"/>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pPr>
        <w:pStyle w:val="5"/>
        <w:spacing w:line="500" w:lineRule="exact"/>
        <w:jc w:val="center"/>
        <w:rPr>
          <w:rFonts w:ascii="新宋体" w:hAnsi="新宋体" w:eastAsia="新宋体"/>
          <w:color w:val="auto"/>
          <w:sz w:val="24"/>
          <w:szCs w:val="24"/>
          <w:highlight w:val="none"/>
        </w:rPr>
      </w:pPr>
      <w:bookmarkStart w:id="76" w:name="_Toc34221901"/>
      <w:bookmarkStart w:id="77" w:name="_Toc306613654"/>
      <w:bookmarkStart w:id="78" w:name="_Toc34508136"/>
      <w:bookmarkStart w:id="79" w:name="_Toc13841"/>
      <w:r>
        <w:rPr>
          <w:rFonts w:hint="eastAsia" w:ascii="新宋体" w:hAnsi="新宋体" w:eastAsia="新宋体"/>
          <w:color w:val="auto"/>
          <w:sz w:val="24"/>
          <w:szCs w:val="24"/>
          <w:highlight w:val="none"/>
        </w:rPr>
        <w:t>七、 授予合同</w:t>
      </w:r>
      <w:bookmarkEnd w:id="76"/>
      <w:bookmarkEnd w:id="77"/>
      <w:bookmarkEnd w:id="78"/>
      <w:bookmarkEnd w:id="79"/>
    </w:p>
    <w:p>
      <w:pPr>
        <w:tabs>
          <w:tab w:val="left" w:pos="5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36.2中标人确定之日起2个工作日内，在“政采云”平台上公示中标结果，中标公告期限为1个工作日；</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36.4各投标人对评标结果如有异议，可在中标结果公示之日起7个工作日内以书面形式向采购人进行署名投诉或提出质疑，但需对投诉或质疑内容的真实性承担法律责任。</w:t>
      </w:r>
    </w:p>
    <w:p>
      <w:pPr>
        <w:tabs>
          <w:tab w:val="left" w:pos="5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37. 签订合同</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37.1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37.2采购文件、中标投标人的投标文件及投标修改文件、评标过程中有关澄清文件及经双方签字的询标纪要（承诺）和中标通知书均作为合同附件。</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37.3拒签合同的责任</w:t>
      </w:r>
    </w:p>
    <w:p>
      <w:pPr>
        <w:tabs>
          <w:tab w:val="left" w:pos="640"/>
        </w:tabs>
        <w:spacing w:line="44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37.4中标投标人在规定时间内（30日历天）借故否认已经承诺的条件、拒签合同，以投标违约处理，其投标保证金不予退回，并赔偿采购人由此造成的直接经济损失；采购人重新组织招标的，所需费用由原中标投标人承担。</w:t>
      </w:r>
    </w:p>
    <w:p>
      <w:pPr>
        <w:pStyle w:val="572"/>
        <w:spacing w:line="500" w:lineRule="exact"/>
        <w:ind w:firstLine="442"/>
        <w:jc w:val="center"/>
        <w:rPr>
          <w:rFonts w:ascii="新宋体" w:hAnsi="新宋体" w:eastAsia="新宋体" w:cs="宋体"/>
          <w:b/>
          <w:color w:val="auto"/>
          <w:sz w:val="24"/>
          <w:szCs w:val="24"/>
          <w:highlight w:val="none"/>
        </w:rPr>
      </w:pPr>
      <w:r>
        <w:rPr>
          <w:rFonts w:ascii="新宋体" w:hAnsi="新宋体" w:eastAsia="新宋体" w:cs="新宋体"/>
          <w:b/>
          <w:bCs/>
          <w:color w:val="auto"/>
          <w:sz w:val="22"/>
          <w:szCs w:val="22"/>
          <w:highlight w:val="none"/>
        </w:rPr>
        <w:br w:type="page"/>
      </w:r>
      <w:r>
        <w:rPr>
          <w:rFonts w:hint="eastAsia" w:ascii="新宋体" w:hAnsi="新宋体" w:eastAsia="新宋体" w:cs="宋体"/>
          <w:b/>
          <w:color w:val="auto"/>
          <w:sz w:val="24"/>
          <w:szCs w:val="24"/>
          <w:highlight w:val="none"/>
        </w:rPr>
        <w:t>政府采购活动现场确认声明书</w:t>
      </w:r>
    </w:p>
    <w:p>
      <w:pPr>
        <w:pStyle w:val="572"/>
        <w:spacing w:line="500" w:lineRule="exact"/>
        <w:ind w:firstLine="442"/>
        <w:rPr>
          <w:rFonts w:ascii="新宋体" w:hAnsi="新宋体" w:eastAsia="新宋体" w:cs="宋体"/>
          <w:b/>
          <w:color w:val="auto"/>
          <w:sz w:val="22"/>
          <w:szCs w:val="22"/>
          <w:highlight w:val="none"/>
        </w:rPr>
      </w:pPr>
      <w:r>
        <w:rPr>
          <w:rFonts w:hint="eastAsia" w:ascii="新宋体" w:hAnsi="新宋体" w:eastAsia="新宋体" w:cs="宋体"/>
          <w:b/>
          <w:bCs/>
          <w:color w:val="auto"/>
          <w:sz w:val="22"/>
          <w:szCs w:val="22"/>
          <w:highlight w:val="none"/>
        </w:rPr>
        <w:t>华诚工程咨询集团有限公司</w:t>
      </w:r>
      <w:r>
        <w:rPr>
          <w:rFonts w:hint="eastAsia" w:ascii="新宋体" w:hAnsi="新宋体" w:eastAsia="新宋体" w:cs="宋体"/>
          <w:b/>
          <w:color w:val="auto"/>
          <w:kern w:val="0"/>
          <w:sz w:val="22"/>
          <w:szCs w:val="22"/>
          <w:highlight w:val="none"/>
        </w:rPr>
        <w:t>：</w:t>
      </w:r>
    </w:p>
    <w:p>
      <w:pPr>
        <w:pStyle w:val="572"/>
        <w:spacing w:line="480" w:lineRule="exact"/>
        <w:ind w:firstLine="464"/>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本人经由</w:t>
      </w:r>
      <w:r>
        <w:rPr>
          <w:rFonts w:hint="eastAsia" w:ascii="新宋体" w:hAnsi="新宋体" w:eastAsia="新宋体" w:cs="宋体"/>
          <w:color w:val="auto"/>
          <w:spacing w:val="6"/>
          <w:sz w:val="22"/>
          <w:szCs w:val="22"/>
          <w:highlight w:val="none"/>
          <w:u w:val="single"/>
        </w:rPr>
        <w:t xml:space="preserve">                  （单位）</w:t>
      </w:r>
      <w:r>
        <w:rPr>
          <w:rFonts w:hint="eastAsia" w:ascii="新宋体" w:hAnsi="新宋体" w:eastAsia="新宋体" w:cs="宋体"/>
          <w:color w:val="auto"/>
          <w:spacing w:val="6"/>
          <w:sz w:val="22"/>
          <w:szCs w:val="22"/>
          <w:highlight w:val="none"/>
        </w:rPr>
        <w:t>负责人</w:t>
      </w:r>
      <w:r>
        <w:rPr>
          <w:rFonts w:hint="eastAsia" w:ascii="新宋体" w:hAnsi="新宋体" w:eastAsia="新宋体" w:cs="宋体"/>
          <w:color w:val="auto"/>
          <w:spacing w:val="6"/>
          <w:sz w:val="22"/>
          <w:szCs w:val="22"/>
          <w:highlight w:val="none"/>
          <w:u w:val="single"/>
        </w:rPr>
        <w:t xml:space="preserve">        （姓名）</w:t>
      </w:r>
      <w:r>
        <w:rPr>
          <w:rFonts w:hint="eastAsia" w:ascii="新宋体" w:hAnsi="新宋体" w:eastAsia="新宋体" w:cs="宋体"/>
          <w:color w:val="auto"/>
          <w:spacing w:val="6"/>
          <w:sz w:val="22"/>
          <w:szCs w:val="22"/>
          <w:highlight w:val="none"/>
        </w:rPr>
        <w:t>合法授权参加项目</w:t>
      </w:r>
      <w:r>
        <w:rPr>
          <w:rFonts w:hint="eastAsia" w:ascii="新宋体" w:hAnsi="新宋体" w:eastAsia="新宋体" w:cs="宋体"/>
          <w:color w:val="auto"/>
          <w:spacing w:val="6"/>
          <w:sz w:val="22"/>
          <w:szCs w:val="22"/>
          <w:highlight w:val="none"/>
          <w:u w:val="single"/>
        </w:rPr>
        <w:t xml:space="preserve">                    </w:t>
      </w:r>
      <w:r>
        <w:rPr>
          <w:rFonts w:hint="eastAsia" w:ascii="新宋体" w:hAnsi="新宋体" w:eastAsia="新宋体" w:cs="宋体"/>
          <w:color w:val="auto"/>
          <w:spacing w:val="6"/>
          <w:sz w:val="22"/>
          <w:szCs w:val="22"/>
          <w:highlight w:val="none"/>
        </w:rPr>
        <w:t>）（编号：</w:t>
      </w:r>
      <w:r>
        <w:rPr>
          <w:rFonts w:hint="eastAsia" w:ascii="新宋体" w:hAnsi="新宋体" w:eastAsia="新宋体" w:cs="宋体"/>
          <w:color w:val="auto"/>
          <w:spacing w:val="6"/>
          <w:sz w:val="22"/>
          <w:szCs w:val="22"/>
          <w:highlight w:val="none"/>
          <w:u w:val="single"/>
        </w:rPr>
        <w:t xml:space="preserve">             </w:t>
      </w:r>
      <w:r>
        <w:rPr>
          <w:rFonts w:hint="eastAsia" w:ascii="新宋体" w:hAnsi="新宋体" w:eastAsia="新宋体" w:cs="宋体"/>
          <w:color w:val="auto"/>
          <w:spacing w:val="6"/>
          <w:sz w:val="22"/>
          <w:szCs w:val="22"/>
          <w:highlight w:val="none"/>
        </w:rPr>
        <w:t xml:space="preserve">）政府采购活动，经与本单位法人代表（负责人）联系确认，现就有关公平竞争事项郑重声明如下： </w:t>
      </w:r>
    </w:p>
    <w:p>
      <w:pPr>
        <w:pStyle w:val="522"/>
        <w:widowControl/>
        <w:numPr>
          <w:ilvl w:val="0"/>
          <w:numId w:val="21"/>
        </w:numPr>
        <w:snapToGrid w:val="0"/>
        <w:spacing w:line="480" w:lineRule="exact"/>
        <w:ind w:firstLine="415" w:firstLineChars="189"/>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本单位与采购人之间 □不存在利害关系 </w:t>
      </w:r>
      <w:r>
        <w:rPr>
          <w:rFonts w:hint="eastAsia" w:ascii="新宋体" w:hAnsi="新宋体" w:eastAsia="新宋体" w:cs="宋体"/>
          <w:color w:val="auto"/>
          <w:kern w:val="0"/>
          <w:sz w:val="22"/>
          <w:szCs w:val="22"/>
          <w:highlight w:val="none"/>
          <w:lang w:eastAsia="zh-CN"/>
        </w:rPr>
        <w:t>□</w:t>
      </w:r>
      <w:r>
        <w:rPr>
          <w:rFonts w:hint="eastAsia" w:ascii="新宋体" w:hAnsi="新宋体" w:eastAsia="新宋体" w:cs="宋体"/>
          <w:color w:val="auto"/>
          <w:kern w:val="0"/>
          <w:sz w:val="22"/>
          <w:szCs w:val="22"/>
          <w:highlight w:val="none"/>
        </w:rPr>
        <w:t>存在下列利害关系：</w:t>
      </w:r>
    </w:p>
    <w:p>
      <w:pPr>
        <w:pStyle w:val="522"/>
        <w:widowControl/>
        <w:snapToGrid w:val="0"/>
        <w:spacing w:line="48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A.投资关系    B.行政隶属关系    C.业务指导关系</w:t>
      </w:r>
    </w:p>
    <w:p>
      <w:pPr>
        <w:pStyle w:val="522"/>
        <w:widowControl/>
        <w:snapToGrid w:val="0"/>
        <w:spacing w:line="48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D.其他可能</w:t>
      </w:r>
      <w:r>
        <w:rPr>
          <w:rFonts w:hint="eastAsia" w:ascii="新宋体" w:hAnsi="新宋体" w:eastAsia="新宋体" w:cs="宋体"/>
          <w:color w:val="auto"/>
          <w:sz w:val="22"/>
          <w:szCs w:val="22"/>
          <w:highlight w:val="none"/>
        </w:rPr>
        <w:t>影响采购公正的</w:t>
      </w:r>
      <w:r>
        <w:rPr>
          <w:rFonts w:hint="eastAsia" w:ascii="新宋体" w:hAnsi="新宋体" w:eastAsia="新宋体" w:cs="宋体"/>
          <w:color w:val="auto"/>
          <w:kern w:val="0"/>
          <w:sz w:val="22"/>
          <w:szCs w:val="22"/>
          <w:highlight w:val="none"/>
        </w:rPr>
        <w:t>利害关系</w:t>
      </w:r>
      <w:r>
        <w:rPr>
          <w:rFonts w:hint="eastAsia" w:ascii="新宋体" w:hAnsi="新宋体" w:eastAsia="新宋体" w:cs="宋体"/>
          <w:color w:val="auto"/>
          <w:kern w:val="0"/>
          <w:sz w:val="22"/>
          <w:szCs w:val="22"/>
          <w:highlight w:val="none"/>
          <w:u w:val="single"/>
        </w:rPr>
        <w:t xml:space="preserve">（如有，请如实说明）                 </w:t>
      </w:r>
      <w:r>
        <w:rPr>
          <w:rFonts w:hint="eastAsia" w:ascii="新宋体" w:hAnsi="新宋体" w:eastAsia="新宋体" w:cs="宋体"/>
          <w:color w:val="auto"/>
          <w:kern w:val="0"/>
          <w:sz w:val="22"/>
          <w:szCs w:val="22"/>
          <w:highlight w:val="none"/>
        </w:rPr>
        <w:t>。</w:t>
      </w:r>
    </w:p>
    <w:p>
      <w:pPr>
        <w:pStyle w:val="522"/>
        <w:widowControl/>
        <w:snapToGrid w:val="0"/>
        <w:spacing w:line="48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spacing w:val="6"/>
          <w:sz w:val="22"/>
          <w:szCs w:val="22"/>
          <w:highlight w:val="none"/>
        </w:rPr>
        <w:t xml:space="preserve">  二、</w:t>
      </w:r>
      <w:r>
        <w:rPr>
          <w:rFonts w:hint="eastAsia" w:ascii="新宋体" w:hAnsi="新宋体" w:eastAsia="新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新宋体" w:hAnsi="新宋体" w:eastAsia="新宋体" w:cs="宋体"/>
          <w:color w:val="auto"/>
          <w:kern w:val="0"/>
          <w:sz w:val="22"/>
          <w:szCs w:val="22"/>
          <w:highlight w:val="none"/>
          <w:u w:val="single"/>
        </w:rPr>
        <w:t xml:space="preserve">           （供应商名称）</w:t>
      </w:r>
      <w:r>
        <w:rPr>
          <w:rFonts w:hint="eastAsia" w:ascii="新宋体" w:hAnsi="新宋体" w:eastAsia="新宋体" w:cs="宋体"/>
          <w:color w:val="auto"/>
          <w:kern w:val="0"/>
          <w:sz w:val="22"/>
          <w:szCs w:val="22"/>
          <w:highlight w:val="none"/>
        </w:rPr>
        <w:t>之间存在下列利害关系：</w:t>
      </w:r>
    </w:p>
    <w:p>
      <w:pPr>
        <w:pStyle w:val="572"/>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A.法定代表人或负责人或实际控制人是同一人</w:t>
      </w:r>
    </w:p>
    <w:p>
      <w:pPr>
        <w:pStyle w:val="572"/>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kern w:val="0"/>
          <w:sz w:val="22"/>
          <w:szCs w:val="22"/>
          <w:highlight w:val="none"/>
        </w:rPr>
        <w:t xml:space="preserve">  B.法定代表人或负责人或实际控制人是夫妻关系</w:t>
      </w:r>
    </w:p>
    <w:p>
      <w:pPr>
        <w:pStyle w:val="572"/>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kern w:val="0"/>
          <w:sz w:val="22"/>
          <w:szCs w:val="22"/>
          <w:highlight w:val="none"/>
        </w:rPr>
        <w:t xml:space="preserve">  C.法定代表人或负责人或实际控制人是直系血亲关系</w:t>
      </w:r>
    </w:p>
    <w:p>
      <w:pPr>
        <w:pStyle w:val="572"/>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kern w:val="0"/>
          <w:sz w:val="22"/>
          <w:szCs w:val="22"/>
          <w:highlight w:val="none"/>
        </w:rPr>
        <w:t xml:space="preserve">  D.法定代表人或负责人或实际控制人存在三代以内旁系血亲关系</w:t>
      </w:r>
    </w:p>
    <w:p>
      <w:pPr>
        <w:pStyle w:val="572"/>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E.法定代表人或负责人或实际控制人存在近姻亲关系</w:t>
      </w:r>
    </w:p>
    <w:p>
      <w:pPr>
        <w:pStyle w:val="572"/>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F.法定代表人或负责人或实际控制人存在股份控制或实际控制关系</w:t>
      </w:r>
    </w:p>
    <w:p>
      <w:pPr>
        <w:pStyle w:val="572"/>
        <w:spacing w:line="480" w:lineRule="exact"/>
        <w:ind w:firstLine="44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  G.存在共同直接或间接投资设立子公司、联营企业和合营企业情况</w:t>
      </w:r>
    </w:p>
    <w:p>
      <w:pPr>
        <w:pStyle w:val="572"/>
        <w:spacing w:line="480" w:lineRule="exact"/>
        <w:ind w:firstLine="440"/>
        <w:rPr>
          <w:rFonts w:ascii="新宋体" w:hAnsi="新宋体" w:eastAsia="新宋体" w:cs="宋体"/>
          <w:color w:val="auto"/>
          <w:sz w:val="22"/>
          <w:szCs w:val="22"/>
          <w:highlight w:val="none"/>
        </w:rPr>
      </w:pPr>
      <w:r>
        <w:rPr>
          <w:rFonts w:hint="eastAsia" w:ascii="新宋体" w:hAnsi="新宋体" w:eastAsia="新宋体" w:cs="宋体"/>
          <w:color w:val="auto"/>
          <w:kern w:val="0"/>
          <w:sz w:val="22"/>
          <w:szCs w:val="22"/>
          <w:highlight w:val="none"/>
        </w:rPr>
        <w:t xml:space="preserve">  H.存在分级代理或代销关系、同一生产制造商关系、</w:t>
      </w:r>
      <w:r>
        <w:rPr>
          <w:rFonts w:hint="eastAsia" w:ascii="新宋体" w:hAnsi="新宋体" w:eastAsia="新宋体" w:cs="宋体"/>
          <w:color w:val="auto"/>
          <w:sz w:val="22"/>
          <w:szCs w:val="22"/>
          <w:highlight w:val="none"/>
        </w:rPr>
        <w:t>管理关系、重要业务（占主营业务收入50%以上）或重要财务往来关系（如融资）等其他实质性控制关系</w:t>
      </w:r>
    </w:p>
    <w:p>
      <w:pPr>
        <w:pStyle w:val="572"/>
        <w:spacing w:line="480" w:lineRule="exact"/>
        <w:ind w:firstLine="440"/>
        <w:rPr>
          <w:rFonts w:ascii="新宋体" w:hAnsi="新宋体" w:eastAsia="新宋体" w:cs="宋体"/>
          <w:color w:val="auto"/>
          <w:spacing w:val="6"/>
          <w:sz w:val="22"/>
          <w:szCs w:val="22"/>
          <w:highlight w:val="none"/>
        </w:rPr>
      </w:pPr>
      <w:r>
        <w:rPr>
          <w:rFonts w:hint="eastAsia" w:ascii="新宋体" w:hAnsi="新宋体" w:eastAsia="新宋体" w:cs="宋体"/>
          <w:color w:val="auto"/>
          <w:sz w:val="22"/>
          <w:szCs w:val="22"/>
          <w:highlight w:val="none"/>
        </w:rPr>
        <w:t xml:space="preserve">    I</w:t>
      </w:r>
      <w:r>
        <w:rPr>
          <w:rFonts w:hint="eastAsia" w:ascii="新宋体" w:hAnsi="新宋体" w:eastAsia="新宋体" w:cs="宋体"/>
          <w:color w:val="auto"/>
          <w:kern w:val="0"/>
          <w:sz w:val="22"/>
          <w:szCs w:val="22"/>
          <w:highlight w:val="none"/>
        </w:rPr>
        <w:t>.</w:t>
      </w:r>
      <w:r>
        <w:rPr>
          <w:rFonts w:hint="eastAsia" w:ascii="新宋体" w:hAnsi="新宋体" w:eastAsia="新宋体" w:cs="宋体"/>
          <w:color w:val="auto"/>
          <w:sz w:val="22"/>
          <w:szCs w:val="22"/>
          <w:highlight w:val="none"/>
        </w:rPr>
        <w:t>其他利害关系情况</w:t>
      </w:r>
      <w:r>
        <w:rPr>
          <w:rFonts w:hint="eastAsia" w:ascii="新宋体" w:hAnsi="新宋体" w:eastAsia="新宋体" w:cs="宋体"/>
          <w:color w:val="auto"/>
          <w:kern w:val="0"/>
          <w:sz w:val="22"/>
          <w:szCs w:val="22"/>
          <w:highlight w:val="none"/>
        </w:rPr>
        <w:t>。</w:t>
      </w:r>
    </w:p>
    <w:p>
      <w:pPr>
        <w:pStyle w:val="522"/>
        <w:widowControl/>
        <w:numPr>
          <w:ilvl w:val="0"/>
          <w:numId w:val="22"/>
        </w:numPr>
        <w:snapToGrid w:val="0"/>
        <w:spacing w:line="480" w:lineRule="exact"/>
        <w:ind w:firstLine="415" w:firstLineChars="189"/>
        <w:rPr>
          <w:rFonts w:ascii="新宋体" w:hAnsi="新宋体" w:eastAsia="新宋体" w:cs="宋体"/>
          <w:color w:val="auto"/>
          <w:kern w:val="0"/>
          <w:sz w:val="22"/>
          <w:szCs w:val="22"/>
          <w:highlight w:val="none"/>
        </w:rPr>
      </w:pPr>
      <w:r>
        <w:rPr>
          <w:rFonts w:hint="eastAsia" w:ascii="新宋体" w:hAnsi="新宋体" w:eastAsia="新宋体" w:cs="宋体"/>
          <w:color w:val="auto"/>
          <w:sz w:val="22"/>
          <w:szCs w:val="22"/>
          <w:highlight w:val="none"/>
        </w:rPr>
        <w:t>现已清楚知道并</w:t>
      </w:r>
      <w:r>
        <w:rPr>
          <w:rFonts w:hint="eastAsia" w:ascii="新宋体" w:hAnsi="新宋体" w:eastAsia="新宋体" w:cs="宋体"/>
          <w:color w:val="auto"/>
          <w:kern w:val="0"/>
          <w:sz w:val="22"/>
          <w:szCs w:val="22"/>
          <w:highlight w:val="none"/>
        </w:rPr>
        <w:t>严格遵守政府采购法律法规和现场纪律。</w:t>
      </w:r>
    </w:p>
    <w:p>
      <w:pPr>
        <w:pStyle w:val="522"/>
        <w:widowControl/>
        <w:numPr>
          <w:ilvl w:val="0"/>
          <w:numId w:val="22"/>
        </w:numPr>
        <w:snapToGrid w:val="0"/>
        <w:spacing w:line="480" w:lineRule="exact"/>
        <w:ind w:firstLine="415" w:firstLineChars="189"/>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我发现供应商</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之间存在或可能存在上述第二条第</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项利害关系。</w:t>
      </w:r>
    </w:p>
    <w:p>
      <w:pPr>
        <w:pStyle w:val="572"/>
        <w:spacing w:line="500" w:lineRule="exact"/>
        <w:ind w:firstLine="440"/>
        <w:rPr>
          <w:rFonts w:ascii="新宋体" w:hAnsi="新宋体" w:eastAsia="新宋体" w:cs="宋体"/>
          <w:color w:val="auto"/>
          <w:sz w:val="22"/>
          <w:szCs w:val="22"/>
          <w:highlight w:val="none"/>
        </w:rPr>
      </w:pPr>
    </w:p>
    <w:p>
      <w:pPr>
        <w:pStyle w:val="572"/>
        <w:spacing w:line="500" w:lineRule="exact"/>
        <w:ind w:firstLine="440"/>
        <w:rPr>
          <w:rFonts w:ascii="新宋体" w:hAnsi="新宋体" w:eastAsia="新宋体" w:cs="宋体"/>
          <w:color w:val="auto"/>
          <w:sz w:val="22"/>
          <w:szCs w:val="22"/>
          <w:highlight w:val="none"/>
          <w:u w:val="single"/>
        </w:rPr>
      </w:pPr>
      <w:r>
        <w:rPr>
          <w:rFonts w:hint="eastAsia" w:ascii="新宋体" w:hAnsi="新宋体" w:eastAsia="新宋体" w:cs="宋体"/>
          <w:color w:val="auto"/>
          <w:sz w:val="22"/>
          <w:szCs w:val="22"/>
          <w:highlight w:val="none"/>
        </w:rPr>
        <w:t>供应商代表签字：</w:t>
      </w:r>
    </w:p>
    <w:p>
      <w:pPr>
        <w:spacing w:line="440" w:lineRule="exact"/>
        <w:jc w:val="righ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ab/>
      </w:r>
      <w:r>
        <w:rPr>
          <w:rFonts w:hint="eastAsia" w:ascii="新宋体" w:hAnsi="新宋体" w:eastAsia="新宋体" w:cs="宋体"/>
          <w:color w:val="auto"/>
          <w:sz w:val="22"/>
          <w:szCs w:val="22"/>
          <w:highlight w:val="none"/>
        </w:rPr>
        <w:tab/>
      </w:r>
      <w:r>
        <w:rPr>
          <w:rFonts w:hint="eastAsia" w:ascii="新宋体" w:hAnsi="新宋体" w:eastAsia="新宋体" w:cs="宋体"/>
          <w:color w:val="auto"/>
          <w:sz w:val="22"/>
          <w:szCs w:val="22"/>
          <w:highlight w:val="none"/>
        </w:rPr>
        <w:tab/>
      </w:r>
    </w:p>
    <w:p>
      <w:pPr>
        <w:spacing w:line="440" w:lineRule="exact"/>
        <w:jc w:val="right"/>
        <w:rPr>
          <w:rFonts w:ascii="新宋体" w:hAnsi="新宋体" w:eastAsia="新宋体" w:cs="宋体"/>
          <w:color w:val="auto"/>
          <w:sz w:val="22"/>
          <w:szCs w:val="22"/>
          <w:highlight w:val="none"/>
        </w:rPr>
      </w:pPr>
    </w:p>
    <w:p>
      <w:pPr>
        <w:spacing w:line="440" w:lineRule="exact"/>
        <w:jc w:val="right"/>
        <w:rPr>
          <w:rFonts w:ascii="新宋体" w:hAnsi="新宋体" w:eastAsia="新宋体" w:cs="新宋体"/>
          <w:b/>
          <w:bCs/>
          <w:color w:val="auto"/>
          <w:sz w:val="22"/>
          <w:szCs w:val="22"/>
          <w:highlight w:val="none"/>
        </w:rPr>
      </w:pPr>
      <w:r>
        <w:rPr>
          <w:rFonts w:hint="eastAsia" w:ascii="新宋体" w:hAnsi="新宋体" w:eastAsia="新宋体" w:cs="宋体"/>
          <w:color w:val="auto"/>
          <w:sz w:val="22"/>
          <w:szCs w:val="22"/>
          <w:highlight w:val="none"/>
        </w:rPr>
        <w:t xml:space="preserve"> 年  月  日</w:t>
      </w:r>
    </w:p>
    <w:p>
      <w:pPr>
        <w:spacing w:line="440" w:lineRule="exact"/>
        <w:rPr>
          <w:rFonts w:ascii="新宋体" w:hAnsi="新宋体" w:eastAsia="新宋体" w:cs="新宋体"/>
          <w:b/>
          <w:bCs/>
          <w:color w:val="auto"/>
          <w:sz w:val="22"/>
          <w:szCs w:val="22"/>
          <w:highlight w:val="none"/>
        </w:rPr>
      </w:pPr>
    </w:p>
    <w:p>
      <w:pPr>
        <w:pStyle w:val="53"/>
        <w:rPr>
          <w:rFonts w:ascii="新宋体" w:hAnsi="新宋体" w:eastAsia="新宋体" w:cs="新宋体"/>
          <w:color w:val="auto"/>
          <w:kern w:val="2"/>
          <w:sz w:val="36"/>
          <w:szCs w:val="36"/>
          <w:highlight w:val="none"/>
        </w:rPr>
      </w:pPr>
      <w:r>
        <w:rPr>
          <w:rFonts w:hint="eastAsia" w:ascii="新宋体" w:hAnsi="新宋体" w:eastAsia="新宋体" w:cs="新宋体"/>
          <w:b w:val="0"/>
          <w:bCs w:val="0"/>
          <w:color w:val="auto"/>
          <w:sz w:val="22"/>
          <w:szCs w:val="22"/>
          <w:highlight w:val="none"/>
        </w:rPr>
        <w:br w:type="page"/>
      </w:r>
      <w:bookmarkStart w:id="80" w:name="_Toc34508137"/>
      <w:bookmarkStart w:id="81" w:name="_Toc7422"/>
      <w:bookmarkStart w:id="82" w:name="_Toc495955195"/>
      <w:r>
        <w:rPr>
          <w:rFonts w:hint="eastAsia" w:ascii="新宋体" w:hAnsi="新宋体" w:eastAsia="新宋体" w:cs="新宋体"/>
          <w:color w:val="auto"/>
          <w:kern w:val="2"/>
          <w:sz w:val="36"/>
          <w:szCs w:val="36"/>
          <w:highlight w:val="none"/>
        </w:rPr>
        <w:t>第二部分   政府采购政策功能相关说明</w:t>
      </w:r>
      <w:bookmarkEnd w:id="80"/>
      <w:bookmarkEnd w:id="81"/>
      <w:bookmarkEnd w:id="82"/>
    </w:p>
    <w:p>
      <w:pPr>
        <w:jc w:val="left"/>
        <w:rPr>
          <w:rFonts w:ascii="新宋体" w:hAnsi="新宋体" w:eastAsia="新宋体" w:cs="新宋体"/>
          <w:b/>
          <w:color w:val="auto"/>
          <w:sz w:val="22"/>
          <w:highlight w:val="none"/>
        </w:rPr>
      </w:pPr>
    </w:p>
    <w:p>
      <w:pPr>
        <w:jc w:val="center"/>
        <w:rPr>
          <w:rFonts w:ascii="新宋体" w:hAnsi="新宋体" w:eastAsia="新宋体" w:cs="宋体"/>
          <w:b/>
          <w:bCs/>
          <w:color w:val="auto"/>
          <w:sz w:val="28"/>
          <w:szCs w:val="28"/>
          <w:highlight w:val="none"/>
        </w:rPr>
      </w:pPr>
      <w:r>
        <w:rPr>
          <w:rFonts w:hint="eastAsia" w:ascii="新宋体" w:hAnsi="新宋体" w:eastAsia="新宋体" w:cs="宋体"/>
          <w:b/>
          <w:bCs/>
          <w:color w:val="auto"/>
          <w:sz w:val="28"/>
          <w:szCs w:val="28"/>
          <w:highlight w:val="none"/>
        </w:rPr>
        <w:t>小、微企业（含监狱企业、残疾人福利性单位）扶持政策说明</w:t>
      </w:r>
    </w:p>
    <w:p>
      <w:pPr>
        <w:spacing w:line="440" w:lineRule="atLeast"/>
        <w:jc w:val="left"/>
        <w:rPr>
          <w:rFonts w:ascii="新宋体" w:hAnsi="新宋体" w:eastAsia="新宋体" w:cs="宋体"/>
          <w:b/>
          <w:bCs/>
          <w:color w:val="auto"/>
          <w:sz w:val="22"/>
          <w:highlight w:val="none"/>
        </w:rPr>
      </w:pPr>
      <w:r>
        <w:rPr>
          <w:rFonts w:hint="eastAsia" w:ascii="新宋体" w:hAnsi="新宋体" w:eastAsia="新宋体" w:cs="宋体"/>
          <w:b/>
          <w:bCs/>
          <w:color w:val="auto"/>
          <w:sz w:val="22"/>
          <w:highlight w:val="none"/>
        </w:rPr>
        <w:t>1.文件依据</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（1）关于印发《政府采购促进中小企业发展管理办法》的通知（财库[2020]46号）</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（2）浙江省省财政厅《关于开展政府采购投标人网上注册登记和诚信管理工作的通知》（浙财采监〔2010〕8号)</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（3）《工业和信息化部、国家统计局、国家发展和改革委员会、财政部关于印发中小企业划型标准规定的通知》（工信部联企业[2011]300号）</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（4）财政部、司法部《关于政府采购支持监狱企业发展有关问题的通知》（财库〔2014〕68号）</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（5）《财政部 民政部 中国残疾人联合会关于促进残疾人就业政府采购政策的通知》（财库〔2017〕 141号）</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（6）《浙江省财政厅  浙江省经济和信息化委员会关于简化中小企业类别确认流程有关事项的通知》（浙财采监〔2018〕2号)</w:t>
      </w:r>
    </w:p>
    <w:p>
      <w:pPr>
        <w:spacing w:line="440" w:lineRule="atLeast"/>
        <w:jc w:val="left"/>
        <w:rPr>
          <w:rFonts w:ascii="新宋体" w:hAnsi="新宋体" w:eastAsia="新宋体" w:cs="宋体"/>
          <w:b/>
          <w:bCs/>
          <w:color w:val="auto"/>
          <w:sz w:val="22"/>
          <w:highlight w:val="none"/>
        </w:rPr>
      </w:pPr>
      <w:r>
        <w:rPr>
          <w:rFonts w:hint="eastAsia" w:ascii="新宋体" w:hAnsi="新宋体" w:eastAsia="新宋体" w:cs="宋体"/>
          <w:b/>
          <w:bCs/>
          <w:color w:val="auto"/>
          <w:sz w:val="22"/>
          <w:highlight w:val="none"/>
        </w:rPr>
        <w:t>2.供应商提供的货物、工程或者服务符合下列情形的，享受中小企业扶持政策：</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（1）在货物采购项目中，货物由中小企业制造，即货物由中小企业生产且使用该中小企业商号或者注册商标；</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（2）在工程采购项目中，工程由中小企业承建，即工程施工单位为中小企业；</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（3）在服务采购项目中，服务由中小企业承接，即提供服务的人员为中小企业依照《中华人民共和国劳动合同法》订立劳动合同的从业人员。</w:t>
      </w:r>
    </w:p>
    <w:p>
      <w:pPr>
        <w:spacing w:line="440" w:lineRule="atLeast"/>
        <w:jc w:val="left"/>
        <w:rPr>
          <w:rFonts w:ascii="新宋体" w:hAnsi="新宋体" w:eastAsia="新宋体" w:cs="宋体"/>
          <w:b/>
          <w:bCs/>
          <w:color w:val="auto"/>
          <w:sz w:val="22"/>
          <w:highlight w:val="none"/>
        </w:rPr>
      </w:pPr>
      <w:r>
        <w:rPr>
          <w:rFonts w:hint="eastAsia" w:ascii="新宋体" w:hAnsi="新宋体" w:eastAsia="新宋体" w:cs="宋体"/>
          <w:b/>
          <w:bCs/>
          <w:color w:val="auto"/>
          <w:sz w:val="22"/>
          <w:highlight w:val="none"/>
        </w:rPr>
        <w:t>3.小微企业（含监狱企业、残疾人福利性单位）评审扶持政策</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（1）本项目对小型企业和微型企业（含监狱企业、残疾人福利性单位）的投标报价给予10%的扣除，用扣除后的价格参与评审。</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（2）在货物采购项目中，供应商提供的货物既有中小企业制造货物，也有大型企业制造货物的，不享受中小企业扶持政策。</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（3）以联合体形式参加政府采购活动，联合体各方均为中小企业的，联合体视同中小企业。其中，联合体各方均为小微企业的，联合体视同小微企业。</w:t>
      </w:r>
    </w:p>
    <w:p>
      <w:pPr>
        <w:spacing w:line="440" w:lineRule="atLeast"/>
        <w:ind w:firstLine="440" w:firstLineChars="200"/>
        <w:jc w:val="left"/>
        <w:rPr>
          <w:rFonts w:ascii="新宋体" w:hAnsi="新宋体" w:eastAsia="新宋体" w:cs="宋体"/>
          <w:bCs/>
          <w:color w:val="auto"/>
          <w:sz w:val="22"/>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（4）对于联合体协议或者分包意向协议约定小微企业合同份额占到合同总金额30%以上的，对其投标报价给予3%的扣除，用扣除后的价格参与评审。</w:t>
      </w:r>
    </w:p>
    <w:p>
      <w:pPr>
        <w:spacing w:line="440" w:lineRule="atLeast"/>
        <w:jc w:val="left"/>
        <w:rPr>
          <w:rFonts w:ascii="新宋体" w:hAnsi="新宋体" w:eastAsia="新宋体" w:cs="宋体"/>
          <w:b/>
          <w:bCs/>
          <w:color w:val="auto"/>
          <w:sz w:val="22"/>
          <w:highlight w:val="none"/>
        </w:rPr>
      </w:pPr>
      <w:r>
        <w:rPr>
          <w:rFonts w:hint="eastAsia" w:ascii="新宋体" w:hAnsi="新宋体" w:eastAsia="新宋体" w:cs="宋体"/>
          <w:b/>
          <w:bCs/>
          <w:color w:val="auto"/>
          <w:sz w:val="22"/>
          <w:highlight w:val="none"/>
          <w:u w:val="single"/>
        </w:rPr>
        <w:t>4.享受小微企业价格扣除应提供以下证明材料（</w:t>
      </w:r>
      <w:r>
        <w:rPr>
          <w:rFonts w:hint="eastAsia" w:ascii="新宋体" w:hAnsi="新宋体" w:eastAsia="新宋体" w:cs="新宋体"/>
          <w:b/>
          <w:bCs/>
          <w:color w:val="auto"/>
          <w:sz w:val="22"/>
          <w:highlight w:val="none"/>
          <w:u w:val="single"/>
        </w:rPr>
        <w:t>投标文件报价文件中</w:t>
      </w:r>
      <w:r>
        <w:rPr>
          <w:rFonts w:hint="eastAsia" w:ascii="新宋体" w:hAnsi="新宋体" w:eastAsia="新宋体" w:cs="宋体"/>
          <w:b/>
          <w:bCs/>
          <w:color w:val="auto"/>
          <w:sz w:val="22"/>
          <w:highlight w:val="none"/>
          <w:u w:val="single"/>
        </w:rPr>
        <w:t>，不提供的不享受价格扣除）</w:t>
      </w:r>
      <w:r>
        <w:rPr>
          <w:rFonts w:hint="eastAsia" w:ascii="新宋体" w:hAnsi="新宋体" w:eastAsia="新宋体" w:cs="宋体"/>
          <w:b/>
          <w:bCs/>
          <w:color w:val="auto"/>
          <w:sz w:val="22"/>
          <w:highlight w:val="none"/>
        </w:rPr>
        <w:t>：</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（1）《中小企业声明函》（原件，加盖投标人公章，格式见附件1）</w:t>
      </w:r>
    </w:p>
    <w:p>
      <w:pPr>
        <w:spacing w:line="440" w:lineRule="atLeast"/>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5.</w:t>
      </w:r>
      <w:r>
        <w:rPr>
          <w:rFonts w:hint="eastAsia" w:ascii="新宋体" w:hAnsi="新宋体" w:eastAsia="新宋体" w:cs="宋体"/>
          <w:b/>
          <w:bCs/>
          <w:color w:val="auto"/>
          <w:sz w:val="22"/>
          <w:highlight w:val="none"/>
          <w:u w:val="single"/>
        </w:rPr>
        <w:t>享受监狱企业价格扣除应提供以下证明材料（</w:t>
      </w:r>
      <w:r>
        <w:rPr>
          <w:rFonts w:hint="eastAsia" w:ascii="新宋体" w:hAnsi="新宋体" w:eastAsia="新宋体" w:cs="新宋体"/>
          <w:b/>
          <w:bCs/>
          <w:color w:val="auto"/>
          <w:sz w:val="22"/>
          <w:highlight w:val="none"/>
          <w:u w:val="single"/>
        </w:rPr>
        <w:t>投标文件报价文件中</w:t>
      </w:r>
      <w:r>
        <w:rPr>
          <w:rFonts w:hint="eastAsia" w:ascii="新宋体" w:hAnsi="新宋体" w:eastAsia="新宋体" w:cs="宋体"/>
          <w:b/>
          <w:bCs/>
          <w:color w:val="auto"/>
          <w:sz w:val="22"/>
          <w:highlight w:val="none"/>
          <w:u w:val="single"/>
        </w:rPr>
        <w:t>，不提供的不享受价格扣除）</w:t>
      </w:r>
      <w:r>
        <w:rPr>
          <w:rFonts w:hint="eastAsia" w:ascii="新宋体" w:hAnsi="新宋体" w:eastAsia="新宋体" w:cs="宋体"/>
          <w:bCs/>
          <w:color w:val="auto"/>
          <w:sz w:val="22"/>
          <w:highlight w:val="none"/>
        </w:rPr>
        <w:t>：</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6.</w:t>
      </w:r>
      <w:r>
        <w:rPr>
          <w:rFonts w:hint="eastAsia" w:ascii="新宋体" w:hAnsi="新宋体" w:eastAsia="新宋体" w:cs="宋体"/>
          <w:b/>
          <w:bCs/>
          <w:color w:val="auto"/>
          <w:sz w:val="22"/>
          <w:highlight w:val="none"/>
          <w:u w:val="single"/>
        </w:rPr>
        <w:t>享受残疾人福利性单位格扣除应提供以下证明材料（</w:t>
      </w:r>
      <w:r>
        <w:rPr>
          <w:rFonts w:hint="eastAsia" w:ascii="新宋体" w:hAnsi="新宋体" w:eastAsia="新宋体" w:cs="新宋体"/>
          <w:b/>
          <w:bCs/>
          <w:color w:val="auto"/>
          <w:sz w:val="22"/>
          <w:highlight w:val="none"/>
          <w:u w:val="single"/>
        </w:rPr>
        <w:t>投标文件报价文件中</w:t>
      </w:r>
      <w:r>
        <w:rPr>
          <w:rFonts w:hint="eastAsia" w:ascii="新宋体" w:hAnsi="新宋体" w:eastAsia="新宋体" w:cs="宋体"/>
          <w:b/>
          <w:bCs/>
          <w:color w:val="auto"/>
          <w:sz w:val="22"/>
          <w:highlight w:val="none"/>
          <w:u w:val="single"/>
        </w:rPr>
        <w:t>，不提供的不享受价格扣除）</w:t>
      </w:r>
      <w:r>
        <w:rPr>
          <w:rFonts w:hint="eastAsia" w:ascii="新宋体" w:hAnsi="新宋体" w:eastAsia="新宋体" w:cs="宋体"/>
          <w:bCs/>
          <w:color w:val="auto"/>
          <w:sz w:val="22"/>
          <w:highlight w:val="none"/>
        </w:rPr>
        <w:t>：</w:t>
      </w:r>
    </w:p>
    <w:p>
      <w:pPr>
        <w:spacing w:line="440" w:lineRule="atLeast"/>
        <w:ind w:firstLine="440" w:firstLineChars="200"/>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（1）残疾人福利性单位声明函（附件2）；</w:t>
      </w:r>
    </w:p>
    <w:p>
      <w:pPr>
        <w:spacing w:line="440" w:lineRule="atLeast"/>
        <w:jc w:val="left"/>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pPr>
        <w:spacing w:line="440" w:lineRule="atLeast"/>
        <w:jc w:val="left"/>
        <w:rPr>
          <w:rFonts w:ascii="新宋体" w:hAnsi="新宋体" w:eastAsia="新宋体" w:cs="宋体"/>
          <w:b/>
          <w:color w:val="auto"/>
          <w:sz w:val="22"/>
          <w:highlight w:val="none"/>
        </w:rPr>
      </w:pPr>
      <w:r>
        <w:rPr>
          <w:rFonts w:hint="eastAsia" w:ascii="新宋体" w:hAnsi="新宋体" w:eastAsia="新宋体" w:cs="宋体"/>
          <w:b/>
          <w:color w:val="auto"/>
          <w:sz w:val="22"/>
          <w:highlight w:val="none"/>
        </w:rPr>
        <w:t>8.享受扶持政策获得政府采购合同的，小微企业不得将合同分包给大中型企业，中型企业不得将合同分包给大型企业。</w:t>
      </w: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spacing w:line="440" w:lineRule="atLeast"/>
        <w:jc w:val="left"/>
        <w:rPr>
          <w:rFonts w:ascii="新宋体" w:hAnsi="新宋体" w:eastAsia="新宋体" w:cs="宋体"/>
          <w:b/>
          <w:color w:val="auto"/>
          <w:sz w:val="22"/>
          <w:highlight w:val="none"/>
        </w:rPr>
      </w:pPr>
    </w:p>
    <w:p>
      <w:pPr>
        <w:widowControl/>
        <w:spacing w:before="100" w:beforeAutospacing="1" w:after="100" w:afterAutospacing="1" w:line="440" w:lineRule="atLeast"/>
        <w:jc w:val="left"/>
        <w:rPr>
          <w:rFonts w:ascii="新宋体" w:hAnsi="新宋体" w:eastAsia="新宋体" w:cs="宋体"/>
          <w:b/>
          <w:color w:val="auto"/>
          <w:sz w:val="24"/>
          <w:highlight w:val="none"/>
        </w:rPr>
      </w:pPr>
      <w:r>
        <w:rPr>
          <w:rFonts w:hint="eastAsia" w:ascii="新宋体" w:hAnsi="新宋体" w:eastAsia="新宋体" w:cs="宋体"/>
          <w:b/>
          <w:color w:val="auto"/>
          <w:sz w:val="24"/>
          <w:highlight w:val="none"/>
        </w:rPr>
        <w:br w:type="page"/>
      </w:r>
      <w:r>
        <w:rPr>
          <w:rFonts w:hint="eastAsia" w:ascii="新宋体" w:hAnsi="新宋体" w:eastAsia="新宋体" w:cs="宋体"/>
          <w:b/>
          <w:color w:val="auto"/>
          <w:sz w:val="24"/>
          <w:highlight w:val="none"/>
        </w:rPr>
        <w:t>附件1：</w:t>
      </w:r>
    </w:p>
    <w:p>
      <w:pPr>
        <w:widowControl/>
        <w:spacing w:before="100" w:beforeAutospacing="1" w:after="100" w:afterAutospacing="1" w:line="440" w:lineRule="atLeast"/>
        <w:jc w:val="center"/>
        <w:rPr>
          <w:rFonts w:ascii="新宋体" w:hAnsi="新宋体" w:eastAsia="新宋体" w:cs="宋体"/>
          <w:b/>
          <w:color w:val="auto"/>
          <w:sz w:val="24"/>
          <w:highlight w:val="none"/>
        </w:rPr>
      </w:pPr>
      <w:r>
        <w:rPr>
          <w:rFonts w:hint="eastAsia" w:ascii="新宋体" w:hAnsi="新宋体" w:eastAsia="新宋体" w:cs="宋体"/>
          <w:b/>
          <w:bCs/>
          <w:color w:val="auto"/>
          <w:sz w:val="24"/>
          <w:highlight w:val="none"/>
        </w:rPr>
        <w:t>中小企业声明函（货物）</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新宋体" w:hAnsi="新宋体" w:eastAsia="新宋体" w:cs="宋体"/>
          <w:bCs/>
          <w:color w:val="auto"/>
          <w:sz w:val="22"/>
          <w:szCs w:val="22"/>
          <w:highlight w:val="none"/>
          <w:u w:val="single"/>
        </w:rPr>
        <w:t>（单位名称）</w:t>
      </w:r>
      <w:r>
        <w:rPr>
          <w:rFonts w:hint="eastAsia" w:ascii="新宋体" w:hAnsi="新宋体" w:eastAsia="新宋体" w:cs="宋体"/>
          <w:bCs/>
          <w:color w:val="auto"/>
          <w:sz w:val="22"/>
          <w:szCs w:val="22"/>
          <w:highlight w:val="none"/>
        </w:rPr>
        <w:t xml:space="preserve"> 的</w:t>
      </w:r>
      <w:r>
        <w:rPr>
          <w:rFonts w:hint="eastAsia" w:ascii="新宋体" w:hAnsi="新宋体" w:eastAsia="新宋体" w:cs="宋体"/>
          <w:bCs/>
          <w:color w:val="auto"/>
          <w:sz w:val="22"/>
          <w:szCs w:val="22"/>
          <w:highlight w:val="none"/>
          <w:u w:val="single"/>
        </w:rPr>
        <w:t xml:space="preserve"> （项目名称） </w:t>
      </w:r>
      <w:r>
        <w:rPr>
          <w:rFonts w:hint="eastAsia" w:ascii="新宋体" w:hAnsi="新宋体" w:eastAsia="新宋体" w:cs="宋体"/>
          <w:bCs/>
          <w:color w:val="auto"/>
          <w:sz w:val="22"/>
          <w:szCs w:val="22"/>
          <w:highlight w:val="none"/>
        </w:rPr>
        <w:t>采购活动，提供的货物全部由符合政策要求的中小企业制造。相关企业（含联合体中的中小企业、签订分包意向协议的中小企业）的具体情况如下：</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 xml:space="preserve">1. </w:t>
      </w:r>
      <w:r>
        <w:rPr>
          <w:rFonts w:hint="eastAsia" w:ascii="新宋体" w:hAnsi="新宋体" w:eastAsia="新宋体" w:cs="宋体"/>
          <w:bCs/>
          <w:color w:val="auto"/>
          <w:sz w:val="22"/>
          <w:szCs w:val="22"/>
          <w:highlight w:val="none"/>
          <w:u w:val="single"/>
        </w:rPr>
        <w:t>（标的名称）</w:t>
      </w:r>
      <w:r>
        <w:rPr>
          <w:rFonts w:hint="eastAsia" w:ascii="新宋体" w:hAnsi="新宋体" w:eastAsia="新宋体" w:cs="宋体"/>
          <w:bCs/>
          <w:color w:val="auto"/>
          <w:sz w:val="22"/>
          <w:szCs w:val="22"/>
          <w:highlight w:val="none"/>
        </w:rPr>
        <w:t xml:space="preserve"> ，属于</w:t>
      </w:r>
      <w:r>
        <w:rPr>
          <w:rFonts w:hint="eastAsia" w:ascii="新宋体" w:hAnsi="新宋体" w:eastAsia="新宋体" w:cs="宋体"/>
          <w:bCs/>
          <w:color w:val="auto"/>
          <w:sz w:val="22"/>
          <w:szCs w:val="22"/>
          <w:highlight w:val="none"/>
          <w:u w:val="single"/>
        </w:rPr>
        <w:t xml:space="preserve"> （采购文件中明确的所属行业）</w:t>
      </w:r>
      <w:r>
        <w:rPr>
          <w:rFonts w:hint="eastAsia" w:ascii="新宋体" w:hAnsi="新宋体" w:eastAsia="新宋体" w:cs="宋体"/>
          <w:bCs/>
          <w:color w:val="auto"/>
          <w:sz w:val="22"/>
          <w:szCs w:val="22"/>
          <w:highlight w:val="none"/>
        </w:rPr>
        <w:t>行业 ；制造商为</w:t>
      </w:r>
      <w:r>
        <w:rPr>
          <w:rFonts w:hint="eastAsia" w:ascii="新宋体" w:hAnsi="新宋体" w:eastAsia="新宋体" w:cs="宋体"/>
          <w:bCs/>
          <w:color w:val="auto"/>
          <w:sz w:val="22"/>
          <w:szCs w:val="22"/>
          <w:highlight w:val="none"/>
          <w:u w:val="single"/>
        </w:rPr>
        <w:t xml:space="preserve"> （企业名称） </w:t>
      </w:r>
      <w:r>
        <w:rPr>
          <w:rFonts w:hint="eastAsia" w:ascii="新宋体" w:hAnsi="新宋体" w:eastAsia="新宋体" w:cs="宋体"/>
          <w:bCs/>
          <w:color w:val="auto"/>
          <w:sz w:val="22"/>
          <w:szCs w:val="22"/>
          <w:highlight w:val="none"/>
        </w:rPr>
        <w:t>，从业人员</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人，营业收入为</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万元，资产总额为</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万元</w:t>
      </w:r>
      <w:r>
        <w:rPr>
          <w:rFonts w:hint="eastAsia" w:ascii="新宋体" w:hAnsi="新宋体" w:eastAsia="新宋体" w:cs="宋体"/>
          <w:bCs/>
          <w:color w:val="auto"/>
          <w:sz w:val="22"/>
          <w:szCs w:val="22"/>
          <w:highlight w:val="none"/>
          <w:vertAlign w:val="superscript"/>
        </w:rPr>
        <w:t>1</w:t>
      </w:r>
      <w:r>
        <w:rPr>
          <w:rFonts w:hint="eastAsia" w:ascii="新宋体" w:hAnsi="新宋体" w:eastAsia="新宋体" w:cs="宋体"/>
          <w:bCs/>
          <w:color w:val="auto"/>
          <w:sz w:val="22"/>
          <w:szCs w:val="22"/>
          <w:highlight w:val="none"/>
        </w:rPr>
        <w:t>，属于</w:t>
      </w:r>
      <w:r>
        <w:rPr>
          <w:rFonts w:hint="eastAsia" w:ascii="新宋体" w:hAnsi="新宋体" w:eastAsia="新宋体" w:cs="宋体"/>
          <w:bCs/>
          <w:color w:val="auto"/>
          <w:sz w:val="22"/>
          <w:szCs w:val="22"/>
          <w:highlight w:val="none"/>
          <w:u w:val="single"/>
        </w:rPr>
        <w:t>（中型企业、小型企业、微型企业）</w:t>
      </w:r>
      <w:r>
        <w:rPr>
          <w:rFonts w:hint="eastAsia" w:ascii="新宋体" w:hAnsi="新宋体" w:eastAsia="新宋体" w:cs="宋体"/>
          <w:bCs/>
          <w:color w:val="auto"/>
          <w:sz w:val="22"/>
          <w:szCs w:val="22"/>
          <w:highlight w:val="none"/>
        </w:rPr>
        <w:t>；</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 xml:space="preserve">2. </w:t>
      </w:r>
      <w:r>
        <w:rPr>
          <w:rFonts w:hint="eastAsia" w:ascii="新宋体" w:hAnsi="新宋体" w:eastAsia="新宋体" w:cs="宋体"/>
          <w:bCs/>
          <w:color w:val="auto"/>
          <w:sz w:val="22"/>
          <w:szCs w:val="22"/>
          <w:highlight w:val="none"/>
          <w:u w:val="single"/>
        </w:rPr>
        <w:t xml:space="preserve">（标的名称） </w:t>
      </w:r>
      <w:r>
        <w:rPr>
          <w:rFonts w:hint="eastAsia" w:ascii="新宋体" w:hAnsi="新宋体" w:eastAsia="新宋体" w:cs="宋体"/>
          <w:bCs/>
          <w:color w:val="auto"/>
          <w:sz w:val="22"/>
          <w:szCs w:val="22"/>
          <w:highlight w:val="none"/>
        </w:rPr>
        <w:t>，属于</w:t>
      </w:r>
      <w:r>
        <w:rPr>
          <w:rFonts w:hint="eastAsia" w:ascii="新宋体" w:hAnsi="新宋体" w:eastAsia="新宋体" w:cs="宋体"/>
          <w:bCs/>
          <w:color w:val="auto"/>
          <w:sz w:val="22"/>
          <w:szCs w:val="22"/>
          <w:highlight w:val="none"/>
          <w:u w:val="single"/>
        </w:rPr>
        <w:t xml:space="preserve"> （采购文件中明确的所属行业）</w:t>
      </w:r>
      <w:r>
        <w:rPr>
          <w:rFonts w:hint="eastAsia" w:ascii="新宋体" w:hAnsi="新宋体" w:eastAsia="新宋体" w:cs="宋体"/>
          <w:bCs/>
          <w:color w:val="auto"/>
          <w:sz w:val="22"/>
          <w:szCs w:val="22"/>
          <w:highlight w:val="none"/>
        </w:rPr>
        <w:t>行业 ；制造商为</w:t>
      </w:r>
      <w:r>
        <w:rPr>
          <w:rFonts w:hint="eastAsia" w:ascii="新宋体" w:hAnsi="新宋体" w:eastAsia="新宋体" w:cs="宋体"/>
          <w:bCs/>
          <w:color w:val="auto"/>
          <w:sz w:val="22"/>
          <w:szCs w:val="22"/>
          <w:highlight w:val="none"/>
          <w:u w:val="single"/>
        </w:rPr>
        <w:t xml:space="preserve"> （企业名称） </w:t>
      </w:r>
      <w:r>
        <w:rPr>
          <w:rFonts w:hint="eastAsia" w:ascii="新宋体" w:hAnsi="新宋体" w:eastAsia="新宋体" w:cs="宋体"/>
          <w:bCs/>
          <w:color w:val="auto"/>
          <w:sz w:val="22"/>
          <w:szCs w:val="22"/>
          <w:highlight w:val="none"/>
        </w:rPr>
        <w:t>，从业人员</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人，营业收入为</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万元，资产总额为</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万元，属于 （中型企业、小型企业、微型企业） ；</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5669" w:firstLineChars="2577"/>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企业名称（盖章）：</w:t>
      </w:r>
    </w:p>
    <w:p>
      <w:pPr>
        <w:widowControl/>
        <w:spacing w:before="100" w:beforeAutospacing="1" w:after="100" w:afterAutospacing="1" w:line="440" w:lineRule="atLeast"/>
        <w:ind w:firstLine="5669" w:firstLineChars="2577"/>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日 期：</w:t>
      </w:r>
    </w:p>
    <w:p>
      <w:pPr>
        <w:widowControl/>
        <w:tabs>
          <w:tab w:val="left" w:pos="312"/>
        </w:tabs>
        <w:spacing w:before="100" w:beforeAutospacing="1" w:after="100" w:afterAutospacing="1" w:line="440" w:lineRule="atLeast"/>
        <w:jc w:val="left"/>
        <w:rPr>
          <w:rFonts w:ascii="新宋体" w:hAnsi="新宋体" w:eastAsia="新宋体" w:cs="宋体"/>
          <w:bCs/>
          <w:color w:val="auto"/>
          <w:sz w:val="18"/>
          <w:szCs w:val="18"/>
          <w:highlight w:val="none"/>
        </w:rPr>
      </w:pPr>
    </w:p>
    <w:p>
      <w:pPr>
        <w:widowControl/>
        <w:tabs>
          <w:tab w:val="left" w:pos="312"/>
        </w:tabs>
        <w:spacing w:before="100" w:beforeAutospacing="1" w:after="100" w:afterAutospacing="1" w:line="440" w:lineRule="atLeast"/>
        <w:jc w:val="left"/>
        <w:rPr>
          <w:rFonts w:ascii="新宋体" w:hAnsi="新宋体" w:eastAsia="新宋体" w:cs="宋体"/>
          <w:bCs/>
          <w:color w:val="auto"/>
          <w:sz w:val="18"/>
          <w:szCs w:val="18"/>
          <w:highlight w:val="none"/>
        </w:rPr>
      </w:pPr>
    </w:p>
    <w:p>
      <w:pPr>
        <w:widowControl/>
        <w:tabs>
          <w:tab w:val="left" w:pos="312"/>
        </w:tabs>
        <w:spacing w:before="100" w:beforeAutospacing="1" w:after="100" w:afterAutospacing="1" w:line="440" w:lineRule="atLeast"/>
        <w:jc w:val="left"/>
        <w:rPr>
          <w:rFonts w:ascii="新宋体" w:hAnsi="新宋体" w:eastAsia="新宋体" w:cs="宋体"/>
          <w:bCs/>
          <w:color w:val="auto"/>
          <w:sz w:val="18"/>
          <w:szCs w:val="18"/>
          <w:highlight w:val="none"/>
        </w:rPr>
      </w:pPr>
    </w:p>
    <w:p>
      <w:pPr>
        <w:widowControl/>
        <w:tabs>
          <w:tab w:val="left" w:pos="312"/>
        </w:tabs>
        <w:spacing w:before="100" w:beforeAutospacing="1" w:after="100" w:afterAutospacing="1" w:line="440" w:lineRule="atLeast"/>
        <w:jc w:val="left"/>
        <w:rPr>
          <w:rFonts w:ascii="新宋体" w:hAnsi="新宋体" w:eastAsia="新宋体" w:cs="宋体"/>
          <w:bCs/>
          <w:color w:val="auto"/>
          <w:sz w:val="18"/>
          <w:szCs w:val="18"/>
          <w:highlight w:val="none"/>
        </w:rPr>
      </w:pPr>
    </w:p>
    <w:p>
      <w:pPr>
        <w:widowControl/>
        <w:tabs>
          <w:tab w:val="left" w:pos="312"/>
        </w:tabs>
        <w:spacing w:before="100" w:beforeAutospacing="1" w:after="100" w:afterAutospacing="1" w:line="440" w:lineRule="atLeast"/>
        <w:jc w:val="left"/>
        <w:rPr>
          <w:rFonts w:ascii="新宋体" w:hAnsi="新宋体" w:eastAsia="新宋体" w:cs="宋体"/>
          <w:bCs/>
          <w:color w:val="auto"/>
          <w:sz w:val="18"/>
          <w:szCs w:val="18"/>
          <w:highlight w:val="none"/>
        </w:rPr>
      </w:pPr>
      <w:r>
        <w:rPr>
          <w:rFonts w:hint="eastAsia" w:ascii="新宋体" w:hAnsi="新宋体" w:eastAsia="新宋体" w:cs="宋体"/>
          <w:bCs/>
          <w:color w:val="auto"/>
          <w:sz w:val="18"/>
          <w:szCs w:val="18"/>
          <w:highlight w:val="none"/>
        </w:rPr>
        <w:t>注1.从业人员、营业收入、资产总额填报上一年度数据，无上一年度数据的新成立企业可不填报。</w:t>
      </w:r>
    </w:p>
    <w:p>
      <w:pPr>
        <w:widowControl/>
        <w:spacing w:before="100" w:beforeAutospacing="1" w:after="100" w:afterAutospacing="1" w:line="440" w:lineRule="atLeast"/>
        <w:jc w:val="center"/>
        <w:rPr>
          <w:rFonts w:ascii="新宋体" w:hAnsi="新宋体" w:eastAsia="新宋体" w:cs="宋体"/>
          <w:b/>
          <w:color w:val="auto"/>
          <w:sz w:val="24"/>
          <w:highlight w:val="none"/>
        </w:rPr>
      </w:pPr>
      <w:r>
        <w:rPr>
          <w:rFonts w:hint="eastAsia" w:ascii="新宋体" w:hAnsi="新宋体" w:eastAsia="新宋体" w:cs="宋体"/>
          <w:b/>
          <w:color w:val="auto"/>
          <w:sz w:val="24"/>
          <w:highlight w:val="none"/>
        </w:rPr>
        <w:br w:type="page"/>
      </w:r>
      <w:r>
        <w:rPr>
          <w:rFonts w:hint="eastAsia" w:ascii="新宋体" w:hAnsi="新宋体" w:eastAsia="新宋体" w:cs="宋体"/>
          <w:b/>
          <w:bCs/>
          <w:color w:val="auto"/>
          <w:sz w:val="24"/>
          <w:highlight w:val="none"/>
        </w:rPr>
        <w:t>中小企业声明函（工程、服务）</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新宋体" w:hAnsi="新宋体" w:eastAsia="新宋体" w:cs="宋体"/>
          <w:bCs/>
          <w:color w:val="auto"/>
          <w:sz w:val="22"/>
          <w:szCs w:val="22"/>
          <w:highlight w:val="none"/>
          <w:u w:val="single"/>
        </w:rPr>
        <w:t>（单位名称）</w:t>
      </w:r>
      <w:r>
        <w:rPr>
          <w:rFonts w:hint="eastAsia" w:ascii="新宋体" w:hAnsi="新宋体" w:eastAsia="新宋体" w:cs="宋体"/>
          <w:bCs/>
          <w:color w:val="auto"/>
          <w:sz w:val="22"/>
          <w:szCs w:val="22"/>
          <w:highlight w:val="none"/>
        </w:rPr>
        <w:t xml:space="preserve"> 的</w:t>
      </w:r>
      <w:r>
        <w:rPr>
          <w:rFonts w:hint="eastAsia" w:ascii="新宋体" w:hAnsi="新宋体" w:eastAsia="新宋体" w:cs="宋体"/>
          <w:bCs/>
          <w:color w:val="auto"/>
          <w:sz w:val="22"/>
          <w:szCs w:val="22"/>
          <w:highlight w:val="none"/>
          <w:u w:val="single"/>
        </w:rPr>
        <w:t xml:space="preserve"> （项目名称） </w:t>
      </w:r>
      <w:r>
        <w:rPr>
          <w:rFonts w:hint="eastAsia" w:ascii="新宋体" w:hAnsi="新宋体" w:eastAsia="新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 xml:space="preserve">1. </w:t>
      </w:r>
      <w:r>
        <w:rPr>
          <w:rFonts w:hint="eastAsia" w:ascii="新宋体" w:hAnsi="新宋体" w:eastAsia="新宋体" w:cs="宋体"/>
          <w:bCs/>
          <w:color w:val="auto"/>
          <w:sz w:val="22"/>
          <w:szCs w:val="22"/>
          <w:highlight w:val="none"/>
          <w:u w:val="single"/>
        </w:rPr>
        <w:t>（标的名称）</w:t>
      </w:r>
      <w:r>
        <w:rPr>
          <w:rFonts w:hint="eastAsia" w:ascii="新宋体" w:hAnsi="新宋体" w:eastAsia="新宋体" w:cs="宋体"/>
          <w:bCs/>
          <w:color w:val="auto"/>
          <w:sz w:val="22"/>
          <w:szCs w:val="22"/>
          <w:highlight w:val="none"/>
        </w:rPr>
        <w:t xml:space="preserve"> ，属于</w:t>
      </w:r>
      <w:r>
        <w:rPr>
          <w:rFonts w:hint="eastAsia" w:ascii="新宋体" w:hAnsi="新宋体" w:eastAsia="新宋体" w:cs="宋体"/>
          <w:bCs/>
          <w:color w:val="auto"/>
          <w:sz w:val="22"/>
          <w:szCs w:val="22"/>
          <w:highlight w:val="none"/>
          <w:u w:val="single"/>
        </w:rPr>
        <w:t xml:space="preserve"> （采购文件中明确的所属行业）</w:t>
      </w:r>
      <w:r>
        <w:rPr>
          <w:rFonts w:hint="eastAsia" w:ascii="新宋体" w:hAnsi="新宋体" w:eastAsia="新宋体" w:cs="宋体"/>
          <w:bCs/>
          <w:color w:val="auto"/>
          <w:sz w:val="22"/>
          <w:szCs w:val="22"/>
          <w:highlight w:val="none"/>
        </w:rPr>
        <w:t>行业 ；承建（承接）企业为</w:t>
      </w:r>
      <w:r>
        <w:rPr>
          <w:rFonts w:hint="eastAsia" w:ascii="新宋体" w:hAnsi="新宋体" w:eastAsia="新宋体" w:cs="宋体"/>
          <w:bCs/>
          <w:color w:val="auto"/>
          <w:sz w:val="22"/>
          <w:szCs w:val="22"/>
          <w:highlight w:val="none"/>
          <w:u w:val="single"/>
        </w:rPr>
        <w:t xml:space="preserve"> （企业名称） </w:t>
      </w:r>
      <w:r>
        <w:rPr>
          <w:rFonts w:hint="eastAsia" w:ascii="新宋体" w:hAnsi="新宋体" w:eastAsia="新宋体" w:cs="宋体"/>
          <w:bCs/>
          <w:color w:val="auto"/>
          <w:sz w:val="22"/>
          <w:szCs w:val="22"/>
          <w:highlight w:val="none"/>
        </w:rPr>
        <w:t>，从业人员</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人，营业收入为</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万元，资产总额为</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万元</w:t>
      </w:r>
      <w:r>
        <w:rPr>
          <w:rFonts w:hint="eastAsia" w:ascii="新宋体" w:hAnsi="新宋体" w:eastAsia="新宋体" w:cs="宋体"/>
          <w:bCs/>
          <w:color w:val="auto"/>
          <w:sz w:val="22"/>
          <w:szCs w:val="22"/>
          <w:highlight w:val="none"/>
          <w:vertAlign w:val="superscript"/>
        </w:rPr>
        <w:t>1</w:t>
      </w:r>
      <w:r>
        <w:rPr>
          <w:rFonts w:hint="eastAsia" w:ascii="新宋体" w:hAnsi="新宋体" w:eastAsia="新宋体" w:cs="宋体"/>
          <w:bCs/>
          <w:color w:val="auto"/>
          <w:sz w:val="22"/>
          <w:szCs w:val="22"/>
          <w:highlight w:val="none"/>
        </w:rPr>
        <w:t>，属于</w:t>
      </w:r>
      <w:r>
        <w:rPr>
          <w:rFonts w:hint="eastAsia" w:ascii="新宋体" w:hAnsi="新宋体" w:eastAsia="新宋体" w:cs="宋体"/>
          <w:bCs/>
          <w:color w:val="auto"/>
          <w:sz w:val="22"/>
          <w:szCs w:val="22"/>
          <w:highlight w:val="none"/>
          <w:u w:val="single"/>
        </w:rPr>
        <w:t>（中型企业、小型企业、微型企业）</w:t>
      </w:r>
      <w:r>
        <w:rPr>
          <w:rFonts w:hint="eastAsia" w:ascii="新宋体" w:hAnsi="新宋体" w:eastAsia="新宋体" w:cs="宋体"/>
          <w:bCs/>
          <w:color w:val="auto"/>
          <w:sz w:val="22"/>
          <w:szCs w:val="22"/>
          <w:highlight w:val="none"/>
        </w:rPr>
        <w:t>；</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 xml:space="preserve">2. </w:t>
      </w:r>
      <w:r>
        <w:rPr>
          <w:rFonts w:hint="eastAsia" w:ascii="新宋体" w:hAnsi="新宋体" w:eastAsia="新宋体" w:cs="宋体"/>
          <w:bCs/>
          <w:color w:val="auto"/>
          <w:sz w:val="22"/>
          <w:szCs w:val="22"/>
          <w:highlight w:val="none"/>
          <w:u w:val="single"/>
        </w:rPr>
        <w:t xml:space="preserve">（标的名称） </w:t>
      </w:r>
      <w:r>
        <w:rPr>
          <w:rFonts w:hint="eastAsia" w:ascii="新宋体" w:hAnsi="新宋体" w:eastAsia="新宋体" w:cs="宋体"/>
          <w:bCs/>
          <w:color w:val="auto"/>
          <w:sz w:val="22"/>
          <w:szCs w:val="22"/>
          <w:highlight w:val="none"/>
        </w:rPr>
        <w:t>，属于</w:t>
      </w:r>
      <w:r>
        <w:rPr>
          <w:rFonts w:hint="eastAsia" w:ascii="新宋体" w:hAnsi="新宋体" w:eastAsia="新宋体" w:cs="宋体"/>
          <w:bCs/>
          <w:color w:val="auto"/>
          <w:sz w:val="22"/>
          <w:szCs w:val="22"/>
          <w:highlight w:val="none"/>
          <w:u w:val="single"/>
        </w:rPr>
        <w:t xml:space="preserve"> （采购文件中明确的所属行业）</w:t>
      </w:r>
      <w:r>
        <w:rPr>
          <w:rFonts w:hint="eastAsia" w:ascii="新宋体" w:hAnsi="新宋体" w:eastAsia="新宋体" w:cs="宋体"/>
          <w:bCs/>
          <w:color w:val="auto"/>
          <w:sz w:val="22"/>
          <w:szCs w:val="22"/>
          <w:highlight w:val="none"/>
        </w:rPr>
        <w:t>行业 ；承建（承接）企业为</w:t>
      </w:r>
      <w:r>
        <w:rPr>
          <w:rFonts w:hint="eastAsia" w:ascii="新宋体" w:hAnsi="新宋体" w:eastAsia="新宋体" w:cs="宋体"/>
          <w:bCs/>
          <w:color w:val="auto"/>
          <w:sz w:val="22"/>
          <w:szCs w:val="22"/>
          <w:highlight w:val="none"/>
          <w:u w:val="single"/>
        </w:rPr>
        <w:t xml:space="preserve">（企业名称） </w:t>
      </w:r>
      <w:r>
        <w:rPr>
          <w:rFonts w:hint="eastAsia" w:ascii="新宋体" w:hAnsi="新宋体" w:eastAsia="新宋体" w:cs="宋体"/>
          <w:bCs/>
          <w:color w:val="auto"/>
          <w:sz w:val="22"/>
          <w:szCs w:val="22"/>
          <w:highlight w:val="none"/>
        </w:rPr>
        <w:t>，从业人员</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人，营业收入为</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万元，资产总额为</w:t>
      </w:r>
      <w:r>
        <w:rPr>
          <w:rFonts w:hint="eastAsia" w:ascii="新宋体" w:hAnsi="新宋体" w:eastAsia="新宋体" w:cs="宋体"/>
          <w:bCs/>
          <w:color w:val="auto"/>
          <w:sz w:val="22"/>
          <w:szCs w:val="22"/>
          <w:highlight w:val="none"/>
          <w:u w:val="single"/>
        </w:rPr>
        <w:t xml:space="preserve">       </w:t>
      </w:r>
      <w:r>
        <w:rPr>
          <w:rFonts w:hint="eastAsia" w:ascii="新宋体" w:hAnsi="新宋体" w:eastAsia="新宋体" w:cs="宋体"/>
          <w:bCs/>
          <w:color w:val="auto"/>
          <w:sz w:val="22"/>
          <w:szCs w:val="22"/>
          <w:highlight w:val="none"/>
        </w:rPr>
        <w:t>万元，属于 （中型企业、小型企业、微型企业） ；</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本企业对上述声明内容的真实性负责。如有虚假，将依法承担相应责任。</w:t>
      </w:r>
    </w:p>
    <w:p>
      <w:pPr>
        <w:widowControl/>
        <w:spacing w:line="500" w:lineRule="atLeast"/>
        <w:ind w:firstLine="5669" w:firstLineChars="2577"/>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企业名称（盖章）：</w:t>
      </w:r>
    </w:p>
    <w:p>
      <w:pPr>
        <w:widowControl/>
        <w:spacing w:line="500" w:lineRule="atLeast"/>
        <w:ind w:firstLine="5669" w:firstLineChars="2577"/>
        <w:jc w:val="left"/>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日 期：</w:t>
      </w:r>
    </w:p>
    <w:p>
      <w:pPr>
        <w:widowControl/>
        <w:tabs>
          <w:tab w:val="left" w:pos="312"/>
        </w:tabs>
        <w:spacing w:before="100" w:beforeAutospacing="1" w:after="100" w:afterAutospacing="1" w:line="440" w:lineRule="atLeast"/>
        <w:jc w:val="left"/>
        <w:rPr>
          <w:rFonts w:ascii="新宋体" w:hAnsi="新宋体" w:eastAsia="新宋体" w:cs="宋体"/>
          <w:bCs/>
          <w:color w:val="auto"/>
          <w:sz w:val="18"/>
          <w:szCs w:val="18"/>
          <w:highlight w:val="none"/>
        </w:rPr>
      </w:pPr>
    </w:p>
    <w:p>
      <w:pPr>
        <w:widowControl/>
        <w:tabs>
          <w:tab w:val="left" w:pos="312"/>
        </w:tabs>
        <w:spacing w:before="100" w:beforeAutospacing="1" w:after="100" w:afterAutospacing="1" w:line="440" w:lineRule="atLeast"/>
        <w:jc w:val="left"/>
        <w:rPr>
          <w:rFonts w:ascii="新宋体" w:hAnsi="新宋体" w:eastAsia="新宋体" w:cs="宋体"/>
          <w:bCs/>
          <w:color w:val="auto"/>
          <w:sz w:val="18"/>
          <w:szCs w:val="18"/>
          <w:highlight w:val="none"/>
        </w:rPr>
      </w:pPr>
    </w:p>
    <w:p>
      <w:pPr>
        <w:widowControl/>
        <w:tabs>
          <w:tab w:val="left" w:pos="312"/>
        </w:tabs>
        <w:spacing w:before="100" w:beforeAutospacing="1" w:after="100" w:afterAutospacing="1" w:line="440" w:lineRule="atLeast"/>
        <w:jc w:val="left"/>
        <w:rPr>
          <w:rFonts w:ascii="新宋体" w:hAnsi="新宋体" w:eastAsia="新宋体" w:cs="宋体"/>
          <w:bCs/>
          <w:color w:val="auto"/>
          <w:sz w:val="18"/>
          <w:szCs w:val="18"/>
          <w:highlight w:val="none"/>
        </w:rPr>
      </w:pPr>
    </w:p>
    <w:p>
      <w:pPr>
        <w:widowControl/>
        <w:tabs>
          <w:tab w:val="left" w:pos="312"/>
        </w:tabs>
        <w:spacing w:before="100" w:beforeAutospacing="1" w:after="100" w:afterAutospacing="1" w:line="440" w:lineRule="atLeast"/>
        <w:jc w:val="left"/>
        <w:rPr>
          <w:rFonts w:ascii="新宋体" w:hAnsi="新宋体" w:eastAsia="新宋体" w:cs="宋体"/>
          <w:bCs/>
          <w:color w:val="auto"/>
          <w:sz w:val="18"/>
          <w:szCs w:val="18"/>
          <w:highlight w:val="none"/>
        </w:rPr>
      </w:pPr>
    </w:p>
    <w:p>
      <w:pPr>
        <w:pStyle w:val="2"/>
        <w:rPr>
          <w:rFonts w:ascii="新宋体" w:hAnsi="新宋体" w:eastAsia="新宋体"/>
          <w:color w:val="auto"/>
          <w:highlight w:val="none"/>
        </w:rPr>
      </w:pPr>
    </w:p>
    <w:p>
      <w:pPr>
        <w:pStyle w:val="2"/>
        <w:rPr>
          <w:rFonts w:ascii="新宋体" w:hAnsi="新宋体" w:eastAsia="新宋体"/>
          <w:color w:val="auto"/>
          <w:highlight w:val="none"/>
        </w:rPr>
      </w:pPr>
    </w:p>
    <w:p>
      <w:pPr>
        <w:pStyle w:val="2"/>
        <w:rPr>
          <w:rFonts w:ascii="新宋体" w:hAnsi="新宋体" w:eastAsia="新宋体"/>
          <w:color w:val="auto"/>
          <w:highlight w:val="none"/>
        </w:rPr>
      </w:pPr>
    </w:p>
    <w:p>
      <w:pPr>
        <w:widowControl/>
        <w:spacing w:before="100" w:beforeAutospacing="1" w:after="100" w:afterAutospacing="1" w:line="440" w:lineRule="atLeast"/>
        <w:jc w:val="left"/>
        <w:rPr>
          <w:rFonts w:ascii="新宋体" w:hAnsi="新宋体" w:eastAsia="新宋体" w:cs="宋体"/>
          <w:b/>
          <w:color w:val="auto"/>
          <w:sz w:val="24"/>
          <w:highlight w:val="none"/>
        </w:rPr>
      </w:pPr>
      <w:r>
        <w:rPr>
          <w:rFonts w:hint="eastAsia" w:ascii="新宋体" w:hAnsi="新宋体" w:eastAsia="新宋体" w:cs="宋体"/>
          <w:bCs/>
          <w:color w:val="auto"/>
          <w:sz w:val="18"/>
          <w:szCs w:val="18"/>
          <w:highlight w:val="none"/>
        </w:rPr>
        <w:t>注1.从业人员、营业收入、资产总额填报上一年度数据，无上一年度数据的新成立企业可不填报。</w:t>
      </w:r>
    </w:p>
    <w:p>
      <w:pPr>
        <w:widowControl/>
        <w:spacing w:before="100" w:beforeAutospacing="1" w:after="100" w:afterAutospacing="1" w:line="440" w:lineRule="atLeast"/>
        <w:jc w:val="left"/>
        <w:rPr>
          <w:rFonts w:ascii="新宋体" w:hAnsi="新宋体" w:eastAsia="新宋体" w:cs="宋体"/>
          <w:b/>
          <w:color w:val="auto"/>
          <w:sz w:val="24"/>
          <w:highlight w:val="none"/>
        </w:rPr>
      </w:pPr>
      <w:r>
        <w:rPr>
          <w:rFonts w:ascii="新宋体" w:hAnsi="新宋体" w:eastAsia="新宋体" w:cs="宋体"/>
          <w:b/>
          <w:color w:val="auto"/>
          <w:sz w:val="24"/>
          <w:highlight w:val="none"/>
        </w:rPr>
        <w:br w:type="page"/>
      </w:r>
      <w:r>
        <w:rPr>
          <w:rFonts w:hint="eastAsia" w:ascii="新宋体" w:hAnsi="新宋体" w:eastAsia="新宋体" w:cs="宋体"/>
          <w:b/>
          <w:color w:val="auto"/>
          <w:sz w:val="24"/>
          <w:highlight w:val="none"/>
        </w:rPr>
        <w:t>附件2</w:t>
      </w:r>
    </w:p>
    <w:p>
      <w:pPr>
        <w:widowControl/>
        <w:spacing w:before="100" w:beforeAutospacing="1" w:after="100" w:afterAutospacing="1" w:line="440" w:lineRule="atLeast"/>
        <w:jc w:val="center"/>
        <w:rPr>
          <w:rFonts w:ascii="新宋体" w:hAnsi="新宋体" w:eastAsia="新宋体" w:cs="宋体"/>
          <w:b/>
          <w:bCs/>
          <w:color w:val="auto"/>
          <w:sz w:val="24"/>
          <w:highlight w:val="none"/>
        </w:rPr>
      </w:pPr>
      <w:bookmarkStart w:id="83" w:name="OLE_LINK14"/>
      <w:bookmarkStart w:id="84" w:name="OLE_LINK13"/>
      <w:r>
        <w:rPr>
          <w:rFonts w:hint="eastAsia" w:ascii="新宋体" w:hAnsi="新宋体" w:eastAsia="新宋体" w:cs="宋体"/>
          <w:b/>
          <w:bCs/>
          <w:color w:val="auto"/>
          <w:sz w:val="24"/>
          <w:highlight w:val="none"/>
        </w:rPr>
        <w:t>残疾人福利性单位声明函</w:t>
      </w:r>
    </w:p>
    <w:bookmarkEnd w:id="83"/>
    <w:bookmarkEnd w:id="84"/>
    <w:p>
      <w:pPr>
        <w:spacing w:line="588" w:lineRule="exact"/>
        <w:rPr>
          <w:rFonts w:ascii="新宋体" w:hAnsi="新宋体" w:eastAsia="新宋体" w:cs="宋体"/>
          <w:b/>
          <w:color w:val="auto"/>
          <w:spacing w:val="6"/>
          <w:sz w:val="30"/>
          <w:szCs w:val="30"/>
          <w:highlight w:val="none"/>
        </w:rPr>
      </w:pPr>
    </w:p>
    <w:p>
      <w:pPr>
        <w:spacing w:line="588" w:lineRule="exact"/>
        <w:ind w:firstLine="464" w:firstLineChars="200"/>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本单位郑重声明，根据《财政部 民政部 中国残疾人联合会关于促进残疾人就业政府采购政策的通知》（财库</w:t>
      </w:r>
      <w:r>
        <w:rPr>
          <w:rFonts w:hint="eastAsia" w:ascii="新宋体" w:hAnsi="新宋体" w:eastAsia="新宋体" w:cs="宋体"/>
          <w:color w:val="auto"/>
          <w:sz w:val="22"/>
          <w:szCs w:val="22"/>
          <w:highlight w:val="none"/>
        </w:rPr>
        <w:t>〔2017〕 141</w:t>
      </w:r>
      <w:r>
        <w:rPr>
          <w:rFonts w:hint="eastAsia" w:ascii="新宋体" w:hAnsi="新宋体" w:eastAsia="新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ascii="新宋体" w:hAnsi="新宋体" w:eastAsia="新宋体" w:cs="宋体"/>
          <w:color w:val="auto"/>
          <w:spacing w:val="6"/>
          <w:sz w:val="22"/>
          <w:szCs w:val="22"/>
          <w:highlight w:val="none"/>
        </w:rPr>
      </w:pPr>
    </w:p>
    <w:p>
      <w:pPr>
        <w:tabs>
          <w:tab w:val="left" w:pos="4860"/>
        </w:tabs>
        <w:spacing w:line="588" w:lineRule="exact"/>
        <w:ind w:right="1560" w:firstLine="464" w:firstLineChars="200"/>
        <w:rPr>
          <w:rFonts w:ascii="新宋体" w:hAnsi="新宋体" w:eastAsia="新宋体" w:cs="宋体"/>
          <w:color w:val="auto"/>
          <w:spacing w:val="6"/>
          <w:sz w:val="22"/>
          <w:szCs w:val="22"/>
          <w:highlight w:val="none"/>
        </w:rPr>
      </w:pPr>
    </w:p>
    <w:p>
      <w:pPr>
        <w:tabs>
          <w:tab w:val="left" w:pos="4860"/>
        </w:tabs>
        <w:spacing w:line="588" w:lineRule="exact"/>
        <w:ind w:right="1560" w:firstLine="464" w:firstLineChars="200"/>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投标人全称（盖章）：</w:t>
      </w:r>
    </w:p>
    <w:p>
      <w:pPr>
        <w:tabs>
          <w:tab w:val="left" w:pos="4860"/>
        </w:tabs>
        <w:spacing w:line="588" w:lineRule="exact"/>
        <w:ind w:right="1560" w:firstLine="464" w:firstLineChars="200"/>
        <w:rPr>
          <w:rFonts w:ascii="新宋体" w:hAnsi="新宋体" w:eastAsia="新宋体" w:cs="宋体"/>
          <w:color w:val="auto"/>
          <w:spacing w:val="6"/>
          <w:sz w:val="22"/>
          <w:szCs w:val="22"/>
          <w:highlight w:val="none"/>
        </w:rPr>
      </w:pPr>
      <w:r>
        <w:rPr>
          <w:rFonts w:hint="eastAsia" w:ascii="新宋体" w:hAnsi="新宋体" w:eastAsia="新宋体" w:cs="宋体"/>
          <w:color w:val="auto"/>
          <w:spacing w:val="6"/>
          <w:sz w:val="22"/>
          <w:szCs w:val="22"/>
          <w:highlight w:val="none"/>
        </w:rPr>
        <w:t>日  期：</w:t>
      </w:r>
    </w:p>
    <w:p>
      <w:pPr>
        <w:tabs>
          <w:tab w:val="left" w:pos="4860"/>
        </w:tabs>
        <w:spacing w:line="588" w:lineRule="exact"/>
        <w:ind w:right="1560" w:firstLine="464" w:firstLineChars="200"/>
        <w:jc w:val="center"/>
        <w:rPr>
          <w:rFonts w:ascii="新宋体" w:hAnsi="新宋体" w:eastAsia="新宋体" w:cs="宋体"/>
          <w:color w:val="auto"/>
          <w:spacing w:val="6"/>
          <w:sz w:val="22"/>
          <w:szCs w:val="22"/>
          <w:highlight w:val="none"/>
        </w:rPr>
      </w:pPr>
    </w:p>
    <w:p>
      <w:pPr>
        <w:tabs>
          <w:tab w:val="left" w:pos="4860"/>
        </w:tabs>
        <w:spacing w:line="588" w:lineRule="exact"/>
        <w:ind w:right="1560" w:firstLine="464" w:firstLineChars="200"/>
        <w:jc w:val="center"/>
        <w:rPr>
          <w:rFonts w:ascii="新宋体" w:hAnsi="新宋体" w:eastAsia="新宋体" w:cs="宋体"/>
          <w:color w:val="auto"/>
          <w:spacing w:val="6"/>
          <w:sz w:val="22"/>
          <w:szCs w:val="22"/>
          <w:highlight w:val="none"/>
        </w:rPr>
      </w:pPr>
    </w:p>
    <w:p>
      <w:pPr>
        <w:tabs>
          <w:tab w:val="left" w:pos="4860"/>
        </w:tabs>
        <w:spacing w:line="588" w:lineRule="exact"/>
        <w:ind w:right="1560"/>
        <w:jc w:val="left"/>
        <w:rPr>
          <w:rFonts w:ascii="新宋体" w:hAnsi="新宋体" w:eastAsia="新宋体" w:cs="宋体"/>
          <w:b/>
          <w:color w:val="auto"/>
          <w:sz w:val="22"/>
          <w:szCs w:val="22"/>
          <w:highlight w:val="none"/>
        </w:rPr>
      </w:pPr>
      <w:r>
        <w:rPr>
          <w:rFonts w:hint="eastAsia" w:ascii="新宋体" w:hAnsi="新宋体" w:eastAsia="新宋体" w:cs="宋体"/>
          <w:b/>
          <w:color w:val="auto"/>
          <w:sz w:val="22"/>
          <w:szCs w:val="22"/>
          <w:highlight w:val="none"/>
        </w:rPr>
        <w:t>备注说明：</w:t>
      </w:r>
    </w:p>
    <w:p>
      <w:pPr>
        <w:numPr>
          <w:ilvl w:val="2"/>
          <w:numId w:val="23"/>
        </w:numPr>
        <w:tabs>
          <w:tab w:val="left" w:pos="0"/>
        </w:tabs>
        <w:spacing w:line="588" w:lineRule="exact"/>
        <w:ind w:left="0" w:right="114" w:firstLine="0"/>
        <w:jc w:val="lef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如中标，将在中标公示中将此残疾人福利性单位声明函予以公示，接受社会监督。</w:t>
      </w:r>
    </w:p>
    <w:p>
      <w:pPr>
        <w:numPr>
          <w:ilvl w:val="2"/>
          <w:numId w:val="23"/>
        </w:numPr>
        <w:tabs>
          <w:tab w:val="left" w:pos="0"/>
        </w:tabs>
        <w:spacing w:line="588" w:lineRule="exact"/>
        <w:ind w:left="0" w:right="114" w:firstLine="0"/>
        <w:jc w:val="left"/>
        <w:rPr>
          <w:rFonts w:ascii="新宋体" w:hAnsi="新宋体" w:eastAsia="新宋体" w:cs="新宋体"/>
          <w:color w:val="auto"/>
          <w:sz w:val="22"/>
          <w:szCs w:val="22"/>
          <w:highlight w:val="none"/>
        </w:rPr>
      </w:pPr>
      <w:r>
        <w:rPr>
          <w:rFonts w:hint="eastAsia" w:ascii="新宋体" w:hAnsi="新宋体" w:eastAsia="新宋体" w:cs="宋体"/>
          <w:color w:val="auto"/>
          <w:sz w:val="22"/>
          <w:szCs w:val="22"/>
          <w:highlight w:val="none"/>
        </w:rPr>
        <w:t>投标人提供的《残疾人福利性单位声明函》与事实不符的，依照《政府采购法》第七十七条第一款的规定追究法律责任。</w:t>
      </w:r>
    </w:p>
    <w:p>
      <w:pPr>
        <w:tabs>
          <w:tab w:val="left" w:pos="0"/>
        </w:tabs>
        <w:spacing w:line="588" w:lineRule="exact"/>
        <w:ind w:right="114"/>
        <w:jc w:val="left"/>
        <w:rPr>
          <w:rFonts w:ascii="新宋体" w:hAnsi="新宋体" w:eastAsia="新宋体" w:cs="新宋体"/>
          <w:color w:val="auto"/>
          <w:sz w:val="22"/>
          <w:szCs w:val="22"/>
          <w:highlight w:val="none"/>
        </w:rPr>
      </w:pPr>
    </w:p>
    <w:p>
      <w:pPr>
        <w:pStyle w:val="53"/>
        <w:rPr>
          <w:rFonts w:ascii="新宋体" w:hAnsi="新宋体" w:eastAsia="新宋体" w:cs="新宋体"/>
          <w:color w:val="auto"/>
          <w:kern w:val="2"/>
          <w:sz w:val="36"/>
          <w:szCs w:val="36"/>
          <w:highlight w:val="none"/>
        </w:rPr>
      </w:pPr>
      <w:r>
        <w:rPr>
          <w:rFonts w:hint="eastAsia" w:ascii="新宋体" w:hAnsi="新宋体" w:eastAsia="新宋体" w:cs="新宋体"/>
          <w:color w:val="auto"/>
          <w:sz w:val="22"/>
          <w:szCs w:val="22"/>
          <w:highlight w:val="none"/>
        </w:rPr>
        <w:br w:type="page"/>
      </w:r>
      <w:bookmarkStart w:id="85" w:name="_Toc9491"/>
      <w:bookmarkStart w:id="86" w:name="_Toc17643"/>
      <w:r>
        <w:rPr>
          <w:rFonts w:hint="eastAsia" w:ascii="新宋体" w:hAnsi="新宋体" w:eastAsia="新宋体" w:cs="新宋体"/>
          <w:color w:val="auto"/>
          <w:kern w:val="2"/>
          <w:sz w:val="36"/>
          <w:szCs w:val="36"/>
          <w:highlight w:val="none"/>
        </w:rPr>
        <w:t>第三部分   合同条款及格式</w:t>
      </w:r>
      <w:bookmarkEnd w:id="85"/>
      <w:bookmarkEnd w:id="86"/>
    </w:p>
    <w:p>
      <w:pPr>
        <w:rPr>
          <w:rFonts w:ascii="新宋体" w:hAnsi="新宋体" w:eastAsia="新宋体" w:cs="新宋体"/>
          <w:color w:val="auto"/>
          <w:highlight w:val="none"/>
        </w:rPr>
      </w:pPr>
    </w:p>
    <w:p>
      <w:pPr>
        <w:spacing w:line="440" w:lineRule="exact"/>
        <w:ind w:firstLine="440" w:firstLineChars="200"/>
        <w:rPr>
          <w:rFonts w:ascii="新宋体" w:hAnsi="新宋体" w:eastAsia="新宋体" w:cs="新宋体"/>
          <w:color w:val="auto"/>
          <w:sz w:val="22"/>
          <w:szCs w:val="22"/>
          <w:highlight w:val="none"/>
        </w:rPr>
      </w:pPr>
      <w:bookmarkStart w:id="87" w:name="_Toc221423623"/>
      <w:bookmarkStart w:id="88" w:name="_Toc222114883"/>
      <w:bookmarkStart w:id="89" w:name="_Toc223716002"/>
      <w:bookmarkStart w:id="90" w:name="_Toc246996253"/>
      <w:bookmarkStart w:id="91" w:name="_Toc179632628"/>
      <w:bookmarkStart w:id="92" w:name="_Toc241404206"/>
      <w:bookmarkStart w:id="93" w:name="_Toc152042388"/>
      <w:bookmarkStart w:id="94" w:name="_Toc296602498"/>
      <w:bookmarkStart w:id="95" w:name="_Toc246996996"/>
      <w:bookmarkStart w:id="96" w:name="_Toc221356891"/>
      <w:bookmarkStart w:id="97" w:name="_Toc152045610"/>
      <w:bookmarkStart w:id="98" w:name="_Toc144974578"/>
      <w:bookmarkStart w:id="99" w:name="_Toc221356955"/>
      <w:bookmarkStart w:id="100" w:name="_Toc239145358"/>
      <w:bookmarkStart w:id="101" w:name="_Toc247085768"/>
      <w:bookmarkStart w:id="102" w:name="_Toc221374630"/>
      <w:bookmarkStart w:id="103" w:name="_Toc265529387"/>
      <w:r>
        <w:rPr>
          <w:rFonts w:hint="eastAsia" w:ascii="新宋体" w:hAnsi="新宋体" w:eastAsia="新宋体" w:cs="新宋体"/>
          <w:color w:val="auto"/>
          <w:sz w:val="22"/>
          <w:szCs w:val="22"/>
          <w:highlight w:val="none"/>
        </w:rPr>
        <w:t>说明：如甲、乙双方同意，合同格式也可以按照其他形式。但合同条款的基本内容应与《中标合同》要求的内容相一致。</w:t>
      </w:r>
    </w:p>
    <w:p>
      <w:pPr>
        <w:rPr>
          <w:rFonts w:ascii="新宋体" w:hAnsi="新宋体" w:eastAsia="新宋体" w:cs="新宋体"/>
          <w:color w:val="auto"/>
          <w:highlight w:val="none"/>
        </w:rPr>
      </w:pPr>
    </w:p>
    <w:p>
      <w:pPr>
        <w:autoSpaceDE w:val="0"/>
        <w:autoSpaceDN w:val="0"/>
        <w:spacing w:line="440" w:lineRule="exact"/>
        <w:jc w:val="center"/>
        <w:textAlignment w:val="bottom"/>
        <w:rPr>
          <w:rFonts w:ascii="新宋体" w:hAnsi="新宋体" w:eastAsia="新宋体" w:cs="新宋体"/>
          <w:color w:val="auto"/>
          <w:sz w:val="44"/>
          <w:highlight w:val="none"/>
        </w:rPr>
      </w:pPr>
    </w:p>
    <w:p>
      <w:pPr>
        <w:autoSpaceDE w:val="0"/>
        <w:autoSpaceDN w:val="0"/>
        <w:spacing w:line="500" w:lineRule="atLeast"/>
        <w:jc w:val="center"/>
        <w:textAlignment w:val="bottom"/>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中标合同</w:t>
      </w:r>
    </w:p>
    <w:p>
      <w:pPr>
        <w:autoSpaceDE w:val="0"/>
        <w:autoSpaceDN w:val="0"/>
        <w:spacing w:line="500" w:lineRule="atLeast"/>
        <w:jc w:val="center"/>
        <w:textAlignment w:val="bottom"/>
        <w:rPr>
          <w:rFonts w:ascii="新宋体" w:hAnsi="新宋体" w:eastAsia="新宋体" w:cs="新宋体"/>
          <w:color w:val="auto"/>
          <w:sz w:val="24"/>
          <w:highlight w:val="none"/>
        </w:rPr>
      </w:pPr>
    </w:p>
    <w:p>
      <w:pPr>
        <w:autoSpaceDE w:val="0"/>
        <w:autoSpaceDN w:val="0"/>
        <w:spacing w:line="580" w:lineRule="atLeast"/>
        <w:textAlignment w:val="bottom"/>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项目名称：</w:t>
      </w:r>
      <w:r>
        <w:rPr>
          <w:rFonts w:hint="eastAsia" w:ascii="新宋体" w:hAnsi="新宋体" w:eastAsia="新宋体" w:cs="新宋体"/>
          <w:color w:val="auto"/>
          <w:sz w:val="24"/>
          <w:highlight w:val="none"/>
          <w:u w:val="single"/>
        </w:rPr>
        <w:t xml:space="preserve">                      </w:t>
      </w:r>
    </w:p>
    <w:p>
      <w:pPr>
        <w:autoSpaceDE w:val="0"/>
        <w:autoSpaceDN w:val="0"/>
        <w:spacing w:line="580" w:lineRule="atLeast"/>
        <w:textAlignment w:val="bottom"/>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 xml:space="preserve">           </w:t>
      </w:r>
    </w:p>
    <w:p>
      <w:pPr>
        <w:autoSpaceDE w:val="0"/>
        <w:autoSpaceDN w:val="0"/>
        <w:spacing w:line="580" w:lineRule="atLeast"/>
        <w:textAlignment w:val="bottom"/>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合同编号：</w:t>
      </w:r>
      <w:r>
        <w:rPr>
          <w:rFonts w:hint="eastAsia" w:ascii="新宋体" w:hAnsi="新宋体" w:eastAsia="新宋体" w:cs="新宋体"/>
          <w:color w:val="auto"/>
          <w:sz w:val="24"/>
          <w:highlight w:val="none"/>
          <w:u w:val="single"/>
        </w:rPr>
        <w:t xml:space="preserve">                      </w:t>
      </w:r>
    </w:p>
    <w:p>
      <w:pPr>
        <w:autoSpaceDE w:val="0"/>
        <w:autoSpaceDN w:val="0"/>
        <w:spacing w:line="580" w:lineRule="atLeast"/>
        <w:textAlignment w:val="bottom"/>
        <w:rPr>
          <w:rFonts w:ascii="新宋体" w:hAnsi="新宋体" w:eastAsia="新宋体" w:cs="新宋体"/>
          <w:color w:val="auto"/>
          <w:sz w:val="24"/>
          <w:highlight w:val="none"/>
        </w:rPr>
      </w:pPr>
    </w:p>
    <w:p>
      <w:pPr>
        <w:autoSpaceDE w:val="0"/>
        <w:autoSpaceDN w:val="0"/>
        <w:spacing w:line="580" w:lineRule="atLeast"/>
        <w:textAlignment w:val="bottom"/>
        <w:rPr>
          <w:rFonts w:ascii="新宋体" w:hAnsi="新宋体" w:eastAsia="新宋体" w:cs="新宋体"/>
          <w:color w:val="auto"/>
          <w:sz w:val="24"/>
          <w:highlight w:val="none"/>
        </w:rPr>
      </w:pPr>
    </w:p>
    <w:p>
      <w:pPr>
        <w:autoSpaceDE w:val="0"/>
        <w:autoSpaceDN w:val="0"/>
        <w:spacing w:line="580" w:lineRule="atLeast"/>
        <w:textAlignment w:val="bottom"/>
        <w:rPr>
          <w:rFonts w:ascii="新宋体" w:hAnsi="新宋体" w:eastAsia="新宋体" w:cs="新宋体"/>
          <w:color w:val="auto"/>
          <w:sz w:val="24"/>
          <w:highlight w:val="none"/>
        </w:rPr>
      </w:pPr>
    </w:p>
    <w:p>
      <w:pPr>
        <w:autoSpaceDE w:val="0"/>
        <w:autoSpaceDN w:val="0"/>
        <w:spacing w:line="580" w:lineRule="atLeast"/>
        <w:textAlignment w:val="bottom"/>
        <w:rPr>
          <w:rFonts w:ascii="新宋体" w:hAnsi="新宋体" w:eastAsia="新宋体" w:cs="新宋体"/>
          <w:color w:val="auto"/>
          <w:sz w:val="24"/>
          <w:highlight w:val="none"/>
        </w:rPr>
      </w:pPr>
    </w:p>
    <w:p>
      <w:pPr>
        <w:autoSpaceDE w:val="0"/>
        <w:autoSpaceDN w:val="0"/>
        <w:spacing w:line="580" w:lineRule="atLeast"/>
        <w:textAlignment w:val="bottom"/>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甲    方：</w:t>
      </w:r>
      <w:r>
        <w:rPr>
          <w:rFonts w:hint="eastAsia" w:ascii="新宋体" w:hAnsi="新宋体" w:eastAsia="新宋体" w:cs="新宋体"/>
          <w:color w:val="auto"/>
          <w:sz w:val="24"/>
          <w:highlight w:val="none"/>
          <w:u w:val="single"/>
        </w:rPr>
        <w:t xml:space="preserve">                      </w:t>
      </w:r>
    </w:p>
    <w:p>
      <w:pPr>
        <w:autoSpaceDE w:val="0"/>
        <w:autoSpaceDN w:val="0"/>
        <w:spacing w:line="580" w:lineRule="atLeast"/>
        <w:textAlignment w:val="bottom"/>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乙    方：</w:t>
      </w:r>
      <w:r>
        <w:rPr>
          <w:rFonts w:hint="eastAsia" w:ascii="新宋体" w:hAnsi="新宋体" w:eastAsia="新宋体" w:cs="新宋体"/>
          <w:color w:val="auto"/>
          <w:sz w:val="24"/>
          <w:highlight w:val="none"/>
          <w:u w:val="single"/>
        </w:rPr>
        <w:t xml:space="preserve">                      </w:t>
      </w:r>
    </w:p>
    <w:p>
      <w:pPr>
        <w:spacing w:line="460" w:lineRule="exact"/>
        <w:rPr>
          <w:rFonts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签署日期：</w:t>
      </w:r>
      <w:r>
        <w:rPr>
          <w:rFonts w:hint="eastAsia" w:ascii="新宋体" w:hAnsi="新宋体" w:eastAsia="新宋体" w:cs="新宋体"/>
          <w:color w:val="auto"/>
          <w:sz w:val="24"/>
          <w:highlight w:val="none"/>
          <w:u w:val="single"/>
        </w:rPr>
        <w:t xml:space="preserve">                      </w:t>
      </w:r>
    </w:p>
    <w:p>
      <w:pPr>
        <w:spacing w:line="360" w:lineRule="exact"/>
        <w:rPr>
          <w:rFonts w:ascii="新宋体" w:hAnsi="新宋体" w:eastAsia="新宋体" w:cs="新宋体"/>
          <w:color w:val="auto"/>
          <w:sz w:val="32"/>
          <w:highlight w:val="none"/>
        </w:rPr>
      </w:pPr>
    </w:p>
    <w:p>
      <w:pPr>
        <w:spacing w:line="360" w:lineRule="exact"/>
        <w:rPr>
          <w:rFonts w:ascii="新宋体" w:hAnsi="新宋体" w:eastAsia="新宋体" w:cs="新宋体"/>
          <w:color w:val="auto"/>
          <w:sz w:val="32"/>
          <w:highlight w:val="none"/>
        </w:rPr>
      </w:pPr>
    </w:p>
    <w:p>
      <w:pPr>
        <w:spacing w:line="440" w:lineRule="exact"/>
        <w:jc w:val="center"/>
        <w:rPr>
          <w:rFonts w:ascii="新宋体" w:hAnsi="新宋体" w:eastAsia="新宋体" w:cs="新宋体"/>
          <w:b/>
          <w:color w:val="auto"/>
          <w:sz w:val="32"/>
          <w:highlight w:val="none"/>
        </w:rPr>
      </w:pPr>
      <w:r>
        <w:rPr>
          <w:rFonts w:hint="eastAsia" w:ascii="新宋体" w:hAnsi="新宋体" w:eastAsia="新宋体" w:cs="新宋体"/>
          <w:color w:val="auto"/>
          <w:sz w:val="32"/>
          <w:highlight w:val="none"/>
        </w:rPr>
        <w:br w:type="page"/>
      </w:r>
      <w:r>
        <w:rPr>
          <w:rFonts w:hint="eastAsia" w:ascii="新宋体" w:hAnsi="新宋体" w:eastAsia="新宋体" w:cs="新宋体"/>
          <w:b/>
          <w:color w:val="auto"/>
          <w:sz w:val="32"/>
          <w:highlight w:val="none"/>
          <w:lang w:eastAsia="zh-CN"/>
        </w:rPr>
        <w:t>鹿城区安置服务项目（三期）</w:t>
      </w:r>
      <w:r>
        <w:rPr>
          <w:rFonts w:hint="eastAsia" w:ascii="新宋体" w:hAnsi="新宋体" w:eastAsia="新宋体" w:cs="新宋体"/>
          <w:b/>
          <w:color w:val="auto"/>
          <w:sz w:val="32"/>
          <w:highlight w:val="none"/>
        </w:rPr>
        <w:t>政府采购合同</w:t>
      </w:r>
    </w:p>
    <w:p>
      <w:pPr>
        <w:spacing w:line="440" w:lineRule="exact"/>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甲方：</w:t>
      </w:r>
      <w:r>
        <w:rPr>
          <w:rFonts w:ascii="新宋体" w:hAnsi="新宋体" w:eastAsia="新宋体"/>
          <w:color w:val="auto"/>
          <w:sz w:val="22"/>
          <w:szCs w:val="22"/>
          <w:highlight w:val="none"/>
        </w:rPr>
        <w:t xml:space="preserve">                       </w:t>
      </w:r>
    </w:p>
    <w:p>
      <w:pPr>
        <w:spacing w:line="440" w:lineRule="exact"/>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住所： </w:t>
      </w:r>
    </w:p>
    <w:p>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法定代表人： </w:t>
      </w:r>
    </w:p>
    <w:p>
      <w:pPr>
        <w:spacing w:line="440" w:lineRule="exact"/>
        <w:rPr>
          <w:rFonts w:ascii="新宋体" w:hAnsi="新宋体" w:eastAsia="新宋体"/>
          <w:color w:val="auto"/>
          <w:sz w:val="22"/>
          <w:szCs w:val="22"/>
          <w:highlight w:val="none"/>
        </w:rPr>
      </w:pPr>
    </w:p>
    <w:p>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乙方</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中标单位、安置服务主体</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 xml:space="preserve">： </w:t>
      </w:r>
      <w:r>
        <w:rPr>
          <w:rFonts w:ascii="新宋体" w:hAnsi="新宋体" w:eastAsia="新宋体"/>
          <w:color w:val="auto"/>
          <w:sz w:val="22"/>
          <w:szCs w:val="22"/>
          <w:highlight w:val="none"/>
        </w:rPr>
        <w:t xml:space="preserve">                           </w:t>
      </w:r>
    </w:p>
    <w:p>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住所： </w:t>
      </w:r>
    </w:p>
    <w:p>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法定代表人： </w:t>
      </w:r>
    </w:p>
    <w:p>
      <w:pPr>
        <w:spacing w:line="440" w:lineRule="exact"/>
        <w:rPr>
          <w:rFonts w:ascii="新宋体" w:hAnsi="新宋体" w:eastAsia="新宋体"/>
          <w:color w:val="auto"/>
          <w:sz w:val="22"/>
          <w:szCs w:val="22"/>
          <w:highlight w:val="none"/>
        </w:rPr>
      </w:pP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经公开招标，乙方成为</w:t>
      </w:r>
      <w:r>
        <w:rPr>
          <w:rFonts w:hint="eastAsia" w:ascii="新宋体" w:hAnsi="新宋体" w:eastAsia="新宋体"/>
          <w:color w:val="auto"/>
          <w:sz w:val="22"/>
          <w:szCs w:val="22"/>
          <w:highlight w:val="none"/>
          <w:lang w:eastAsia="zh-CN"/>
        </w:rPr>
        <w:t>鹿城区安置服务项目（三期）</w:t>
      </w:r>
      <w:r>
        <w:rPr>
          <w:rFonts w:hint="eastAsia" w:ascii="新宋体" w:hAnsi="新宋体" w:eastAsia="新宋体"/>
          <w:color w:val="auto"/>
          <w:sz w:val="22"/>
          <w:szCs w:val="22"/>
          <w:highlight w:val="none"/>
        </w:rPr>
        <w:t>安置服务主体。根据《中华人民共和国民法典》及相关法律、法规和招标文件的有关规定，为明确协议各方的权利义务，保护协议各方的合法权益，现甲、乙双方就有关事宜达成一致，特订立本协议，共同遵守执行。</w:t>
      </w:r>
    </w:p>
    <w:p>
      <w:pPr>
        <w:spacing w:line="440" w:lineRule="exact"/>
        <w:rPr>
          <w:rFonts w:ascii="新宋体" w:hAnsi="新宋体" w:eastAsia="新宋体"/>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第一条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乙方需要完成的安置规模及服务内容</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eastAsia="zh-CN"/>
        </w:rPr>
        <w:t>鹿城区安置服务项目（三期）</w:t>
      </w:r>
      <w:r>
        <w:rPr>
          <w:rFonts w:hint="eastAsia" w:ascii="新宋体" w:hAnsi="新宋体" w:eastAsia="新宋体"/>
          <w:color w:val="auto"/>
          <w:sz w:val="22"/>
          <w:szCs w:val="22"/>
          <w:highlight w:val="none"/>
        </w:rPr>
        <w:t>主要涉及</w:t>
      </w:r>
      <w:r>
        <w:rPr>
          <w:rFonts w:hint="eastAsia" w:ascii="仿宋_GB2312" w:hAnsi="仿宋_GB2312" w:eastAsia="新宋体" w:cs="仿宋_GB2312"/>
          <w:color w:val="auto"/>
          <w:sz w:val="22"/>
          <w:szCs w:val="22"/>
          <w:highlight w:val="none"/>
          <w:lang w:eastAsia="zh-CN"/>
        </w:rPr>
        <w:t>双屿街道、滨江街道、南汇街道等3个街道</w:t>
      </w:r>
      <w:r>
        <w:rPr>
          <w:rFonts w:hint="eastAsia" w:ascii="新宋体" w:hAnsi="新宋体" w:eastAsia="新宋体"/>
          <w:color w:val="auto"/>
          <w:sz w:val="22"/>
          <w:szCs w:val="22"/>
          <w:highlight w:val="none"/>
        </w:rPr>
        <w:t>，</w:t>
      </w:r>
      <w:r>
        <w:rPr>
          <w:rFonts w:hint="eastAsia" w:ascii="新宋体" w:hAnsi="新宋体" w:eastAsia="新宋体"/>
          <w:color w:val="auto"/>
          <w:sz w:val="22"/>
          <w:szCs w:val="22"/>
          <w:highlight w:val="none"/>
          <w:lang w:eastAsia="zh-CN"/>
        </w:rPr>
        <w:t>涉及未安置户数总计1850户</w:t>
      </w:r>
      <w:r>
        <w:rPr>
          <w:rFonts w:hint="eastAsia" w:ascii="新宋体" w:hAnsi="新宋体" w:eastAsia="新宋体"/>
          <w:color w:val="auto"/>
          <w:sz w:val="22"/>
          <w:szCs w:val="22"/>
          <w:highlight w:val="none"/>
        </w:rPr>
        <w:t>，</w:t>
      </w:r>
      <w:r>
        <w:rPr>
          <w:rFonts w:hint="eastAsia" w:ascii="新宋体" w:hAnsi="新宋体" w:eastAsia="新宋体"/>
          <w:color w:val="auto"/>
          <w:sz w:val="22"/>
          <w:szCs w:val="22"/>
          <w:highlight w:val="none"/>
          <w:lang w:eastAsia="zh-CN"/>
        </w:rPr>
        <w:t>旧房拆迁面积203547平方米</w:t>
      </w:r>
      <w:r>
        <w:rPr>
          <w:rFonts w:hint="eastAsia" w:ascii="新宋体" w:hAnsi="新宋体" w:eastAsia="新宋体"/>
          <w:color w:val="auto"/>
          <w:sz w:val="22"/>
          <w:szCs w:val="22"/>
          <w:highlight w:val="none"/>
        </w:rPr>
        <w:t>。</w:t>
      </w:r>
      <w:r>
        <w:rPr>
          <w:rFonts w:hint="eastAsia" w:ascii="新宋体" w:hAnsi="新宋体" w:eastAsia="新宋体"/>
          <w:color w:val="auto"/>
          <w:sz w:val="22"/>
          <w:szCs w:val="22"/>
          <w:highlight w:val="none"/>
          <w:lang w:eastAsia="zh-CN"/>
        </w:rPr>
        <w:t>鹿城区安置服务项目（三期）</w:t>
      </w:r>
      <w:r>
        <w:rPr>
          <w:rFonts w:hint="eastAsia" w:ascii="新宋体" w:hAnsi="新宋体" w:eastAsia="新宋体"/>
          <w:color w:val="auto"/>
          <w:sz w:val="22"/>
          <w:szCs w:val="22"/>
          <w:highlight w:val="none"/>
        </w:rPr>
        <w:t>总体安置需求为</w:t>
      </w:r>
      <w:r>
        <w:rPr>
          <w:rFonts w:hint="eastAsia" w:ascii="新宋体" w:hAnsi="新宋体" w:eastAsia="新宋体"/>
          <w:color w:val="auto"/>
          <w:sz w:val="22"/>
          <w:szCs w:val="22"/>
          <w:highlight w:val="none"/>
          <w:lang w:eastAsia="zh-CN"/>
        </w:rPr>
        <w:t>447802</w:t>
      </w:r>
      <w:r>
        <w:rPr>
          <w:rFonts w:hint="eastAsia" w:ascii="新宋体" w:hAnsi="新宋体" w:eastAsia="新宋体"/>
          <w:color w:val="auto"/>
          <w:sz w:val="22"/>
          <w:szCs w:val="22"/>
          <w:highlight w:val="none"/>
        </w:rPr>
        <w:t>平方米。甲方通过政府购买服务的方式公开选取社会方作为</w:t>
      </w:r>
      <w:r>
        <w:rPr>
          <w:rFonts w:hint="eastAsia" w:ascii="新宋体" w:hAnsi="新宋体" w:eastAsia="新宋体"/>
          <w:color w:val="auto"/>
          <w:sz w:val="22"/>
          <w:szCs w:val="22"/>
          <w:highlight w:val="none"/>
          <w:lang w:eastAsia="zh-CN"/>
        </w:rPr>
        <w:t>鹿城区安置服务项目（三期）</w:t>
      </w:r>
      <w:r>
        <w:rPr>
          <w:rFonts w:hint="eastAsia" w:ascii="新宋体" w:hAnsi="新宋体" w:eastAsia="新宋体"/>
          <w:color w:val="auto"/>
          <w:sz w:val="22"/>
          <w:szCs w:val="22"/>
          <w:highlight w:val="none"/>
        </w:rPr>
        <w:t>的服务主体。</w:t>
      </w:r>
      <w:r>
        <w:rPr>
          <w:rFonts w:hint="eastAsia" w:ascii="新宋体" w:hAnsi="新宋体" w:eastAsia="新宋体" w:cs="新宋体"/>
          <w:bCs/>
          <w:color w:val="auto"/>
          <w:kern w:val="0"/>
          <w:sz w:val="22"/>
          <w:szCs w:val="22"/>
          <w:highlight w:val="none"/>
        </w:rPr>
        <w:t>服务主体通过采购安置性商品房、市场化采购房源用</w:t>
      </w:r>
      <w:r>
        <w:rPr>
          <w:rFonts w:hint="eastAsia" w:ascii="新宋体" w:hAnsi="新宋体" w:eastAsia="新宋体"/>
          <w:color w:val="auto"/>
          <w:sz w:val="22"/>
          <w:szCs w:val="22"/>
          <w:highlight w:val="none"/>
        </w:rPr>
        <w:t>于本项目安置户的安置</w:t>
      </w:r>
      <w:r>
        <w:rPr>
          <w:rFonts w:hint="eastAsia" w:ascii="新宋体" w:hAnsi="新宋体" w:eastAsia="新宋体" w:cs="Calibri"/>
          <w:color w:val="auto"/>
          <w:sz w:val="22"/>
          <w:szCs w:val="22"/>
          <w:highlight w:val="none"/>
        </w:rPr>
        <w:t>，</w:t>
      </w:r>
      <w:r>
        <w:rPr>
          <w:rFonts w:hint="eastAsia" w:ascii="新宋体" w:hAnsi="新宋体" w:eastAsia="新宋体"/>
          <w:color w:val="auto"/>
          <w:sz w:val="22"/>
          <w:szCs w:val="22"/>
          <w:highlight w:val="none"/>
        </w:rPr>
        <w:t>并且提供完成本项目安置所需的安置服务工作。</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2.安置房源包括</w:t>
      </w:r>
      <w:r>
        <w:rPr>
          <w:rFonts w:hint="eastAsia" w:ascii="新宋体" w:hAnsi="新宋体" w:eastAsia="新宋体"/>
          <w:color w:val="auto"/>
          <w:sz w:val="22"/>
          <w:szCs w:val="22"/>
          <w:highlight w:val="none"/>
        </w:rPr>
        <w:t>安置性商品房以及市场化商品房</w:t>
      </w:r>
      <w:r>
        <w:rPr>
          <w:rFonts w:hint="eastAsia" w:ascii="新宋体" w:hAnsi="新宋体" w:eastAsia="新宋体"/>
          <w:color w:val="auto"/>
          <w:sz w:val="22"/>
          <w:szCs w:val="22"/>
          <w:highlight w:val="none"/>
        </w:rPr>
        <w:t>，具体房源以乙方的投标安置方案为依据，提交甲方许可后实施安置。</w:t>
      </w:r>
    </w:p>
    <w:p>
      <w:pPr>
        <w:spacing w:line="440" w:lineRule="exact"/>
        <w:ind w:firstLine="442" w:firstLineChars="20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3.安置服务内容：</w:t>
      </w:r>
    </w:p>
    <w:p>
      <w:pPr>
        <w:snapToGrid w:val="0"/>
        <w:spacing w:line="440" w:lineRule="exact"/>
        <w:ind w:firstLine="440" w:firstLineChars="200"/>
        <w:rPr>
          <w:rFonts w:ascii="新宋体" w:hAnsi="新宋体" w:eastAsia="新宋体" w:cs="宋体"/>
          <w:b/>
          <w:bCs/>
          <w:color w:val="auto"/>
          <w:sz w:val="22"/>
          <w:szCs w:val="22"/>
          <w:highlight w:val="none"/>
        </w:rPr>
      </w:pPr>
      <w:r>
        <w:rPr>
          <w:rFonts w:hint="eastAsia" w:ascii="新宋体" w:hAnsi="新宋体" w:eastAsia="新宋体" w:cs="Calibri"/>
          <w:color w:val="auto"/>
          <w:sz w:val="22"/>
          <w:szCs w:val="22"/>
          <w:highlight w:val="none"/>
        </w:rPr>
        <w:t>3.1</w:t>
      </w:r>
      <w:r>
        <w:rPr>
          <w:rFonts w:hint="eastAsia" w:ascii="新宋体" w:hAnsi="新宋体" w:eastAsia="新宋体" w:cs="宋体"/>
          <w:b/>
          <w:bCs/>
          <w:color w:val="auto"/>
          <w:sz w:val="22"/>
          <w:szCs w:val="22"/>
          <w:highlight w:val="none"/>
        </w:rPr>
        <w:t>安置事务性工作</w:t>
      </w:r>
    </w:p>
    <w:p>
      <w:pPr>
        <w:snapToGrid w:val="0"/>
        <w:spacing w:line="440" w:lineRule="exact"/>
        <w:ind w:firstLine="440" w:firstLineChars="200"/>
        <w:rPr>
          <w:rFonts w:hint="eastAsia"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1）为确保安置房分配工作顺利进行，保证分配公开公平公正，需合理制定安置户摸文计划，提前梳理每日的安置户人员清单，选定摸文时间、摸文地点，有序的组织安置户摸文分栋号，维持好摸文现场的秩序，并根据每日实际进度情况为摸文的安置户准备好需要的食物和饮用水。</w:t>
      </w:r>
    </w:p>
    <w:p>
      <w:pPr>
        <w:snapToGrid w:val="0"/>
        <w:spacing w:line="440" w:lineRule="exact"/>
        <w:ind w:firstLine="440" w:firstLineChars="200"/>
        <w:rPr>
          <w:rFonts w:hint="eastAsia"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（2）在完成所有安置户的安置后，逐户进行安置户安置情况的材料收集、汇总、整理。</w:t>
      </w:r>
    </w:p>
    <w:p>
      <w:pPr>
        <w:snapToGrid w:val="0"/>
        <w:spacing w:line="440" w:lineRule="exact"/>
        <w:ind w:firstLine="440" w:firstLineChars="200"/>
        <w:rPr>
          <w:rFonts w:hint="eastAsia"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（3）参与安置房验收，对安置房质量提出意见。</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（4）面向拆迁户，对地下车位进行处置，并收齐拆迁户需要上缴的安置补差款。</w:t>
      </w:r>
    </w:p>
    <w:p>
      <w:pPr>
        <w:snapToGrid w:val="0"/>
        <w:spacing w:line="440" w:lineRule="exact"/>
        <w:ind w:firstLine="442" w:firstLineChars="200"/>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3.2安置统筹性工作</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（1）建立咨询组，为安置户提供咨询服务，为他们解疑答惑，讲解政府的安置补偿政策和流程，使群众理解和支持安置工作，协助政府更好地推进一系列工作事宜。</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（2）合理统筹安排鹿城区各街道的安置房，提前沟通协调拆迁安置户安置意向，制定好安置方案计划，尤其要做好部分因原拆街道安置房紧张而无法安置在原街道安置户的统筹安置工作。</w:t>
      </w:r>
    </w:p>
    <w:p>
      <w:pPr>
        <w:spacing w:line="440" w:lineRule="exact"/>
        <w:ind w:firstLine="442" w:firstLineChars="200"/>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3.3市场化房源购置</w:t>
      </w:r>
    </w:p>
    <w:p>
      <w:pPr>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若房源不够满足安置需求，需做好市场房源的评估和调查，综合考虑安置户的安置意向（如套型、区位等）和市场房源实际情况，另行向市场采购房源用于安置，保证所有安置户顺利完成安置。</w:t>
      </w:r>
    </w:p>
    <w:p>
      <w:pPr>
        <w:snapToGrid w:val="0"/>
        <w:spacing w:line="440" w:lineRule="exact"/>
        <w:ind w:firstLine="442" w:firstLineChars="200"/>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3.4完成本项目安置所需的其他服务。</w:t>
      </w:r>
    </w:p>
    <w:p>
      <w:pPr>
        <w:spacing w:line="440" w:lineRule="exact"/>
        <w:ind w:firstLine="442" w:firstLineChars="200"/>
        <w:rPr>
          <w:rFonts w:ascii="新宋体" w:hAnsi="新宋体" w:eastAsia="新宋体"/>
          <w:b/>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第二条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安置服务期</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1.本期安置服务期为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年；即从</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年</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月</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日起至</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年</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月</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日止，完成所有安置任务。</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2.乙方</w:t>
      </w:r>
      <w:r>
        <w:rPr>
          <w:rFonts w:hint="eastAsia"/>
          <w:color w:val="auto"/>
          <w:sz w:val="22"/>
          <w:szCs w:val="22"/>
          <w:highlight w:val="none"/>
        </w:rPr>
        <w:t>在项目执行过程中有权根据项目实际情况（社会化购置安置房资源建设进度等客观因素）对安置服务进度进行调整，调整后的服务进度需提交甲方审核通过后以补充协议方式进行约定。</w:t>
      </w:r>
    </w:p>
    <w:p>
      <w:pPr>
        <w:pStyle w:val="22"/>
        <w:spacing w:after="0" w:line="440" w:lineRule="exact"/>
        <w:rPr>
          <w:rFonts w:ascii="新宋体" w:hAnsi="新宋体" w:eastAsia="新宋体"/>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第三条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安置服务质量要求：</w:t>
      </w:r>
    </w:p>
    <w:p>
      <w:pPr>
        <w:spacing w:line="440" w:lineRule="exact"/>
        <w:ind w:firstLine="440" w:firstLineChars="200"/>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1.安置服务质量：</w:t>
      </w:r>
      <w:r>
        <w:rPr>
          <w:rFonts w:hint="eastAsia" w:ascii="新宋体" w:hAnsi="新宋体" w:eastAsia="新宋体"/>
          <w:color w:val="auto"/>
          <w:sz w:val="22"/>
          <w:szCs w:val="22"/>
          <w:highlight w:val="none"/>
          <w:u w:val="single"/>
        </w:rPr>
        <w:t>符合国家有关规范、标准。满足国家、温州市现行的安置服务规定。</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2.用于安置的安置房质量要求：</w:t>
      </w:r>
      <w:r>
        <w:rPr>
          <w:rFonts w:hint="eastAsia" w:ascii="新宋体" w:hAnsi="新宋体" w:eastAsia="新宋体"/>
          <w:color w:val="auto"/>
          <w:sz w:val="22"/>
          <w:szCs w:val="22"/>
          <w:highlight w:val="none"/>
          <w:u w:val="single"/>
        </w:rPr>
        <w:t>1竣工验收合格；2.取得当地规划、消防、人防等有关部门的认可文件或准许使用文件；3.在当地建设行政主管部门进行备案；4.小区道路畅通,已具备接通水、电、燃气、空调的条件。</w:t>
      </w:r>
    </w:p>
    <w:p>
      <w:pPr>
        <w:pStyle w:val="22"/>
        <w:spacing w:after="0" w:line="440" w:lineRule="exact"/>
        <w:rPr>
          <w:rFonts w:ascii="新宋体" w:hAnsi="新宋体" w:eastAsia="新宋体"/>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第四条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安置房购置所需费用及安置服务费用支付方式</w:t>
      </w:r>
    </w:p>
    <w:p>
      <w:pPr>
        <w:spacing w:line="440" w:lineRule="exact"/>
        <w:ind w:firstLine="442" w:firstLineChars="200"/>
        <w:rPr>
          <w:rFonts w:ascii="新宋体" w:hAnsi="新宋体" w:eastAsia="新宋体" w:cs="Calibri"/>
          <w:b/>
          <w:bCs/>
          <w:color w:val="auto"/>
          <w:sz w:val="22"/>
          <w:szCs w:val="22"/>
          <w:highlight w:val="none"/>
        </w:rPr>
      </w:pPr>
      <w:r>
        <w:rPr>
          <w:rFonts w:hint="eastAsia" w:ascii="新宋体" w:hAnsi="新宋体" w:eastAsia="新宋体" w:cs="Calibri"/>
          <w:b/>
          <w:bCs/>
          <w:color w:val="auto"/>
          <w:sz w:val="22"/>
          <w:szCs w:val="22"/>
          <w:highlight w:val="none"/>
        </w:rPr>
        <w:t>1.甲方让渡给乙方</w:t>
      </w:r>
      <w:r>
        <w:rPr>
          <w:rFonts w:hint="eastAsia" w:ascii="新宋体" w:hAnsi="新宋体" w:eastAsia="新宋体" w:cs="Calibri"/>
          <w:b/>
          <w:bCs/>
          <w:color w:val="auto"/>
          <w:sz w:val="22"/>
          <w:szCs w:val="22"/>
          <w:highlight w:val="none"/>
          <w:lang w:eastAsia="zh-CN"/>
        </w:rPr>
        <w:t>权益</w:t>
      </w:r>
      <w:r>
        <w:rPr>
          <w:rFonts w:hint="eastAsia" w:ascii="新宋体" w:hAnsi="新宋体" w:eastAsia="新宋体" w:cs="Calibri"/>
          <w:b/>
          <w:bCs/>
          <w:color w:val="auto"/>
          <w:sz w:val="22"/>
          <w:szCs w:val="22"/>
          <w:highlight w:val="none"/>
        </w:rPr>
        <w:t>包括安置房补差收入及停车位收入权益；具体如下：</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1.1安置房补差收入为（大写）</w:t>
      </w:r>
      <w:r>
        <w:rPr>
          <w:rFonts w:hint="eastAsia" w:ascii="新宋体" w:hAnsi="新宋体" w:eastAsia="新宋体" w:cs="Calibri"/>
          <w:color w:val="auto"/>
          <w:sz w:val="22"/>
          <w:szCs w:val="22"/>
          <w:highlight w:val="none"/>
          <w:u w:val="single"/>
        </w:rPr>
        <w:t xml:space="preserve">              </w:t>
      </w:r>
      <w:r>
        <w:rPr>
          <w:rFonts w:hint="eastAsia" w:ascii="新宋体" w:hAnsi="新宋体" w:eastAsia="新宋体" w:cs="Calibri"/>
          <w:color w:val="auto"/>
          <w:sz w:val="22"/>
          <w:szCs w:val="22"/>
          <w:highlight w:val="none"/>
        </w:rPr>
        <w:t>元（小写）</w:t>
      </w:r>
      <w:r>
        <w:rPr>
          <w:rFonts w:hint="eastAsia" w:ascii="新宋体" w:hAnsi="新宋体" w:eastAsia="新宋体" w:cs="Calibri"/>
          <w:color w:val="auto"/>
          <w:sz w:val="22"/>
          <w:szCs w:val="22"/>
          <w:highlight w:val="none"/>
          <w:u w:val="single"/>
        </w:rPr>
        <w:t xml:space="preserve">           元</w:t>
      </w:r>
      <w:r>
        <w:rPr>
          <w:rFonts w:hint="eastAsia" w:ascii="新宋体" w:hAnsi="新宋体" w:eastAsia="新宋体" w:cs="Calibri"/>
          <w:color w:val="auto"/>
          <w:sz w:val="22"/>
          <w:szCs w:val="22"/>
          <w:highlight w:val="none"/>
        </w:rPr>
        <w:t>，具体如下:</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①安置房补差收入：按照《温州市鹿城区征收集体土地涉及房屋补偿实施细则（温鹿政办【2018】53号）》的有关规定，本项目的住宅原产权面积征收安置部分及其众用分摊面积的差价，未经登记部分但符合补偿规定的安置部分及其众用分摊面积差价；</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②一翻三空翻面积补差收入；</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③人均增购补偿费用收入：户籍在征收范围内农户选择人均50㎡的，由于基本上原拆的建筑面积大于人均30平方米，则考虑原拆面积至人均50平方米部分及其对应的众用分摊面积增购补偿费用；</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④套型差增购费用收入；</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⑤奖励增购费用收入；</w:t>
      </w:r>
    </w:p>
    <w:p>
      <w:pPr>
        <w:snapToGrid w:val="0"/>
        <w:spacing w:line="440" w:lineRule="exact"/>
        <w:ind w:firstLine="440" w:firstLineChars="200"/>
        <w:rPr>
          <w:rFonts w:ascii="新宋体" w:hAnsi="新宋体" w:eastAsia="新宋体" w:cs="Calibri"/>
          <w:color w:val="auto"/>
          <w:sz w:val="22"/>
          <w:szCs w:val="22"/>
          <w:highlight w:val="none"/>
          <w:u w:val="single"/>
        </w:rPr>
      </w:pPr>
      <w:r>
        <w:rPr>
          <w:rFonts w:hint="eastAsia" w:ascii="新宋体" w:hAnsi="新宋体" w:eastAsia="新宋体" w:cs="Calibri"/>
          <w:color w:val="auto"/>
          <w:sz w:val="22"/>
          <w:szCs w:val="22"/>
          <w:highlight w:val="none"/>
          <w:u w:val="single"/>
        </w:rPr>
        <w:t>1.1.1安置补差涉及的相关面积指标数据以甲方提供的最终数据为准。</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u w:val="single"/>
        </w:rPr>
        <w:t>1.1.2安置房补差收入计算应按以下规定计算</w:t>
      </w:r>
      <w:r>
        <w:rPr>
          <w:rFonts w:hint="eastAsia" w:ascii="新宋体" w:hAnsi="新宋体" w:eastAsia="新宋体" w:cs="Calibri"/>
          <w:b/>
          <w:bCs/>
          <w:color w:val="auto"/>
          <w:sz w:val="22"/>
          <w:szCs w:val="22"/>
          <w:highlight w:val="none"/>
        </w:rPr>
        <w:t>：</w:t>
      </w:r>
      <w:r>
        <w:rPr>
          <w:rFonts w:hint="eastAsia" w:ascii="新宋体" w:hAnsi="新宋体" w:eastAsia="新宋体" w:cs="Calibri"/>
          <w:color w:val="auto"/>
          <w:sz w:val="22"/>
          <w:szCs w:val="22"/>
          <w:highlight w:val="none"/>
        </w:rPr>
        <w:t>不高于《温州市鹿城区征收集体土地涉及房屋补偿实施细则》(温鹿政办〔2019〕24号)以及《温州市鹿城区人民政府办公室关于修改《温州市鹿城区国有土地上房屋征收补偿实施细则》等2件规范性文件的通知》（温鹿政办[2020]11号）标准。</w:t>
      </w:r>
    </w:p>
    <w:p>
      <w:pPr>
        <w:snapToGrid w:val="0"/>
        <w:spacing w:line="440" w:lineRule="exact"/>
        <w:ind w:firstLine="442" w:firstLineChars="200"/>
        <w:rPr>
          <w:rFonts w:ascii="新宋体" w:hAnsi="新宋体" w:eastAsia="新宋体" w:cs="Calibri"/>
          <w:color w:val="auto"/>
          <w:sz w:val="22"/>
          <w:szCs w:val="22"/>
          <w:highlight w:val="none"/>
          <w:u w:val="single"/>
        </w:rPr>
      </w:pPr>
      <w:r>
        <w:rPr>
          <w:rFonts w:hint="eastAsia" w:ascii="新宋体" w:hAnsi="新宋体" w:eastAsia="新宋体" w:cs="Calibri"/>
          <w:b/>
          <w:bCs/>
          <w:color w:val="auto"/>
          <w:sz w:val="22"/>
          <w:szCs w:val="22"/>
          <w:highlight w:val="none"/>
        </w:rPr>
        <w:t>1.2停车位出让收入：</w:t>
      </w:r>
      <w:r>
        <w:rPr>
          <w:rFonts w:hint="eastAsia" w:ascii="新宋体" w:hAnsi="新宋体" w:eastAsia="新宋体" w:cs="Calibri"/>
          <w:color w:val="auto"/>
          <w:sz w:val="22"/>
          <w:szCs w:val="22"/>
          <w:highlight w:val="none"/>
          <w:u w:val="single"/>
        </w:rPr>
        <w:t>预计用于安置的停车位</w:t>
      </w:r>
      <w:r>
        <w:rPr>
          <w:rFonts w:hint="eastAsia" w:ascii="新宋体" w:hAnsi="新宋体" w:eastAsia="新宋体" w:cs="Calibri"/>
          <w:color w:val="auto"/>
          <w:sz w:val="22"/>
          <w:szCs w:val="22"/>
          <w:highlight w:val="none"/>
          <w:u w:val="single"/>
          <w:lang w:val="en-US" w:eastAsia="zh-CN"/>
        </w:rPr>
        <w:t>5095</w:t>
      </w:r>
      <w:r>
        <w:rPr>
          <w:rFonts w:hint="eastAsia" w:ascii="新宋体" w:hAnsi="新宋体" w:eastAsia="新宋体" w:cs="Calibri"/>
          <w:color w:val="auto"/>
          <w:sz w:val="22"/>
          <w:szCs w:val="22"/>
          <w:highlight w:val="none"/>
          <w:u w:val="single"/>
        </w:rPr>
        <w:t>个。</w:t>
      </w:r>
    </w:p>
    <w:p>
      <w:pPr>
        <w:snapToGrid w:val="0"/>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1.3让渡时间要求：</w:t>
      </w:r>
    </w:p>
    <w:p>
      <w:pPr>
        <w:snapToGrid w:val="0"/>
        <w:spacing w:line="440" w:lineRule="exact"/>
        <w:ind w:firstLine="440" w:firstLineChars="200"/>
        <w:rPr>
          <w:rFonts w:ascii="新宋体" w:hAnsi="新宋体" w:eastAsia="新宋体" w:cs="Calibri"/>
          <w:color w:val="auto"/>
          <w:sz w:val="22"/>
          <w:szCs w:val="22"/>
          <w:highlight w:val="none"/>
          <w:u w:val="single"/>
        </w:rPr>
      </w:pPr>
      <w:r>
        <w:rPr>
          <w:rFonts w:hint="eastAsia" w:ascii="新宋体" w:hAnsi="新宋体" w:eastAsia="新宋体" w:cs="Calibri"/>
          <w:color w:val="auto"/>
          <w:sz w:val="22"/>
          <w:szCs w:val="22"/>
          <w:highlight w:val="none"/>
          <w:u w:val="single"/>
        </w:rPr>
        <w:t>1.4让渡具体条款以双方签订的让渡协议为准。最终签订的让渡协议作为本项目合同附件。</w:t>
      </w:r>
    </w:p>
    <w:p>
      <w:pPr>
        <w:spacing w:line="440" w:lineRule="exact"/>
        <w:ind w:left="442"/>
        <w:rPr>
          <w:rFonts w:ascii="新宋体" w:hAnsi="新宋体" w:eastAsia="新宋体" w:cs="Calibri"/>
          <w:b/>
          <w:bCs/>
          <w:color w:val="auto"/>
          <w:sz w:val="22"/>
          <w:szCs w:val="22"/>
          <w:highlight w:val="none"/>
        </w:rPr>
      </w:pPr>
      <w:r>
        <w:rPr>
          <w:rFonts w:hint="eastAsia" w:ascii="新宋体" w:hAnsi="新宋体" w:eastAsia="新宋体" w:cs="Calibri"/>
          <w:b/>
          <w:bCs/>
          <w:color w:val="auto"/>
          <w:sz w:val="22"/>
          <w:szCs w:val="22"/>
          <w:highlight w:val="none"/>
        </w:rPr>
        <w:t>2.提供安置服务费用支付：</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甲方向乙方支付安置服务费用</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安置服务费共</w:t>
      </w:r>
      <w:r>
        <w:rPr>
          <w:rFonts w:hint="eastAsia" w:ascii="新宋体" w:hAnsi="新宋体" w:eastAsia="新宋体" w:cs="Calibri"/>
          <w:color w:val="auto"/>
          <w:sz w:val="22"/>
          <w:szCs w:val="22"/>
          <w:highlight w:val="none"/>
          <w:u w:val="single"/>
        </w:rPr>
        <w:t xml:space="preserve">      元</w:t>
      </w:r>
      <w:r>
        <w:rPr>
          <w:rFonts w:hint="eastAsia" w:ascii="新宋体" w:hAnsi="新宋体" w:eastAsia="新宋体" w:cs="Calibri"/>
          <w:color w:val="auto"/>
          <w:sz w:val="22"/>
          <w:szCs w:val="22"/>
          <w:highlight w:val="none"/>
        </w:rPr>
        <w:t>，</w:t>
      </w:r>
      <w:r>
        <w:rPr>
          <w:rFonts w:hint="eastAsia" w:ascii="新宋体" w:hAnsi="新宋体" w:eastAsia="新宋体" w:cs="Calibri"/>
          <w:color w:val="auto"/>
          <w:sz w:val="22"/>
          <w:szCs w:val="22"/>
          <w:highlight w:val="none"/>
          <w:u w:val="single"/>
        </w:rPr>
        <w:t xml:space="preserve">      元/m</w:t>
      </w:r>
      <w:r>
        <w:rPr>
          <w:rFonts w:hint="eastAsia" w:ascii="新宋体" w:hAnsi="新宋体" w:eastAsia="新宋体" w:cs="Calibri"/>
          <w:color w:val="auto"/>
          <w:sz w:val="22"/>
          <w:szCs w:val="22"/>
          <w:highlight w:val="none"/>
          <w:u w:val="single"/>
          <w:vertAlign w:val="superscript"/>
        </w:rPr>
        <w:t>2</w:t>
      </w:r>
      <w:r>
        <w:rPr>
          <w:rFonts w:hint="eastAsia" w:ascii="新宋体" w:hAnsi="新宋体" w:eastAsia="新宋体" w:cs="Calibri"/>
          <w:color w:val="auto"/>
          <w:sz w:val="22"/>
          <w:szCs w:val="22"/>
          <w:highlight w:val="none"/>
        </w:rPr>
        <w:t>（以中标报价为准）；</w:t>
      </w:r>
    </w:p>
    <w:p>
      <w:pPr>
        <w:snapToGrid w:val="0"/>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每年年末根据实际已安置户数（以摸文认购为准）的总面积乘以中标单价计算支付。</w:t>
      </w:r>
    </w:p>
    <w:p>
      <w:pPr>
        <w:snapToGrid w:val="0"/>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3.除上述费用外，若乙方在提供安置服务过程中因政策问题出现资金缺口，由鹿城区人民政府相关部门提供货币或实物补助。</w:t>
      </w:r>
    </w:p>
    <w:p>
      <w:pPr>
        <w:snapToGrid w:val="0"/>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4.购买安置房源相关款项由甲方向相关房开企业代为支付。</w:t>
      </w:r>
    </w:p>
    <w:p>
      <w:pPr>
        <w:snapToGrid w:val="0"/>
        <w:spacing w:line="440" w:lineRule="exact"/>
        <w:ind w:firstLine="442" w:firstLineChars="200"/>
        <w:rPr>
          <w:rFonts w:ascii="新宋体" w:hAnsi="新宋体" w:eastAsia="新宋体"/>
          <w:b/>
          <w:color w:val="auto"/>
          <w:sz w:val="22"/>
          <w:szCs w:val="22"/>
          <w:highlight w:val="none"/>
        </w:rPr>
      </w:pPr>
    </w:p>
    <w:p>
      <w:pPr>
        <w:snapToGrid w:val="0"/>
        <w:spacing w:line="440" w:lineRule="exact"/>
        <w:ind w:firstLine="442" w:firstLineChars="200"/>
        <w:rPr>
          <w:rFonts w:ascii="仿宋" w:hAnsi="仿宋" w:eastAsia="仿宋" w:cs="仿宋"/>
          <w:color w:val="auto"/>
          <w:kern w:val="0"/>
          <w:sz w:val="28"/>
          <w:szCs w:val="28"/>
          <w:highlight w:val="none"/>
        </w:rPr>
      </w:pPr>
      <w:r>
        <w:rPr>
          <w:rFonts w:hint="eastAsia" w:ascii="新宋体" w:hAnsi="新宋体" w:eastAsia="新宋体"/>
          <w:b/>
          <w:color w:val="auto"/>
          <w:sz w:val="22"/>
          <w:szCs w:val="22"/>
          <w:highlight w:val="none"/>
        </w:rPr>
        <w:t>第五条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让渡权益的监管</w:t>
      </w:r>
    </w:p>
    <w:p>
      <w:pPr>
        <w:snapToGrid w:val="0"/>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乙方对甲方让渡权益应当专款专用，用于安置服务或偿还购买安置房源的相关贷款、融资费用等。</w:t>
      </w:r>
    </w:p>
    <w:p>
      <w:pPr>
        <w:snapToGrid w:val="0"/>
        <w:spacing w:line="440" w:lineRule="exact"/>
        <w:ind w:firstLine="440" w:firstLineChars="200"/>
        <w:rPr>
          <w:rFonts w:ascii="新宋体" w:hAnsi="新宋体" w:eastAsia="新宋体"/>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第六条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投资要求</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1.乙方承担筹集（购买）安置性商品房以及购买市场化房源费用以及房产产权转让给安置户所需的相关费用；</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2.乙方承担完成本合同第一条第三项约定的服务内容以及所承诺服务事项所需的所有费用。</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3.乙方应根据安置进度筹措资金用于购买安置房，提供安置房采购资金保障</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乙方所购买安置房，若完成本合同所有服务仍有剩余，经甲方确认后由乙方全权处置。</w:t>
      </w:r>
      <w:r>
        <w:rPr>
          <w:rFonts w:hint="eastAsia" w:ascii="新宋体" w:hAnsi="新宋体" w:eastAsia="新宋体"/>
          <w:color w:val="auto"/>
          <w:sz w:val="22"/>
          <w:szCs w:val="22"/>
          <w:highlight w:val="none"/>
        </w:rPr>
        <w:t>乙方在实施项目安置服务过程中，被安置对象若放弃安置资格（放弃安置房产），经甲方确认后乙方具有相应安置房产的全部处置权。</w:t>
      </w:r>
    </w:p>
    <w:p>
      <w:pPr>
        <w:spacing w:line="440" w:lineRule="exact"/>
        <w:ind w:firstLine="442" w:firstLineChars="200"/>
        <w:rPr>
          <w:rFonts w:ascii="新宋体" w:hAnsi="新宋体" w:eastAsia="新宋体"/>
          <w:b/>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第七条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安置服务机构设置及团队要求</w:t>
      </w:r>
    </w:p>
    <w:p>
      <w:pPr>
        <w:pStyle w:val="22"/>
        <w:spacing w:after="0" w:line="440" w:lineRule="exact"/>
        <w:ind w:firstLine="440" w:firstLineChars="200"/>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根据招标要求，合同签订时填写。</w:t>
      </w:r>
    </w:p>
    <w:p>
      <w:pPr>
        <w:spacing w:line="440" w:lineRule="exact"/>
        <w:ind w:firstLine="442" w:firstLineChars="200"/>
        <w:rPr>
          <w:rFonts w:ascii="新宋体" w:hAnsi="新宋体" w:eastAsia="新宋体"/>
          <w:b/>
          <w:color w:val="auto"/>
          <w:sz w:val="22"/>
          <w:szCs w:val="22"/>
          <w:highlight w:val="none"/>
        </w:rPr>
      </w:pPr>
      <w:r>
        <w:rPr>
          <w:rFonts w:ascii="新宋体" w:hAnsi="新宋体" w:eastAsia="新宋体"/>
          <w:b/>
          <w:color w:val="auto"/>
          <w:sz w:val="22"/>
          <w:szCs w:val="22"/>
          <w:highlight w:val="none"/>
        </w:rPr>
        <w:t xml:space="preserve"> </w:t>
      </w: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第八条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财务管理</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本项目的财务管理应严格执行法律、法规及有关会计制度。</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2.</w:t>
      </w:r>
      <w:r>
        <w:rPr>
          <w:rFonts w:hint="eastAsia" w:ascii="新宋体" w:hAnsi="新宋体" w:eastAsia="新宋体"/>
          <w:color w:val="auto"/>
          <w:sz w:val="22"/>
          <w:szCs w:val="22"/>
          <w:highlight w:val="none"/>
        </w:rPr>
        <w:t>本项目独立核算，并实行规范、透明的财务制度。由乙方向甲方每季度提交财务报表，每年提交财务报告；由甲方委托有资质的中介机构进行财务审计，乙方做好配合工作；对于让渡所产生的收入应优先专款专用。甲方有权进行查账、审计与监管。</w:t>
      </w:r>
    </w:p>
    <w:p>
      <w:pPr>
        <w:spacing w:line="440" w:lineRule="exact"/>
        <w:ind w:firstLine="442" w:firstLineChars="200"/>
        <w:rPr>
          <w:rFonts w:ascii="新宋体" w:hAnsi="新宋体" w:eastAsia="新宋体"/>
          <w:b/>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第九条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服务保障</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乙方在提供安置服务期间，认真执行《国有土地地上房屋征收与补偿天理》、《国有土地征收评估办法》、《浙江省国有土地地上房屋征收与补偿条例》、《关于修改《温州市区国有土地地上房屋征收与补偿办法》等3件规章的决定》、《关于修改《温州市鹿城区国有土地地上房屋征收补偿实施细则》等2件规范性文件》、《温州市鹿城区国有土地上房屋征收补偿细则》、《温州市鹿城区征集土地涉及房屋补偿实施细则》、《鹿城区房屋征收人均保底安置人口审定办法》、《鹿城区国有土地上房屋征收涉及门面房补偿规则若干意见》、《鹿城区征迁项目统筹安置实施细则（试行）》、《温州鹿城区安置房层次差、朝向结算标准（试行）》等法律、法规、地方规定要求（上述文件如有冲突应以最新的文件要求为准），健全组织，狠抓服务质量，配足相关工作人员，定期组织服务人员职业资格培训、职称评定，切实维护甲方及安置户的合法权益，提供优质贴心服务。</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2.</w:t>
      </w:r>
      <w:r>
        <w:rPr>
          <w:rFonts w:hint="eastAsia" w:ascii="新宋体" w:hAnsi="新宋体" w:eastAsia="新宋体"/>
          <w:color w:val="auto"/>
          <w:sz w:val="22"/>
          <w:szCs w:val="22"/>
          <w:highlight w:val="none"/>
        </w:rPr>
        <w:t>乙方在安置服务期间，要按照标准化、专业化、特色化、公平化的服务要求，提高安置入住效率和安置满意度。</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3.</w:t>
      </w:r>
      <w:r>
        <w:rPr>
          <w:rFonts w:hint="eastAsia" w:ascii="新宋体" w:hAnsi="新宋体" w:eastAsia="新宋体"/>
          <w:color w:val="auto"/>
          <w:sz w:val="22"/>
          <w:szCs w:val="22"/>
          <w:highlight w:val="none"/>
        </w:rPr>
        <w:t>乙方应提供优良的安置工作服务，定期举办安置政策宣讲活动，组织安置户踏勘安置房源，满足安置户需求。</w:t>
      </w:r>
    </w:p>
    <w:p>
      <w:pPr>
        <w:spacing w:line="440" w:lineRule="exact"/>
        <w:rPr>
          <w:rFonts w:ascii="新宋体" w:hAnsi="新宋体" w:eastAsia="新宋体"/>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第十条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债权债务</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乙方因提供本项目安置服务产生的债权由乙方享有，形成的债务由乙方承担。</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2.因乙方原因造成甲方及安置户损失的，由乙方承担所有责任，赔偿所有损失（包括但不仅限于律师费和诉讼费等）。</w:t>
      </w:r>
    </w:p>
    <w:p>
      <w:pPr>
        <w:spacing w:line="440" w:lineRule="exact"/>
        <w:rPr>
          <w:rFonts w:ascii="新宋体" w:hAnsi="新宋体" w:eastAsia="新宋体"/>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第十一条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履约保证金</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本协议签订后</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u w:val="single"/>
          <w:lang w:val="en-US" w:eastAsia="zh-CN"/>
        </w:rPr>
        <w:t>2</w:t>
      </w:r>
      <w:r>
        <w:rPr>
          <w:rFonts w:hint="eastAsia" w:ascii="新宋体" w:hAnsi="新宋体" w:eastAsia="新宋体"/>
          <w:color w:val="auto"/>
          <w:sz w:val="22"/>
          <w:szCs w:val="22"/>
          <w:highlight w:val="none"/>
          <w:u w:val="single"/>
        </w:rPr>
        <w:t xml:space="preserve">0 </w:t>
      </w:r>
      <w:r>
        <w:rPr>
          <w:rFonts w:hint="eastAsia" w:ascii="新宋体" w:hAnsi="新宋体" w:eastAsia="新宋体"/>
          <w:color w:val="auto"/>
          <w:sz w:val="22"/>
          <w:szCs w:val="22"/>
          <w:highlight w:val="none"/>
        </w:rPr>
        <w:t>个工作日内，乙方向甲方交纳履约保证金</w:t>
      </w:r>
      <w:r>
        <w:rPr>
          <w:rFonts w:hint="eastAsia" w:ascii="新宋体" w:hAnsi="新宋体" w:eastAsia="新宋体"/>
          <w:color w:val="auto"/>
          <w:sz w:val="22"/>
          <w:szCs w:val="22"/>
          <w:highlight w:val="none"/>
          <w:u w:val="single"/>
        </w:rPr>
        <w:t>200</w:t>
      </w:r>
      <w:r>
        <w:rPr>
          <w:rFonts w:hint="eastAsia" w:ascii="新宋体" w:hAnsi="新宋体" w:eastAsia="新宋体"/>
          <w:color w:val="auto"/>
          <w:sz w:val="22"/>
          <w:szCs w:val="22"/>
          <w:highlight w:val="none"/>
        </w:rPr>
        <w:t>万元（采用履约保函形式），作为乙方履行本协议约定的义务的担保。</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2.</w:t>
      </w:r>
      <w:r>
        <w:rPr>
          <w:rFonts w:hint="eastAsia" w:ascii="新宋体" w:hAnsi="新宋体" w:eastAsia="新宋体"/>
          <w:color w:val="auto"/>
          <w:sz w:val="22"/>
          <w:szCs w:val="22"/>
          <w:highlight w:val="none"/>
        </w:rPr>
        <w:t>履约保证金有效期限为从本合同生效之日起至本项目安置服务任务全部完成之时止。</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3.本协议约定期限届满，本项目完全达到安置服务质量要求或甲方依法解除本合同的，甲方应在7个工作日内免息退还履约保证金；本项目未达质量要求的，则由甲方单方追索保函兑现。</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履约保函原件提供时间为本合同签订后20个工作日内，甲方收到全额履约保函原件后5个工作日内出具确认函。如乙方在规定时间内不能按时提供履约保证金保函，自截止之日起，每日按履约保证金的千分之一向甲方缴纳违约金，延期超过60日，经甲方催交后3日内仍不能提供相应的履约保证金保函的，甲方有权解除本合同，并要求乙方赔偿损失。</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5.履约保函的要求</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该履约保函须为见索即付的银行履约保函或者商业履约保函，履约保函开立人须为乙方，履约保函受益人须为甲方。开具的保函均须达到以下要求：</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①履约保函的有效期须超过本合同条款规定的履约期限一年以上。</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②若在本合同规定的履约期限内，确需开具多期履约保函的，单期履约保函有效期最小年限为2年时间；乙方须在上一期履约保函有效期期满的3个月前完成续期相关手续，并在期满的3个月前将新一期的履约保函原件主动提交甲方，确保多期的履约保函在本合同规定的履约期限内连续有效。</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③若履约保函续期，乙方须确保同家银行、担保机构开具同等履约保证金额度，未经甲方书面同意，不得更改银行、担保机构。  </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④若乙方未达本合同4.2第①-③条的任一要求，则视为乙方该笔履约保函违约，甲方可单方追索该笔履约保函开具银行、担保机构兑现。</w:t>
      </w:r>
    </w:p>
    <w:p>
      <w:pPr>
        <w:pStyle w:val="23"/>
        <w:spacing w:after="0" w:line="440" w:lineRule="exact"/>
        <w:ind w:firstLine="221"/>
        <w:rPr>
          <w:rFonts w:ascii="新宋体" w:hAnsi="新宋体" w:eastAsia="新宋体"/>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第十二条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安全工作</w:t>
      </w:r>
    </w:p>
    <w:p>
      <w:pPr>
        <w:spacing w:line="440" w:lineRule="exact"/>
        <w:ind w:firstLine="64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乙方必须切实做好安全保障等各项工作，严格执行安全生产规范管理的有关规定，确保安置服务过程中的人身、财产安全，确保安置过程中不造成社会不良社会影响，确保按时保质的完成安置工作。若安全工作不完善，因此导致的所有损失由乙方承担。</w:t>
      </w:r>
    </w:p>
    <w:p>
      <w:pPr>
        <w:spacing w:line="440" w:lineRule="exact"/>
        <w:ind w:firstLine="442" w:firstLineChars="200"/>
        <w:rPr>
          <w:rFonts w:ascii="新宋体" w:hAnsi="新宋体" w:eastAsia="新宋体"/>
          <w:b/>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第十三条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双方的其他权利义务</w:t>
      </w: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（一）甲方的权利义务</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甲方应保证让渡权益无争议，协助乙方办理让渡涉及的相关证照。</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2.甲方负责指导、监督乙方的安置服务工作，对乙方实行服务质量年度考核制度。具体考核标准将根据有关行业规范以及招标时所提交的安置方案由甲方会同相关部门共同制订。</w:t>
      </w:r>
      <w:r>
        <w:rPr>
          <w:rFonts w:ascii="新宋体" w:hAnsi="新宋体" w:eastAsia="新宋体"/>
          <w:color w:val="auto"/>
          <w:sz w:val="22"/>
          <w:szCs w:val="22"/>
          <w:highlight w:val="none"/>
        </w:rPr>
        <w:t xml:space="preserve"> </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3.配合乙方做好让渡的各项工作。</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4.应提供有关安置服务政策依据；</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5.应协调处理好与有关部门、街道的关系，确保安置服务有关工作顺利进行；</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6.应办理征地房屋补偿和房屋征收等有关报批手续；</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7.应协调处理好与有关部门的关系，确保房屋征收（征地房屋补偿）工作顺利进行；</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8.应及时做好协议的鉴证、各项数据的审定及抽检工作；</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9.应派工作人员与乙方加强联系，并及时解决工作中的问题，促使房屋征收（征地房屋补偿）工作顺利进行；</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10.甲方应按时支付安置服务费，如甲方原因拖延支付安置服务费造成乙方损失的，乙方有权提出赔偿，经乙方书面催告后仍拖延支付的，乙方有权终止本合同；</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11.甲方及区房屋征收部门有权对乙方的从业人员在岗在位率、现场组织管理情况、服务态度、工作质量等情况进行抽查；</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12.甲方需协助乙方完成本次安置服务，并提供相关数据、资料及其他事务性工作的帮助。</w:t>
      </w:r>
    </w:p>
    <w:p>
      <w:pPr>
        <w:spacing w:line="440" w:lineRule="exact"/>
        <w:ind w:firstLine="444"/>
        <w:rPr>
          <w:rFonts w:ascii="新宋体" w:hAnsi="新宋体" w:eastAsia="新宋体"/>
          <w:b/>
          <w:color w:val="auto"/>
          <w:sz w:val="22"/>
          <w:szCs w:val="22"/>
          <w:highlight w:val="none"/>
        </w:rPr>
      </w:pPr>
      <w:r>
        <w:rPr>
          <w:rFonts w:ascii="新宋体" w:hAnsi="新宋体" w:eastAsia="新宋体"/>
          <w:b/>
          <w:color w:val="auto"/>
          <w:sz w:val="22"/>
          <w:szCs w:val="22"/>
          <w:highlight w:val="none"/>
        </w:rPr>
        <w:t>(</w:t>
      </w:r>
      <w:r>
        <w:rPr>
          <w:rFonts w:hint="eastAsia" w:ascii="新宋体" w:hAnsi="新宋体" w:eastAsia="新宋体"/>
          <w:b/>
          <w:color w:val="auto"/>
          <w:sz w:val="22"/>
          <w:szCs w:val="22"/>
          <w:highlight w:val="none"/>
        </w:rPr>
        <w:t>二</w:t>
      </w:r>
      <w:r>
        <w:rPr>
          <w:rFonts w:ascii="新宋体" w:hAnsi="新宋体" w:eastAsia="新宋体"/>
          <w:b/>
          <w:color w:val="auto"/>
          <w:sz w:val="22"/>
          <w:szCs w:val="22"/>
          <w:highlight w:val="none"/>
        </w:rPr>
        <w:t>)</w:t>
      </w:r>
      <w:r>
        <w:rPr>
          <w:rFonts w:hint="eastAsia" w:ascii="新宋体" w:hAnsi="新宋体" w:eastAsia="新宋体"/>
          <w:b/>
          <w:color w:val="auto"/>
          <w:sz w:val="22"/>
          <w:szCs w:val="22"/>
          <w:highlight w:val="none"/>
        </w:rPr>
        <w:t>乙方的权利和义务</w:t>
      </w:r>
    </w:p>
    <w:p>
      <w:pPr>
        <w:spacing w:line="440" w:lineRule="exact"/>
        <w:ind w:firstLine="444"/>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1.乙方应当按照本合同第一条、第二条、第三条的约定保质保量如期完成安置服务内容。</w:t>
      </w:r>
    </w:p>
    <w:p>
      <w:pPr>
        <w:spacing w:line="440" w:lineRule="exact"/>
        <w:ind w:firstLine="444"/>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2.让渡权益应当接受甲方的指导和监督检查。</w:t>
      </w:r>
    </w:p>
    <w:p>
      <w:pPr>
        <w:spacing w:line="440" w:lineRule="exact"/>
        <w:ind w:firstLine="444"/>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3.在安置服务期间，乙方负责安全工作，不得产生不良的社会影响。</w:t>
      </w:r>
    </w:p>
    <w:p>
      <w:pPr>
        <w:spacing w:line="440" w:lineRule="exact"/>
        <w:ind w:firstLine="444"/>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乙方不得利用安置服务从事与本项目无关的经营活动；不得利用安置服务从事其他生产、销售、经营服务，不得从事任何违法活动。</w:t>
      </w:r>
      <w:r>
        <w:rPr>
          <w:rFonts w:ascii="新宋体" w:hAnsi="新宋体" w:eastAsia="新宋体"/>
          <w:color w:val="auto"/>
          <w:sz w:val="22"/>
          <w:szCs w:val="22"/>
          <w:highlight w:val="none"/>
        </w:rPr>
        <w:t xml:space="preserve">  </w:t>
      </w:r>
    </w:p>
    <w:p>
      <w:pPr>
        <w:spacing w:line="440" w:lineRule="exact"/>
        <w:ind w:firstLine="444"/>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乙方应依法经营，遵守法律、法规和有关规定，公开举报监督电话，接受社会各界的监督，并承担管理责任。</w:t>
      </w:r>
    </w:p>
    <w:p>
      <w:pPr>
        <w:spacing w:line="440" w:lineRule="exact"/>
        <w:ind w:firstLine="444"/>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6.在本合同履行期间，乙方应当严格遵守有关法律法规，配备素质过硬的服务人员和管理人员，严明纪律、严格管理，做到规范化操作，不得以任何方式损害国家利益或房屋所有权人的利益；</w:t>
      </w:r>
    </w:p>
    <w:p>
      <w:pPr>
        <w:spacing w:line="440" w:lineRule="exact"/>
        <w:ind w:firstLine="444"/>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7.乙方现场负责人必须固定，如需变动，需提前向甲方提出申请，经甲方同意后方可变更；</w:t>
      </w:r>
    </w:p>
    <w:p>
      <w:pPr>
        <w:spacing w:line="440" w:lineRule="exact"/>
        <w:ind w:firstLine="444"/>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8.乙方应按甲方工作计划安排，落实工作人员，保证相关工作顺利开展；</w:t>
      </w:r>
    </w:p>
    <w:p>
      <w:pPr>
        <w:pStyle w:val="22"/>
        <w:spacing w:after="0" w:line="440" w:lineRule="exact"/>
        <w:rPr>
          <w:rFonts w:ascii="新宋体" w:hAnsi="新宋体" w:eastAsia="新宋体"/>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第十四条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协议的变更或解除</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一</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双方协商一致可以变更或解除本协议。</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二</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安置服务期满或因乙方有下列情形之一的，甲方可以解除或终止协议；解除或终止协议造成甲方损失的，费用全部由乙方承担；甲方依照本合同约定解除或终止协议的，让渡的收益（除已投入到项目安置的，具体以甲方认定为准）归甲方所有；乙方必须配合办理所有让渡权益返还手续；解除或终止协议前，产生的违法所得按规定上缴；解除或终止协议前，乙方的有关贷款、融资费用等由乙方承担。</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1.未经甲方同意，擅自变更项目安置服务方的；</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2.利用安置服务进行非法活动、经营与服务的；或未经甲方及安置户同意，利用本项目安置服务进行其他活动经营与服务的；</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3.乙方（安置服务方）投入不能够本项目安置进度或安置需求的；</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4.本项目考核不合格且整改后仍不合格的（考核办法详见附件）；</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5.违反有关规定乱收费、造成严重不良影响的；</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6.发布虚假广告、造成严重不良影响的；</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7.造成重大安全事故的；</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8</w:t>
      </w:r>
      <w:r>
        <w:rPr>
          <w:rFonts w:hint="eastAsia" w:ascii="新宋体" w:hAnsi="新宋体" w:eastAsia="新宋体"/>
          <w:color w:val="auto"/>
          <w:sz w:val="22"/>
          <w:szCs w:val="22"/>
          <w:highlight w:val="none"/>
        </w:rPr>
        <w:t>.歧视、侮辱、侵害安置户籍有关人员等行为，造成严重不良影响的；</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9</w:t>
      </w:r>
      <w:r>
        <w:rPr>
          <w:rFonts w:hint="eastAsia" w:ascii="新宋体" w:hAnsi="新宋体" w:eastAsia="新宋体"/>
          <w:color w:val="auto"/>
          <w:sz w:val="22"/>
          <w:szCs w:val="22"/>
          <w:highlight w:val="none"/>
        </w:rPr>
        <w:t>.60%安置户对本项目安置服务评价不合格；</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ascii="新宋体" w:hAnsi="新宋体" w:eastAsia="新宋体"/>
          <w:color w:val="auto"/>
          <w:sz w:val="22"/>
          <w:szCs w:val="22"/>
          <w:highlight w:val="none"/>
        </w:rPr>
        <w:t>0</w:t>
      </w:r>
      <w:r>
        <w:rPr>
          <w:rFonts w:hint="eastAsia" w:ascii="新宋体" w:hAnsi="新宋体" w:eastAsia="新宋体"/>
          <w:color w:val="auto"/>
          <w:sz w:val="22"/>
          <w:szCs w:val="22"/>
          <w:highlight w:val="none"/>
        </w:rPr>
        <w:t>.严重违反协议约定或应解除的其他情形。</w:t>
      </w:r>
    </w:p>
    <w:p>
      <w:pPr>
        <w:spacing w:line="440" w:lineRule="exact"/>
        <w:rPr>
          <w:rFonts w:ascii="新宋体" w:hAnsi="新宋体" w:eastAsia="新宋体"/>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第十五条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违约责任</w:t>
      </w:r>
      <w:r>
        <w:rPr>
          <w:rFonts w:ascii="新宋体" w:hAnsi="新宋体" w:eastAsia="新宋体"/>
          <w:b/>
          <w:color w:val="auto"/>
          <w:sz w:val="22"/>
          <w:szCs w:val="22"/>
          <w:highlight w:val="none"/>
        </w:rPr>
        <w:t xml:space="preserve">  </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乙方不履行本协议或不按本协议要求履行的，应向甲方支付违约金。甲方有权单方根据下属第2项至第6项情形兑现履约保函相应金额作为违约金，甲方有权单方兑现履约保函相应金额作为违约金，甲方兑现履约保函保证金且未解除本合同的，乙方应在15个工作日内予以补足履约保函保证金额</w:t>
      </w:r>
      <w:r>
        <w:rPr>
          <w:rFonts w:hint="eastAsia" w:ascii="新宋体" w:hAnsi="新宋体" w:eastAsia="新宋体"/>
          <w:color w:val="auto"/>
          <w:sz w:val="22"/>
          <w:szCs w:val="22"/>
          <w:highlight w:val="none"/>
          <w:lang w:eastAsia="zh-CN"/>
        </w:rPr>
        <w:t>。</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2.</w:t>
      </w:r>
      <w:r>
        <w:rPr>
          <w:rFonts w:hint="eastAsia" w:ascii="新宋体" w:hAnsi="新宋体" w:eastAsia="新宋体"/>
          <w:color w:val="auto"/>
          <w:sz w:val="22"/>
          <w:szCs w:val="22"/>
          <w:highlight w:val="none"/>
        </w:rPr>
        <w:t>安置户满意度达不到60%的，甲方有权单方兑现履约保函金额30万作为违约金</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且甲方有权解除或终止协议</w:t>
      </w:r>
      <w:r>
        <w:rPr>
          <w:rFonts w:ascii="新宋体" w:hAnsi="新宋体" w:eastAsia="新宋体"/>
          <w:color w:val="auto"/>
          <w:sz w:val="22"/>
          <w:szCs w:val="22"/>
          <w:highlight w:val="none"/>
        </w:rPr>
        <w:t>。</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考核机制：实行履约考核制度，对于考核不合格的，要限期整改；不整改或整改后仍不符合要求的，甲方有权单方兑现履约保函金额30万作为违约金；乙方连续二次考核不合格且整改后仍不合格的，甲方有权取消乙方运营资格，解除本合同</w:t>
      </w:r>
      <w:r>
        <w:rPr>
          <w:rFonts w:hint="eastAsia" w:ascii="新宋体" w:hAnsi="新宋体" w:eastAsia="新宋体"/>
          <w:color w:val="auto"/>
          <w:sz w:val="22"/>
          <w:szCs w:val="22"/>
          <w:highlight w:val="none"/>
          <w:lang w:eastAsia="zh-CN"/>
        </w:rPr>
        <w:t>，甲方有权单方兑现履约保函所有金额，予以没收</w:t>
      </w:r>
      <w:r>
        <w:rPr>
          <w:rFonts w:hint="eastAsia" w:ascii="新宋体" w:hAnsi="新宋体" w:eastAsia="新宋体"/>
          <w:color w:val="auto"/>
          <w:sz w:val="22"/>
          <w:szCs w:val="22"/>
          <w:highlight w:val="none"/>
        </w:rPr>
        <w:t>。合同解除后，甲方不对乙方作任何补偿。</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4</w:t>
      </w:r>
      <w:r>
        <w:rPr>
          <w:rFonts w:hint="eastAsia" w:ascii="新宋体" w:hAnsi="新宋体" w:eastAsia="新宋体"/>
          <w:color w:val="auto"/>
          <w:sz w:val="22"/>
          <w:szCs w:val="22"/>
          <w:highlight w:val="none"/>
        </w:rPr>
        <w:t>.未经甲方及安置户同意，乙方利用安置服务，从事与安置服务无关的经营活动，甲方有权没收乙方经营收入，并甲方有权单方兑现履约保函金额30万作为违约金。</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5</w:t>
      </w:r>
      <w:r>
        <w:rPr>
          <w:rFonts w:hint="eastAsia" w:ascii="新宋体" w:hAnsi="新宋体" w:eastAsia="新宋体"/>
          <w:color w:val="auto"/>
          <w:sz w:val="22"/>
          <w:szCs w:val="22"/>
          <w:highlight w:val="none"/>
        </w:rPr>
        <w:t>.乙方利用安置服务从事违法活动，甲方有权单方兑现履约保函所有金额，予以没收</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rPr>
        <w:t>甲方</w:t>
      </w:r>
      <w:r>
        <w:rPr>
          <w:rFonts w:hint="eastAsia" w:ascii="新宋体" w:hAnsi="新宋体" w:eastAsia="新宋体"/>
          <w:color w:val="auto"/>
          <w:sz w:val="22"/>
          <w:szCs w:val="22"/>
          <w:highlight w:val="none"/>
          <w:lang w:eastAsia="zh-CN"/>
        </w:rPr>
        <w:t>因此</w:t>
      </w:r>
      <w:r>
        <w:rPr>
          <w:rFonts w:hint="eastAsia" w:ascii="新宋体" w:hAnsi="新宋体" w:eastAsia="新宋体"/>
          <w:color w:val="auto"/>
          <w:sz w:val="22"/>
          <w:szCs w:val="22"/>
          <w:highlight w:val="none"/>
        </w:rPr>
        <w:t>有权解除本合同，不对乙方进行任何补偿。</w:t>
      </w:r>
    </w:p>
    <w:p>
      <w:pPr>
        <w:spacing w:line="440" w:lineRule="exact"/>
        <w:ind w:firstLine="440" w:firstLineChars="200"/>
        <w:rPr>
          <w:rFonts w:hint="eastAsia"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rPr>
        <w:t>6.乙方未能如期完成安置服务内容的，</w:t>
      </w:r>
      <w:r>
        <w:rPr>
          <w:rFonts w:hint="eastAsia" w:ascii="新宋体" w:hAnsi="新宋体" w:eastAsia="新宋体"/>
          <w:color w:val="auto"/>
          <w:sz w:val="22"/>
          <w:szCs w:val="22"/>
          <w:highlight w:val="none"/>
          <w:lang w:eastAsia="zh-CN"/>
        </w:rPr>
        <w:t>甲方有权单方兑现履约保函所有金额，予以没收</w:t>
      </w:r>
      <w:r>
        <w:rPr>
          <w:rFonts w:hint="eastAsia" w:ascii="新宋体" w:hAnsi="新宋体" w:eastAsia="新宋体"/>
          <w:color w:val="auto"/>
          <w:sz w:val="22"/>
          <w:szCs w:val="22"/>
          <w:highlight w:val="none"/>
        </w:rPr>
        <w:t>。</w:t>
      </w:r>
      <w:r>
        <w:rPr>
          <w:rFonts w:hint="eastAsia" w:ascii="新宋体" w:hAnsi="新宋体" w:eastAsia="新宋体"/>
          <w:color w:val="auto"/>
          <w:sz w:val="22"/>
          <w:szCs w:val="22"/>
          <w:highlight w:val="none"/>
          <w:lang w:eastAsia="zh-CN"/>
        </w:rPr>
        <w:t>若</w:t>
      </w:r>
      <w:r>
        <w:rPr>
          <w:rFonts w:hint="eastAsia" w:ascii="新宋体" w:hAnsi="新宋体" w:eastAsia="新宋体"/>
          <w:color w:val="auto"/>
          <w:sz w:val="22"/>
          <w:szCs w:val="22"/>
          <w:highlight w:val="none"/>
        </w:rPr>
        <w:t>造成甲方其他损失的，甲方继续追究乙方损失赔偿责任</w:t>
      </w:r>
      <w:r>
        <w:rPr>
          <w:rFonts w:hint="eastAsia" w:ascii="新宋体" w:hAnsi="新宋体" w:eastAsia="新宋体"/>
          <w:color w:val="auto"/>
          <w:sz w:val="22"/>
          <w:szCs w:val="22"/>
          <w:highlight w:val="none"/>
          <w:lang w:eastAsia="zh-CN"/>
        </w:rPr>
        <w:t>，</w:t>
      </w: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第十六条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免责条件</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本协议履约过程中如遇不可抗力情况导致协议不能继续履约的，双方互不承担责任。</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2.</w:t>
      </w:r>
      <w:r>
        <w:rPr>
          <w:rFonts w:hint="eastAsia" w:ascii="新宋体" w:hAnsi="新宋体" w:eastAsia="新宋体"/>
          <w:color w:val="auto"/>
          <w:sz w:val="22"/>
          <w:szCs w:val="22"/>
          <w:highlight w:val="none"/>
        </w:rPr>
        <w:t>因不可抗力原因而终止本合同时，有关费用双方协商解决。</w:t>
      </w:r>
      <w:r>
        <w:rPr>
          <w:rFonts w:ascii="新宋体" w:hAnsi="新宋体" w:eastAsia="新宋体"/>
          <w:color w:val="auto"/>
          <w:sz w:val="22"/>
          <w:szCs w:val="22"/>
          <w:highlight w:val="none"/>
        </w:rPr>
        <w:t xml:space="preserve"> </w:t>
      </w:r>
    </w:p>
    <w:p>
      <w:pPr>
        <w:spacing w:line="440" w:lineRule="exact"/>
        <w:ind w:firstLine="442" w:firstLineChars="200"/>
        <w:rPr>
          <w:rFonts w:ascii="新宋体" w:hAnsi="新宋体" w:eastAsia="新宋体"/>
          <w:b/>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第十七条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其他约定</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甲方的招标文件以及乙方的投标文件是本协议的组成部分，双方均应遵守。</w:t>
      </w:r>
    </w:p>
    <w:p>
      <w:pPr>
        <w:spacing w:line="440" w:lineRule="exact"/>
        <w:ind w:firstLine="440" w:firstLineChars="200"/>
        <w:rPr>
          <w:rFonts w:ascii="新宋体" w:hAnsi="新宋体" w:eastAsia="新宋体"/>
          <w:color w:val="auto"/>
          <w:sz w:val="22"/>
          <w:szCs w:val="22"/>
          <w:highlight w:val="none"/>
        </w:rPr>
      </w:pPr>
      <w:r>
        <w:rPr>
          <w:rFonts w:ascii="新宋体" w:hAnsi="新宋体" w:eastAsia="新宋体"/>
          <w:color w:val="auto"/>
          <w:sz w:val="22"/>
          <w:szCs w:val="22"/>
          <w:highlight w:val="none"/>
        </w:rPr>
        <w:t>2.</w:t>
      </w:r>
      <w:r>
        <w:rPr>
          <w:rFonts w:hint="eastAsia" w:ascii="新宋体" w:hAnsi="新宋体" w:eastAsia="新宋体"/>
          <w:color w:val="auto"/>
          <w:sz w:val="22"/>
          <w:szCs w:val="22"/>
          <w:highlight w:val="none"/>
        </w:rPr>
        <w:t>本协议履行期限届满，乙方不再提供安置服务的，应切实采取平稳过渡相关措施，确保不造成不良社会影响，相关费用双方协商解决。</w:t>
      </w:r>
    </w:p>
    <w:p>
      <w:pPr>
        <w:spacing w:line="440" w:lineRule="exact"/>
        <w:ind w:firstLine="440" w:firstLineChars="200"/>
        <w:rPr>
          <w:rFonts w:ascii="新宋体" w:hAnsi="新宋体" w:eastAsia="新宋体"/>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第十八条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未尽事宜</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本协议未尽事宜双方本着公平原则协商解决，经协商达成的补充协议（甲方的意见须经鹿城区政府正式批准）与本协议有同等法律效力，双方均应切实履行。</w:t>
      </w:r>
    </w:p>
    <w:p>
      <w:pPr>
        <w:spacing w:line="440" w:lineRule="exact"/>
        <w:rPr>
          <w:rFonts w:ascii="新宋体" w:hAnsi="新宋体" w:eastAsia="新宋体"/>
          <w:b/>
          <w:color w:val="auto"/>
          <w:sz w:val="22"/>
          <w:szCs w:val="22"/>
          <w:highlight w:val="none"/>
        </w:rPr>
      </w:pPr>
      <w:r>
        <w:rPr>
          <w:rFonts w:ascii="新宋体" w:hAnsi="新宋体" w:eastAsia="新宋体"/>
          <w:color w:val="auto"/>
          <w:sz w:val="22"/>
          <w:szCs w:val="22"/>
          <w:highlight w:val="none"/>
        </w:rPr>
        <w:t xml:space="preserve"> </w:t>
      </w:r>
      <w:r>
        <w:rPr>
          <w:rFonts w:ascii="新宋体" w:hAnsi="新宋体" w:eastAsia="新宋体"/>
          <w:b/>
          <w:color w:val="auto"/>
          <w:sz w:val="22"/>
          <w:szCs w:val="22"/>
          <w:highlight w:val="none"/>
        </w:rPr>
        <w:t xml:space="preserve">   </w:t>
      </w: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第十九条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争议解决</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因履行本协议发生争议，双方应友好协商解决；协商不成，双方同意向本项目所在地人民法院提起诉讼。在本协议争议或诉讼期间，双方有义务确保安置服务正常实行。</w:t>
      </w:r>
    </w:p>
    <w:p>
      <w:pPr>
        <w:spacing w:line="440" w:lineRule="exact"/>
        <w:rPr>
          <w:rFonts w:ascii="新宋体" w:hAnsi="新宋体" w:eastAsia="新宋体"/>
          <w:color w:val="auto"/>
          <w:sz w:val="22"/>
          <w:szCs w:val="22"/>
          <w:highlight w:val="none"/>
        </w:rPr>
      </w:pPr>
    </w:p>
    <w:p>
      <w:pPr>
        <w:spacing w:line="440" w:lineRule="exact"/>
        <w:ind w:firstLine="442" w:firstLineChars="20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第二十条</w:t>
      </w:r>
      <w:r>
        <w:rPr>
          <w:rFonts w:ascii="新宋体" w:hAnsi="新宋体" w:eastAsia="新宋体"/>
          <w:b/>
          <w:color w:val="auto"/>
          <w:sz w:val="22"/>
          <w:szCs w:val="22"/>
          <w:highlight w:val="none"/>
        </w:rPr>
        <w:t xml:space="preserve">    </w:t>
      </w:r>
      <w:r>
        <w:rPr>
          <w:rFonts w:hint="eastAsia" w:ascii="新宋体" w:hAnsi="新宋体" w:eastAsia="新宋体"/>
          <w:b/>
          <w:color w:val="auto"/>
          <w:sz w:val="22"/>
          <w:szCs w:val="22"/>
          <w:highlight w:val="none"/>
        </w:rPr>
        <w:t>生效条件</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本协议经双方盖章、法定代表人</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或委托代表</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签字后生效。</w:t>
      </w:r>
      <w:bookmarkStart w:id="104" w:name="_Toc520710528"/>
      <w:bookmarkStart w:id="105" w:name="_Toc535499835"/>
      <w:bookmarkStart w:id="106" w:name="_Toc516602643"/>
      <w:bookmarkStart w:id="107" w:name="_Toc450749849"/>
      <w:bookmarkStart w:id="108" w:name="_Toc535499677"/>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合同中未尽事宜双方协商解决。</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本协议一式六份，具有同等法律效力，甲乙双方、鉴证方，各执两份。</w:t>
      </w:r>
      <w:bookmarkEnd w:id="104"/>
      <w:bookmarkEnd w:id="105"/>
      <w:bookmarkEnd w:id="106"/>
      <w:bookmarkEnd w:id="107"/>
      <w:bookmarkEnd w:id="108"/>
      <w:r>
        <w:rPr>
          <w:rFonts w:ascii="新宋体" w:hAnsi="新宋体" w:eastAsia="新宋体"/>
          <w:color w:val="auto"/>
          <w:sz w:val="22"/>
          <w:szCs w:val="22"/>
          <w:highlight w:val="none"/>
        </w:rPr>
        <w:t xml:space="preserve">  </w:t>
      </w:r>
    </w:p>
    <w:p>
      <w:pPr>
        <w:spacing w:line="440" w:lineRule="exact"/>
        <w:rPr>
          <w:rFonts w:ascii="新宋体" w:hAnsi="新宋体" w:eastAsia="新宋体"/>
          <w:color w:val="auto"/>
          <w:sz w:val="22"/>
          <w:szCs w:val="22"/>
          <w:highlight w:val="none"/>
        </w:rPr>
      </w:pPr>
    </w:p>
    <w:p>
      <w:pPr>
        <w:spacing w:line="440" w:lineRule="exact"/>
        <w:ind w:firstLine="330" w:firstLineChars="150"/>
        <w:jc w:val="left"/>
        <w:rPr>
          <w:rFonts w:ascii="新宋体" w:hAnsi="新宋体" w:eastAsia="新宋体"/>
          <w:color w:val="auto"/>
          <w:sz w:val="22"/>
          <w:szCs w:val="22"/>
          <w:highlight w:val="none"/>
        </w:rPr>
      </w:pP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甲方（盖章）：</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乙方（盖章）：</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法定代表人：</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或授权代表（签字）：</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或授权代表（签字）：</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地址：</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地址：</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邮编：</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邮编：</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电话：</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传真：</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开户银行：</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 xml:space="preserve"> 开户银行：</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帐号：</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帐号：</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鉴证方（盖章）：</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法定代表人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或授权代表（签字）：</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地址：</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邮编：</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 xml:space="preserve">                       </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r>
        <w:rPr>
          <w:rFonts w:ascii="新宋体" w:hAnsi="新宋体" w:eastAsia="新宋体"/>
          <w:color w:val="auto"/>
          <w:sz w:val="22"/>
          <w:szCs w:val="22"/>
          <w:highlight w:val="none"/>
        </w:rPr>
        <w:t xml:space="preserve">                                         </w:t>
      </w:r>
    </w:p>
    <w:p>
      <w:pPr>
        <w:spacing w:line="440" w:lineRule="exact"/>
        <w:ind w:firstLine="440" w:firstLineChars="200"/>
        <w:jc w:val="left"/>
        <w:rPr>
          <w:rFonts w:ascii="新宋体" w:hAnsi="新宋体" w:eastAsia="新宋体"/>
          <w:color w:val="auto"/>
          <w:sz w:val="22"/>
          <w:szCs w:val="22"/>
          <w:highlight w:val="none"/>
        </w:rPr>
      </w:pPr>
      <w:r>
        <w:rPr>
          <w:rFonts w:ascii="新宋体" w:hAnsi="新宋体" w:eastAsia="新宋体"/>
          <w:color w:val="auto"/>
          <w:sz w:val="22"/>
          <w:szCs w:val="22"/>
          <w:highlight w:val="none"/>
        </w:rPr>
        <w:t xml:space="preserve">                                   </w:t>
      </w:r>
    </w:p>
    <w:p>
      <w:pPr>
        <w:spacing w:line="440" w:lineRule="exact"/>
        <w:ind w:right="6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签约时间：</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年</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月</w:t>
      </w:r>
      <w:r>
        <w:rPr>
          <w:rFonts w:ascii="新宋体" w:hAnsi="新宋体" w:eastAsia="新宋体"/>
          <w:color w:val="auto"/>
          <w:sz w:val="22"/>
          <w:szCs w:val="22"/>
          <w:highlight w:val="none"/>
        </w:rPr>
        <w:t xml:space="preserve">   </w:t>
      </w:r>
      <w:r>
        <w:rPr>
          <w:rFonts w:hint="eastAsia" w:ascii="新宋体" w:hAnsi="新宋体" w:eastAsia="新宋体"/>
          <w:color w:val="auto"/>
          <w:sz w:val="22"/>
          <w:szCs w:val="22"/>
          <w:highlight w:val="none"/>
        </w:rPr>
        <w:t>日</w:t>
      </w:r>
    </w:p>
    <w:p>
      <w:pPr>
        <w:pStyle w:val="31"/>
        <w:spacing w:line="440" w:lineRule="exact"/>
        <w:rPr>
          <w:rFonts w:ascii="新宋体" w:hAnsi="新宋体" w:eastAsia="新宋体"/>
          <w:color w:val="auto"/>
          <w:sz w:val="22"/>
          <w:szCs w:val="22"/>
          <w:highlight w:val="none"/>
        </w:rPr>
      </w:pPr>
    </w:p>
    <w:p>
      <w:pPr>
        <w:pStyle w:val="31"/>
        <w:spacing w:line="440" w:lineRule="exact"/>
        <w:rPr>
          <w:rFonts w:ascii="新宋体" w:hAnsi="新宋体" w:eastAsia="新宋体"/>
          <w:color w:val="auto"/>
          <w:sz w:val="22"/>
          <w:szCs w:val="22"/>
          <w:highlight w:val="none"/>
        </w:rPr>
      </w:pPr>
    </w:p>
    <w:p>
      <w:pPr>
        <w:pStyle w:val="31"/>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签约地点：</w:t>
      </w:r>
      <w:r>
        <w:rPr>
          <w:rFonts w:ascii="新宋体" w:hAnsi="新宋体" w:eastAsia="新宋体"/>
          <w:color w:val="auto"/>
          <w:sz w:val="22"/>
          <w:szCs w:val="22"/>
          <w:highlight w:val="none"/>
        </w:rPr>
        <w:t xml:space="preserve">   </w:t>
      </w:r>
    </w:p>
    <w:p>
      <w:pPr>
        <w:pStyle w:val="22"/>
        <w:rPr>
          <w:rFonts w:ascii="新宋体" w:hAnsi="新宋体" w:eastAsia="新宋体"/>
          <w:color w:val="auto"/>
          <w:highlight w:val="none"/>
        </w:rPr>
      </w:pPr>
      <w:r>
        <w:rPr>
          <w:rFonts w:ascii="新宋体" w:hAnsi="新宋体" w:eastAsia="新宋体" w:cs="新宋体"/>
          <w:color w:val="auto"/>
          <w:kern w:val="1"/>
          <w:sz w:val="22"/>
          <w:szCs w:val="22"/>
          <w:highlight w:val="none"/>
        </w:rPr>
        <w:br w:type="page"/>
      </w:r>
      <w:r>
        <w:rPr>
          <w:rFonts w:hint="eastAsia" w:ascii="新宋体" w:hAnsi="新宋体" w:eastAsia="新宋体"/>
          <w:color w:val="auto"/>
          <w:highlight w:val="none"/>
        </w:rPr>
        <w:t>附件：针对安置服务方的考核机制</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19"/>
        <w:gridCol w:w="1190"/>
        <w:gridCol w:w="543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3"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b/>
                <w:color w:val="auto"/>
                <w:sz w:val="22"/>
                <w:szCs w:val="22"/>
                <w:highlight w:val="none"/>
              </w:rPr>
            </w:pPr>
            <w:r>
              <w:rPr>
                <w:rFonts w:ascii="新宋体" w:hAnsi="新宋体" w:eastAsia="新宋体"/>
                <w:b/>
                <w:color w:val="auto"/>
                <w:sz w:val="22"/>
                <w:szCs w:val="22"/>
                <w:highlight w:val="none"/>
              </w:rPr>
              <w:t>序号</w:t>
            </w:r>
          </w:p>
        </w:tc>
        <w:tc>
          <w:tcPr>
            <w:tcW w:w="619"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考核指标</w:t>
            </w:r>
          </w:p>
        </w:tc>
        <w:tc>
          <w:tcPr>
            <w:tcW w:w="604"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分值</w:t>
            </w:r>
          </w:p>
        </w:tc>
        <w:tc>
          <w:tcPr>
            <w:tcW w:w="2761" w:type="pct"/>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widowControl/>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指标解释及考核说明</w:t>
            </w:r>
          </w:p>
        </w:tc>
        <w:tc>
          <w:tcPr>
            <w:tcW w:w="673" w:type="pct"/>
            <w:tcBorders>
              <w:top w:val="single" w:color="000000" w:sz="6" w:space="0"/>
              <w:left w:val="single" w:color="auto" w:sz="4"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w:t>
            </w:r>
          </w:p>
        </w:tc>
        <w:tc>
          <w:tcPr>
            <w:tcW w:w="619"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安置进度保障</w:t>
            </w:r>
          </w:p>
        </w:tc>
        <w:tc>
          <w:tcPr>
            <w:tcW w:w="604"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c>
          <w:tcPr>
            <w:tcW w:w="2761" w:type="pct"/>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非安置服务方原因，每个年度甲方要求的安置服务目标：</w:t>
            </w:r>
          </w:p>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均能按时完成得10分；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完成80%得8分；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完成60%得6分；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其余得0分</w:t>
            </w:r>
          </w:p>
        </w:tc>
        <w:tc>
          <w:tcPr>
            <w:tcW w:w="673" w:type="pct"/>
            <w:tcBorders>
              <w:top w:val="single" w:color="000000" w:sz="6" w:space="0"/>
              <w:left w:val="single" w:color="auto" w:sz="4"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w:t>
            </w:r>
          </w:p>
        </w:tc>
        <w:tc>
          <w:tcPr>
            <w:tcW w:w="619" w:type="pct"/>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安置服务人员保障</w:t>
            </w:r>
          </w:p>
        </w:tc>
        <w:tc>
          <w:tcPr>
            <w:tcW w:w="604" w:type="pct"/>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w:t>
            </w:r>
          </w:p>
        </w:tc>
        <w:tc>
          <w:tcPr>
            <w:tcW w:w="2761" w:type="pct"/>
            <w:tcBorders>
              <w:top w:val="single" w:color="000000" w:sz="6" w:space="0"/>
              <w:left w:val="nil"/>
              <w:bottom w:val="single" w:color="auto" w:sz="4" w:space="0"/>
              <w:right w:val="single" w:color="auto" w:sz="4"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安置服务人员服务：</w:t>
            </w:r>
          </w:p>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数量足够、态度佳、专业水平高、完全满足项目需求得10分；</w:t>
            </w:r>
          </w:p>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数量基本满足、态度一般、专业水平一般、基本满足项目需求得8分；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其余得0分。</w:t>
            </w:r>
          </w:p>
        </w:tc>
        <w:tc>
          <w:tcPr>
            <w:tcW w:w="673" w:type="pct"/>
            <w:tcBorders>
              <w:top w:val="single" w:color="000000" w:sz="6" w:space="0"/>
              <w:left w:val="single" w:color="auto" w:sz="4" w:space="0"/>
              <w:bottom w:val="single" w:color="auto" w:sz="4"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p>
        </w:tc>
        <w:tc>
          <w:tcPr>
            <w:tcW w:w="619" w:type="pct"/>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宣传保障</w:t>
            </w:r>
          </w:p>
        </w:tc>
        <w:tc>
          <w:tcPr>
            <w:tcW w:w="604" w:type="pct"/>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w:t>
            </w:r>
          </w:p>
        </w:tc>
        <w:tc>
          <w:tcPr>
            <w:tcW w:w="2761" w:type="pct"/>
            <w:tcBorders>
              <w:top w:val="single" w:color="000000" w:sz="6" w:space="0"/>
              <w:left w:val="nil"/>
              <w:bottom w:val="single" w:color="auto" w:sz="4" w:space="0"/>
              <w:right w:val="single" w:color="auto" w:sz="4"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安置过程中有关政策、安置流程、社会宣传等:</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宣传传播度到位，目标受众无疑惑得5分；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宣传传播度一般，目标受众存在疑惑得4分；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其余得0分。</w:t>
            </w:r>
          </w:p>
        </w:tc>
        <w:tc>
          <w:tcPr>
            <w:tcW w:w="673" w:type="pct"/>
            <w:tcBorders>
              <w:top w:val="single" w:color="000000" w:sz="6" w:space="0"/>
              <w:left w:val="single" w:color="auto" w:sz="4" w:space="0"/>
              <w:bottom w:val="single" w:color="auto" w:sz="4"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w:t>
            </w:r>
          </w:p>
        </w:tc>
        <w:tc>
          <w:tcPr>
            <w:tcW w:w="619"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资金保障</w:t>
            </w:r>
          </w:p>
        </w:tc>
        <w:tc>
          <w:tcPr>
            <w:tcW w:w="604"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c>
          <w:tcPr>
            <w:tcW w:w="2761" w:type="pct"/>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用于本项目采购安置房房源的资金（融资资金、自有资金等）：</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资金充裕，完全能够满足项目需求得10分；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资金基本满足，基本能够满足项目需求得8分；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资金进展，对项目安置影响较小得6分；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其余得0分；</w:t>
            </w:r>
          </w:p>
        </w:tc>
        <w:tc>
          <w:tcPr>
            <w:tcW w:w="673" w:type="pct"/>
            <w:tcBorders>
              <w:top w:val="single" w:color="000000" w:sz="6" w:space="0"/>
              <w:left w:val="single" w:color="auto" w:sz="4"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w:t>
            </w:r>
          </w:p>
        </w:tc>
        <w:tc>
          <w:tcPr>
            <w:tcW w:w="619"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资金管理</w:t>
            </w:r>
          </w:p>
        </w:tc>
        <w:tc>
          <w:tcPr>
            <w:tcW w:w="604"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c>
          <w:tcPr>
            <w:tcW w:w="2761" w:type="pct"/>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涉及安置服务的资金管理：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资金管理办法严谨齐全，资金均能运用到项目安置，得10分；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资金管理办法松散，资金报批使用存在缺陷，但不造成资金损失挪用，得8分；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无资金管理办法，资金存在挪用，得0分。</w:t>
            </w:r>
          </w:p>
        </w:tc>
        <w:tc>
          <w:tcPr>
            <w:tcW w:w="673" w:type="pct"/>
            <w:tcBorders>
              <w:top w:val="single" w:color="000000" w:sz="6" w:space="0"/>
              <w:left w:val="single" w:color="auto" w:sz="4"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w:t>
            </w:r>
          </w:p>
        </w:tc>
        <w:tc>
          <w:tcPr>
            <w:tcW w:w="619"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让渡收益利用</w:t>
            </w:r>
          </w:p>
        </w:tc>
        <w:tc>
          <w:tcPr>
            <w:tcW w:w="604"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c>
          <w:tcPr>
            <w:tcW w:w="2761" w:type="pct"/>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让渡权益的利用：</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专款专用于安置服务或偿还购买安置房源的相关贷款、融资费用等，得10分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未专款用于安置服务或偿还购买安置房源的相关贷款、融资费用等，但相关贷款、融资费用偿还未明显拖欠的，得8分；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让渡权益利用未专款用于安置服务或偿还购买安置房源的相关贷款、融资费用等，且相关贷款、融资费用出现逾期偿还的，得0分。</w:t>
            </w:r>
          </w:p>
        </w:tc>
        <w:tc>
          <w:tcPr>
            <w:tcW w:w="673" w:type="pct"/>
            <w:tcBorders>
              <w:top w:val="single" w:color="000000" w:sz="6" w:space="0"/>
              <w:left w:val="single" w:color="auto" w:sz="4"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000000" w:sz="6" w:space="0"/>
              <w:left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w:t>
            </w:r>
          </w:p>
        </w:tc>
        <w:tc>
          <w:tcPr>
            <w:tcW w:w="619" w:type="pct"/>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市场化采购安置房源品质</w:t>
            </w:r>
          </w:p>
        </w:tc>
        <w:tc>
          <w:tcPr>
            <w:tcW w:w="604" w:type="pct"/>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c>
          <w:tcPr>
            <w:tcW w:w="2761" w:type="pct"/>
            <w:tcBorders>
              <w:top w:val="single" w:color="000000" w:sz="6" w:space="0"/>
              <w:left w:val="nil"/>
              <w:bottom w:val="single" w:color="auto" w:sz="4" w:space="0"/>
              <w:right w:val="single" w:color="auto" w:sz="4"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市场化采购安置房源品质：</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无质量问题，满足安置户需求，得10分；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存在质量瑕疵，对安置影响不大，且能修补措施及时解决，达到安置户需求的，得8分；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存在较大质量问题，无法满足安置户需求，得0分；</w:t>
            </w:r>
          </w:p>
        </w:tc>
        <w:tc>
          <w:tcPr>
            <w:tcW w:w="673" w:type="pct"/>
            <w:tcBorders>
              <w:top w:val="single" w:color="000000" w:sz="6" w:space="0"/>
              <w:left w:val="single" w:color="auto" w:sz="4" w:space="0"/>
              <w:bottom w:val="single" w:color="auto" w:sz="4"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auto" w:sz="4"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w:t>
            </w:r>
          </w:p>
        </w:tc>
        <w:tc>
          <w:tcPr>
            <w:tcW w:w="619" w:type="pct"/>
            <w:tcBorders>
              <w:top w:val="single" w:color="auto" w:sz="4"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安置户满意度</w:t>
            </w:r>
          </w:p>
        </w:tc>
        <w:tc>
          <w:tcPr>
            <w:tcW w:w="604" w:type="pct"/>
            <w:tcBorders>
              <w:top w:val="single" w:color="auto" w:sz="4"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c>
          <w:tcPr>
            <w:tcW w:w="2761" w:type="pct"/>
            <w:tcBorders>
              <w:top w:val="single" w:color="auto" w:sz="4" w:space="0"/>
              <w:left w:val="nil"/>
              <w:bottom w:val="single" w:color="000000" w:sz="6" w:space="0"/>
              <w:right w:val="single" w:color="auto" w:sz="4"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甲方组织的安置户满意度调查：</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满意度90%以上，得10分；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满意度80%以上，得8分；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满意度70%以上，得6分；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其余0分。</w:t>
            </w:r>
          </w:p>
        </w:tc>
        <w:tc>
          <w:tcPr>
            <w:tcW w:w="673" w:type="pct"/>
            <w:tcBorders>
              <w:top w:val="single" w:color="auto" w:sz="4" w:space="0"/>
              <w:left w:val="single" w:color="auto" w:sz="4"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auto" w:sz="4"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w:t>
            </w:r>
          </w:p>
        </w:tc>
        <w:tc>
          <w:tcPr>
            <w:tcW w:w="619" w:type="pct"/>
            <w:tcBorders>
              <w:top w:val="single" w:color="auto" w:sz="4"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社会反响</w:t>
            </w:r>
          </w:p>
        </w:tc>
        <w:tc>
          <w:tcPr>
            <w:tcW w:w="604" w:type="pct"/>
            <w:tcBorders>
              <w:top w:val="single" w:color="auto" w:sz="4"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c>
          <w:tcPr>
            <w:tcW w:w="2761" w:type="pct"/>
            <w:tcBorders>
              <w:top w:val="single" w:color="auto" w:sz="4" w:space="0"/>
              <w:left w:val="nil"/>
              <w:bottom w:val="single" w:color="000000" w:sz="6" w:space="0"/>
              <w:right w:val="single" w:color="auto" w:sz="4"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社会反响佳，媒体无负面报道得10分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存在极少数的不良反响，且解决后无相关负面报道得8分；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存在不良反响，且较难解决得4分；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存在不良反响，社会影响面较大得0分。</w:t>
            </w:r>
          </w:p>
        </w:tc>
        <w:tc>
          <w:tcPr>
            <w:tcW w:w="673" w:type="pct"/>
            <w:tcBorders>
              <w:top w:val="single" w:color="auto" w:sz="4" w:space="0"/>
              <w:left w:val="single" w:color="auto" w:sz="4"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auto" w:sz="4"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c>
          <w:tcPr>
            <w:tcW w:w="619" w:type="pct"/>
            <w:tcBorders>
              <w:top w:val="single" w:color="auto" w:sz="4"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安置方案流程</w:t>
            </w:r>
          </w:p>
        </w:tc>
        <w:tc>
          <w:tcPr>
            <w:tcW w:w="604" w:type="pct"/>
            <w:tcBorders>
              <w:top w:val="single" w:color="auto" w:sz="4"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c>
          <w:tcPr>
            <w:tcW w:w="2761" w:type="pct"/>
            <w:tcBorders>
              <w:top w:val="single" w:color="auto" w:sz="4" w:space="0"/>
              <w:left w:val="nil"/>
              <w:bottom w:val="single" w:color="000000" w:sz="6" w:space="0"/>
              <w:right w:val="single" w:color="auto" w:sz="4"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安置方案及流程：</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安置流程简明扼要，能做到安置户“最多跑一次”得10分；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安置流程较为复杂，安置户需花较多时间。得8分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安置流程存在缺陷。得0分。</w:t>
            </w:r>
          </w:p>
        </w:tc>
        <w:tc>
          <w:tcPr>
            <w:tcW w:w="673" w:type="pct"/>
            <w:tcBorders>
              <w:top w:val="single" w:color="auto" w:sz="4" w:space="0"/>
              <w:left w:val="single" w:color="auto" w:sz="4"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11</w:t>
            </w:r>
          </w:p>
        </w:tc>
        <w:tc>
          <w:tcPr>
            <w:tcW w:w="619"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档案资料管理</w:t>
            </w:r>
          </w:p>
        </w:tc>
        <w:tc>
          <w:tcPr>
            <w:tcW w:w="604"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c>
          <w:tcPr>
            <w:tcW w:w="2761" w:type="pct"/>
            <w:tcBorders>
              <w:top w:val="single" w:color="000000" w:sz="6" w:space="0"/>
              <w:left w:val="nil"/>
              <w:bottom w:val="single" w:color="000000" w:sz="6" w:space="0"/>
              <w:right w:val="single" w:color="auto" w:sz="4"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各资料分档归档，各类文件、各安置户资料、资金管理资料：</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整齐、齐全、资料清晰易找，得10分；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资料基本整齐，较难查找，得8分；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存在资料丢失，得0分。</w:t>
            </w:r>
          </w:p>
        </w:tc>
        <w:tc>
          <w:tcPr>
            <w:tcW w:w="673" w:type="pct"/>
            <w:tcBorders>
              <w:top w:val="single" w:color="000000" w:sz="6" w:space="0"/>
              <w:left w:val="single" w:color="auto" w:sz="4" w:space="0"/>
              <w:bottom w:val="single" w:color="000000" w:sz="6"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000000" w:sz="6" w:space="0"/>
              <w:left w:val="single" w:color="000000" w:sz="6" w:space="0"/>
              <w:right w:val="single" w:color="000000" w:sz="6" w:space="0"/>
            </w:tcBorders>
            <w:tcMar>
              <w:top w:w="0" w:type="dxa"/>
              <w:left w:w="105" w:type="dxa"/>
              <w:bottom w:w="0" w:type="dxa"/>
              <w:right w:w="105" w:type="dxa"/>
            </w:tcMar>
            <w:vAlign w:val="center"/>
          </w:tcPr>
          <w:p>
            <w:pPr>
              <w:widowControl/>
              <w:jc w:val="lef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安置考核奖惩：</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安置考核每年度考核一次；</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安置考核分达到80分为合格分；</w:t>
            </w:r>
          </w:p>
          <w:p>
            <w:pPr>
              <w:pStyle w:val="23"/>
              <w:spacing w:after="0"/>
              <w:ind w:firstLine="0" w:firstLineChars="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安置考核低于80分或满分10分单项考核分得分为0的，考核不合格，甲方有权解除合同，相关违约金按合同执行。</w:t>
            </w:r>
          </w:p>
        </w:tc>
      </w:tr>
    </w:tbl>
    <w:p>
      <w:pPr>
        <w:pStyle w:val="448"/>
        <w:shd w:val="clear" w:color="auto" w:fill="auto"/>
        <w:spacing w:before="0" w:after="0"/>
        <w:jc w:val="left"/>
        <w:rPr>
          <w:rFonts w:ascii="新宋体" w:hAnsi="新宋体" w:eastAsia="新宋体" w:cs="新宋体"/>
          <w:color w:val="auto"/>
          <w:kern w:val="1"/>
          <w:sz w:val="22"/>
          <w:szCs w:val="22"/>
          <w:highlight w:val="none"/>
        </w:rPr>
      </w:pPr>
    </w:p>
    <w:p>
      <w:pPr>
        <w:pStyle w:val="448"/>
        <w:shd w:val="clear" w:color="auto" w:fill="auto"/>
        <w:spacing w:before="0" w:after="0"/>
        <w:jc w:val="left"/>
        <w:rPr>
          <w:rFonts w:ascii="新宋体" w:hAnsi="新宋体" w:eastAsia="新宋体" w:cs="新宋体"/>
          <w:color w:val="auto"/>
          <w:spacing w:val="0"/>
          <w:sz w:val="22"/>
          <w:szCs w:val="22"/>
          <w:highlight w:val="none"/>
          <w:lang w:val="zh-CN"/>
        </w:rPr>
      </w:pPr>
    </w:p>
    <w:p>
      <w:pPr>
        <w:pStyle w:val="700"/>
        <w:keepNext/>
        <w:keepLines/>
        <w:shd w:val="clear" w:color="auto" w:fill="auto"/>
        <w:ind w:left="140"/>
        <w:jc w:val="left"/>
        <w:rPr>
          <w:rFonts w:ascii="新宋体" w:hAnsi="新宋体" w:eastAsia="新宋体" w:cs="新宋体"/>
          <w:color w:val="auto"/>
          <w:sz w:val="22"/>
          <w:szCs w:val="22"/>
          <w:highlight w:val="none"/>
        </w:rPr>
      </w:pPr>
      <w:r>
        <w:rPr>
          <w:rFonts w:hint="eastAsia" w:ascii="新宋体" w:hAnsi="新宋体" w:eastAsia="新宋体" w:cs="新宋体"/>
          <w:color w:val="auto"/>
          <w:spacing w:val="0"/>
          <w:sz w:val="22"/>
          <w:szCs w:val="22"/>
          <w:highlight w:val="none"/>
        </w:rPr>
        <w:br w:type="page"/>
      </w:r>
      <w:r>
        <w:rPr>
          <w:rFonts w:hint="eastAsia" w:ascii="新宋体" w:hAnsi="新宋体" w:eastAsia="新宋体" w:cs="新宋体"/>
          <w:bCs w:val="0"/>
          <w:color w:val="auto"/>
          <w:sz w:val="22"/>
          <w:szCs w:val="22"/>
          <w:highlight w:val="none"/>
        </w:rPr>
        <w:t xml:space="preserve"> </w:t>
      </w:r>
    </w:p>
    <w:p>
      <w:pPr>
        <w:pStyle w:val="4"/>
        <w:rPr>
          <w:rFonts w:ascii="新宋体" w:hAnsi="新宋体" w:eastAsia="新宋体" w:cs="新宋体"/>
          <w:bCs w:val="0"/>
          <w:color w:val="auto"/>
          <w:sz w:val="36"/>
          <w:szCs w:val="36"/>
          <w:highlight w:val="none"/>
        </w:rPr>
      </w:pPr>
      <w:bookmarkStart w:id="109" w:name="_Toc21106"/>
      <w:bookmarkStart w:id="110" w:name="_Toc30581"/>
      <w:bookmarkStart w:id="111" w:name="_Toc29422"/>
      <w:bookmarkStart w:id="112" w:name="_Toc5314"/>
      <w:r>
        <w:rPr>
          <w:rFonts w:hint="eastAsia" w:ascii="新宋体" w:hAnsi="新宋体" w:eastAsia="新宋体" w:cs="新宋体"/>
          <w:bCs w:val="0"/>
          <w:color w:val="auto"/>
          <w:sz w:val="36"/>
          <w:szCs w:val="36"/>
          <w:highlight w:val="none"/>
        </w:rPr>
        <w:t>第四部分   投标文件格式</w:t>
      </w:r>
      <w:bookmarkEnd w:id="109"/>
      <w:bookmarkEnd w:id="110"/>
      <w:bookmarkEnd w:id="111"/>
      <w:bookmarkEnd w:id="112"/>
    </w:p>
    <w:p>
      <w:pPr>
        <w:spacing w:before="120" w:beforeLines="50" w:after="120" w:afterLines="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（资格审查资料封面，供参考）</w:t>
      </w: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投标文件</w:t>
      </w: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pStyle w:val="23"/>
        <w:ind w:firstLine="281"/>
        <w:rPr>
          <w:rFonts w:ascii="新宋体" w:hAnsi="新宋体" w:eastAsia="新宋体" w:cs="新宋体"/>
          <w:color w:val="auto"/>
          <w:sz w:val="28"/>
          <w:szCs w:val="28"/>
          <w:highlight w:val="none"/>
        </w:rPr>
      </w:pPr>
    </w:p>
    <w:p>
      <w:pPr>
        <w:pStyle w:val="23"/>
        <w:ind w:firstLine="281"/>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资格审查资料</w:t>
      </w: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ascii="新宋体" w:hAnsi="新宋体" w:eastAsia="新宋体" w:cs="新宋体"/>
          <w:color w:val="auto"/>
          <w:sz w:val="28"/>
          <w:szCs w:val="28"/>
          <w:highlight w:val="none"/>
          <w:u w:val="singl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ascii="新宋体" w:hAnsi="新宋体" w:eastAsia="新宋体" w:cs="新宋体"/>
          <w:color w:val="auto"/>
          <w:sz w:val="28"/>
          <w:szCs w:val="28"/>
          <w:highlight w:val="none"/>
        </w:rPr>
      </w:pPr>
    </w:p>
    <w:p>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spacing w:line="4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br w:type="page"/>
      </w:r>
    </w:p>
    <w:p>
      <w:pPr>
        <w:jc w:val="center"/>
        <w:rPr>
          <w:rFonts w:ascii="新宋体" w:hAnsi="新宋体" w:eastAsia="新宋体" w:cs="新宋体"/>
          <w:b/>
          <w:bCs/>
          <w:color w:val="auto"/>
          <w:sz w:val="52"/>
          <w:szCs w:val="52"/>
          <w:highlight w:val="none"/>
        </w:rPr>
      </w:pPr>
      <w:bookmarkStart w:id="113" w:name="_Toc504034734"/>
      <w:bookmarkStart w:id="114" w:name="_Toc465107614"/>
      <w:r>
        <w:rPr>
          <w:rFonts w:hint="eastAsia" w:ascii="新宋体" w:hAnsi="新宋体" w:eastAsia="新宋体" w:cs="新宋体"/>
          <w:b/>
          <w:bCs/>
          <w:color w:val="auto"/>
          <w:sz w:val="52"/>
          <w:szCs w:val="52"/>
          <w:highlight w:val="none"/>
        </w:rPr>
        <w:t>目    录</w:t>
      </w:r>
    </w:p>
    <w:p>
      <w:pPr>
        <w:numPr>
          <w:ilvl w:val="0"/>
          <w:numId w:val="24"/>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法定代表人（单位负责人）授权书和被授权人有效身份证明。</w:t>
      </w:r>
    </w:p>
    <w:p>
      <w:pPr>
        <w:numPr>
          <w:ilvl w:val="0"/>
          <w:numId w:val="24"/>
        </w:numPr>
        <w:spacing w:before="120" w:beforeLines="50" w:after="120" w:afterLines="50" w:line="480" w:lineRule="auto"/>
        <w:rPr>
          <w:rFonts w:ascii="新宋体" w:hAnsi="新宋体" w:eastAsia="新宋体"/>
          <w:color w:val="auto"/>
          <w:sz w:val="22"/>
          <w:szCs w:val="22"/>
          <w:highlight w:val="none"/>
        </w:rPr>
      </w:pPr>
      <w:r>
        <w:rPr>
          <w:rFonts w:hint="eastAsia" w:ascii="宋体" w:hAnsi="宋体" w:cs="宋体"/>
          <w:color w:val="auto"/>
          <w:kern w:val="0"/>
          <w:sz w:val="22"/>
          <w:szCs w:val="22"/>
          <w:highlight w:val="none"/>
        </w:rPr>
        <w:t>联合体协议书（非联合体无需提供）。</w:t>
      </w:r>
    </w:p>
    <w:p>
      <w:pPr>
        <w:numPr>
          <w:ilvl w:val="0"/>
          <w:numId w:val="24"/>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营业执照(或事业法人登记证书或其它工商等登记证明材料)。</w:t>
      </w:r>
    </w:p>
    <w:p>
      <w:pPr>
        <w:numPr>
          <w:ilvl w:val="0"/>
          <w:numId w:val="24"/>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最近一个年度的资产负债表等财务报表资料文件或开标前三个月内出具的银行资信证明（若资信证明中注明复印无效，需提交原件扫描件），新成立的公司，必须提供情况说明。</w:t>
      </w:r>
    </w:p>
    <w:p>
      <w:pPr>
        <w:numPr>
          <w:ilvl w:val="0"/>
          <w:numId w:val="24"/>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具有履行合同所必需的设备和专业技术能力的承诺函；</w:t>
      </w:r>
    </w:p>
    <w:p>
      <w:pPr>
        <w:numPr>
          <w:ilvl w:val="0"/>
          <w:numId w:val="24"/>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参加政府采购活动前3年内（新成立不满三年的组织机构自成立之日起算）在经营活动中没有重大违法记录的声明函</w:t>
      </w:r>
    </w:p>
    <w:p>
      <w:pPr>
        <w:numPr>
          <w:ilvl w:val="0"/>
          <w:numId w:val="24"/>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单位组织形式声明函</w:t>
      </w:r>
    </w:p>
    <w:p>
      <w:pPr>
        <w:numPr>
          <w:ilvl w:val="0"/>
          <w:numId w:val="24"/>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诚信投标承诺书</w:t>
      </w:r>
    </w:p>
    <w:p>
      <w:pPr>
        <w:numPr>
          <w:ilvl w:val="0"/>
          <w:numId w:val="24"/>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至本项目投标截止时间内任意时间的“信用中国（https://www.creditchina.gov.cn/）”、“中国政府采购网（http://www.ccgp.gov.cn/）”投标人信用查询网页截图（以开标当日采购人或采购代理机构网页查询结果为准）。</w:t>
      </w:r>
    </w:p>
    <w:p>
      <w:pPr>
        <w:pStyle w:val="4"/>
        <w:spacing w:line="360" w:lineRule="auto"/>
        <w:ind w:left="420"/>
        <w:jc w:val="left"/>
        <w:rPr>
          <w:rFonts w:ascii="新宋体" w:hAnsi="新宋体" w:eastAsia="新宋体" w:cs="新宋体"/>
          <w:b w:val="0"/>
          <w:color w:val="auto"/>
          <w:sz w:val="22"/>
          <w:szCs w:val="22"/>
          <w:highlight w:val="none"/>
        </w:rPr>
      </w:pPr>
    </w:p>
    <w:p>
      <w:pPr>
        <w:pStyle w:val="4"/>
        <w:spacing w:line="360" w:lineRule="auto"/>
        <w:ind w:left="420"/>
        <w:jc w:val="left"/>
        <w:rPr>
          <w:rFonts w:ascii="新宋体" w:hAnsi="新宋体" w:eastAsia="新宋体" w:cs="新宋体"/>
          <w:b w:val="0"/>
          <w:color w:val="auto"/>
          <w:sz w:val="22"/>
          <w:szCs w:val="22"/>
          <w:highlight w:val="none"/>
        </w:rPr>
      </w:pPr>
    </w:p>
    <w:p>
      <w:pPr>
        <w:pStyle w:val="4"/>
        <w:spacing w:line="360" w:lineRule="auto"/>
        <w:ind w:left="420"/>
        <w:jc w:val="left"/>
        <w:rPr>
          <w:rFonts w:ascii="新宋体" w:hAnsi="新宋体" w:eastAsia="新宋体" w:cs="新宋体"/>
          <w:b w:val="0"/>
          <w:color w:val="auto"/>
          <w:sz w:val="22"/>
          <w:szCs w:val="22"/>
          <w:highlight w:val="none"/>
        </w:rPr>
      </w:pPr>
    </w:p>
    <w:p>
      <w:pPr>
        <w:pStyle w:val="4"/>
        <w:spacing w:line="360" w:lineRule="auto"/>
        <w:ind w:left="420"/>
        <w:rPr>
          <w:rFonts w:ascii="新宋体" w:hAnsi="新宋体" w:eastAsia="新宋体" w:cs="新宋体"/>
          <w:b w:val="0"/>
          <w:color w:val="auto"/>
          <w:sz w:val="22"/>
          <w:szCs w:val="22"/>
          <w:highlight w:val="none"/>
        </w:rPr>
      </w:pPr>
      <w:r>
        <w:rPr>
          <w:rFonts w:hint="eastAsia" w:ascii="新宋体" w:hAnsi="新宋体" w:eastAsia="新宋体" w:cs="新宋体"/>
          <w:b w:val="0"/>
          <w:color w:val="auto"/>
          <w:sz w:val="22"/>
          <w:szCs w:val="22"/>
          <w:highlight w:val="none"/>
        </w:rPr>
        <w:br w:type="page"/>
      </w: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法定代表人授权书</w:t>
      </w:r>
    </w:p>
    <w:p>
      <w:pPr>
        <w:spacing w:line="420" w:lineRule="exact"/>
        <w:rPr>
          <w:rFonts w:ascii="新宋体" w:hAnsi="新宋体" w:eastAsia="新宋体"/>
          <w:b/>
          <w:color w:val="auto"/>
          <w:sz w:val="22"/>
          <w:szCs w:val="22"/>
          <w:highlight w:val="none"/>
        </w:rPr>
      </w:pP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温州市鹿城区城中村改造建设中心：</w:t>
      </w: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华诚工程咨询集团有限公司：</w:t>
      </w:r>
    </w:p>
    <w:p>
      <w:pPr>
        <w:spacing w:line="460" w:lineRule="exact"/>
        <w:rPr>
          <w:rFonts w:ascii="新宋体" w:hAnsi="新宋体" w:eastAsia="新宋体"/>
          <w:color w:val="auto"/>
          <w:sz w:val="22"/>
          <w:szCs w:val="22"/>
          <w:highlight w:val="none"/>
          <w:u w:val="single"/>
        </w:rPr>
      </w:pPr>
    </w:p>
    <w:p>
      <w:pPr>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（投标人全称）法定代表人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（全权代表姓名）为全权代表，参加贵处组织的</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（招标项目名称、编号）的招标活动，全权代表我方处理招标活动中的一切事宜。</w:t>
      </w:r>
    </w:p>
    <w:p>
      <w:pPr>
        <w:spacing w:line="460" w:lineRule="exact"/>
        <w:ind w:firstLine="2955"/>
        <w:rPr>
          <w:rFonts w:ascii="新宋体" w:hAnsi="新宋体" w:eastAsia="新宋体"/>
          <w:color w:val="auto"/>
          <w:sz w:val="22"/>
          <w:szCs w:val="22"/>
          <w:highlight w:val="none"/>
        </w:rPr>
      </w:pPr>
    </w:p>
    <w:p>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460" w:lineRule="exact"/>
        <w:ind w:firstLine="3971" w:firstLineChars="180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 (签字或盖章)：</w:t>
      </w:r>
    </w:p>
    <w:p>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投标人全称（公章）：</w:t>
      </w:r>
    </w:p>
    <w:p>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日期：     年    月   日</w:t>
      </w:r>
    </w:p>
    <w:p>
      <w:pPr>
        <w:spacing w:line="460" w:lineRule="exact"/>
        <w:rPr>
          <w:rFonts w:ascii="新宋体" w:hAnsi="新宋体" w:eastAsia="新宋体"/>
          <w:color w:val="auto"/>
          <w:sz w:val="22"/>
          <w:szCs w:val="22"/>
          <w:highlight w:val="none"/>
        </w:rPr>
      </w:pPr>
    </w:p>
    <w:p>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附：</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授权代表姓名：</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详细通讯地址：</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p>
    <w:p>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邮政编码:</w:t>
      </w:r>
    </w:p>
    <w:tbl>
      <w:tblPr>
        <w:tblStyle w:val="56"/>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投标人代表身份证复印件</w:t>
            </w:r>
          </w:p>
          <w:p>
            <w:pPr>
              <w:spacing w:line="380" w:lineRule="exact"/>
              <w:jc w:val="center"/>
              <w:rPr>
                <w:rFonts w:ascii="新宋体" w:hAnsi="新宋体" w:eastAsia="新宋体"/>
                <w:b/>
                <w:bCs/>
                <w:color w:val="auto"/>
                <w:sz w:val="28"/>
                <w:highlight w:val="none"/>
              </w:rPr>
            </w:pPr>
          </w:p>
        </w:tc>
      </w:tr>
    </w:tbl>
    <w:p>
      <w:pPr>
        <w:spacing w:line="400" w:lineRule="exact"/>
        <w:jc w:val="center"/>
        <w:rPr>
          <w:rFonts w:ascii="新宋体" w:hAnsi="新宋体" w:eastAsia="新宋体" w:cs="宋体"/>
          <w:b/>
          <w:color w:val="auto"/>
          <w:spacing w:val="-6"/>
          <w:sz w:val="24"/>
          <w:highlight w:val="none"/>
        </w:rPr>
      </w:pPr>
      <w:r>
        <w:rPr>
          <w:rFonts w:hint="eastAsia" w:ascii="新宋体" w:hAnsi="新宋体" w:eastAsia="新宋体"/>
          <w:color w:val="auto"/>
          <w:sz w:val="22"/>
          <w:szCs w:val="22"/>
          <w:highlight w:val="none"/>
        </w:rPr>
        <w:br w:type="page"/>
      </w:r>
      <w:r>
        <w:rPr>
          <w:rFonts w:hint="eastAsia" w:ascii="新宋体" w:hAnsi="新宋体" w:eastAsia="新宋体" w:cs="宋体"/>
          <w:b/>
          <w:color w:val="auto"/>
          <w:spacing w:val="-6"/>
          <w:sz w:val="24"/>
          <w:highlight w:val="none"/>
        </w:rPr>
        <w:t>202</w:t>
      </w:r>
      <w:r>
        <w:rPr>
          <w:rFonts w:hint="eastAsia" w:ascii="新宋体" w:hAnsi="新宋体" w:eastAsia="新宋体" w:cs="宋体"/>
          <w:b/>
          <w:color w:val="auto"/>
          <w:spacing w:val="-6"/>
          <w:sz w:val="24"/>
          <w:highlight w:val="none"/>
          <w:lang w:val="en-US" w:eastAsia="zh-CN"/>
        </w:rPr>
        <w:t>1</w:t>
      </w:r>
      <w:r>
        <w:rPr>
          <w:rFonts w:hint="eastAsia" w:ascii="新宋体" w:hAnsi="新宋体" w:eastAsia="新宋体" w:cs="宋体"/>
          <w:b/>
          <w:color w:val="auto"/>
          <w:spacing w:val="-6"/>
          <w:sz w:val="24"/>
          <w:highlight w:val="none"/>
        </w:rPr>
        <w:t>年度的财务报告（复印件）或开标前三个月内出具的银行资信证明</w:t>
      </w:r>
    </w:p>
    <w:p>
      <w:pPr>
        <w:pStyle w:val="27"/>
        <w:spacing w:after="0" w:line="400" w:lineRule="exact"/>
        <w:ind w:left="0" w:leftChars="0" w:right="0" w:rightChars="0"/>
        <w:rPr>
          <w:rFonts w:ascii="新宋体" w:hAnsi="新宋体" w:eastAsia="新宋体" w:cs="宋体"/>
          <w:color w:val="auto"/>
          <w:highlight w:val="none"/>
        </w:rPr>
      </w:pPr>
    </w:p>
    <w:p>
      <w:pPr>
        <w:spacing w:line="400" w:lineRule="exact"/>
        <w:rPr>
          <w:rFonts w:ascii="新宋体" w:hAnsi="新宋体" w:eastAsia="新宋体" w:cs="宋体"/>
          <w:b/>
          <w:color w:val="auto"/>
          <w:spacing w:val="-6"/>
          <w:sz w:val="24"/>
          <w:highlight w:val="none"/>
        </w:rPr>
      </w:pPr>
      <w:r>
        <w:rPr>
          <w:rFonts w:hint="eastAsia" w:ascii="新宋体" w:hAnsi="新宋体" w:eastAsia="新宋体" w:cs="宋体"/>
          <w:b/>
          <w:color w:val="auto"/>
          <w:spacing w:val="-6"/>
          <w:sz w:val="24"/>
          <w:highlight w:val="none"/>
        </w:rPr>
        <w:t>说明：</w:t>
      </w:r>
    </w:p>
    <w:p>
      <w:pPr>
        <w:spacing w:line="400" w:lineRule="exact"/>
        <w:ind w:firstLine="458" w:firstLineChars="200"/>
        <w:rPr>
          <w:rFonts w:ascii="新宋体" w:hAnsi="新宋体" w:eastAsia="新宋体" w:cs="宋体"/>
          <w:b/>
          <w:color w:val="auto"/>
          <w:spacing w:val="-6"/>
          <w:sz w:val="24"/>
          <w:highlight w:val="none"/>
        </w:rPr>
      </w:pPr>
      <w:r>
        <w:rPr>
          <w:rFonts w:hint="eastAsia" w:ascii="新宋体" w:hAnsi="新宋体" w:eastAsia="新宋体" w:cs="宋体"/>
          <w:b/>
          <w:color w:val="auto"/>
          <w:spacing w:val="-6"/>
          <w:sz w:val="24"/>
          <w:highlight w:val="none"/>
        </w:rPr>
        <w:t>1.投标人是法人的，应提供财务状况报告，包括资产负债表、利润表或其基本开户银行出具的资信证明（若资信证明中注明复印无效，需提交原件扫描件）；</w:t>
      </w:r>
    </w:p>
    <w:p>
      <w:pPr>
        <w:spacing w:line="400" w:lineRule="exact"/>
        <w:ind w:firstLine="458" w:firstLineChars="200"/>
        <w:rPr>
          <w:rFonts w:ascii="新宋体" w:hAnsi="新宋体" w:eastAsia="新宋体" w:cs="宋体"/>
          <w:b/>
          <w:color w:val="auto"/>
          <w:spacing w:val="-6"/>
          <w:sz w:val="24"/>
          <w:highlight w:val="none"/>
        </w:rPr>
      </w:pPr>
      <w:r>
        <w:rPr>
          <w:rFonts w:hint="eastAsia" w:ascii="新宋体" w:hAnsi="新宋体" w:eastAsia="新宋体" w:cs="宋体"/>
          <w:b/>
          <w:color w:val="auto"/>
          <w:spacing w:val="-6"/>
          <w:sz w:val="24"/>
          <w:highlight w:val="none"/>
        </w:rPr>
        <w:t>2.部分其他组织和自然人没有财务状况报告的，可以提供银行出具的资信证明(若资信证明中注明复印无效，需提交原件扫描件)；</w:t>
      </w:r>
    </w:p>
    <w:p>
      <w:pPr>
        <w:spacing w:line="400" w:lineRule="exact"/>
        <w:ind w:firstLine="458" w:firstLineChars="200"/>
        <w:rPr>
          <w:rFonts w:ascii="新宋体" w:hAnsi="新宋体" w:eastAsia="新宋体" w:cs="宋体"/>
          <w:b/>
          <w:color w:val="auto"/>
          <w:spacing w:val="-6"/>
          <w:sz w:val="24"/>
          <w:highlight w:val="none"/>
        </w:rPr>
      </w:pPr>
      <w:r>
        <w:rPr>
          <w:rFonts w:hint="eastAsia" w:ascii="新宋体" w:hAnsi="新宋体" w:eastAsia="新宋体" w:cs="宋体"/>
          <w:b/>
          <w:color w:val="auto"/>
          <w:spacing w:val="-6"/>
          <w:sz w:val="24"/>
          <w:highlight w:val="none"/>
        </w:rPr>
        <w:t>3.成立一年内的公司可提交验资证明复印件；</w:t>
      </w:r>
    </w:p>
    <w:p>
      <w:pPr>
        <w:spacing w:line="400" w:lineRule="exact"/>
        <w:ind w:firstLine="458" w:firstLineChars="200"/>
        <w:rPr>
          <w:rFonts w:ascii="新宋体" w:hAnsi="新宋体" w:eastAsia="新宋体" w:cs="宋体"/>
          <w:b/>
          <w:color w:val="auto"/>
          <w:spacing w:val="-6"/>
          <w:sz w:val="24"/>
          <w:highlight w:val="none"/>
        </w:rPr>
      </w:pPr>
      <w:r>
        <w:rPr>
          <w:rFonts w:hint="eastAsia" w:ascii="新宋体" w:hAnsi="新宋体" w:eastAsia="新宋体" w:cs="宋体"/>
          <w:b/>
          <w:color w:val="auto"/>
          <w:spacing w:val="-6"/>
          <w:sz w:val="24"/>
          <w:highlight w:val="none"/>
        </w:rPr>
        <w:t>4.银行资信证明应能说明投标人与银行之间业务往来正常，企业信誉良好等，银行出具的存款证明不能替代银行资信证明。</w:t>
      </w:r>
    </w:p>
    <w:p>
      <w:pPr>
        <w:spacing w:line="400" w:lineRule="exact"/>
        <w:ind w:firstLine="458" w:firstLineChars="200"/>
        <w:rPr>
          <w:rFonts w:ascii="新宋体" w:hAnsi="新宋体" w:eastAsia="新宋体" w:cs="宋体"/>
          <w:b/>
          <w:color w:val="auto"/>
          <w:spacing w:val="-6"/>
          <w:sz w:val="24"/>
          <w:highlight w:val="none"/>
        </w:rPr>
      </w:pPr>
      <w:r>
        <w:rPr>
          <w:rFonts w:hint="eastAsia" w:ascii="新宋体" w:hAnsi="新宋体" w:eastAsia="新宋体" w:cs="宋体"/>
          <w:b/>
          <w:color w:val="auto"/>
          <w:spacing w:val="-6"/>
          <w:sz w:val="24"/>
          <w:highlight w:val="none"/>
        </w:rPr>
        <w:t>5.专业担保机构对投标人进行资信审查后出具投标担保函的，采购人和采购代理机构不得再要求投标人提供银行资信证明等类似文件。投标文件中仅需提供财政部门认可的政府采购专业担保机构出具的投标担保函复印件即可。</w:t>
      </w: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pStyle w:val="27"/>
        <w:spacing w:after="0" w:line="400" w:lineRule="exact"/>
        <w:ind w:left="0" w:leftChars="0" w:right="0" w:rightChars="0"/>
        <w:rPr>
          <w:rFonts w:ascii="新宋体" w:hAnsi="新宋体" w:eastAsia="新宋体" w:cs="宋体"/>
          <w:color w:val="auto"/>
          <w:highlight w:val="none"/>
        </w:rPr>
      </w:pPr>
    </w:p>
    <w:p>
      <w:pPr>
        <w:spacing w:line="400" w:lineRule="exact"/>
        <w:jc w:val="center"/>
        <w:rPr>
          <w:rFonts w:ascii="新宋体" w:hAnsi="新宋体" w:eastAsia="新宋体" w:cs="宋体"/>
          <w:b/>
          <w:color w:val="auto"/>
          <w:sz w:val="24"/>
          <w:highlight w:val="none"/>
        </w:rPr>
      </w:pPr>
    </w:p>
    <w:p>
      <w:pPr>
        <w:spacing w:line="400" w:lineRule="exact"/>
        <w:jc w:val="center"/>
        <w:rPr>
          <w:rFonts w:ascii="新宋体" w:hAnsi="新宋体" w:eastAsia="新宋体" w:cs="新宋体"/>
          <w:b/>
          <w:color w:val="auto"/>
          <w:kern w:val="0"/>
          <w:sz w:val="28"/>
          <w:szCs w:val="28"/>
          <w:highlight w:val="none"/>
        </w:rPr>
      </w:pPr>
      <w:r>
        <w:rPr>
          <w:rFonts w:ascii="新宋体" w:hAnsi="新宋体" w:eastAsia="新宋体" w:cs="宋体"/>
          <w:b/>
          <w:color w:val="auto"/>
          <w:sz w:val="24"/>
          <w:highlight w:val="none"/>
        </w:rPr>
        <w:br w:type="page"/>
      </w:r>
      <w:r>
        <w:rPr>
          <w:rFonts w:hint="eastAsia" w:ascii="新宋体" w:hAnsi="新宋体" w:eastAsia="新宋体" w:cs="新宋体"/>
          <w:b/>
          <w:color w:val="auto"/>
          <w:kern w:val="0"/>
          <w:sz w:val="28"/>
          <w:szCs w:val="28"/>
          <w:highlight w:val="none"/>
        </w:rPr>
        <w:t>具有履行合同所必需的设备和专业技术能力的承诺函</w:t>
      </w:r>
    </w:p>
    <w:p>
      <w:pPr>
        <w:widowControl/>
        <w:adjustRightInd w:val="0"/>
        <w:snapToGrid w:val="0"/>
        <w:spacing w:line="360" w:lineRule="auto"/>
        <w:jc w:val="center"/>
        <w:rPr>
          <w:rFonts w:ascii="新宋体" w:hAnsi="新宋体" w:eastAsia="新宋体" w:cs="新宋体"/>
          <w:b/>
          <w:color w:val="auto"/>
          <w:kern w:val="0"/>
          <w:sz w:val="28"/>
          <w:szCs w:val="28"/>
          <w:highlight w:val="none"/>
        </w:rPr>
      </w:pPr>
    </w:p>
    <w:p>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温州市鹿城区城中村改造建设中心：</w:t>
      </w:r>
    </w:p>
    <w:p>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华诚工程咨询集团有限公司：</w:t>
      </w:r>
    </w:p>
    <w:p>
      <w:pPr>
        <w:widowControl/>
        <w:adjustRightInd w:val="0"/>
        <w:snapToGrid w:val="0"/>
        <w:spacing w:line="360" w:lineRule="auto"/>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承诺具有履行本次</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（项目名称）政府采购合同所必需的设备和专业技术能力。如有虚假，采购人可取消我方任何资格（投标/中标/签订合同），我方对此无任何异议。</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投标人代表（签字或盖章）：</w:t>
      </w:r>
    </w:p>
    <w:p>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pPr>
        <w:spacing w:line="480" w:lineRule="auto"/>
        <w:ind w:left="1260" w:hanging="559"/>
        <w:rPr>
          <w:rFonts w:ascii="新宋体" w:hAnsi="新宋体" w:eastAsia="新宋体" w:cs="新宋体"/>
          <w:b/>
          <w:bCs/>
          <w:color w:val="auto"/>
          <w:sz w:val="22"/>
          <w:szCs w:val="22"/>
          <w:highlight w:val="none"/>
        </w:rPr>
      </w:pPr>
    </w:p>
    <w:p>
      <w:pPr>
        <w:widowControl/>
        <w:adjustRightInd w:val="0"/>
        <w:snapToGrid w:val="0"/>
        <w:spacing w:line="360" w:lineRule="auto"/>
        <w:jc w:val="center"/>
        <w:rPr>
          <w:rFonts w:ascii="新宋体" w:hAnsi="新宋体" w:eastAsia="新宋体" w:cs="新宋体"/>
          <w:b/>
          <w:color w:val="auto"/>
          <w:kern w:val="0"/>
          <w:sz w:val="32"/>
          <w:szCs w:val="21"/>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rPr>
          <w:rFonts w:ascii="新宋体" w:hAnsi="新宋体" w:eastAsia="新宋体" w:cs="新宋体"/>
          <w:b/>
          <w:bCs/>
          <w:color w:val="auto"/>
          <w:sz w:val="22"/>
          <w:szCs w:val="22"/>
          <w:highlight w:val="none"/>
        </w:rPr>
      </w:pP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参加政府采购活动前3年内在经营活动中没有重大违法记录的</w:t>
      </w: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声明函</w:t>
      </w:r>
    </w:p>
    <w:p>
      <w:pPr>
        <w:spacing w:line="460" w:lineRule="exact"/>
        <w:rPr>
          <w:rFonts w:ascii="新宋体" w:hAnsi="新宋体" w:eastAsia="新宋体" w:cs="楷体"/>
          <w:color w:val="auto"/>
          <w:sz w:val="22"/>
          <w:szCs w:val="22"/>
          <w:highlight w:val="none"/>
        </w:rPr>
      </w:pPr>
      <w:r>
        <w:rPr>
          <w:rFonts w:hint="eastAsia" w:ascii="新宋体" w:hAnsi="新宋体" w:eastAsia="新宋体" w:cs="楷体"/>
          <w:color w:val="auto"/>
          <w:sz w:val="22"/>
          <w:szCs w:val="22"/>
          <w:highlight w:val="none"/>
        </w:rPr>
        <w:t>温州市鹿城区城中村改造建设中心：</w:t>
      </w:r>
    </w:p>
    <w:p>
      <w:pPr>
        <w:widowControl/>
        <w:adjustRightInd w:val="0"/>
        <w:snapToGrid w:val="0"/>
        <w:spacing w:line="460" w:lineRule="exact"/>
        <w:jc w:val="left"/>
        <w:rPr>
          <w:rFonts w:ascii="新宋体" w:hAnsi="新宋体" w:eastAsia="新宋体" w:cs="楷体"/>
          <w:color w:val="auto"/>
          <w:sz w:val="22"/>
          <w:szCs w:val="22"/>
          <w:highlight w:val="none"/>
        </w:rPr>
      </w:pPr>
      <w:r>
        <w:rPr>
          <w:rFonts w:hint="eastAsia" w:ascii="新宋体" w:hAnsi="新宋体" w:eastAsia="新宋体" w:cs="楷体"/>
          <w:color w:val="auto"/>
          <w:sz w:val="22"/>
          <w:szCs w:val="22"/>
          <w:highlight w:val="none"/>
        </w:rPr>
        <w:t>华诚工程咨询集团有限公司：</w:t>
      </w:r>
    </w:p>
    <w:p>
      <w:pPr>
        <w:widowControl/>
        <w:adjustRightInd w:val="0"/>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adjustRightInd w:val="0"/>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以上事项如有虚假或隐瞒，我方愿意承担一切后果和责任。</w:t>
      </w:r>
    </w:p>
    <w:p>
      <w:pPr>
        <w:widowControl/>
        <w:adjustRightInd w:val="0"/>
        <w:snapToGrid w:val="0"/>
        <w:spacing w:line="460" w:lineRule="exact"/>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投标人代表（签字或盖章）：</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          期：  年  月  日</w:t>
      </w: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ascii="新宋体" w:hAnsi="新宋体" w:eastAsia="新宋体"/>
          <w:color w:val="auto"/>
          <w:highlight w:val="none"/>
        </w:rPr>
        <w:br w:type="page"/>
      </w:r>
      <w:r>
        <w:rPr>
          <w:rFonts w:hint="eastAsia" w:ascii="新宋体" w:hAnsi="新宋体" w:eastAsia="新宋体" w:cs="新宋体"/>
          <w:b/>
          <w:color w:val="auto"/>
          <w:kern w:val="0"/>
          <w:sz w:val="28"/>
          <w:szCs w:val="28"/>
          <w:highlight w:val="none"/>
        </w:rPr>
        <w:t>单位组织形式声明函</w:t>
      </w:r>
    </w:p>
    <w:p>
      <w:pPr>
        <w:spacing w:line="460" w:lineRule="exact"/>
        <w:rPr>
          <w:rFonts w:ascii="新宋体" w:hAnsi="新宋体" w:eastAsia="新宋体" w:cs="楷体"/>
          <w:color w:val="auto"/>
          <w:sz w:val="22"/>
          <w:szCs w:val="22"/>
          <w:highlight w:val="none"/>
        </w:rPr>
      </w:pPr>
      <w:r>
        <w:rPr>
          <w:rFonts w:hint="eastAsia" w:ascii="新宋体" w:hAnsi="新宋体" w:eastAsia="新宋体" w:cs="楷体"/>
          <w:color w:val="auto"/>
          <w:sz w:val="22"/>
          <w:szCs w:val="22"/>
          <w:highlight w:val="none"/>
        </w:rPr>
        <w:t>温州市鹿城区城中村改造建设中心：</w:t>
      </w:r>
    </w:p>
    <w:p>
      <w:pPr>
        <w:widowControl/>
        <w:adjustRightInd w:val="0"/>
        <w:snapToGrid w:val="0"/>
        <w:spacing w:line="460" w:lineRule="exact"/>
        <w:jc w:val="left"/>
        <w:rPr>
          <w:rFonts w:ascii="新宋体" w:hAnsi="新宋体" w:eastAsia="新宋体" w:cs="楷体"/>
          <w:color w:val="auto"/>
          <w:sz w:val="22"/>
          <w:szCs w:val="22"/>
          <w:highlight w:val="none"/>
        </w:rPr>
      </w:pPr>
      <w:r>
        <w:rPr>
          <w:rFonts w:hint="eastAsia" w:ascii="新宋体" w:hAnsi="新宋体" w:eastAsia="新宋体" w:cs="楷体"/>
          <w:color w:val="auto"/>
          <w:sz w:val="22"/>
          <w:szCs w:val="22"/>
          <w:highlight w:val="none"/>
        </w:rPr>
        <w:t>华诚工程咨询集团有限公司：</w:t>
      </w:r>
    </w:p>
    <w:p>
      <w:pPr>
        <w:widowControl/>
        <w:adjustRightInd w:val="0"/>
        <w:snapToGrid w:val="0"/>
        <w:spacing w:line="460" w:lineRule="exact"/>
        <w:ind w:firstLine="440" w:firstLineChars="200"/>
        <w:jc w:val="left"/>
        <w:rPr>
          <w:rFonts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我方不属于公益一类事业单位、使用事业编制且由财政拨款保障的群团组织。</w:t>
      </w:r>
    </w:p>
    <w:p>
      <w:pPr>
        <w:widowControl/>
        <w:adjustRightInd w:val="0"/>
        <w:snapToGrid w:val="0"/>
        <w:spacing w:line="460" w:lineRule="exact"/>
        <w:ind w:firstLine="440" w:firstLineChars="200"/>
        <w:jc w:val="left"/>
        <w:rPr>
          <w:rFonts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本公司对上述声明的真实性负责。如有虚假，将依法承担相应责任。</w:t>
      </w:r>
    </w:p>
    <w:p>
      <w:pPr>
        <w:widowControl/>
        <w:adjustRightInd w:val="0"/>
        <w:snapToGrid w:val="0"/>
        <w:spacing w:line="460" w:lineRule="exact"/>
        <w:ind w:firstLine="440" w:firstLineChars="200"/>
        <w:jc w:val="left"/>
        <w:rPr>
          <w:rFonts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特此声明！</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投标人代表（签字或盖章）：</w:t>
      </w:r>
    </w:p>
    <w:p>
      <w:pPr>
        <w:snapToGrid w:val="0"/>
        <w:spacing w:line="300" w:lineRule="auto"/>
        <w:ind w:firstLine="440" w:firstLineChars="200"/>
        <w:jc w:val="left"/>
        <w:rPr>
          <w:rFonts w:ascii="新宋体" w:hAnsi="新宋体" w:eastAsia="新宋体" w:cs="Calibri"/>
          <w:color w:val="auto"/>
          <w:highlight w:val="none"/>
        </w:rPr>
      </w:pPr>
      <w:r>
        <w:rPr>
          <w:rFonts w:hint="eastAsia" w:ascii="新宋体" w:hAnsi="新宋体" w:eastAsia="新宋体" w:cs="新宋体"/>
          <w:color w:val="auto"/>
          <w:kern w:val="0"/>
          <w:sz w:val="22"/>
          <w:szCs w:val="22"/>
          <w:highlight w:val="none"/>
        </w:rPr>
        <w:t>日          期：  年  月  日</w:t>
      </w:r>
    </w:p>
    <w:p>
      <w:pPr>
        <w:pStyle w:val="2"/>
        <w:rPr>
          <w:rFonts w:ascii="新宋体" w:hAnsi="新宋体" w:eastAsia="新宋体"/>
          <w:color w:val="auto"/>
          <w:highlight w:val="none"/>
        </w:rPr>
      </w:pPr>
    </w:p>
    <w:p>
      <w:pPr>
        <w:spacing w:line="360" w:lineRule="auto"/>
        <w:jc w:val="center"/>
        <w:rPr>
          <w:rFonts w:ascii="新宋体" w:hAnsi="新宋体" w:eastAsia="新宋体"/>
          <w:b/>
          <w:color w:val="auto"/>
          <w:sz w:val="30"/>
          <w:highlight w:val="none"/>
        </w:rPr>
      </w:pPr>
      <w:r>
        <w:rPr>
          <w:rFonts w:hint="eastAsia" w:ascii="新宋体" w:hAnsi="新宋体" w:eastAsia="新宋体" w:cs="新宋体"/>
          <w:color w:val="auto"/>
          <w:kern w:val="0"/>
          <w:sz w:val="22"/>
          <w:szCs w:val="22"/>
          <w:highlight w:val="none"/>
        </w:rPr>
        <w:br w:type="page"/>
      </w:r>
      <w:r>
        <w:rPr>
          <w:rFonts w:hint="eastAsia" w:ascii="新宋体" w:hAnsi="新宋体" w:eastAsia="新宋体"/>
          <w:b/>
          <w:color w:val="auto"/>
          <w:sz w:val="30"/>
          <w:highlight w:val="none"/>
        </w:rPr>
        <w:t>诚信投标承诺书</w:t>
      </w:r>
    </w:p>
    <w:p>
      <w:pPr>
        <w:ind w:right="-153" w:rightChars="-73"/>
        <w:jc w:val="center"/>
        <w:rPr>
          <w:rFonts w:ascii="新宋体" w:hAnsi="新宋体" w:eastAsia="新宋体"/>
          <w:color w:val="auto"/>
          <w:sz w:val="22"/>
          <w:szCs w:val="22"/>
          <w:highlight w:val="none"/>
        </w:rPr>
      </w:pPr>
    </w:p>
    <w:p>
      <w:pPr>
        <w:spacing w:line="520" w:lineRule="exact"/>
        <w:ind w:right="-153" w:rightChars="-7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pPr>
        <w:spacing w:line="50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为了积极配合贵公司组织的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pPr>
        <w:numPr>
          <w:ilvl w:val="0"/>
          <w:numId w:val="25"/>
        </w:numPr>
        <w:snapToGrid w:val="0"/>
        <w:spacing w:line="500" w:lineRule="exact"/>
        <w:ind w:left="0" w:firstLine="38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自觉遵守国家法律法规及有关廉政建设制度。</w:t>
      </w:r>
    </w:p>
    <w:p>
      <w:pPr>
        <w:numPr>
          <w:ilvl w:val="0"/>
          <w:numId w:val="25"/>
        </w:numPr>
        <w:snapToGrid w:val="0"/>
        <w:spacing w:line="500" w:lineRule="exact"/>
        <w:ind w:left="0" w:firstLine="38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主动了解采购人招投标纪律，积极配合采购人执行招投标廉政建设的有关规定。</w:t>
      </w:r>
    </w:p>
    <w:p>
      <w:pPr>
        <w:numPr>
          <w:ilvl w:val="0"/>
          <w:numId w:val="25"/>
        </w:numPr>
        <w:snapToGrid w:val="0"/>
        <w:spacing w:line="500" w:lineRule="exact"/>
        <w:ind w:left="0" w:firstLine="38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不使用不正当手段妨碍、排挤其它投标人或串通投标。</w:t>
      </w:r>
    </w:p>
    <w:p>
      <w:pPr>
        <w:numPr>
          <w:ilvl w:val="0"/>
          <w:numId w:val="25"/>
        </w:numPr>
        <w:snapToGrid w:val="0"/>
        <w:spacing w:line="500" w:lineRule="exact"/>
        <w:ind w:left="0" w:firstLine="38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按照本采购文件规定的方式进行投标，不隐瞒本单位投标资质的真实情况，投标资质符合规定。</w:t>
      </w:r>
    </w:p>
    <w:p>
      <w:pPr>
        <w:numPr>
          <w:ilvl w:val="0"/>
          <w:numId w:val="25"/>
        </w:numPr>
        <w:snapToGrid w:val="0"/>
        <w:spacing w:line="500" w:lineRule="exact"/>
        <w:ind w:left="0" w:firstLine="38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numPr>
          <w:ilvl w:val="0"/>
          <w:numId w:val="25"/>
        </w:numPr>
        <w:snapToGrid w:val="0"/>
        <w:spacing w:line="500" w:lineRule="exact"/>
        <w:ind w:left="0" w:firstLine="38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不向采购人及个人购置或提供通讯工具、交通工具和高档办公用品等。</w:t>
      </w:r>
    </w:p>
    <w:p>
      <w:pPr>
        <w:numPr>
          <w:ilvl w:val="0"/>
          <w:numId w:val="25"/>
        </w:numPr>
        <w:snapToGrid w:val="0"/>
        <w:spacing w:line="500" w:lineRule="exact"/>
        <w:ind w:left="0" w:firstLine="38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不向采购人涉及招标的人员的配偶、子女分包此次招标项目。</w:t>
      </w:r>
    </w:p>
    <w:p>
      <w:pPr>
        <w:numPr>
          <w:ilvl w:val="0"/>
          <w:numId w:val="25"/>
        </w:numPr>
        <w:snapToGrid w:val="0"/>
        <w:spacing w:line="500" w:lineRule="exact"/>
        <w:ind w:left="0" w:firstLine="38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不向采购人及个人支付好处费、介绍费。</w:t>
      </w:r>
    </w:p>
    <w:p>
      <w:pPr>
        <w:numPr>
          <w:ilvl w:val="0"/>
          <w:numId w:val="25"/>
        </w:numPr>
        <w:snapToGrid w:val="0"/>
        <w:spacing w:line="500" w:lineRule="exact"/>
        <w:ind w:left="0" w:firstLine="38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一旦发现相关人员在招标过程中的索要财物等不廉洁行为，坚决予以抵制，并及时向有关纪检监察部门举报。</w:t>
      </w:r>
    </w:p>
    <w:p>
      <w:pPr>
        <w:numPr>
          <w:ilvl w:val="0"/>
          <w:numId w:val="25"/>
        </w:numPr>
        <w:snapToGrid w:val="0"/>
        <w:spacing w:line="500" w:lineRule="exact"/>
        <w:ind w:left="0" w:firstLine="38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我们若违反上述承诺，愿接受取消投标人资格及其他任何形式的处理。</w:t>
      </w:r>
    </w:p>
    <w:p>
      <w:pPr>
        <w:snapToGrid w:val="0"/>
        <w:spacing w:line="500" w:lineRule="exact"/>
        <w:ind w:firstLine="385" w:firstLineChars="175"/>
        <w:rPr>
          <w:rFonts w:ascii="新宋体" w:hAnsi="新宋体" w:eastAsia="新宋体"/>
          <w:color w:val="auto"/>
          <w:sz w:val="22"/>
          <w:szCs w:val="22"/>
          <w:highlight w:val="none"/>
        </w:rPr>
      </w:pPr>
    </w:p>
    <w:p>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投标人全称(盖章)</w:t>
      </w:r>
      <w:r>
        <w:rPr>
          <w:rFonts w:hint="eastAsia" w:ascii="新宋体" w:hAnsi="新宋体" w:eastAsia="新宋体"/>
          <w:color w:val="auto"/>
          <w:sz w:val="22"/>
          <w:szCs w:val="22"/>
          <w:highlight w:val="none"/>
          <w:u w:val="single"/>
        </w:rPr>
        <w:t xml:space="preserve">                    </w:t>
      </w:r>
    </w:p>
    <w:p>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投标人代表（签字）</w:t>
      </w:r>
      <w:r>
        <w:rPr>
          <w:rFonts w:hint="eastAsia" w:ascii="新宋体" w:hAnsi="新宋体" w:eastAsia="新宋体"/>
          <w:color w:val="auto"/>
          <w:sz w:val="22"/>
          <w:szCs w:val="22"/>
          <w:highlight w:val="none"/>
          <w:u w:val="single"/>
        </w:rPr>
        <w:t xml:space="preserve">                    </w:t>
      </w:r>
    </w:p>
    <w:p>
      <w:pPr>
        <w:spacing w:line="440" w:lineRule="exac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 xml:space="preserve">                                                   日 期</w:t>
      </w:r>
      <w:r>
        <w:rPr>
          <w:rFonts w:hint="eastAsia" w:ascii="新宋体" w:hAnsi="新宋体" w:eastAsia="新宋体"/>
          <w:color w:val="auto"/>
          <w:sz w:val="22"/>
          <w:szCs w:val="22"/>
          <w:highlight w:val="none"/>
          <w:u w:val="single"/>
        </w:rPr>
        <w:t xml:space="preserve">                               </w:t>
      </w:r>
    </w:p>
    <w:p>
      <w:pPr>
        <w:pStyle w:val="23"/>
        <w:ind w:firstLine="221"/>
        <w:rPr>
          <w:rFonts w:ascii="新宋体" w:hAnsi="新宋体" w:eastAsia="新宋体"/>
          <w:color w:val="auto"/>
          <w:sz w:val="22"/>
          <w:szCs w:val="22"/>
          <w:highlight w:val="none"/>
          <w:u w:val="single"/>
        </w:rPr>
      </w:pPr>
    </w:p>
    <w:p>
      <w:pPr>
        <w:spacing w:line="360" w:lineRule="auto"/>
        <w:rPr>
          <w:rFonts w:ascii="新宋体" w:hAnsi="新宋体" w:eastAsia="新宋体"/>
          <w:color w:val="auto"/>
          <w:sz w:val="22"/>
          <w:szCs w:val="22"/>
          <w:highlight w:val="none"/>
        </w:rPr>
      </w:pPr>
    </w:p>
    <w:p>
      <w:pPr>
        <w:pStyle w:val="23"/>
        <w:ind w:firstLine="321"/>
        <w:rPr>
          <w:rFonts w:ascii="新宋体" w:hAnsi="新宋体" w:eastAsia="新宋体"/>
          <w:color w:val="auto"/>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pStyle w:val="4"/>
        <w:jc w:val="left"/>
        <w:rPr>
          <w:rFonts w:ascii="新宋体" w:hAnsi="新宋体" w:eastAsia="新宋体" w:cs="新宋体"/>
          <w:b w:val="0"/>
          <w:color w:val="auto"/>
          <w:szCs w:val="21"/>
          <w:highlight w:val="none"/>
        </w:rPr>
      </w:pPr>
      <w:r>
        <w:rPr>
          <w:rFonts w:hint="eastAsia" w:ascii="新宋体" w:hAnsi="新宋体" w:eastAsia="新宋体" w:cs="新宋体"/>
          <w:b w:val="0"/>
          <w:color w:val="auto"/>
          <w:szCs w:val="21"/>
          <w:highlight w:val="none"/>
        </w:rPr>
        <w:br w:type="page"/>
      </w:r>
    </w:p>
    <w:p>
      <w:pPr>
        <w:spacing w:before="120" w:beforeLines="50" w:after="120" w:afterLines="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（商务技术文件封面，供参考）</w:t>
      </w:r>
      <w:bookmarkEnd w:id="113"/>
      <w:bookmarkEnd w:id="114"/>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投标文件</w:t>
      </w: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pStyle w:val="23"/>
        <w:ind w:firstLine="281"/>
        <w:rPr>
          <w:rFonts w:ascii="新宋体" w:hAnsi="新宋体" w:eastAsia="新宋体" w:cs="新宋体"/>
          <w:color w:val="auto"/>
          <w:sz w:val="28"/>
          <w:szCs w:val="28"/>
          <w:highlight w:val="none"/>
        </w:rPr>
      </w:pPr>
    </w:p>
    <w:p>
      <w:pPr>
        <w:pStyle w:val="23"/>
        <w:ind w:firstLine="281"/>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商 务 技 术 文 件</w:t>
      </w: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pStyle w:val="23"/>
        <w:ind w:firstLine="321"/>
        <w:rPr>
          <w:rFonts w:ascii="新宋体" w:hAnsi="新宋体" w:eastAsia="新宋体"/>
          <w:color w:val="auto"/>
          <w:highlight w:val="none"/>
        </w:rPr>
      </w:pPr>
    </w:p>
    <w:p>
      <w:pPr>
        <w:spacing w:line="360" w:lineRule="auto"/>
        <w:rPr>
          <w:rFonts w:ascii="新宋体" w:hAnsi="新宋体" w:eastAsia="新宋体" w:cs="新宋体"/>
          <w:color w:val="auto"/>
          <w:szCs w:val="21"/>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ascii="新宋体" w:hAnsi="新宋体" w:eastAsia="新宋体" w:cs="新宋体"/>
          <w:color w:val="auto"/>
          <w:sz w:val="28"/>
          <w:szCs w:val="28"/>
          <w:highlight w:val="none"/>
          <w:u w:val="singl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ascii="新宋体" w:hAnsi="新宋体" w:eastAsia="新宋体" w:cs="新宋体"/>
          <w:color w:val="auto"/>
          <w:sz w:val="28"/>
          <w:szCs w:val="28"/>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pStyle w:val="23"/>
        <w:ind w:firstLine="0" w:firstLineChars="0"/>
        <w:rPr>
          <w:rFonts w:ascii="新宋体" w:hAnsi="新宋体" w:eastAsia="新宋体"/>
          <w:color w:val="auto"/>
          <w:sz w:val="22"/>
          <w:szCs w:val="22"/>
          <w:highlight w:val="none"/>
        </w:rPr>
      </w:pPr>
      <w:r>
        <w:rPr>
          <w:rFonts w:hint="eastAsia" w:ascii="新宋体" w:hAnsi="新宋体" w:eastAsia="新宋体" w:cs="宋体"/>
          <w:color w:val="auto"/>
          <w:highlight w:val="none"/>
        </w:rPr>
        <w:br w:type="page"/>
      </w:r>
    </w:p>
    <w:p>
      <w:pPr>
        <w:numPr>
          <w:ilvl w:val="0"/>
          <w:numId w:val="26"/>
        </w:numPr>
        <w:spacing w:line="5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针对评分细则，编制目录索引，注明评标细则项目所在投标文件页码，格式自拟</w:t>
      </w:r>
    </w:p>
    <w:p>
      <w:pPr>
        <w:numPr>
          <w:ilvl w:val="0"/>
          <w:numId w:val="26"/>
        </w:numPr>
        <w:spacing w:line="5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投标函</w:t>
      </w:r>
    </w:p>
    <w:p>
      <w:pPr>
        <w:numPr>
          <w:ilvl w:val="0"/>
          <w:numId w:val="26"/>
        </w:numPr>
        <w:spacing w:line="5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技术要求应答表、商务条款偏离表</w:t>
      </w:r>
    </w:p>
    <w:p>
      <w:pPr>
        <w:numPr>
          <w:ilvl w:val="0"/>
          <w:numId w:val="26"/>
        </w:numPr>
        <w:spacing w:line="5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投标技术方案（以下内容以及格式均由投标人自行拟定）</w:t>
      </w:r>
    </w:p>
    <w:p>
      <w:pPr>
        <w:spacing w:line="540" w:lineRule="exact"/>
        <w:ind w:firstLine="880" w:firstLine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安置任务化解工作方案</w:t>
      </w:r>
    </w:p>
    <w:p>
      <w:pPr>
        <w:spacing w:line="540" w:lineRule="exact"/>
        <w:ind w:firstLine="880" w:firstLine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资金筹措方案</w:t>
      </w:r>
    </w:p>
    <w:p>
      <w:pPr>
        <w:spacing w:line="540" w:lineRule="exact"/>
        <w:ind w:firstLine="880" w:firstLine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金融机构融资意向</w:t>
      </w:r>
    </w:p>
    <w:p>
      <w:pPr>
        <w:spacing w:line="540" w:lineRule="exact"/>
        <w:ind w:firstLine="880" w:firstLine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安置性商品房筹集（外购）方案及商品房区位品质</w:t>
      </w:r>
    </w:p>
    <w:p>
      <w:pPr>
        <w:spacing w:line="540" w:lineRule="exact"/>
        <w:ind w:firstLine="880" w:firstLine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安置进度保障措施及人员配置</w:t>
      </w:r>
    </w:p>
    <w:p>
      <w:pPr>
        <w:spacing w:line="540" w:lineRule="exact"/>
        <w:ind w:firstLine="880" w:firstLine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与政府有关部门的对接方案</w:t>
      </w:r>
    </w:p>
    <w:p>
      <w:pPr>
        <w:spacing w:line="540" w:lineRule="exact"/>
        <w:ind w:firstLine="880" w:firstLineChars="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投标人的社会责任承担能力与风险分析</w:t>
      </w:r>
    </w:p>
    <w:p>
      <w:pPr>
        <w:spacing w:line="5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五、资信证明文件（本部分为商务技术文件评分内容，各供应商参照评分标准根据自身情况提供）</w:t>
      </w:r>
    </w:p>
    <w:p>
      <w:pPr>
        <w:spacing w:line="460" w:lineRule="exact"/>
        <w:rPr>
          <w:rFonts w:ascii="新宋体" w:hAnsi="新宋体" w:eastAsia="新宋体"/>
          <w:b/>
          <w:bCs/>
          <w:color w:val="auto"/>
          <w:sz w:val="22"/>
          <w:szCs w:val="22"/>
          <w:highlight w:val="none"/>
        </w:rPr>
      </w:pPr>
      <w:r>
        <w:rPr>
          <w:rFonts w:ascii="新宋体" w:hAnsi="新宋体" w:eastAsia="新宋体" w:cs="新宋体"/>
          <w:color w:val="auto"/>
          <w:sz w:val="22"/>
          <w:szCs w:val="22"/>
          <w:highlight w:val="none"/>
        </w:rPr>
        <w:br w:type="page"/>
      </w:r>
      <w:r>
        <w:rPr>
          <w:rFonts w:hint="eastAsia" w:ascii="新宋体" w:hAnsi="新宋体" w:eastAsia="新宋体"/>
          <w:b/>
          <w:bCs/>
          <w:color w:val="auto"/>
          <w:sz w:val="22"/>
          <w:szCs w:val="22"/>
          <w:highlight w:val="none"/>
        </w:rPr>
        <w:t>附件一</w:t>
      </w:r>
    </w:p>
    <w:p>
      <w:pPr>
        <w:spacing w:line="460" w:lineRule="exact"/>
        <w:ind w:left="22" w:hanging="22" w:hangingChars="8"/>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 标 函</w:t>
      </w:r>
    </w:p>
    <w:p>
      <w:pPr>
        <w:spacing w:line="420" w:lineRule="exact"/>
        <w:rPr>
          <w:rFonts w:ascii="新宋体" w:hAnsi="新宋体" w:eastAsia="新宋体"/>
          <w:color w:val="auto"/>
          <w:sz w:val="22"/>
          <w:szCs w:val="22"/>
          <w:highlight w:val="none"/>
        </w:rPr>
      </w:pPr>
      <w:r>
        <w:rPr>
          <w:rFonts w:hint="eastAsia" w:ascii="新宋体" w:hAnsi="新宋体" w:eastAsia="新宋体" w:cs="楷体"/>
          <w:color w:val="auto"/>
          <w:sz w:val="22"/>
          <w:szCs w:val="22"/>
          <w:highlight w:val="none"/>
        </w:rPr>
        <w:t>温州市鹿城区城中村改造建设中心</w:t>
      </w:r>
      <w:r>
        <w:rPr>
          <w:rFonts w:hint="eastAsia" w:ascii="新宋体" w:hAnsi="新宋体" w:eastAsia="新宋体"/>
          <w:color w:val="auto"/>
          <w:sz w:val="22"/>
          <w:szCs w:val="22"/>
          <w:highlight w:val="none"/>
        </w:rPr>
        <w:t>：</w:t>
      </w:r>
    </w:p>
    <w:p>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华诚工程咨询集团有限公司：</w:t>
      </w:r>
    </w:p>
    <w:p>
      <w:pPr>
        <w:spacing w:line="42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项目（项目编号：</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（投标人名称）作为投标人正式授权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（授权代表全名，职务）代表我方处理有关本项目投标的一切事宜。</w:t>
      </w:r>
    </w:p>
    <w:p>
      <w:pPr>
        <w:autoSpaceDE w:val="0"/>
        <w:autoSpaceDN w:val="0"/>
        <w:adjustRightInd w:val="0"/>
        <w:spacing w:line="420" w:lineRule="atLeas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在此提交的投标文件中，包括如下内容，并已分别单独密封装袋：</w:t>
      </w:r>
    </w:p>
    <w:p>
      <w:pPr>
        <w:numPr>
          <w:ilvl w:val="0"/>
          <w:numId w:val="27"/>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按“投标人须知”要求编制的投标文件资格审查资料 ；</w:t>
      </w:r>
    </w:p>
    <w:p>
      <w:pPr>
        <w:numPr>
          <w:ilvl w:val="0"/>
          <w:numId w:val="27"/>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按“投标人须知”要求编制的投标文件商务商务技术文件 ；</w:t>
      </w:r>
    </w:p>
    <w:p>
      <w:pPr>
        <w:numPr>
          <w:ilvl w:val="0"/>
          <w:numId w:val="27"/>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按“投标人须知”要求编制的投标文件投标报价标 。</w:t>
      </w:r>
    </w:p>
    <w:p>
      <w:pPr>
        <w:autoSpaceDE w:val="0"/>
        <w:autoSpaceDN w:val="0"/>
        <w:adjustRightInd w:val="0"/>
        <w:spacing w:line="420" w:lineRule="atLeast"/>
        <w:ind w:firstLine="44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我方己完全明白采购文件的所有条款要求，并重申以下几点：</w:t>
      </w:r>
    </w:p>
    <w:p>
      <w:pPr>
        <w:numPr>
          <w:ilvl w:val="0"/>
          <w:numId w:val="2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pPr>
        <w:numPr>
          <w:ilvl w:val="0"/>
          <w:numId w:val="2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同意提供按照贵方可能要求的与投标有关的一切数据或资料等。若贵方需要，我方愿意提供我方作出的一切承诺的证明材料。</w:t>
      </w:r>
    </w:p>
    <w:p>
      <w:pPr>
        <w:numPr>
          <w:ilvl w:val="0"/>
          <w:numId w:val="2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如中标，保证按照采购文件要求及投标文件的承诺与采购人签订合同，保证履行合同条款。</w:t>
      </w:r>
    </w:p>
    <w:p>
      <w:pPr>
        <w:numPr>
          <w:ilvl w:val="0"/>
          <w:numId w:val="2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同意在采购文件中供应商须知规定的开标日期起遵守本投标书中的承诺且在投标有效期满之前均具有约束力。</w:t>
      </w:r>
    </w:p>
    <w:p>
      <w:pPr>
        <w:numPr>
          <w:ilvl w:val="0"/>
          <w:numId w:val="2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如果在开标后规定的投标有效期内撤回投标，我方接受贵方处罚。</w:t>
      </w:r>
    </w:p>
    <w:p>
      <w:pPr>
        <w:numPr>
          <w:ilvl w:val="0"/>
          <w:numId w:val="2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完全理解贵方不一定要接受最低价的投标。</w:t>
      </w:r>
    </w:p>
    <w:p>
      <w:pPr>
        <w:numPr>
          <w:ilvl w:val="0"/>
          <w:numId w:val="2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在参加本项目前三年内（被通报或者处罚的违法行为有：</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）或（没有因违法经营受到刑事处罚或者责令停产停业、吊销许可证或者执照、较大数额罚款等行政处罚或处罚）或（在</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至</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期间禁止参加政府采购活动但是期限届满，须附相关证明文件）</w:t>
      </w:r>
    </w:p>
    <w:p>
      <w:pPr>
        <w:numPr>
          <w:ilvl w:val="0"/>
          <w:numId w:val="2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color w:val="auto"/>
          <w:sz w:val="22"/>
          <w:highlight w:val="none"/>
        </w:rPr>
        <w:t>www.creditchina.gov.cn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新宋体" w:hAnsi="新宋体" w:eastAsia="新宋体" w:cs="新宋体"/>
          <w:color w:val="auto"/>
          <w:sz w:val="22"/>
          <w:highlight w:val="none"/>
        </w:rPr>
        <w:t>www.ccgp.gov.cn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)列入政府采购严重违法失信行为记录名单。）或（被“信用中国”或“中国政府采购网”列入……名单。）</w:t>
      </w:r>
    </w:p>
    <w:p>
      <w:pPr>
        <w:numPr>
          <w:ilvl w:val="0"/>
          <w:numId w:val="2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单位、法定代表人（单位负责人）、本项目被授权人及本项目负责人在参加本项目前三年内（以法院判决书生效日期为准）均无行贿犯罪记录。</w:t>
      </w:r>
    </w:p>
    <w:p>
      <w:pPr>
        <w:numPr>
          <w:ilvl w:val="0"/>
          <w:numId w:val="2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(1)提供虚假材料（承诺）谋取中标、成交的；</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(2)采取不正当手段诋毁、排挤其他供应商的；</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(3)与采购人、其它供应商或者采购代理机构恶意串通的；</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(4)向采购人、采购代理机构行贿或者提供其他不正当利益的；</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(5)在招标采购过程中与采购人进行协商谈判的；</w:t>
      </w:r>
    </w:p>
    <w:p>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(6)拒绝有关部门监督检查或提供虚假情况的。</w:t>
      </w:r>
    </w:p>
    <w:p>
      <w:pPr>
        <w:numPr>
          <w:ilvl w:val="0"/>
          <w:numId w:val="28"/>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所有与本投标有关的函件请发往下列地址：</w:t>
      </w:r>
    </w:p>
    <w:p>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pPr>
        <w:spacing w:line="420" w:lineRule="exact"/>
        <w:ind w:firstLine="435"/>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pPr>
        <w:spacing w:line="420" w:lineRule="exact"/>
        <w:ind w:firstLine="770" w:firstLineChars="350"/>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p>
    <w:p>
      <w:pPr>
        <w:spacing w:line="420" w:lineRule="exact"/>
        <w:ind w:firstLine="4620"/>
        <w:rPr>
          <w:rFonts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投标人名称（盖章）</w:t>
      </w:r>
      <w:r>
        <w:rPr>
          <w:rFonts w:hint="eastAsia" w:ascii="新宋体" w:hAnsi="新宋体" w:eastAsia="新宋体" w:cs="hakuyoxingshu7000"/>
          <w:color w:val="auto"/>
          <w:sz w:val="22"/>
          <w:szCs w:val="22"/>
          <w:highlight w:val="none"/>
          <w:u w:val="single"/>
        </w:rPr>
        <w:t xml:space="preserve">                  </w:t>
      </w:r>
    </w:p>
    <w:p>
      <w:pPr>
        <w:spacing w:line="420" w:lineRule="exact"/>
        <w:ind w:firstLine="4620"/>
        <w:rPr>
          <w:rFonts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投标人代表（签字）</w:t>
      </w:r>
      <w:r>
        <w:rPr>
          <w:rFonts w:hint="eastAsia" w:ascii="新宋体" w:hAnsi="新宋体" w:eastAsia="新宋体" w:cs="hakuyoxingshu7000"/>
          <w:color w:val="auto"/>
          <w:sz w:val="22"/>
          <w:szCs w:val="22"/>
          <w:highlight w:val="none"/>
          <w:u w:val="single"/>
        </w:rPr>
        <w:t xml:space="preserve">                   </w:t>
      </w:r>
    </w:p>
    <w:p>
      <w:pPr>
        <w:spacing w:line="460" w:lineRule="exact"/>
        <w:ind w:firstLine="4620"/>
        <w:rPr>
          <w:rFonts w:ascii="新宋体" w:hAnsi="新宋体" w:eastAsia="新宋体" w:cs="hakuyoxingshu7000"/>
          <w:color w:val="auto"/>
          <w:sz w:val="22"/>
          <w:szCs w:val="22"/>
          <w:highlight w:val="none"/>
          <w:u w:val="single"/>
        </w:rPr>
      </w:pPr>
      <w:r>
        <w:rPr>
          <w:rFonts w:hint="eastAsia" w:ascii="新宋体" w:hAnsi="新宋体" w:eastAsia="新宋体" w:cs="hakuyoxingshu7000"/>
          <w:color w:val="auto"/>
          <w:sz w:val="22"/>
          <w:szCs w:val="22"/>
          <w:highlight w:val="none"/>
        </w:rPr>
        <w:t>日    期</w:t>
      </w:r>
      <w:r>
        <w:rPr>
          <w:rFonts w:hint="eastAsia" w:ascii="新宋体" w:hAnsi="新宋体" w:eastAsia="新宋体" w:cs="hakuyoxingshu7000"/>
          <w:color w:val="auto"/>
          <w:sz w:val="22"/>
          <w:szCs w:val="22"/>
          <w:highlight w:val="none"/>
          <w:u w:val="single"/>
        </w:rPr>
        <w:t xml:space="preserve">           </w:t>
      </w:r>
    </w:p>
    <w:p>
      <w:pPr>
        <w:spacing w:line="460" w:lineRule="exact"/>
        <w:ind w:firstLine="4620"/>
        <w:rPr>
          <w:rFonts w:ascii="新宋体" w:hAnsi="新宋体" w:eastAsia="新宋体" w:cs="hakuyoxingshu7000"/>
          <w:color w:val="auto"/>
          <w:sz w:val="22"/>
          <w:szCs w:val="22"/>
          <w:highlight w:val="none"/>
          <w:u w:val="single"/>
        </w:rPr>
      </w:pPr>
    </w:p>
    <w:p>
      <w:pPr>
        <w:spacing w:line="460" w:lineRule="exact"/>
        <w:rPr>
          <w:rFonts w:ascii="新宋体" w:hAnsi="新宋体" w:eastAsia="新宋体"/>
          <w:b/>
          <w:color w:val="auto"/>
          <w:sz w:val="22"/>
          <w:szCs w:val="22"/>
          <w:highlight w:val="none"/>
          <w:u w:val="single"/>
        </w:rPr>
      </w:pPr>
      <w:r>
        <w:rPr>
          <w:rFonts w:hint="eastAsia" w:ascii="新宋体" w:hAnsi="新宋体" w:eastAsia="新宋体"/>
          <w:b/>
          <w:color w:val="auto"/>
          <w:sz w:val="22"/>
          <w:szCs w:val="22"/>
          <w:highlight w:val="none"/>
          <w:u w:val="single"/>
        </w:rPr>
        <w:t>▲不提供投标函的投标文件将被视为未实质性响应采购文件。</w:t>
      </w:r>
    </w:p>
    <w:p>
      <w:pPr>
        <w:spacing w:line="460" w:lineRule="exact"/>
        <w:ind w:firstLine="435"/>
        <w:rPr>
          <w:rFonts w:ascii="新宋体" w:hAnsi="新宋体" w:eastAsia="新宋体"/>
          <w:b/>
          <w:color w:val="auto"/>
          <w:sz w:val="22"/>
          <w:szCs w:val="22"/>
          <w:highlight w:val="none"/>
          <w:u w:val="single"/>
        </w:rPr>
      </w:pPr>
    </w:p>
    <w:p>
      <w:pPr>
        <w:spacing w:line="460" w:lineRule="exact"/>
        <w:rPr>
          <w:rFonts w:ascii="新宋体" w:hAnsi="新宋体" w:eastAsia="新宋体"/>
          <w:b/>
          <w:bCs/>
          <w:color w:val="auto"/>
          <w:sz w:val="22"/>
          <w:szCs w:val="22"/>
          <w:highlight w:val="none"/>
        </w:rPr>
      </w:pPr>
      <w:r>
        <w:rPr>
          <w:rFonts w:hint="eastAsia" w:ascii="新宋体" w:hAnsi="新宋体" w:eastAsia="新宋体"/>
          <w:b/>
          <w:color w:val="auto"/>
          <w:sz w:val="22"/>
          <w:szCs w:val="22"/>
          <w:highlight w:val="none"/>
          <w:u w:val="single"/>
        </w:rPr>
        <w:br w:type="page"/>
      </w:r>
      <w:r>
        <w:rPr>
          <w:rFonts w:hint="eastAsia" w:ascii="新宋体" w:hAnsi="新宋体" w:eastAsia="新宋体"/>
          <w:b/>
          <w:bCs/>
          <w:color w:val="auto"/>
          <w:sz w:val="22"/>
          <w:szCs w:val="22"/>
          <w:highlight w:val="none"/>
        </w:rPr>
        <w:t>附件二</w:t>
      </w:r>
    </w:p>
    <w:p>
      <w:pPr>
        <w:spacing w:line="460" w:lineRule="exact"/>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 xml:space="preserve"> (1)技术要求应答表</w:t>
      </w:r>
    </w:p>
    <w:p>
      <w:pPr>
        <w:ind w:firstLine="435"/>
        <w:jc w:val="center"/>
        <w:rPr>
          <w:rFonts w:ascii="新宋体" w:hAnsi="新宋体" w:eastAsia="新宋体"/>
          <w:b/>
          <w:color w:val="auto"/>
          <w:sz w:val="44"/>
          <w:highlight w:val="none"/>
        </w:rPr>
      </w:pPr>
    </w:p>
    <w:p>
      <w:pPr>
        <w:overflowPunct w:val="0"/>
        <w:spacing w:line="380" w:lineRule="exact"/>
        <w:rPr>
          <w:rFonts w:ascii="新宋体" w:hAnsi="新宋体" w:eastAsia="新宋体"/>
          <w:bCs/>
          <w:color w:val="auto"/>
          <w:sz w:val="22"/>
          <w:szCs w:val="22"/>
          <w:highlight w:val="none"/>
        </w:rPr>
      </w:pPr>
      <w:r>
        <w:rPr>
          <w:rFonts w:hint="eastAsia" w:ascii="新宋体" w:hAnsi="新宋体" w:eastAsia="新宋体"/>
          <w:b/>
          <w:color w:val="auto"/>
          <w:sz w:val="24"/>
          <w:highlight w:val="none"/>
        </w:rPr>
        <w:t xml:space="preserve">   </w:t>
      </w:r>
      <w:r>
        <w:rPr>
          <w:rFonts w:hint="eastAsia" w:ascii="新宋体" w:hAnsi="新宋体" w:eastAsia="新宋体"/>
          <w:bCs/>
          <w:color w:val="auto"/>
          <w:sz w:val="22"/>
          <w:szCs w:val="22"/>
          <w:highlight w:val="none"/>
        </w:rPr>
        <w:t>项目名称：                                      项目编号：</w:t>
      </w:r>
    </w:p>
    <w:p>
      <w:pPr>
        <w:ind w:firstLine="361" w:firstLineChars="150"/>
        <w:rPr>
          <w:rFonts w:ascii="新宋体" w:hAnsi="新宋体" w:eastAsia="新宋体"/>
          <w:b/>
          <w:color w:val="auto"/>
          <w:sz w:val="24"/>
          <w:highlight w:val="none"/>
        </w:rPr>
      </w:pPr>
    </w:p>
    <w:tbl>
      <w:tblPr>
        <w:tblStyle w:val="5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2538"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采购文件技术要求</w:t>
            </w:r>
          </w:p>
        </w:tc>
        <w:tc>
          <w:tcPr>
            <w:tcW w:w="2326"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投标人技术响应</w:t>
            </w:r>
          </w:p>
        </w:tc>
        <w:tc>
          <w:tcPr>
            <w:tcW w:w="2115"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902"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pPr>
              <w:jc w:val="center"/>
              <w:rPr>
                <w:rFonts w:ascii="新宋体" w:hAnsi="新宋体" w:eastAsia="新宋体"/>
                <w:color w:val="auto"/>
                <w:sz w:val="22"/>
                <w:szCs w:val="22"/>
                <w:highlight w:val="none"/>
              </w:rPr>
            </w:pPr>
          </w:p>
        </w:tc>
        <w:tc>
          <w:tcPr>
            <w:tcW w:w="2538" w:type="dxa"/>
            <w:vAlign w:val="center"/>
          </w:tcPr>
          <w:p>
            <w:pPr>
              <w:jc w:val="center"/>
              <w:rPr>
                <w:rFonts w:ascii="新宋体" w:hAnsi="新宋体" w:eastAsia="新宋体"/>
                <w:color w:val="auto"/>
                <w:sz w:val="22"/>
                <w:szCs w:val="22"/>
                <w:highlight w:val="none"/>
              </w:rPr>
            </w:pPr>
          </w:p>
        </w:tc>
        <w:tc>
          <w:tcPr>
            <w:tcW w:w="2326" w:type="dxa"/>
            <w:vAlign w:val="center"/>
          </w:tcPr>
          <w:p>
            <w:pPr>
              <w:jc w:val="center"/>
              <w:rPr>
                <w:rFonts w:ascii="新宋体" w:hAnsi="新宋体" w:eastAsia="新宋体"/>
                <w:color w:val="auto"/>
                <w:sz w:val="22"/>
                <w:szCs w:val="22"/>
                <w:highlight w:val="none"/>
              </w:rPr>
            </w:pPr>
          </w:p>
        </w:tc>
        <w:tc>
          <w:tcPr>
            <w:tcW w:w="2115" w:type="dxa"/>
            <w:vAlign w:val="center"/>
          </w:tcPr>
          <w:p>
            <w:pPr>
              <w:jc w:val="center"/>
              <w:rPr>
                <w:rFonts w:ascii="新宋体" w:hAnsi="新宋体" w:eastAsia="新宋体"/>
                <w:color w:val="auto"/>
                <w:sz w:val="22"/>
                <w:szCs w:val="22"/>
                <w:highlight w:val="none"/>
              </w:rPr>
            </w:pPr>
          </w:p>
        </w:tc>
        <w:tc>
          <w:tcPr>
            <w:tcW w:w="1902"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新宋体" w:hAnsi="新宋体" w:eastAsia="新宋体"/>
                <w:color w:val="auto"/>
                <w:sz w:val="22"/>
                <w:szCs w:val="22"/>
                <w:highlight w:val="none"/>
              </w:rPr>
            </w:pPr>
          </w:p>
        </w:tc>
        <w:tc>
          <w:tcPr>
            <w:tcW w:w="2538" w:type="dxa"/>
            <w:vAlign w:val="center"/>
          </w:tcPr>
          <w:p>
            <w:pPr>
              <w:jc w:val="center"/>
              <w:rPr>
                <w:rFonts w:ascii="新宋体" w:hAnsi="新宋体" w:eastAsia="新宋体"/>
                <w:color w:val="auto"/>
                <w:sz w:val="22"/>
                <w:szCs w:val="22"/>
                <w:highlight w:val="none"/>
              </w:rPr>
            </w:pPr>
          </w:p>
        </w:tc>
        <w:tc>
          <w:tcPr>
            <w:tcW w:w="2326" w:type="dxa"/>
            <w:vAlign w:val="center"/>
          </w:tcPr>
          <w:p>
            <w:pPr>
              <w:jc w:val="center"/>
              <w:rPr>
                <w:rFonts w:ascii="新宋体" w:hAnsi="新宋体" w:eastAsia="新宋体"/>
                <w:color w:val="auto"/>
                <w:sz w:val="22"/>
                <w:szCs w:val="22"/>
                <w:highlight w:val="none"/>
              </w:rPr>
            </w:pPr>
          </w:p>
        </w:tc>
        <w:tc>
          <w:tcPr>
            <w:tcW w:w="2115" w:type="dxa"/>
            <w:vAlign w:val="center"/>
          </w:tcPr>
          <w:p>
            <w:pPr>
              <w:jc w:val="center"/>
              <w:rPr>
                <w:rFonts w:ascii="新宋体" w:hAnsi="新宋体" w:eastAsia="新宋体"/>
                <w:color w:val="auto"/>
                <w:sz w:val="22"/>
                <w:szCs w:val="22"/>
                <w:highlight w:val="none"/>
              </w:rPr>
            </w:pPr>
          </w:p>
        </w:tc>
        <w:tc>
          <w:tcPr>
            <w:tcW w:w="1902"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新宋体" w:hAnsi="新宋体" w:eastAsia="新宋体"/>
                <w:color w:val="auto"/>
                <w:sz w:val="22"/>
                <w:szCs w:val="22"/>
                <w:highlight w:val="none"/>
              </w:rPr>
            </w:pPr>
          </w:p>
        </w:tc>
        <w:tc>
          <w:tcPr>
            <w:tcW w:w="2538" w:type="dxa"/>
            <w:vAlign w:val="center"/>
          </w:tcPr>
          <w:p>
            <w:pPr>
              <w:jc w:val="center"/>
              <w:rPr>
                <w:rFonts w:ascii="新宋体" w:hAnsi="新宋体" w:eastAsia="新宋体"/>
                <w:color w:val="auto"/>
                <w:sz w:val="22"/>
                <w:szCs w:val="22"/>
                <w:highlight w:val="none"/>
              </w:rPr>
            </w:pPr>
          </w:p>
        </w:tc>
        <w:tc>
          <w:tcPr>
            <w:tcW w:w="2326" w:type="dxa"/>
            <w:vAlign w:val="center"/>
          </w:tcPr>
          <w:p>
            <w:pPr>
              <w:jc w:val="center"/>
              <w:rPr>
                <w:rFonts w:ascii="新宋体" w:hAnsi="新宋体" w:eastAsia="新宋体"/>
                <w:color w:val="auto"/>
                <w:sz w:val="22"/>
                <w:szCs w:val="22"/>
                <w:highlight w:val="none"/>
              </w:rPr>
            </w:pPr>
          </w:p>
        </w:tc>
        <w:tc>
          <w:tcPr>
            <w:tcW w:w="2115" w:type="dxa"/>
            <w:vAlign w:val="center"/>
          </w:tcPr>
          <w:p>
            <w:pPr>
              <w:jc w:val="center"/>
              <w:rPr>
                <w:rFonts w:ascii="新宋体" w:hAnsi="新宋体" w:eastAsia="新宋体"/>
                <w:color w:val="auto"/>
                <w:sz w:val="22"/>
                <w:szCs w:val="22"/>
                <w:highlight w:val="none"/>
              </w:rPr>
            </w:pPr>
          </w:p>
        </w:tc>
        <w:tc>
          <w:tcPr>
            <w:tcW w:w="1902"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新宋体" w:hAnsi="新宋体" w:eastAsia="新宋体"/>
                <w:color w:val="auto"/>
                <w:sz w:val="22"/>
                <w:szCs w:val="22"/>
                <w:highlight w:val="none"/>
              </w:rPr>
            </w:pPr>
          </w:p>
        </w:tc>
        <w:tc>
          <w:tcPr>
            <w:tcW w:w="2538" w:type="dxa"/>
            <w:vAlign w:val="center"/>
          </w:tcPr>
          <w:p>
            <w:pPr>
              <w:jc w:val="center"/>
              <w:rPr>
                <w:rFonts w:ascii="新宋体" w:hAnsi="新宋体" w:eastAsia="新宋体"/>
                <w:color w:val="auto"/>
                <w:sz w:val="22"/>
                <w:szCs w:val="22"/>
                <w:highlight w:val="none"/>
              </w:rPr>
            </w:pPr>
          </w:p>
        </w:tc>
        <w:tc>
          <w:tcPr>
            <w:tcW w:w="2326" w:type="dxa"/>
            <w:vAlign w:val="center"/>
          </w:tcPr>
          <w:p>
            <w:pPr>
              <w:jc w:val="center"/>
              <w:rPr>
                <w:rFonts w:ascii="新宋体" w:hAnsi="新宋体" w:eastAsia="新宋体"/>
                <w:color w:val="auto"/>
                <w:sz w:val="22"/>
                <w:szCs w:val="22"/>
                <w:highlight w:val="none"/>
              </w:rPr>
            </w:pPr>
          </w:p>
        </w:tc>
        <w:tc>
          <w:tcPr>
            <w:tcW w:w="2115" w:type="dxa"/>
            <w:vAlign w:val="center"/>
          </w:tcPr>
          <w:p>
            <w:pPr>
              <w:jc w:val="center"/>
              <w:rPr>
                <w:rFonts w:ascii="新宋体" w:hAnsi="新宋体" w:eastAsia="新宋体"/>
                <w:color w:val="auto"/>
                <w:sz w:val="22"/>
                <w:szCs w:val="22"/>
                <w:highlight w:val="none"/>
              </w:rPr>
            </w:pPr>
          </w:p>
        </w:tc>
        <w:tc>
          <w:tcPr>
            <w:tcW w:w="1902"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新宋体" w:hAnsi="新宋体" w:eastAsia="新宋体"/>
                <w:color w:val="auto"/>
                <w:sz w:val="22"/>
                <w:szCs w:val="22"/>
                <w:highlight w:val="none"/>
              </w:rPr>
            </w:pPr>
          </w:p>
        </w:tc>
        <w:tc>
          <w:tcPr>
            <w:tcW w:w="2538" w:type="dxa"/>
            <w:vAlign w:val="center"/>
          </w:tcPr>
          <w:p>
            <w:pPr>
              <w:jc w:val="center"/>
              <w:rPr>
                <w:rFonts w:ascii="新宋体" w:hAnsi="新宋体" w:eastAsia="新宋体"/>
                <w:color w:val="auto"/>
                <w:sz w:val="22"/>
                <w:szCs w:val="22"/>
                <w:highlight w:val="none"/>
              </w:rPr>
            </w:pPr>
          </w:p>
        </w:tc>
        <w:tc>
          <w:tcPr>
            <w:tcW w:w="2326" w:type="dxa"/>
            <w:vAlign w:val="center"/>
          </w:tcPr>
          <w:p>
            <w:pPr>
              <w:jc w:val="center"/>
              <w:rPr>
                <w:rFonts w:ascii="新宋体" w:hAnsi="新宋体" w:eastAsia="新宋体"/>
                <w:color w:val="auto"/>
                <w:sz w:val="22"/>
                <w:szCs w:val="22"/>
                <w:highlight w:val="none"/>
              </w:rPr>
            </w:pPr>
          </w:p>
        </w:tc>
        <w:tc>
          <w:tcPr>
            <w:tcW w:w="2115" w:type="dxa"/>
            <w:vAlign w:val="center"/>
          </w:tcPr>
          <w:p>
            <w:pPr>
              <w:jc w:val="center"/>
              <w:rPr>
                <w:rFonts w:ascii="新宋体" w:hAnsi="新宋体" w:eastAsia="新宋体"/>
                <w:color w:val="auto"/>
                <w:sz w:val="22"/>
                <w:szCs w:val="22"/>
                <w:highlight w:val="none"/>
              </w:rPr>
            </w:pPr>
          </w:p>
        </w:tc>
        <w:tc>
          <w:tcPr>
            <w:tcW w:w="1902" w:type="dxa"/>
            <w:vAlign w:val="center"/>
          </w:tcPr>
          <w:p>
            <w:pPr>
              <w:jc w:val="center"/>
              <w:rPr>
                <w:rFonts w:ascii="新宋体" w:hAnsi="新宋体" w:eastAsia="新宋体"/>
                <w:color w:val="auto"/>
                <w:sz w:val="22"/>
                <w:szCs w:val="22"/>
                <w:highlight w:val="none"/>
              </w:rPr>
            </w:pPr>
          </w:p>
        </w:tc>
      </w:tr>
    </w:tbl>
    <w:p>
      <w:pPr>
        <w:spacing w:line="500" w:lineRule="exact"/>
        <w:rPr>
          <w:rFonts w:ascii="新宋体" w:hAnsi="新宋体" w:eastAsia="新宋体"/>
          <w:color w:val="auto"/>
          <w:sz w:val="24"/>
          <w:highlight w:val="none"/>
        </w:rPr>
      </w:pPr>
      <w:r>
        <w:rPr>
          <w:rFonts w:hint="eastAsia" w:ascii="新宋体" w:hAnsi="新宋体" w:eastAsia="新宋体"/>
          <w:color w:val="auto"/>
          <w:sz w:val="24"/>
          <w:highlight w:val="none"/>
        </w:rPr>
        <w:t>说明：</w:t>
      </w:r>
    </w:p>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不填写此表视作完全响应采购文件要求。</w:t>
      </w:r>
    </w:p>
    <w:p>
      <w:pPr>
        <w:spacing w:line="400" w:lineRule="exact"/>
        <w:rPr>
          <w:rFonts w:ascii="新宋体" w:hAnsi="新宋体" w:eastAsia="新宋体"/>
          <w:color w:val="auto"/>
          <w:sz w:val="22"/>
          <w:szCs w:val="22"/>
          <w:highlight w:val="none"/>
        </w:rPr>
      </w:pPr>
    </w:p>
    <w:p>
      <w:pPr>
        <w:spacing w:line="400" w:lineRule="exact"/>
        <w:rPr>
          <w:rFonts w:ascii="新宋体" w:hAnsi="新宋体" w:eastAsia="新宋体"/>
          <w:color w:val="auto"/>
          <w:sz w:val="22"/>
          <w:szCs w:val="22"/>
          <w:highlight w:val="none"/>
        </w:rPr>
      </w:pPr>
    </w:p>
    <w:p>
      <w:pPr>
        <w:spacing w:line="400" w:lineRule="exact"/>
        <w:rPr>
          <w:rFonts w:ascii="新宋体" w:hAnsi="新宋体" w:eastAsia="新宋体"/>
          <w:color w:val="auto"/>
          <w:sz w:val="22"/>
          <w:szCs w:val="22"/>
          <w:highlight w:val="none"/>
        </w:rPr>
      </w:pPr>
    </w:p>
    <w:p>
      <w:pPr>
        <w:spacing w:line="400" w:lineRule="exact"/>
        <w:rPr>
          <w:rFonts w:ascii="新宋体" w:hAnsi="新宋体" w:eastAsia="新宋体"/>
          <w:color w:val="auto"/>
          <w:sz w:val="22"/>
          <w:szCs w:val="22"/>
          <w:highlight w:val="none"/>
        </w:rPr>
      </w:pPr>
    </w:p>
    <w:p>
      <w:pPr>
        <w:spacing w:line="400" w:lineRule="exact"/>
        <w:ind w:firstLine="770" w:firstLineChars="3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00" w:lineRule="exact"/>
        <w:ind w:firstLine="770" w:firstLineChars="3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投标人代表（签名或盖章）：</w:t>
      </w:r>
    </w:p>
    <w:p>
      <w:pPr>
        <w:spacing w:line="400" w:lineRule="exact"/>
        <w:ind w:firstLine="770" w:firstLineChars="3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pPr>
        <w:spacing w:line="400" w:lineRule="exact"/>
        <w:rPr>
          <w:rFonts w:ascii="新宋体" w:hAnsi="新宋体" w:eastAsia="新宋体"/>
          <w:color w:val="auto"/>
          <w:sz w:val="22"/>
          <w:szCs w:val="22"/>
          <w:highlight w:val="none"/>
        </w:rPr>
      </w:pPr>
    </w:p>
    <w:p>
      <w:pPr>
        <w:spacing w:line="500" w:lineRule="exact"/>
        <w:jc w:val="center"/>
        <w:rPr>
          <w:rFonts w:ascii="新宋体" w:hAnsi="新宋体" w:eastAsia="新宋体"/>
          <w:b/>
          <w:bCs/>
          <w:color w:val="auto"/>
          <w:sz w:val="28"/>
          <w:szCs w:val="28"/>
          <w:highlight w:val="none"/>
        </w:rPr>
      </w:pPr>
      <w:r>
        <w:rPr>
          <w:rFonts w:hint="eastAsia" w:ascii="新宋体" w:hAnsi="新宋体" w:eastAsia="新宋体"/>
          <w:color w:val="auto"/>
          <w:sz w:val="24"/>
          <w:highlight w:val="none"/>
        </w:rPr>
        <w:br w:type="page"/>
      </w:r>
      <w:r>
        <w:rPr>
          <w:rFonts w:hint="eastAsia" w:ascii="新宋体" w:hAnsi="新宋体" w:eastAsia="新宋体"/>
          <w:b/>
          <w:bCs/>
          <w:color w:val="auto"/>
          <w:sz w:val="28"/>
          <w:szCs w:val="28"/>
          <w:highlight w:val="none"/>
        </w:rPr>
        <w:t>(2)商务条款偏离表</w:t>
      </w:r>
    </w:p>
    <w:p>
      <w:pPr>
        <w:ind w:firstLine="435"/>
        <w:jc w:val="center"/>
        <w:rPr>
          <w:rFonts w:ascii="新宋体" w:hAnsi="新宋体" w:eastAsia="新宋体"/>
          <w:b/>
          <w:color w:val="auto"/>
          <w:sz w:val="44"/>
          <w:highlight w:val="none"/>
        </w:rPr>
      </w:pPr>
    </w:p>
    <w:p>
      <w:pPr>
        <w:overflowPunct w:val="0"/>
        <w:spacing w:line="380" w:lineRule="exact"/>
        <w:rPr>
          <w:rFonts w:ascii="新宋体" w:hAnsi="新宋体" w:eastAsia="新宋体"/>
          <w:bCs/>
          <w:color w:val="auto"/>
          <w:sz w:val="22"/>
          <w:szCs w:val="22"/>
          <w:highlight w:val="none"/>
        </w:rPr>
      </w:pPr>
      <w:r>
        <w:rPr>
          <w:rFonts w:hint="eastAsia" w:ascii="新宋体" w:hAnsi="新宋体" w:eastAsia="新宋体"/>
          <w:b/>
          <w:color w:val="auto"/>
          <w:sz w:val="22"/>
          <w:szCs w:val="22"/>
          <w:highlight w:val="none"/>
        </w:rPr>
        <w:t xml:space="preserve">  </w:t>
      </w:r>
      <w:r>
        <w:rPr>
          <w:rFonts w:hint="eastAsia" w:ascii="新宋体" w:hAnsi="新宋体" w:eastAsia="新宋体"/>
          <w:bCs/>
          <w:color w:val="auto"/>
          <w:sz w:val="22"/>
          <w:szCs w:val="22"/>
          <w:highlight w:val="none"/>
        </w:rPr>
        <w:t>项目名称：                                      项目编号：</w:t>
      </w:r>
    </w:p>
    <w:p>
      <w:pPr>
        <w:ind w:firstLine="221" w:firstLineChars="100"/>
        <w:rPr>
          <w:rFonts w:ascii="新宋体" w:hAnsi="新宋体" w:eastAsia="新宋体"/>
          <w:b/>
          <w:color w:val="auto"/>
          <w:sz w:val="22"/>
          <w:szCs w:val="22"/>
          <w:highlight w:val="none"/>
        </w:rPr>
      </w:pPr>
    </w:p>
    <w:tbl>
      <w:tblPr>
        <w:tblStyle w:val="5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1559"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条款内容</w:t>
            </w:r>
          </w:p>
        </w:tc>
        <w:tc>
          <w:tcPr>
            <w:tcW w:w="2184"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采购文件商务条款描述</w:t>
            </w:r>
          </w:p>
        </w:tc>
        <w:tc>
          <w:tcPr>
            <w:tcW w:w="2402"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投标文件商务条款</w:t>
            </w:r>
          </w:p>
        </w:tc>
        <w:tc>
          <w:tcPr>
            <w:tcW w:w="1200"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588"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w:t>
            </w:r>
          </w:p>
        </w:tc>
        <w:tc>
          <w:tcPr>
            <w:tcW w:w="1559" w:type="dxa"/>
            <w:vAlign w:val="center"/>
          </w:tcPr>
          <w:p>
            <w:pPr>
              <w:jc w:val="center"/>
              <w:rPr>
                <w:rFonts w:ascii="新宋体" w:hAnsi="新宋体" w:eastAsia="新宋体"/>
                <w:color w:val="auto"/>
                <w:sz w:val="22"/>
                <w:szCs w:val="22"/>
                <w:highlight w:val="none"/>
              </w:rPr>
            </w:pP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w:t>
            </w:r>
          </w:p>
        </w:tc>
        <w:tc>
          <w:tcPr>
            <w:tcW w:w="1559" w:type="dxa"/>
            <w:vAlign w:val="center"/>
          </w:tcPr>
          <w:p>
            <w:pPr>
              <w:jc w:val="center"/>
              <w:rPr>
                <w:rFonts w:ascii="新宋体" w:hAnsi="新宋体" w:eastAsia="新宋体"/>
                <w:color w:val="auto"/>
                <w:sz w:val="22"/>
                <w:szCs w:val="22"/>
                <w:highlight w:val="none"/>
              </w:rPr>
            </w:pP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p>
        </w:tc>
        <w:tc>
          <w:tcPr>
            <w:tcW w:w="1559" w:type="dxa"/>
            <w:vAlign w:val="center"/>
          </w:tcPr>
          <w:p>
            <w:pPr>
              <w:jc w:val="center"/>
              <w:rPr>
                <w:rFonts w:ascii="新宋体" w:hAnsi="新宋体" w:eastAsia="新宋体"/>
                <w:color w:val="auto"/>
                <w:sz w:val="22"/>
                <w:szCs w:val="22"/>
                <w:highlight w:val="none"/>
              </w:rPr>
            </w:pP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w:t>
            </w:r>
          </w:p>
        </w:tc>
        <w:tc>
          <w:tcPr>
            <w:tcW w:w="1559" w:type="dxa"/>
            <w:vAlign w:val="center"/>
          </w:tcPr>
          <w:p>
            <w:pPr>
              <w:jc w:val="center"/>
              <w:rPr>
                <w:rFonts w:ascii="新宋体" w:hAnsi="新宋体" w:eastAsia="新宋体"/>
                <w:color w:val="auto"/>
                <w:sz w:val="22"/>
                <w:szCs w:val="22"/>
                <w:highlight w:val="none"/>
              </w:rPr>
            </w:pP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w:t>
            </w:r>
          </w:p>
        </w:tc>
        <w:tc>
          <w:tcPr>
            <w:tcW w:w="1559" w:type="dxa"/>
            <w:vAlign w:val="center"/>
          </w:tcPr>
          <w:p>
            <w:pPr>
              <w:jc w:val="center"/>
              <w:rPr>
                <w:rFonts w:ascii="新宋体" w:hAnsi="新宋体" w:eastAsia="新宋体"/>
                <w:color w:val="auto"/>
                <w:sz w:val="22"/>
                <w:szCs w:val="22"/>
                <w:highlight w:val="none"/>
              </w:rPr>
            </w:pP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w:t>
            </w:r>
          </w:p>
        </w:tc>
        <w:tc>
          <w:tcPr>
            <w:tcW w:w="1559" w:type="dxa"/>
            <w:vAlign w:val="center"/>
          </w:tcPr>
          <w:p>
            <w:pPr>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w:t>
            </w:r>
          </w:p>
        </w:tc>
        <w:tc>
          <w:tcPr>
            <w:tcW w:w="2184" w:type="dxa"/>
            <w:vAlign w:val="center"/>
          </w:tcPr>
          <w:p>
            <w:pPr>
              <w:jc w:val="center"/>
              <w:rPr>
                <w:rFonts w:ascii="新宋体" w:hAnsi="新宋体" w:eastAsia="新宋体"/>
                <w:color w:val="auto"/>
                <w:sz w:val="22"/>
                <w:szCs w:val="22"/>
                <w:highlight w:val="none"/>
              </w:rPr>
            </w:pPr>
          </w:p>
        </w:tc>
        <w:tc>
          <w:tcPr>
            <w:tcW w:w="2402" w:type="dxa"/>
            <w:vAlign w:val="center"/>
          </w:tcPr>
          <w:p>
            <w:pPr>
              <w:jc w:val="center"/>
              <w:rPr>
                <w:rFonts w:ascii="新宋体" w:hAnsi="新宋体" w:eastAsia="新宋体"/>
                <w:color w:val="auto"/>
                <w:sz w:val="22"/>
                <w:szCs w:val="22"/>
                <w:highlight w:val="none"/>
              </w:rPr>
            </w:pPr>
          </w:p>
        </w:tc>
        <w:tc>
          <w:tcPr>
            <w:tcW w:w="1200" w:type="dxa"/>
            <w:vAlign w:val="center"/>
          </w:tcPr>
          <w:p>
            <w:pPr>
              <w:jc w:val="center"/>
              <w:rPr>
                <w:rFonts w:ascii="新宋体" w:hAnsi="新宋体" w:eastAsia="新宋体"/>
                <w:color w:val="auto"/>
                <w:sz w:val="22"/>
                <w:szCs w:val="22"/>
                <w:highlight w:val="none"/>
              </w:rPr>
            </w:pPr>
          </w:p>
        </w:tc>
        <w:tc>
          <w:tcPr>
            <w:tcW w:w="1588" w:type="dxa"/>
            <w:vAlign w:val="center"/>
          </w:tcPr>
          <w:p>
            <w:pPr>
              <w:jc w:val="center"/>
              <w:rPr>
                <w:rFonts w:ascii="新宋体" w:hAnsi="新宋体" w:eastAsia="新宋体"/>
                <w:color w:val="auto"/>
                <w:sz w:val="22"/>
                <w:szCs w:val="22"/>
                <w:highlight w:val="none"/>
              </w:rPr>
            </w:pPr>
          </w:p>
        </w:tc>
      </w:tr>
    </w:tbl>
    <w:p>
      <w:pPr>
        <w:spacing w:line="500" w:lineRule="exact"/>
        <w:rPr>
          <w:rFonts w:ascii="新宋体" w:hAnsi="新宋体" w:eastAsia="新宋体"/>
          <w:color w:val="auto"/>
          <w:sz w:val="24"/>
          <w:highlight w:val="none"/>
        </w:rPr>
      </w:pPr>
      <w:r>
        <w:rPr>
          <w:rFonts w:hint="eastAsia" w:ascii="新宋体" w:hAnsi="新宋体" w:eastAsia="新宋体"/>
          <w:color w:val="auto"/>
          <w:sz w:val="24"/>
          <w:highlight w:val="none"/>
        </w:rPr>
        <w:t>说明：</w:t>
      </w:r>
    </w:p>
    <w:p>
      <w:pPr>
        <w:spacing w:line="5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不填写此表视作完全响应采购文件要求。</w:t>
      </w:r>
    </w:p>
    <w:p>
      <w:pPr>
        <w:spacing w:line="500" w:lineRule="exact"/>
        <w:ind w:firstLine="4400" w:firstLineChars="2000"/>
        <w:rPr>
          <w:rFonts w:ascii="新宋体" w:hAnsi="新宋体" w:eastAsia="新宋体"/>
          <w:color w:val="auto"/>
          <w:sz w:val="22"/>
          <w:szCs w:val="22"/>
          <w:highlight w:val="none"/>
        </w:rPr>
      </w:pPr>
    </w:p>
    <w:p>
      <w:pPr>
        <w:spacing w:line="500" w:lineRule="exact"/>
        <w:ind w:firstLine="4400" w:firstLineChars="2000"/>
        <w:rPr>
          <w:rFonts w:ascii="新宋体" w:hAnsi="新宋体" w:eastAsia="新宋体"/>
          <w:color w:val="auto"/>
          <w:sz w:val="22"/>
          <w:szCs w:val="22"/>
          <w:highlight w:val="none"/>
        </w:rPr>
      </w:pPr>
    </w:p>
    <w:p>
      <w:pPr>
        <w:spacing w:line="500" w:lineRule="exact"/>
        <w:ind w:firstLine="4400" w:firstLineChars="2000"/>
        <w:rPr>
          <w:rFonts w:ascii="新宋体" w:hAnsi="新宋体" w:eastAsia="新宋体"/>
          <w:color w:val="auto"/>
          <w:sz w:val="22"/>
          <w:szCs w:val="22"/>
          <w:highlight w:val="none"/>
        </w:rPr>
      </w:pPr>
    </w:p>
    <w:p>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投标人代表（签名或盖章）：</w:t>
      </w:r>
    </w:p>
    <w:p>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pPr>
        <w:tabs>
          <w:tab w:val="left" w:pos="840"/>
        </w:tabs>
        <w:adjustRightInd w:val="0"/>
        <w:snapToGrid w:val="0"/>
        <w:spacing w:line="360" w:lineRule="auto"/>
        <w:ind w:left="420" w:leftChars="200" w:firstLine="330" w:firstLineChars="150"/>
        <w:rPr>
          <w:rFonts w:ascii="新宋体" w:hAnsi="新宋体" w:eastAsia="新宋体"/>
          <w:color w:val="auto"/>
          <w:sz w:val="22"/>
          <w:szCs w:val="22"/>
          <w:highlight w:val="none"/>
        </w:rPr>
      </w:pPr>
    </w:p>
    <w:p>
      <w:pPr>
        <w:spacing w:line="460" w:lineRule="exact"/>
        <w:rPr>
          <w:rFonts w:ascii="新宋体" w:hAnsi="新宋体" w:eastAsia="新宋体" w:cs="新宋体"/>
          <w:b/>
          <w:bCs/>
          <w:color w:val="auto"/>
          <w:sz w:val="22"/>
          <w:szCs w:val="22"/>
          <w:highlight w:val="none"/>
        </w:rPr>
      </w:pPr>
      <w:r>
        <w:rPr>
          <w:rFonts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附件三</w:t>
      </w:r>
    </w:p>
    <w:p>
      <w:pPr>
        <w:spacing w:line="38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供应商为完成本项目组建的工作小组名单</w:t>
      </w:r>
    </w:p>
    <w:p>
      <w:pPr>
        <w:pStyle w:val="31"/>
        <w:spacing w:line="400" w:lineRule="atLeast"/>
        <w:ind w:left="17" w:hanging="17" w:hangingChars="6"/>
        <w:jc w:val="center"/>
        <w:rPr>
          <w:rFonts w:ascii="新宋体" w:hAnsi="新宋体" w:eastAsia="新宋体" w:cs="新宋体"/>
          <w:b/>
          <w:color w:val="auto"/>
          <w:sz w:val="28"/>
          <w:highlight w:val="none"/>
        </w:rPr>
      </w:pPr>
      <w:r>
        <w:rPr>
          <w:rFonts w:hint="eastAsia" w:ascii="新宋体" w:hAnsi="新宋体" w:eastAsia="新宋体" w:cs="新宋体"/>
          <w:b/>
          <w:color w:val="auto"/>
          <w:sz w:val="28"/>
          <w:highlight w:val="none"/>
        </w:rPr>
        <w:t>（1）项目负责人简历表</w:t>
      </w:r>
    </w:p>
    <w:p>
      <w:pPr>
        <w:pStyle w:val="31"/>
        <w:spacing w:line="400" w:lineRule="atLeast"/>
        <w:ind w:left="663" w:hanging="663" w:hangingChars="300"/>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项目名称：                                            项目编号：</w:t>
      </w:r>
    </w:p>
    <w:tbl>
      <w:tblPr>
        <w:tblStyle w:val="56"/>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   名</w:t>
            </w:r>
          </w:p>
        </w:tc>
        <w:tc>
          <w:tcPr>
            <w:tcW w:w="1799" w:type="dxa"/>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  龄</w:t>
            </w:r>
          </w:p>
        </w:tc>
        <w:tc>
          <w:tcPr>
            <w:tcW w:w="1062" w:type="dxa"/>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学  历</w:t>
            </w:r>
          </w:p>
        </w:tc>
        <w:tc>
          <w:tcPr>
            <w:tcW w:w="1568" w:type="dxa"/>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毕业学校</w:t>
            </w:r>
          </w:p>
        </w:tc>
        <w:tc>
          <w:tcPr>
            <w:tcW w:w="1799" w:type="dxa"/>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  业</w:t>
            </w:r>
          </w:p>
        </w:tc>
        <w:tc>
          <w:tcPr>
            <w:tcW w:w="1062" w:type="dxa"/>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务</w:t>
            </w:r>
          </w:p>
        </w:tc>
        <w:tc>
          <w:tcPr>
            <w:tcW w:w="1568" w:type="dxa"/>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称</w:t>
            </w:r>
          </w:p>
        </w:tc>
        <w:tc>
          <w:tcPr>
            <w:tcW w:w="1799" w:type="dxa"/>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拟任何职</w:t>
            </w:r>
          </w:p>
        </w:tc>
        <w:tc>
          <w:tcPr>
            <w:tcW w:w="1062" w:type="dxa"/>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参加工作</w:t>
            </w:r>
          </w:p>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p>
        </w:tc>
        <w:tc>
          <w:tcPr>
            <w:tcW w:w="1568" w:type="dxa"/>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  间</w:t>
            </w:r>
          </w:p>
        </w:tc>
        <w:tc>
          <w:tcPr>
            <w:tcW w:w="8070" w:type="dxa"/>
            <w:gridSpan w:val="6"/>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3427" w:type="dxa"/>
            <w:gridSpan w:val="3"/>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pPr>
              <w:spacing w:line="3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pPr>
              <w:spacing w:line="360" w:lineRule="exact"/>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pPr>
              <w:spacing w:line="360" w:lineRule="exact"/>
              <w:rPr>
                <w:rFonts w:ascii="新宋体" w:hAnsi="新宋体" w:eastAsia="新宋体" w:cs="新宋体"/>
                <w:color w:val="auto"/>
                <w:sz w:val="22"/>
                <w:szCs w:val="22"/>
                <w:highlight w:val="none"/>
              </w:rPr>
            </w:pPr>
          </w:p>
        </w:tc>
        <w:tc>
          <w:tcPr>
            <w:tcW w:w="3427" w:type="dxa"/>
            <w:gridSpan w:val="3"/>
            <w:tcBorders>
              <w:top w:val="single" w:color="auto" w:sz="4" w:space="0"/>
              <w:bottom w:val="single" w:color="auto" w:sz="12" w:space="0"/>
            </w:tcBorders>
            <w:vAlign w:val="center"/>
          </w:tcPr>
          <w:p>
            <w:pPr>
              <w:spacing w:line="360" w:lineRule="exact"/>
              <w:rPr>
                <w:rFonts w:ascii="新宋体" w:hAnsi="新宋体" w:eastAsia="新宋体" w:cs="新宋体"/>
                <w:color w:val="auto"/>
                <w:sz w:val="22"/>
                <w:szCs w:val="22"/>
                <w:highlight w:val="none"/>
              </w:rPr>
            </w:pPr>
          </w:p>
        </w:tc>
        <w:tc>
          <w:tcPr>
            <w:tcW w:w="1440" w:type="dxa"/>
            <w:gridSpan w:val="2"/>
            <w:tcBorders>
              <w:top w:val="single" w:color="auto" w:sz="4" w:space="0"/>
              <w:bottom w:val="single" w:color="auto" w:sz="12" w:space="0"/>
            </w:tcBorders>
            <w:vAlign w:val="center"/>
          </w:tcPr>
          <w:p>
            <w:pPr>
              <w:spacing w:line="360" w:lineRule="exact"/>
              <w:rPr>
                <w:rFonts w:ascii="新宋体" w:hAnsi="新宋体" w:eastAsia="新宋体" w:cs="新宋体"/>
                <w:color w:val="auto"/>
                <w:sz w:val="22"/>
                <w:szCs w:val="22"/>
                <w:highlight w:val="none"/>
              </w:rPr>
            </w:pPr>
          </w:p>
        </w:tc>
        <w:tc>
          <w:tcPr>
            <w:tcW w:w="3642" w:type="dxa"/>
            <w:gridSpan w:val="2"/>
            <w:tcBorders>
              <w:top w:val="single" w:color="auto" w:sz="4" w:space="0"/>
              <w:bottom w:val="single" w:color="auto" w:sz="12" w:space="0"/>
            </w:tcBorders>
            <w:vAlign w:val="center"/>
          </w:tcPr>
          <w:p>
            <w:pPr>
              <w:spacing w:line="360" w:lineRule="exact"/>
              <w:rPr>
                <w:rFonts w:ascii="新宋体" w:hAnsi="新宋体" w:eastAsia="新宋体" w:cs="新宋体"/>
                <w:color w:val="auto"/>
                <w:sz w:val="22"/>
                <w:szCs w:val="22"/>
                <w:highlight w:val="none"/>
              </w:rPr>
            </w:pPr>
          </w:p>
        </w:tc>
      </w:tr>
    </w:tbl>
    <w:p>
      <w:pPr>
        <w:pStyle w:val="31"/>
        <w:spacing w:line="340" w:lineRule="exact"/>
        <w:ind w:left="660" w:hanging="660" w:hangingChars="3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w:t>
      </w:r>
    </w:p>
    <w:p>
      <w:pPr>
        <w:spacing w:line="38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投标人代表（签字或盖章）：</w:t>
      </w:r>
    </w:p>
    <w:p>
      <w:pPr>
        <w:spacing w:line="38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pPr>
        <w:pStyle w:val="31"/>
        <w:tabs>
          <w:tab w:val="left" w:pos="0"/>
          <w:tab w:val="left" w:pos="540"/>
        </w:tabs>
        <w:spacing w:line="340" w:lineRule="exact"/>
        <w:rPr>
          <w:rFonts w:ascii="新宋体" w:hAnsi="新宋体" w:eastAsia="新宋体" w:cs="新宋体"/>
          <w:color w:val="auto"/>
          <w:sz w:val="22"/>
          <w:highlight w:val="none"/>
        </w:rPr>
      </w:pPr>
    </w:p>
    <w:p>
      <w:pPr>
        <w:jc w:val="center"/>
        <w:rPr>
          <w:rFonts w:ascii="新宋体" w:hAnsi="新宋体" w:eastAsia="新宋体" w:cs="新宋体"/>
          <w:b/>
          <w:color w:val="auto"/>
          <w:sz w:val="28"/>
          <w:szCs w:val="21"/>
          <w:highlight w:val="none"/>
        </w:rPr>
      </w:pPr>
      <w:r>
        <w:rPr>
          <w:rFonts w:hint="eastAsia" w:ascii="新宋体" w:hAnsi="新宋体" w:eastAsia="新宋体" w:cs="新宋体"/>
          <w:b/>
          <w:color w:val="auto"/>
          <w:sz w:val="28"/>
          <w:szCs w:val="21"/>
          <w:highlight w:val="none"/>
        </w:rPr>
        <w:br w:type="page"/>
      </w:r>
      <w:r>
        <w:rPr>
          <w:rFonts w:hint="eastAsia" w:ascii="新宋体" w:hAnsi="新宋体" w:eastAsia="新宋体" w:cs="新宋体"/>
          <w:b/>
          <w:color w:val="auto"/>
          <w:sz w:val="28"/>
          <w:szCs w:val="21"/>
          <w:highlight w:val="none"/>
        </w:rPr>
        <w:t>（2）拟投入的项目实施人员名单</w:t>
      </w:r>
    </w:p>
    <w:p>
      <w:pPr>
        <w:rPr>
          <w:rFonts w:ascii="新宋体" w:hAnsi="新宋体" w:eastAsia="新宋体" w:cs="新宋体"/>
          <w:color w:val="auto"/>
          <w:sz w:val="22"/>
          <w:highlight w:val="none"/>
        </w:rPr>
      </w:pPr>
      <w:r>
        <w:rPr>
          <w:rFonts w:hint="eastAsia" w:ascii="新宋体" w:hAnsi="新宋体" w:eastAsia="新宋体" w:cs="新宋体"/>
          <w:b/>
          <w:color w:val="auto"/>
          <w:sz w:val="24"/>
          <w:highlight w:val="none"/>
        </w:rPr>
        <w:t>项目名称：</w:t>
      </w:r>
      <w:r>
        <w:rPr>
          <w:rFonts w:hint="eastAsia" w:ascii="新宋体" w:hAnsi="新宋体" w:eastAsia="新宋体" w:cs="新宋体"/>
          <w:b/>
          <w:color w:val="auto"/>
          <w:sz w:val="22"/>
          <w:highlight w:val="none"/>
        </w:rPr>
        <w:t xml:space="preserve">                                         项目编号：</w:t>
      </w:r>
      <w:r>
        <w:rPr>
          <w:rFonts w:hint="eastAsia" w:ascii="新宋体" w:hAnsi="新宋体" w:eastAsia="新宋体" w:cs="新宋体"/>
          <w:color w:val="auto"/>
          <w:sz w:val="22"/>
          <w:highlight w:val="none"/>
        </w:rPr>
        <w:t xml:space="preserve"> </w:t>
      </w:r>
    </w:p>
    <w:tbl>
      <w:tblPr>
        <w:tblStyle w:val="5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vAlign w:val="center"/>
          </w:tcPr>
          <w:p>
            <w:pPr>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vAlign w:val="center"/>
          </w:tcPr>
          <w:p>
            <w:pPr>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vAlign w:val="center"/>
          </w:tcPr>
          <w:p>
            <w:pPr>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vAlign w:val="center"/>
          </w:tcPr>
          <w:p>
            <w:pPr>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vAlign w:val="center"/>
          </w:tcPr>
          <w:p>
            <w:pPr>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vAlign w:val="center"/>
          </w:tcPr>
          <w:p>
            <w:pPr>
              <w:jc w:val="center"/>
              <w:rPr>
                <w:rFonts w:ascii="新宋体" w:hAnsi="新宋体" w:eastAsia="新宋体" w:cs="新宋体"/>
                <w:color w:val="auto"/>
                <w:sz w:val="22"/>
                <w:highlight w:val="none"/>
              </w:rPr>
            </w:pPr>
            <w:r>
              <w:rPr>
                <w:rFonts w:hint="eastAsia" w:ascii="新宋体" w:hAnsi="新宋体" w:eastAsia="新宋体" w:cs="新宋体"/>
                <w:color w:val="auto"/>
                <w:highlight w:val="none"/>
              </w:rPr>
              <w:t>本工程中的岗位</w:t>
            </w:r>
          </w:p>
        </w:tc>
        <w:tc>
          <w:tcPr>
            <w:tcW w:w="1825" w:type="dxa"/>
            <w:vAlign w:val="center"/>
          </w:tcPr>
          <w:p>
            <w:pPr>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vAlign w:val="center"/>
          </w:tcPr>
          <w:p>
            <w:pPr>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958"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767" w:type="dxa"/>
            <w:vAlign w:val="center"/>
          </w:tcPr>
          <w:p>
            <w:pPr>
              <w:jc w:val="center"/>
              <w:rPr>
                <w:rFonts w:ascii="新宋体" w:hAnsi="新宋体" w:eastAsia="新宋体" w:cs="新宋体"/>
                <w:color w:val="auto"/>
                <w:sz w:val="22"/>
                <w:highlight w:val="none"/>
              </w:rPr>
            </w:pPr>
          </w:p>
        </w:tc>
        <w:tc>
          <w:tcPr>
            <w:tcW w:w="1340" w:type="dxa"/>
            <w:vAlign w:val="center"/>
          </w:tcPr>
          <w:p>
            <w:pPr>
              <w:jc w:val="center"/>
              <w:rPr>
                <w:rFonts w:ascii="新宋体" w:hAnsi="新宋体" w:eastAsia="新宋体" w:cs="新宋体"/>
                <w:color w:val="auto"/>
                <w:sz w:val="22"/>
                <w:highlight w:val="none"/>
              </w:rPr>
            </w:pPr>
          </w:p>
        </w:tc>
        <w:tc>
          <w:tcPr>
            <w:tcW w:w="1326" w:type="dxa"/>
            <w:vAlign w:val="center"/>
          </w:tcPr>
          <w:p>
            <w:pPr>
              <w:jc w:val="center"/>
              <w:rPr>
                <w:rFonts w:ascii="新宋体" w:hAnsi="新宋体" w:eastAsia="新宋体" w:cs="新宋体"/>
                <w:color w:val="auto"/>
                <w:sz w:val="22"/>
                <w:highlight w:val="none"/>
              </w:rPr>
            </w:pPr>
          </w:p>
        </w:tc>
        <w:tc>
          <w:tcPr>
            <w:tcW w:w="1825" w:type="dxa"/>
            <w:vAlign w:val="center"/>
          </w:tcPr>
          <w:p>
            <w:pPr>
              <w:jc w:val="center"/>
              <w:rPr>
                <w:rFonts w:ascii="新宋体" w:hAnsi="新宋体" w:eastAsia="新宋体" w:cs="新宋体"/>
                <w:color w:val="auto"/>
                <w:sz w:val="22"/>
                <w:highlight w:val="none"/>
              </w:rPr>
            </w:pPr>
          </w:p>
        </w:tc>
        <w:tc>
          <w:tcPr>
            <w:tcW w:w="1147" w:type="dxa"/>
            <w:vAlign w:val="center"/>
          </w:tcPr>
          <w:p>
            <w:pPr>
              <w:jc w:val="center"/>
              <w:rPr>
                <w:rFonts w:ascii="新宋体" w:hAnsi="新宋体" w:eastAsia="新宋体" w:cs="新宋体"/>
                <w:color w:val="auto"/>
                <w:sz w:val="22"/>
                <w:highlight w:val="none"/>
              </w:rPr>
            </w:pPr>
          </w:p>
        </w:tc>
      </w:tr>
    </w:tbl>
    <w:p>
      <w:pPr>
        <w:pStyle w:val="31"/>
        <w:spacing w:line="400" w:lineRule="atLeast"/>
        <w:ind w:left="660" w:hanging="660" w:hangingChars="3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注：此表仅提供了表格形式，供应商可按此表格复制。</w:t>
      </w:r>
    </w:p>
    <w:p>
      <w:pPr>
        <w:pStyle w:val="31"/>
        <w:spacing w:line="400" w:lineRule="atLeast"/>
        <w:ind w:left="660" w:hanging="660" w:hangingChars="300"/>
        <w:rPr>
          <w:rFonts w:ascii="新宋体" w:hAnsi="新宋体" w:eastAsia="新宋体" w:cs="新宋体"/>
          <w:color w:val="auto"/>
          <w:sz w:val="22"/>
          <w:highlight w:val="none"/>
        </w:rPr>
      </w:pPr>
    </w:p>
    <w:p>
      <w:pPr>
        <w:pStyle w:val="31"/>
        <w:spacing w:line="400" w:lineRule="atLeast"/>
        <w:ind w:left="660" w:hanging="660" w:hangingChars="300"/>
        <w:rPr>
          <w:rFonts w:ascii="新宋体" w:hAnsi="新宋体" w:eastAsia="新宋体" w:cs="新宋体"/>
          <w:color w:val="auto"/>
          <w:sz w:val="22"/>
          <w:highlight w:val="none"/>
        </w:rPr>
      </w:pPr>
    </w:p>
    <w:p>
      <w:pPr>
        <w:spacing w:line="38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投标人代表（签字或盖章）：</w:t>
      </w:r>
    </w:p>
    <w:p>
      <w:pPr>
        <w:spacing w:line="38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pPr>
        <w:spacing w:line="380" w:lineRule="exact"/>
        <w:jc w:val="center"/>
        <w:rPr>
          <w:rFonts w:ascii="新宋体" w:hAnsi="新宋体" w:eastAsia="新宋体" w:cs="新宋体"/>
          <w:color w:val="auto"/>
          <w:sz w:val="22"/>
          <w:szCs w:val="22"/>
          <w:highlight w:val="none"/>
        </w:rPr>
      </w:pPr>
    </w:p>
    <w:p>
      <w:pPr>
        <w:spacing w:line="380" w:lineRule="exact"/>
        <w:jc w:val="center"/>
        <w:rPr>
          <w:rFonts w:ascii="新宋体" w:hAnsi="新宋体" w:eastAsia="新宋体" w:cs="新宋体"/>
          <w:color w:val="auto"/>
          <w:sz w:val="22"/>
          <w:szCs w:val="22"/>
          <w:highlight w:val="none"/>
        </w:rPr>
      </w:pPr>
    </w:p>
    <w:p>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（报价文件封面，供参考）</w:t>
      </w: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rPr>
          <w:rFonts w:ascii="新宋体" w:hAnsi="新宋体" w:eastAsia="新宋体" w:cs="新宋体"/>
          <w:color w:val="auto"/>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投标文件</w:t>
      </w: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pStyle w:val="23"/>
        <w:ind w:firstLine="281"/>
        <w:rPr>
          <w:rFonts w:ascii="新宋体" w:hAnsi="新宋体" w:eastAsia="新宋体" w:cs="新宋体"/>
          <w:color w:val="auto"/>
          <w:sz w:val="28"/>
          <w:szCs w:val="28"/>
          <w:highlight w:val="none"/>
        </w:rPr>
      </w:pPr>
    </w:p>
    <w:p>
      <w:pPr>
        <w:pStyle w:val="23"/>
        <w:ind w:firstLine="281"/>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rPr>
          <w:rFonts w:ascii="新宋体" w:hAnsi="新宋体" w:eastAsia="新宋体" w:cs="新宋体"/>
          <w:color w:val="auto"/>
          <w:sz w:val="28"/>
          <w:szCs w:val="28"/>
          <w:highlight w:val="none"/>
        </w:rPr>
      </w:pPr>
    </w:p>
    <w:p>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报 价 文 件</w:t>
      </w: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spacing w:line="360" w:lineRule="auto"/>
        <w:rPr>
          <w:rFonts w:ascii="新宋体" w:hAnsi="新宋体" w:eastAsia="新宋体" w:cs="新宋体"/>
          <w:color w:val="auto"/>
          <w:szCs w:val="21"/>
          <w:highlight w:val="non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pPr>
        <w:rPr>
          <w:rFonts w:ascii="新宋体" w:hAnsi="新宋体" w:eastAsia="新宋体" w:cs="新宋体"/>
          <w:color w:val="auto"/>
          <w:sz w:val="28"/>
          <w:szCs w:val="28"/>
          <w:highlight w:val="none"/>
          <w:u w:val="single"/>
        </w:rPr>
      </w:pPr>
    </w:p>
    <w:p>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法定代表人（单位负责人）或其委托代理人：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pPr>
        <w:rPr>
          <w:rFonts w:ascii="新宋体" w:hAnsi="新宋体" w:eastAsia="新宋体" w:cs="新宋体"/>
          <w:color w:val="auto"/>
          <w:sz w:val="28"/>
          <w:szCs w:val="28"/>
          <w:highlight w:val="none"/>
        </w:rPr>
      </w:pPr>
    </w:p>
    <w:p>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pPr>
        <w:overflowPunct w:val="0"/>
        <w:spacing w:line="38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附件一</w:t>
      </w:r>
    </w:p>
    <w:p>
      <w:pPr>
        <w:autoSpaceDE w:val="0"/>
        <w:autoSpaceDN w:val="0"/>
        <w:adjustRightInd w:val="0"/>
        <w:spacing w:line="460" w:lineRule="atLeast"/>
        <w:jc w:val="center"/>
        <w:rPr>
          <w:rFonts w:ascii="新宋体" w:hAnsi="新宋体" w:eastAsia="新宋体" w:cs="新宋体"/>
          <w:b/>
          <w:bCs/>
          <w:color w:val="auto"/>
          <w:kern w:val="0"/>
          <w:sz w:val="28"/>
          <w:szCs w:val="28"/>
          <w:highlight w:val="none"/>
          <w:lang w:val="zh-CN"/>
        </w:rPr>
      </w:pPr>
    </w:p>
    <w:p>
      <w:pPr>
        <w:jc w:val="center"/>
        <w:rPr>
          <w:rFonts w:ascii="新宋体" w:hAnsi="新宋体" w:eastAsia="新宋体" w:cs="新宋体"/>
          <w:b/>
          <w:color w:val="auto"/>
          <w:sz w:val="28"/>
          <w:highlight w:val="none"/>
        </w:rPr>
      </w:pPr>
      <w:r>
        <w:rPr>
          <w:rFonts w:hint="eastAsia" w:ascii="新宋体" w:hAnsi="新宋体" w:eastAsia="新宋体" w:cs="新宋体"/>
          <w:b/>
          <w:color w:val="auto"/>
          <w:sz w:val="28"/>
          <w:highlight w:val="none"/>
        </w:rPr>
        <w:t>开标一览表</w:t>
      </w:r>
    </w:p>
    <w:p>
      <w:pPr>
        <w:overflowPunct w:val="0"/>
        <w:spacing w:line="380" w:lineRule="exact"/>
        <w:jc w:val="center"/>
        <w:rPr>
          <w:rFonts w:ascii="新宋体" w:hAnsi="新宋体" w:eastAsia="新宋体" w:cs="新宋体"/>
          <w:b/>
          <w:bCs/>
          <w:color w:val="auto"/>
          <w:sz w:val="28"/>
          <w:highlight w:val="none"/>
        </w:rPr>
      </w:pPr>
    </w:p>
    <w:p>
      <w:pPr>
        <w:overflowPunct w:val="0"/>
        <w:spacing w:line="380" w:lineRule="exact"/>
        <w:jc w:val="center"/>
        <w:rPr>
          <w:rFonts w:ascii="新宋体" w:hAnsi="新宋体" w:eastAsia="新宋体" w:cs="新宋体"/>
          <w:b/>
          <w:bCs/>
          <w:color w:val="auto"/>
          <w:sz w:val="28"/>
          <w:highlight w:val="none"/>
        </w:rPr>
      </w:pPr>
    </w:p>
    <w:p>
      <w:pPr>
        <w:overflowPunct w:val="0"/>
        <w:spacing w:line="38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p>
      <w:pPr>
        <w:overflowPunct w:val="0"/>
        <w:spacing w:line="380" w:lineRule="exact"/>
        <w:rPr>
          <w:rFonts w:ascii="新宋体" w:hAnsi="新宋体" w:eastAsia="新宋体" w:cs="新宋体"/>
          <w:bCs/>
          <w:color w:val="auto"/>
          <w:sz w:val="22"/>
          <w:szCs w:val="22"/>
          <w:highlight w:val="none"/>
        </w:rPr>
      </w:pP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1115"/>
        <w:gridCol w:w="287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pct"/>
            <w:vAlign w:val="center"/>
          </w:tcPr>
          <w:p>
            <w:pPr>
              <w:snapToGrid w:val="0"/>
              <w:spacing w:line="300" w:lineRule="auto"/>
              <w:jc w:val="center"/>
              <w:rPr>
                <w:rFonts w:ascii="新宋体" w:hAnsi="新宋体" w:eastAsia="新宋体" w:cs="Calibri"/>
                <w:b/>
                <w:color w:val="auto"/>
                <w:sz w:val="22"/>
                <w:szCs w:val="22"/>
                <w:highlight w:val="none"/>
              </w:rPr>
            </w:pPr>
            <w:r>
              <w:rPr>
                <w:rFonts w:ascii="新宋体" w:hAnsi="新宋体" w:eastAsia="新宋体" w:cs="Calibri"/>
                <w:b/>
                <w:color w:val="auto"/>
                <w:sz w:val="22"/>
                <w:szCs w:val="22"/>
                <w:highlight w:val="none"/>
              </w:rPr>
              <w:t>标项名称</w:t>
            </w:r>
          </w:p>
        </w:tc>
        <w:tc>
          <w:tcPr>
            <w:tcW w:w="566" w:type="pct"/>
            <w:vAlign w:val="center"/>
          </w:tcPr>
          <w:p>
            <w:pPr>
              <w:snapToGrid w:val="0"/>
              <w:spacing w:line="300" w:lineRule="auto"/>
              <w:jc w:val="center"/>
              <w:rPr>
                <w:rFonts w:ascii="新宋体" w:hAnsi="新宋体" w:eastAsia="新宋体" w:cs="Calibri"/>
                <w:b/>
                <w:color w:val="auto"/>
                <w:sz w:val="22"/>
                <w:szCs w:val="22"/>
                <w:highlight w:val="none"/>
              </w:rPr>
            </w:pPr>
            <w:r>
              <w:rPr>
                <w:rFonts w:ascii="新宋体" w:hAnsi="新宋体" w:eastAsia="新宋体" w:cs="Calibri"/>
                <w:b/>
                <w:color w:val="auto"/>
                <w:sz w:val="22"/>
                <w:szCs w:val="22"/>
                <w:highlight w:val="none"/>
              </w:rPr>
              <w:t>数量</w:t>
            </w:r>
          </w:p>
        </w:tc>
        <w:tc>
          <w:tcPr>
            <w:tcW w:w="1458" w:type="pct"/>
            <w:vAlign w:val="center"/>
          </w:tcPr>
          <w:p>
            <w:pPr>
              <w:snapToGrid w:val="0"/>
              <w:spacing w:line="300" w:lineRule="auto"/>
              <w:jc w:val="center"/>
              <w:rPr>
                <w:rFonts w:ascii="新宋体" w:hAnsi="新宋体" w:eastAsia="新宋体" w:cs="Calibri"/>
                <w:b/>
                <w:color w:val="auto"/>
                <w:sz w:val="22"/>
                <w:szCs w:val="22"/>
                <w:highlight w:val="none"/>
              </w:rPr>
            </w:pPr>
            <w:r>
              <w:rPr>
                <w:rFonts w:hint="eastAsia" w:ascii="新宋体" w:hAnsi="新宋体" w:eastAsia="新宋体" w:cs="Calibri"/>
                <w:b/>
                <w:color w:val="auto"/>
                <w:sz w:val="22"/>
                <w:szCs w:val="22"/>
                <w:highlight w:val="none"/>
              </w:rPr>
              <w:t>综合单价</w:t>
            </w:r>
          </w:p>
        </w:tc>
        <w:tc>
          <w:tcPr>
            <w:tcW w:w="1493" w:type="pct"/>
            <w:vAlign w:val="center"/>
          </w:tcPr>
          <w:p>
            <w:pPr>
              <w:snapToGrid w:val="0"/>
              <w:spacing w:line="300" w:lineRule="auto"/>
              <w:jc w:val="center"/>
              <w:rPr>
                <w:rFonts w:ascii="新宋体" w:hAnsi="新宋体" w:eastAsia="新宋体" w:cs="Calibri"/>
                <w:b/>
                <w:color w:val="auto"/>
                <w:sz w:val="22"/>
                <w:szCs w:val="22"/>
                <w:highlight w:val="none"/>
              </w:rPr>
            </w:pPr>
            <w:r>
              <w:rPr>
                <w:rFonts w:hint="eastAsia" w:ascii="新宋体" w:hAnsi="新宋体" w:eastAsia="新宋体" w:cs="Calibri"/>
                <w:b/>
                <w:color w:val="auto"/>
                <w:sz w:val="22"/>
                <w:szCs w:val="22"/>
                <w:highlight w:val="none"/>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3" w:type="pct"/>
            <w:vAlign w:val="center"/>
          </w:tcPr>
          <w:p>
            <w:pPr>
              <w:widowControl/>
              <w:snapToGrid w:val="0"/>
              <w:spacing w:line="300" w:lineRule="auto"/>
              <w:jc w:val="center"/>
              <w:rPr>
                <w:rFonts w:hint="eastAsia" w:ascii="新宋体" w:hAnsi="新宋体" w:eastAsia="新宋体" w:cs="Calibri"/>
                <w:color w:val="auto"/>
                <w:kern w:val="0"/>
                <w:sz w:val="22"/>
                <w:szCs w:val="22"/>
                <w:highlight w:val="none"/>
                <w:lang w:eastAsia="zh-CN"/>
              </w:rPr>
            </w:pPr>
            <w:r>
              <w:rPr>
                <w:rFonts w:hint="eastAsia" w:ascii="新宋体" w:hAnsi="新宋体" w:eastAsia="新宋体" w:cs="Calibri"/>
                <w:color w:val="auto"/>
                <w:sz w:val="22"/>
                <w:szCs w:val="22"/>
                <w:highlight w:val="none"/>
                <w:u w:val="single"/>
                <w:lang w:eastAsia="zh-CN"/>
              </w:rPr>
              <w:t>鹿城区安置服务项目（三期）</w:t>
            </w:r>
          </w:p>
        </w:tc>
        <w:tc>
          <w:tcPr>
            <w:tcW w:w="566" w:type="pct"/>
            <w:vAlign w:val="center"/>
          </w:tcPr>
          <w:p>
            <w:pPr>
              <w:widowControl/>
              <w:snapToGrid w:val="0"/>
              <w:spacing w:line="300" w:lineRule="auto"/>
              <w:jc w:val="center"/>
              <w:rPr>
                <w:rFonts w:ascii="新宋体" w:hAnsi="新宋体" w:eastAsia="新宋体" w:cs="Calibri"/>
                <w:color w:val="auto"/>
                <w:kern w:val="0"/>
                <w:sz w:val="22"/>
                <w:szCs w:val="22"/>
                <w:highlight w:val="none"/>
              </w:rPr>
            </w:pPr>
            <w:r>
              <w:rPr>
                <w:rFonts w:hint="eastAsia" w:ascii="新宋体" w:hAnsi="新宋体" w:eastAsia="新宋体" w:cs="Calibri"/>
                <w:color w:val="auto"/>
                <w:kern w:val="0"/>
                <w:sz w:val="22"/>
                <w:szCs w:val="22"/>
                <w:highlight w:val="none"/>
                <w:lang w:eastAsia="zh-CN"/>
              </w:rPr>
              <w:t>447802</w:t>
            </w:r>
            <w:r>
              <w:rPr>
                <w:rFonts w:hint="eastAsia" w:ascii="新宋体" w:hAnsi="新宋体" w:eastAsia="新宋体" w:cs="Calibri"/>
                <w:color w:val="auto"/>
                <w:kern w:val="0"/>
                <w:sz w:val="22"/>
                <w:szCs w:val="22"/>
                <w:highlight w:val="none"/>
              </w:rPr>
              <w:t>m</w:t>
            </w:r>
            <w:r>
              <w:rPr>
                <w:rFonts w:hint="eastAsia" w:ascii="新宋体" w:hAnsi="新宋体" w:eastAsia="新宋体" w:cs="Calibri"/>
                <w:color w:val="auto"/>
                <w:kern w:val="0"/>
                <w:sz w:val="22"/>
                <w:szCs w:val="22"/>
                <w:highlight w:val="none"/>
                <w:vertAlign w:val="superscript"/>
              </w:rPr>
              <w:t>2</w:t>
            </w:r>
          </w:p>
        </w:tc>
        <w:tc>
          <w:tcPr>
            <w:tcW w:w="1458" w:type="pct"/>
            <w:vAlign w:val="center"/>
          </w:tcPr>
          <w:p>
            <w:pPr>
              <w:autoSpaceDE w:val="0"/>
              <w:autoSpaceDN w:val="0"/>
              <w:adjustRightInd w:val="0"/>
              <w:spacing w:line="380" w:lineRule="atLeast"/>
              <w:ind w:right="-1"/>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大写：</w:t>
            </w:r>
            <w:r>
              <w:rPr>
                <w:rFonts w:ascii="新宋体" w:hAnsi="新宋体" w:eastAsia="新宋体" w:cs="Calibri"/>
                <w:color w:val="auto"/>
                <w:sz w:val="22"/>
                <w:szCs w:val="22"/>
                <w:highlight w:val="none"/>
                <w:u w:val="single"/>
              </w:rPr>
              <w:t xml:space="preserve">     </w:t>
            </w:r>
            <w:r>
              <w:rPr>
                <w:rFonts w:hint="eastAsia"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rPr>
              <w:t>元</w:t>
            </w:r>
            <w:r>
              <w:rPr>
                <w:rFonts w:hint="eastAsia" w:ascii="新宋体" w:hAnsi="新宋体" w:eastAsia="新宋体" w:cs="Calibri"/>
                <w:color w:val="auto"/>
                <w:sz w:val="22"/>
                <w:szCs w:val="22"/>
                <w:highlight w:val="none"/>
              </w:rPr>
              <w:t>/</w:t>
            </w:r>
            <w:r>
              <w:rPr>
                <w:rFonts w:hint="eastAsia" w:ascii="新宋体" w:hAnsi="新宋体" w:eastAsia="新宋体" w:cs="Calibri"/>
                <w:color w:val="auto"/>
                <w:kern w:val="0"/>
                <w:sz w:val="22"/>
                <w:szCs w:val="22"/>
                <w:highlight w:val="none"/>
              </w:rPr>
              <w:t xml:space="preserve"> m</w:t>
            </w:r>
            <w:r>
              <w:rPr>
                <w:rFonts w:hint="eastAsia" w:ascii="新宋体" w:hAnsi="新宋体" w:eastAsia="新宋体" w:cs="Calibri"/>
                <w:color w:val="auto"/>
                <w:kern w:val="0"/>
                <w:sz w:val="22"/>
                <w:szCs w:val="22"/>
                <w:highlight w:val="none"/>
                <w:vertAlign w:val="superscript"/>
              </w:rPr>
              <w:t>2</w:t>
            </w:r>
          </w:p>
          <w:p>
            <w:pPr>
              <w:widowControl/>
              <w:snapToGrid w:val="0"/>
              <w:spacing w:line="300" w:lineRule="auto"/>
              <w:rPr>
                <w:rFonts w:ascii="新宋体" w:hAnsi="新宋体" w:eastAsia="新宋体" w:cs="新宋体"/>
                <w:b/>
                <w:bCs/>
                <w:color w:val="auto"/>
                <w:kern w:val="0"/>
                <w:sz w:val="22"/>
                <w:szCs w:val="22"/>
                <w:highlight w:val="none"/>
              </w:rPr>
            </w:pPr>
          </w:p>
          <w:p>
            <w:pPr>
              <w:snapToGrid w:val="0"/>
              <w:spacing w:line="300" w:lineRule="auto"/>
              <w:rPr>
                <w:rFonts w:ascii="新宋体" w:hAnsi="新宋体" w:eastAsia="新宋体" w:cs="Calibri"/>
                <w:b/>
                <w:color w:val="auto"/>
                <w:sz w:val="22"/>
                <w:szCs w:val="22"/>
                <w:highlight w:val="none"/>
              </w:rPr>
            </w:pPr>
            <w:r>
              <w:rPr>
                <w:rFonts w:hint="eastAsia" w:ascii="新宋体" w:hAnsi="新宋体" w:eastAsia="新宋体" w:cs="新宋体"/>
                <w:b/>
                <w:bCs/>
                <w:color w:val="auto"/>
                <w:kern w:val="0"/>
                <w:sz w:val="22"/>
                <w:szCs w:val="22"/>
                <w:highlight w:val="none"/>
              </w:rPr>
              <w:t>小写：¥</w:t>
            </w:r>
            <w:r>
              <w:rPr>
                <w:rFonts w:ascii="新宋体" w:hAnsi="新宋体" w:eastAsia="新宋体" w:cs="Calibri"/>
                <w:color w:val="auto"/>
                <w:sz w:val="22"/>
                <w:szCs w:val="22"/>
                <w:highlight w:val="none"/>
                <w:u w:val="single"/>
              </w:rPr>
              <w:t xml:space="preserve">      </w:t>
            </w:r>
            <w:r>
              <w:rPr>
                <w:rFonts w:hint="eastAsia"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rPr>
              <w:t>元</w:t>
            </w:r>
            <w:r>
              <w:rPr>
                <w:rFonts w:hint="eastAsia" w:ascii="新宋体" w:hAnsi="新宋体" w:eastAsia="新宋体" w:cs="Calibri"/>
                <w:color w:val="auto"/>
                <w:sz w:val="22"/>
                <w:szCs w:val="22"/>
                <w:highlight w:val="none"/>
              </w:rPr>
              <w:t>/</w:t>
            </w:r>
            <w:r>
              <w:rPr>
                <w:rFonts w:hint="eastAsia" w:ascii="新宋体" w:hAnsi="新宋体" w:eastAsia="新宋体" w:cs="Calibri"/>
                <w:color w:val="auto"/>
                <w:kern w:val="0"/>
                <w:sz w:val="22"/>
                <w:szCs w:val="22"/>
                <w:highlight w:val="none"/>
              </w:rPr>
              <w:t xml:space="preserve"> m</w:t>
            </w:r>
            <w:r>
              <w:rPr>
                <w:rFonts w:hint="eastAsia" w:ascii="新宋体" w:hAnsi="新宋体" w:eastAsia="新宋体" w:cs="Calibri"/>
                <w:color w:val="auto"/>
                <w:kern w:val="0"/>
                <w:sz w:val="22"/>
                <w:szCs w:val="22"/>
                <w:highlight w:val="none"/>
                <w:vertAlign w:val="superscript"/>
              </w:rPr>
              <w:t>2</w:t>
            </w:r>
          </w:p>
        </w:tc>
        <w:tc>
          <w:tcPr>
            <w:tcW w:w="1493" w:type="pct"/>
            <w:vAlign w:val="center"/>
          </w:tcPr>
          <w:p>
            <w:pPr>
              <w:autoSpaceDE w:val="0"/>
              <w:autoSpaceDN w:val="0"/>
              <w:adjustRightInd w:val="0"/>
              <w:spacing w:line="380" w:lineRule="atLeast"/>
              <w:ind w:right="-1"/>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大写：</w:t>
            </w:r>
            <w:r>
              <w:rPr>
                <w:rFonts w:ascii="新宋体" w:hAnsi="新宋体" w:eastAsia="新宋体" w:cs="Calibri"/>
                <w:color w:val="auto"/>
                <w:sz w:val="22"/>
                <w:szCs w:val="22"/>
                <w:highlight w:val="none"/>
                <w:u w:val="single"/>
              </w:rPr>
              <w:t xml:space="preserve">     </w:t>
            </w:r>
            <w:r>
              <w:rPr>
                <w:rFonts w:hint="eastAsia"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u w:val="single"/>
              </w:rPr>
              <w:t xml:space="preserve">    </w:t>
            </w:r>
            <w:r>
              <w:rPr>
                <w:rFonts w:hint="eastAsia"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rPr>
              <w:t>元</w:t>
            </w:r>
          </w:p>
          <w:p>
            <w:pPr>
              <w:widowControl/>
              <w:snapToGrid w:val="0"/>
              <w:spacing w:line="300" w:lineRule="auto"/>
              <w:rPr>
                <w:rFonts w:ascii="新宋体" w:hAnsi="新宋体" w:eastAsia="新宋体" w:cs="新宋体"/>
                <w:b/>
                <w:bCs/>
                <w:color w:val="auto"/>
                <w:kern w:val="0"/>
                <w:sz w:val="22"/>
                <w:szCs w:val="22"/>
                <w:highlight w:val="none"/>
              </w:rPr>
            </w:pPr>
          </w:p>
          <w:p>
            <w:pPr>
              <w:snapToGrid w:val="0"/>
              <w:spacing w:line="300" w:lineRule="auto"/>
              <w:rPr>
                <w:rFonts w:ascii="新宋体" w:hAnsi="新宋体" w:eastAsia="新宋体" w:cs="Calibri"/>
                <w:b/>
                <w:color w:val="auto"/>
                <w:sz w:val="22"/>
                <w:szCs w:val="22"/>
                <w:highlight w:val="none"/>
              </w:rPr>
            </w:pPr>
            <w:r>
              <w:rPr>
                <w:rFonts w:hint="eastAsia" w:ascii="新宋体" w:hAnsi="新宋体" w:eastAsia="新宋体" w:cs="新宋体"/>
                <w:b/>
                <w:bCs/>
                <w:color w:val="auto"/>
                <w:kern w:val="0"/>
                <w:sz w:val="22"/>
                <w:szCs w:val="22"/>
                <w:highlight w:val="none"/>
              </w:rPr>
              <w:t>小写：¥</w:t>
            </w:r>
            <w:r>
              <w:rPr>
                <w:rFonts w:ascii="新宋体" w:hAnsi="新宋体" w:eastAsia="新宋体" w:cs="Calibri"/>
                <w:color w:val="auto"/>
                <w:sz w:val="22"/>
                <w:szCs w:val="22"/>
                <w:highlight w:val="none"/>
                <w:u w:val="single"/>
              </w:rPr>
              <w:t xml:space="preserve">       </w:t>
            </w:r>
            <w:r>
              <w:rPr>
                <w:rFonts w:hint="eastAsia"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u w:val="single"/>
              </w:rPr>
              <w:t xml:space="preserve">    </w:t>
            </w:r>
            <w:r>
              <w:rPr>
                <w:rFonts w:hint="eastAsia"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rPr>
              <w:t>元</w:t>
            </w:r>
          </w:p>
        </w:tc>
      </w:tr>
    </w:tbl>
    <w:p>
      <w:pPr>
        <w:pStyle w:val="2"/>
        <w:rPr>
          <w:rFonts w:ascii="新宋体" w:hAnsi="新宋体" w:eastAsia="新宋体"/>
          <w:color w:val="auto"/>
          <w:highlight w:val="none"/>
        </w:rPr>
      </w:pPr>
    </w:p>
    <w:p>
      <w:pPr>
        <w:overflowPunct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pPr>
        <w:spacing w:line="380" w:lineRule="exact"/>
        <w:ind w:left="11" w:hanging="11" w:hangingChars="5"/>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1.上表投标总价应与“投标分项报价表”中总计价相一致。</w:t>
      </w:r>
    </w:p>
    <w:p>
      <w:pPr>
        <w:spacing w:line="380" w:lineRule="exact"/>
        <w:ind w:left="11" w:hanging="11" w:hangingChars="5"/>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2.不提供此表的报价，视为没有实质性响应采购文件要求。</w:t>
      </w:r>
    </w:p>
    <w:p>
      <w:pPr>
        <w:overflowPunct w:val="0"/>
        <w:spacing w:line="460" w:lineRule="exact"/>
        <w:rPr>
          <w:rFonts w:ascii="新宋体" w:hAnsi="新宋体" w:eastAsia="新宋体" w:cs="新宋体"/>
          <w:b/>
          <w:color w:val="auto"/>
          <w:sz w:val="22"/>
          <w:szCs w:val="22"/>
          <w:highlight w:val="none"/>
        </w:rPr>
      </w:pPr>
    </w:p>
    <w:p>
      <w:pPr>
        <w:overflowPunct w:val="0"/>
        <w:spacing w:line="460" w:lineRule="exact"/>
        <w:rPr>
          <w:rFonts w:ascii="新宋体" w:hAnsi="新宋体" w:eastAsia="新宋体" w:cs="新宋体"/>
          <w:color w:val="auto"/>
          <w:sz w:val="22"/>
          <w:szCs w:val="22"/>
          <w:highlight w:val="none"/>
        </w:rPr>
      </w:pPr>
    </w:p>
    <w:p>
      <w:pPr>
        <w:overflowPunct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overflowPunct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投标人代表（签字或盖章）：</w:t>
      </w:r>
    </w:p>
    <w:p>
      <w:pPr>
        <w:overflowPunct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overflowPunct w:val="0"/>
        <w:spacing w:line="460" w:lineRule="exact"/>
        <w:rPr>
          <w:rFonts w:ascii="新宋体" w:hAnsi="新宋体" w:eastAsia="新宋体" w:cs="新宋体"/>
          <w:color w:val="auto"/>
          <w:sz w:val="22"/>
          <w:szCs w:val="22"/>
          <w:highlight w:val="none"/>
        </w:rPr>
      </w:pPr>
    </w:p>
    <w:p>
      <w:pPr>
        <w:overflowPunct w:val="0"/>
        <w:spacing w:line="380" w:lineRule="exact"/>
        <w:ind w:firstLine="9460" w:firstLineChars="4300"/>
        <w:rPr>
          <w:rFonts w:ascii="新宋体" w:hAnsi="新宋体" w:eastAsia="新宋体" w:cs="新宋体"/>
          <w:color w:val="auto"/>
          <w:sz w:val="22"/>
          <w:szCs w:val="22"/>
          <w:highlight w:val="none"/>
        </w:rPr>
      </w:pPr>
    </w:p>
    <w:p>
      <w:pPr>
        <w:spacing w:line="38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8"/>
          <w:szCs w:val="28"/>
          <w:highlight w:val="none"/>
        </w:rPr>
        <w:t>投标分项报价表</w:t>
      </w:r>
    </w:p>
    <w:p>
      <w:pPr>
        <w:spacing w:line="380" w:lineRule="exact"/>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项目名称： </w:t>
      </w:r>
      <w:r>
        <w:rPr>
          <w:rFonts w:hint="eastAsia" w:ascii="新宋体" w:hAnsi="新宋体" w:eastAsia="新宋体" w:cs="新宋体"/>
          <w:color w:val="auto"/>
          <w:sz w:val="22"/>
          <w:highlight w:val="none"/>
        </w:rPr>
        <w:t xml:space="preserve">       </w:t>
      </w:r>
      <w:r>
        <w:rPr>
          <w:rFonts w:hint="eastAsia" w:ascii="新宋体" w:hAnsi="新宋体" w:eastAsia="新宋体" w:cs="新宋体"/>
          <w:b/>
          <w:color w:val="auto"/>
          <w:sz w:val="22"/>
          <w:highlight w:val="none"/>
        </w:rPr>
        <w:t xml:space="preserve">                             项目编号：</w:t>
      </w:r>
    </w:p>
    <w:p>
      <w:pPr>
        <w:spacing w:line="380" w:lineRule="exact"/>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价格单位：元</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819"/>
        <w:gridCol w:w="2956"/>
        <w:gridCol w:w="1780"/>
        <w:gridCol w:w="116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r>
              <w:rPr>
                <w:rFonts w:ascii="新宋体" w:hAnsi="新宋体" w:eastAsia="新宋体" w:cs="Calibri"/>
                <w:color w:val="auto"/>
                <w:sz w:val="22"/>
                <w:szCs w:val="22"/>
                <w:highlight w:val="none"/>
              </w:rPr>
              <w:t>序号</w:t>
            </w:r>
          </w:p>
        </w:tc>
        <w:tc>
          <w:tcPr>
            <w:tcW w:w="92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r>
              <w:rPr>
                <w:rFonts w:ascii="新宋体" w:hAnsi="新宋体" w:eastAsia="新宋体" w:cs="Calibri"/>
                <w:color w:val="auto"/>
                <w:sz w:val="22"/>
                <w:szCs w:val="22"/>
                <w:highlight w:val="none"/>
              </w:rPr>
              <w:t>构成服务费名称</w:t>
            </w:r>
          </w:p>
        </w:tc>
        <w:tc>
          <w:tcPr>
            <w:tcW w:w="150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r>
              <w:rPr>
                <w:rFonts w:ascii="新宋体" w:hAnsi="新宋体" w:eastAsia="新宋体" w:cs="Calibri"/>
                <w:color w:val="auto"/>
                <w:sz w:val="22"/>
                <w:szCs w:val="22"/>
                <w:highlight w:val="none"/>
              </w:rPr>
              <w:t>内容描述</w:t>
            </w:r>
          </w:p>
        </w:tc>
        <w:tc>
          <w:tcPr>
            <w:tcW w:w="90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综合单价</w:t>
            </w:r>
          </w:p>
        </w:tc>
        <w:tc>
          <w:tcPr>
            <w:tcW w:w="591"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数量</w:t>
            </w:r>
          </w:p>
        </w:tc>
        <w:tc>
          <w:tcPr>
            <w:tcW w:w="59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2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150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0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1" w:type="pct"/>
            <w:vMerge w:val="restart"/>
            <w:vAlign w:val="center"/>
          </w:tcPr>
          <w:p>
            <w:pPr>
              <w:pStyle w:val="31"/>
              <w:adjustRightInd w:val="0"/>
              <w:snapToGrid w:val="0"/>
              <w:spacing w:line="300" w:lineRule="auto"/>
              <w:jc w:val="center"/>
              <w:rPr>
                <w:rFonts w:ascii="新宋体" w:hAnsi="新宋体" w:eastAsia="新宋体" w:cs="Calibri"/>
                <w:color w:val="auto"/>
                <w:kern w:val="0"/>
                <w:sz w:val="22"/>
                <w:szCs w:val="22"/>
                <w:highlight w:val="none"/>
              </w:rPr>
            </w:pPr>
            <w:r>
              <w:rPr>
                <w:rFonts w:hint="eastAsia" w:ascii="新宋体" w:hAnsi="新宋体" w:eastAsia="新宋体" w:cs="Calibri"/>
                <w:color w:val="auto"/>
                <w:kern w:val="0"/>
                <w:sz w:val="22"/>
                <w:szCs w:val="22"/>
                <w:highlight w:val="none"/>
                <w:lang w:eastAsia="zh-CN"/>
              </w:rPr>
              <w:t>447802</w:t>
            </w:r>
            <w:r>
              <w:rPr>
                <w:rFonts w:hint="eastAsia" w:ascii="新宋体" w:hAnsi="新宋体" w:eastAsia="新宋体" w:cs="Calibri"/>
                <w:color w:val="auto"/>
                <w:kern w:val="0"/>
                <w:sz w:val="22"/>
                <w:szCs w:val="22"/>
                <w:highlight w:val="none"/>
              </w:rPr>
              <w:t>m</w:t>
            </w:r>
            <w:r>
              <w:rPr>
                <w:rFonts w:hint="eastAsia" w:ascii="新宋体" w:hAnsi="新宋体" w:eastAsia="新宋体" w:cs="Calibri"/>
                <w:color w:val="auto"/>
                <w:kern w:val="0"/>
                <w:sz w:val="22"/>
                <w:szCs w:val="22"/>
                <w:highlight w:val="none"/>
                <w:vertAlign w:val="superscript"/>
              </w:rPr>
              <w:t>2</w:t>
            </w:r>
          </w:p>
        </w:tc>
        <w:tc>
          <w:tcPr>
            <w:tcW w:w="59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2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150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0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1" w:type="pct"/>
            <w:vMerge w:val="continue"/>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2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150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0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1" w:type="pct"/>
            <w:vMerge w:val="continue"/>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2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150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0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1" w:type="pct"/>
            <w:vMerge w:val="continue"/>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2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150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0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1" w:type="pct"/>
            <w:vMerge w:val="continue"/>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2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150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90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1" w:type="pct"/>
            <w:vMerge w:val="continue"/>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2423" w:type="pct"/>
            <w:gridSpan w:val="2"/>
            <w:vAlign w:val="center"/>
          </w:tcPr>
          <w:p>
            <w:pPr>
              <w:pStyle w:val="31"/>
              <w:adjustRightInd w:val="0"/>
              <w:snapToGrid w:val="0"/>
              <w:spacing w:line="300" w:lineRule="auto"/>
              <w:jc w:val="left"/>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综合单价小计（以上综合单价之和）</w:t>
            </w:r>
          </w:p>
        </w:tc>
        <w:tc>
          <w:tcPr>
            <w:tcW w:w="90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1" w:type="pct"/>
            <w:vMerge w:val="continue"/>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590"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93" w:type="pct"/>
            <w:vAlign w:val="center"/>
          </w:tcPr>
          <w:p>
            <w:pPr>
              <w:pStyle w:val="31"/>
              <w:adjustRightInd w:val="0"/>
              <w:snapToGrid w:val="0"/>
              <w:spacing w:line="300" w:lineRule="auto"/>
              <w:jc w:val="center"/>
              <w:rPr>
                <w:rFonts w:ascii="新宋体" w:hAnsi="新宋体" w:eastAsia="新宋体" w:cs="Calibri"/>
                <w:color w:val="auto"/>
                <w:sz w:val="22"/>
                <w:szCs w:val="22"/>
                <w:highlight w:val="none"/>
              </w:rPr>
            </w:pPr>
          </w:p>
        </w:tc>
        <w:tc>
          <w:tcPr>
            <w:tcW w:w="4507" w:type="pct"/>
            <w:gridSpan w:val="5"/>
            <w:vAlign w:val="center"/>
          </w:tcPr>
          <w:p>
            <w:pPr>
              <w:autoSpaceDE w:val="0"/>
              <w:autoSpaceDN w:val="0"/>
              <w:adjustRightInd w:val="0"/>
              <w:spacing w:line="380" w:lineRule="atLeast"/>
              <w:ind w:right="-1"/>
              <w:jc w:val="left"/>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总计价</w:t>
            </w:r>
            <w:r>
              <w:rPr>
                <w:rFonts w:ascii="新宋体" w:hAnsi="新宋体" w:eastAsia="新宋体" w:cs="Calibri"/>
                <w:color w:val="auto"/>
                <w:sz w:val="22"/>
                <w:szCs w:val="22"/>
                <w:highlight w:val="none"/>
              </w:rPr>
              <w:t>（</w:t>
            </w:r>
            <w:r>
              <w:rPr>
                <w:rFonts w:hint="eastAsia" w:ascii="新宋体" w:hAnsi="新宋体" w:eastAsia="新宋体" w:cs="Calibri"/>
                <w:color w:val="auto"/>
                <w:sz w:val="22"/>
                <w:szCs w:val="22"/>
                <w:highlight w:val="none"/>
              </w:rPr>
              <w:t>综合单价小计*数量</w:t>
            </w:r>
            <w:r>
              <w:rPr>
                <w:rFonts w:ascii="新宋体" w:hAnsi="新宋体" w:eastAsia="新宋体" w:cs="Calibri"/>
                <w:color w:val="auto"/>
                <w:sz w:val="22"/>
                <w:szCs w:val="22"/>
                <w:highlight w:val="none"/>
              </w:rPr>
              <w:t>）</w:t>
            </w:r>
            <w:r>
              <w:rPr>
                <w:rFonts w:hint="eastAsia" w:ascii="新宋体" w:hAnsi="新宋体" w:eastAsia="新宋体" w:cs="Calibri"/>
                <w:color w:val="auto"/>
                <w:sz w:val="22"/>
                <w:szCs w:val="22"/>
                <w:highlight w:val="none"/>
              </w:rPr>
              <w:t>：</w:t>
            </w:r>
          </w:p>
          <w:p>
            <w:pPr>
              <w:autoSpaceDE w:val="0"/>
              <w:autoSpaceDN w:val="0"/>
              <w:adjustRightInd w:val="0"/>
              <w:spacing w:line="380" w:lineRule="atLeast"/>
              <w:ind w:right="-1"/>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大写：</w:t>
            </w:r>
            <w:r>
              <w:rPr>
                <w:rFonts w:ascii="新宋体" w:hAnsi="新宋体" w:eastAsia="新宋体" w:cs="Calibri"/>
                <w:color w:val="auto"/>
                <w:sz w:val="22"/>
                <w:szCs w:val="22"/>
                <w:highlight w:val="none"/>
                <w:u w:val="single"/>
              </w:rPr>
              <w:t xml:space="preserve">    </w:t>
            </w:r>
            <w:r>
              <w:rPr>
                <w:rFonts w:hint="eastAsia"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u w:val="single"/>
              </w:rPr>
              <w:t xml:space="preserve"> </w:t>
            </w:r>
            <w:r>
              <w:rPr>
                <w:rFonts w:hint="eastAsia"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rPr>
              <w:t>元</w:t>
            </w:r>
          </w:p>
          <w:p>
            <w:pPr>
              <w:pStyle w:val="31"/>
              <w:adjustRightInd w:val="0"/>
              <w:snapToGrid w:val="0"/>
              <w:spacing w:line="300" w:lineRule="auto"/>
              <w:rPr>
                <w:rFonts w:ascii="新宋体" w:hAnsi="新宋体" w:eastAsia="新宋体" w:cs="新宋体"/>
                <w:b/>
                <w:bCs/>
                <w:color w:val="auto"/>
                <w:kern w:val="0"/>
                <w:sz w:val="22"/>
                <w:szCs w:val="22"/>
                <w:highlight w:val="none"/>
              </w:rPr>
            </w:pPr>
          </w:p>
          <w:p>
            <w:pPr>
              <w:pStyle w:val="31"/>
              <w:adjustRightInd w:val="0"/>
              <w:snapToGrid w:val="0"/>
              <w:spacing w:line="300" w:lineRule="auto"/>
              <w:rPr>
                <w:rFonts w:ascii="新宋体" w:hAnsi="新宋体" w:eastAsia="新宋体" w:cs="Calibri"/>
                <w:color w:val="auto"/>
                <w:sz w:val="22"/>
                <w:szCs w:val="22"/>
                <w:highlight w:val="none"/>
              </w:rPr>
            </w:pPr>
            <w:r>
              <w:rPr>
                <w:rFonts w:hint="eastAsia" w:ascii="新宋体" w:hAnsi="新宋体" w:eastAsia="新宋体" w:cs="新宋体"/>
                <w:b/>
                <w:bCs/>
                <w:color w:val="auto"/>
                <w:kern w:val="0"/>
                <w:sz w:val="22"/>
                <w:szCs w:val="22"/>
                <w:highlight w:val="none"/>
              </w:rPr>
              <w:t>小写：¥</w:t>
            </w:r>
            <w:r>
              <w:rPr>
                <w:rFonts w:ascii="新宋体" w:hAnsi="新宋体" w:eastAsia="新宋体" w:cs="Calibri"/>
                <w:color w:val="auto"/>
                <w:sz w:val="22"/>
                <w:szCs w:val="22"/>
                <w:highlight w:val="none"/>
                <w:u w:val="single"/>
              </w:rPr>
              <w:t xml:space="preserve">       </w:t>
            </w:r>
            <w:r>
              <w:rPr>
                <w:rFonts w:hint="eastAsia"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u w:val="single"/>
              </w:rPr>
              <w:t xml:space="preserve"> </w:t>
            </w:r>
            <w:r>
              <w:rPr>
                <w:rFonts w:ascii="新宋体" w:hAnsi="新宋体" w:eastAsia="新宋体" w:cs="Calibri"/>
                <w:color w:val="auto"/>
                <w:sz w:val="22"/>
                <w:szCs w:val="22"/>
                <w:highlight w:val="none"/>
              </w:rPr>
              <w:t>元</w:t>
            </w:r>
          </w:p>
        </w:tc>
      </w:tr>
    </w:tbl>
    <w:p>
      <w:p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pPr>
        <w:numPr>
          <w:ilvl w:val="0"/>
          <w:numId w:val="29"/>
        </w:numPr>
        <w:spacing w:line="380" w:lineRule="exact"/>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u w:val="single"/>
        </w:rPr>
        <w:t>投标分项报价表内综合单价小计应与“开标一览表”综合单价相一致</w:t>
      </w:r>
    </w:p>
    <w:p>
      <w:pPr>
        <w:numPr>
          <w:ilvl w:val="0"/>
          <w:numId w:val="29"/>
        </w:numPr>
        <w:spacing w:line="380" w:lineRule="exact"/>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u w:val="single"/>
        </w:rPr>
        <w:t>投标分项报价表内总计价应与“开标一览表”投标总价相一致</w:t>
      </w:r>
      <w:r>
        <w:rPr>
          <w:rFonts w:hint="eastAsia" w:ascii="新宋体" w:hAnsi="新宋体" w:eastAsia="新宋体" w:cs="新宋体"/>
          <w:color w:val="auto"/>
          <w:sz w:val="22"/>
          <w:szCs w:val="22"/>
          <w:highlight w:val="none"/>
        </w:rPr>
        <w:t>。</w:t>
      </w:r>
    </w:p>
    <w:p>
      <w:pPr>
        <w:numPr>
          <w:ilvl w:val="0"/>
          <w:numId w:val="29"/>
        </w:num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不提供此表的报价，视为没有实质性响应采购文件要求。</w:t>
      </w:r>
    </w:p>
    <w:p>
      <w:pPr>
        <w:numPr>
          <w:ilvl w:val="0"/>
          <w:numId w:val="29"/>
        </w:num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本表可在不改变格式的情况下根据具体需要自行增减。</w:t>
      </w:r>
    </w:p>
    <w:p>
      <w:pPr>
        <w:spacing w:line="380" w:lineRule="exact"/>
        <w:ind w:firstLine="4400" w:firstLineChars="2000"/>
        <w:rPr>
          <w:rFonts w:ascii="新宋体" w:hAnsi="新宋体" w:eastAsia="新宋体" w:cs="新宋体"/>
          <w:color w:val="auto"/>
          <w:sz w:val="22"/>
          <w:highlight w:val="none"/>
        </w:rPr>
      </w:pPr>
    </w:p>
    <w:p>
      <w:p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rPr>
          <w:rFonts w:ascii="新宋体" w:hAnsi="新宋体" w:eastAsia="新宋体" w:cs="新宋体"/>
          <w:color w:val="auto"/>
          <w:sz w:val="22"/>
          <w:szCs w:val="22"/>
          <w:highlight w:val="none"/>
        </w:rPr>
      </w:pPr>
    </w:p>
    <w:p>
      <w:p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投标人代表（签字或盖章）：</w:t>
      </w:r>
    </w:p>
    <w:p>
      <w:pPr>
        <w:spacing w:line="380" w:lineRule="exact"/>
        <w:rPr>
          <w:rFonts w:ascii="新宋体" w:hAnsi="新宋体" w:eastAsia="新宋体" w:cs="新宋体"/>
          <w:color w:val="auto"/>
          <w:sz w:val="22"/>
          <w:szCs w:val="22"/>
          <w:highlight w:val="none"/>
        </w:rPr>
      </w:pPr>
    </w:p>
    <w:p>
      <w:p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pPr>
        <w:spacing w:line="380" w:lineRule="exact"/>
        <w:rPr>
          <w:rFonts w:ascii="新宋体" w:hAnsi="新宋体" w:eastAsia="新宋体" w:cs="新宋体"/>
          <w:color w:val="auto"/>
          <w:sz w:val="22"/>
          <w:szCs w:val="22"/>
          <w:highlight w:val="none"/>
        </w:rPr>
      </w:pPr>
    </w:p>
    <w:p>
      <w:pPr>
        <w:pStyle w:val="4"/>
        <w:rPr>
          <w:rFonts w:ascii="新宋体" w:hAnsi="新宋体" w:eastAsia="新宋体"/>
          <w:color w:val="auto"/>
          <w:highlight w:val="none"/>
        </w:rPr>
      </w:pPr>
      <w:bookmarkStart w:id="115" w:name="_Toc15843"/>
      <w:bookmarkStart w:id="116" w:name="_Toc24471"/>
      <w:r>
        <w:rPr>
          <w:rFonts w:ascii="新宋体" w:hAnsi="新宋体" w:eastAsia="新宋体" w:cs="新宋体"/>
          <w:color w:val="auto"/>
          <w:sz w:val="36"/>
          <w:szCs w:val="36"/>
          <w:highlight w:val="none"/>
        </w:rPr>
        <w:br w:type="page"/>
      </w:r>
      <w:r>
        <w:rPr>
          <w:rFonts w:hint="eastAsia" w:ascii="新宋体" w:hAnsi="新宋体" w:eastAsia="新宋体" w:cs="新宋体"/>
          <w:color w:val="auto"/>
          <w:sz w:val="36"/>
          <w:szCs w:val="36"/>
          <w:highlight w:val="none"/>
        </w:rPr>
        <w:t>第五部分   采购内容及要求</w:t>
      </w:r>
      <w:bookmarkEnd w:id="115"/>
      <w:bookmarkEnd w:id="116"/>
    </w:p>
    <w:p>
      <w:pPr>
        <w:spacing w:before="120" w:beforeLines="50" w:after="120" w:afterLines="50"/>
        <w:rPr>
          <w:rFonts w:ascii="新宋体" w:hAnsi="新宋体" w:eastAsia="新宋体" w:cs="宋体"/>
          <w:b/>
          <w:bCs/>
          <w:color w:val="auto"/>
          <w:sz w:val="22"/>
          <w:szCs w:val="22"/>
          <w:highlight w:val="none"/>
        </w:rPr>
      </w:pPr>
      <w:bookmarkStart w:id="117" w:name="_Toc249758721"/>
      <w:bookmarkStart w:id="118" w:name="_Toc249758871"/>
      <w:bookmarkStart w:id="119" w:name="_Toc262049425"/>
      <w:bookmarkStart w:id="120" w:name="_Toc262105510"/>
      <w:bookmarkStart w:id="121" w:name="_Toc422225262"/>
      <w:bookmarkStart w:id="122" w:name="_Toc7368"/>
      <w:r>
        <w:rPr>
          <w:rFonts w:hint="eastAsia" w:ascii="新宋体" w:hAnsi="新宋体" w:eastAsia="新宋体" w:cs="宋体"/>
          <w:b/>
          <w:bCs/>
          <w:color w:val="auto"/>
          <w:sz w:val="22"/>
          <w:szCs w:val="22"/>
          <w:highlight w:val="none"/>
        </w:rPr>
        <w:t>一、整体采购需求</w:t>
      </w:r>
    </w:p>
    <w:p>
      <w:pPr>
        <w:snapToGrid w:val="0"/>
        <w:spacing w:line="440" w:lineRule="atLeas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lang w:eastAsia="zh-CN"/>
        </w:rPr>
        <w:t>鹿城区安置服务项目（三期）</w:t>
      </w:r>
      <w:r>
        <w:rPr>
          <w:rFonts w:hint="eastAsia" w:ascii="新宋体" w:hAnsi="新宋体" w:eastAsia="新宋体" w:cs="Calibri"/>
          <w:color w:val="auto"/>
          <w:sz w:val="22"/>
          <w:szCs w:val="22"/>
          <w:highlight w:val="none"/>
        </w:rPr>
        <w:t>主要涉及</w:t>
      </w:r>
      <w:r>
        <w:rPr>
          <w:rFonts w:hint="eastAsia" w:ascii="新宋体" w:hAnsi="新宋体" w:eastAsia="新宋体" w:cs="Calibri"/>
          <w:color w:val="auto"/>
          <w:sz w:val="22"/>
          <w:szCs w:val="22"/>
          <w:highlight w:val="none"/>
          <w:lang w:eastAsia="zh-CN"/>
        </w:rPr>
        <w:t>双屿街道、滨江街道、南汇街道等3个街道</w:t>
      </w:r>
      <w:r>
        <w:rPr>
          <w:rFonts w:hint="eastAsia" w:ascii="新宋体" w:hAnsi="新宋体" w:eastAsia="新宋体" w:cs="Calibri"/>
          <w:color w:val="auto"/>
          <w:sz w:val="22"/>
          <w:szCs w:val="22"/>
          <w:highlight w:val="none"/>
        </w:rPr>
        <w:t>，</w:t>
      </w:r>
      <w:r>
        <w:rPr>
          <w:rFonts w:hint="eastAsia" w:ascii="新宋体" w:hAnsi="新宋体" w:eastAsia="新宋体" w:cs="Calibri"/>
          <w:color w:val="auto"/>
          <w:sz w:val="22"/>
          <w:szCs w:val="22"/>
          <w:highlight w:val="none"/>
          <w:lang w:eastAsia="zh-CN"/>
        </w:rPr>
        <w:t>涉及未安置户数总计1850户</w:t>
      </w:r>
      <w:r>
        <w:rPr>
          <w:rFonts w:hint="eastAsia" w:ascii="新宋体" w:hAnsi="新宋体" w:eastAsia="新宋体" w:cs="Calibri"/>
          <w:color w:val="auto"/>
          <w:sz w:val="22"/>
          <w:szCs w:val="22"/>
          <w:highlight w:val="none"/>
        </w:rPr>
        <w:t>，</w:t>
      </w:r>
      <w:r>
        <w:rPr>
          <w:rFonts w:hint="eastAsia" w:ascii="新宋体" w:hAnsi="新宋体" w:eastAsia="新宋体" w:cs="Calibri"/>
          <w:color w:val="auto"/>
          <w:sz w:val="22"/>
          <w:szCs w:val="22"/>
          <w:highlight w:val="none"/>
          <w:lang w:eastAsia="zh-CN"/>
        </w:rPr>
        <w:t>旧房拆迁面积203547平方米</w:t>
      </w:r>
      <w:r>
        <w:rPr>
          <w:rFonts w:hint="eastAsia" w:ascii="新宋体" w:hAnsi="新宋体" w:eastAsia="新宋体" w:cs="Calibri"/>
          <w:color w:val="auto"/>
          <w:sz w:val="22"/>
          <w:szCs w:val="22"/>
          <w:highlight w:val="none"/>
        </w:rPr>
        <w:t>。</w:t>
      </w:r>
      <w:r>
        <w:rPr>
          <w:rFonts w:hint="eastAsia" w:ascii="新宋体" w:hAnsi="新宋体" w:eastAsia="新宋体" w:cs="Calibri"/>
          <w:color w:val="auto"/>
          <w:sz w:val="22"/>
          <w:szCs w:val="22"/>
          <w:highlight w:val="none"/>
          <w:lang w:eastAsia="zh-CN"/>
        </w:rPr>
        <w:t>鹿城区安置服务项目（三期）</w:t>
      </w:r>
      <w:r>
        <w:rPr>
          <w:rFonts w:hint="eastAsia" w:ascii="新宋体" w:hAnsi="新宋体" w:eastAsia="新宋体" w:cs="Calibri"/>
          <w:color w:val="auto"/>
          <w:sz w:val="22"/>
          <w:szCs w:val="22"/>
          <w:highlight w:val="none"/>
        </w:rPr>
        <w:t>总体安置需求为</w:t>
      </w:r>
      <w:r>
        <w:rPr>
          <w:rFonts w:hint="eastAsia" w:ascii="新宋体" w:hAnsi="新宋体" w:eastAsia="新宋体" w:cs="Calibri"/>
          <w:color w:val="auto"/>
          <w:sz w:val="22"/>
          <w:szCs w:val="22"/>
          <w:highlight w:val="none"/>
          <w:lang w:eastAsia="zh-CN"/>
        </w:rPr>
        <w:t>447802</w:t>
      </w:r>
      <w:r>
        <w:rPr>
          <w:rFonts w:hint="eastAsia" w:ascii="新宋体" w:hAnsi="新宋体" w:eastAsia="新宋体" w:cs="Calibri"/>
          <w:color w:val="auto"/>
          <w:sz w:val="22"/>
          <w:szCs w:val="22"/>
          <w:highlight w:val="none"/>
        </w:rPr>
        <w:t>平方米。</w:t>
      </w:r>
    </w:p>
    <w:p>
      <w:pPr>
        <w:snapToGrid w:val="0"/>
        <w:spacing w:line="440" w:lineRule="atLeas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温州市鹿城区城中村改造建设中心通过政府购买服务的方式公开选取安置服务方作为</w:t>
      </w:r>
      <w:r>
        <w:rPr>
          <w:rFonts w:hint="eastAsia" w:ascii="新宋体" w:hAnsi="新宋体" w:eastAsia="新宋体" w:cs="Calibri"/>
          <w:color w:val="auto"/>
          <w:sz w:val="22"/>
          <w:szCs w:val="22"/>
          <w:highlight w:val="none"/>
          <w:lang w:eastAsia="zh-CN"/>
        </w:rPr>
        <w:t>鹿城区安置服务项目（三期）</w:t>
      </w:r>
      <w:r>
        <w:rPr>
          <w:rFonts w:hint="eastAsia" w:ascii="新宋体" w:hAnsi="新宋体" w:eastAsia="新宋体" w:cs="Calibri"/>
          <w:color w:val="auto"/>
          <w:sz w:val="22"/>
          <w:szCs w:val="22"/>
          <w:highlight w:val="none"/>
        </w:rPr>
        <w:t>的服务主体。</w:t>
      </w:r>
      <w:r>
        <w:rPr>
          <w:rFonts w:hint="eastAsia" w:ascii="新宋体" w:hAnsi="新宋体" w:eastAsia="新宋体" w:cs="新宋体"/>
          <w:bCs/>
          <w:color w:val="auto"/>
          <w:kern w:val="0"/>
          <w:sz w:val="22"/>
          <w:szCs w:val="22"/>
          <w:highlight w:val="none"/>
        </w:rPr>
        <w:t>服务主体通过采购安置性商品房、市场化采购房源用</w:t>
      </w:r>
      <w:r>
        <w:rPr>
          <w:rFonts w:hint="eastAsia" w:ascii="新宋体" w:hAnsi="新宋体" w:eastAsia="新宋体"/>
          <w:color w:val="auto"/>
          <w:sz w:val="22"/>
          <w:szCs w:val="22"/>
          <w:highlight w:val="none"/>
        </w:rPr>
        <w:t>于本项目安置户的安置</w:t>
      </w:r>
      <w:r>
        <w:rPr>
          <w:rFonts w:hint="eastAsia" w:ascii="新宋体" w:hAnsi="新宋体" w:eastAsia="新宋体" w:cs="Calibri"/>
          <w:color w:val="auto"/>
          <w:sz w:val="22"/>
          <w:szCs w:val="22"/>
          <w:highlight w:val="none"/>
        </w:rPr>
        <w:t>，并且提供完成本项目安置所需的安置服务工作。</w:t>
      </w:r>
    </w:p>
    <w:p>
      <w:pPr>
        <w:spacing w:before="120" w:beforeLines="50" w:after="120" w:afterLines="50"/>
        <w:rPr>
          <w:rFonts w:ascii="新宋体" w:hAnsi="新宋体" w:eastAsia="新宋体" w:cs="宋体"/>
          <w:b/>
          <w:bCs/>
          <w:color w:val="auto"/>
          <w:sz w:val="22"/>
          <w:szCs w:val="22"/>
          <w:highlight w:val="none"/>
        </w:rPr>
      </w:pPr>
    </w:p>
    <w:p>
      <w:pPr>
        <w:spacing w:before="120" w:beforeLines="50" w:after="120" w:afterLines="50"/>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二、需安置量</w:t>
      </w:r>
    </w:p>
    <w:p>
      <w:pPr>
        <w:snapToGrid w:val="0"/>
        <w:spacing w:line="440" w:lineRule="atLeas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（一）</w:t>
      </w:r>
      <w:r>
        <w:rPr>
          <w:rFonts w:hint="eastAsia" w:ascii="新宋体" w:hAnsi="新宋体" w:eastAsia="新宋体" w:cs="Calibri"/>
          <w:color w:val="auto"/>
          <w:sz w:val="22"/>
          <w:szCs w:val="22"/>
          <w:highlight w:val="none"/>
          <w:lang w:eastAsia="zh-CN"/>
        </w:rPr>
        <w:t>鹿城区安置服务项目（三期）</w:t>
      </w:r>
      <w:r>
        <w:rPr>
          <w:rFonts w:hint="eastAsia" w:ascii="新宋体" w:hAnsi="新宋体" w:eastAsia="新宋体" w:cs="Calibri"/>
          <w:color w:val="auto"/>
          <w:sz w:val="22"/>
          <w:szCs w:val="22"/>
          <w:highlight w:val="none"/>
        </w:rPr>
        <w:t>对应的拆迁情况：主要涉及</w:t>
      </w:r>
      <w:r>
        <w:rPr>
          <w:rFonts w:hint="eastAsia" w:ascii="新宋体" w:hAnsi="新宋体" w:eastAsia="新宋体" w:cs="Calibri"/>
          <w:color w:val="auto"/>
          <w:sz w:val="22"/>
          <w:szCs w:val="22"/>
          <w:highlight w:val="none"/>
          <w:lang w:eastAsia="zh-CN"/>
        </w:rPr>
        <w:t>双屿街道、滨江街道、南汇街道等3个街道</w:t>
      </w:r>
      <w:r>
        <w:rPr>
          <w:rFonts w:hint="eastAsia" w:ascii="新宋体" w:hAnsi="新宋体" w:eastAsia="新宋体" w:cs="Calibri"/>
          <w:color w:val="auto"/>
          <w:sz w:val="22"/>
          <w:szCs w:val="22"/>
          <w:highlight w:val="none"/>
        </w:rPr>
        <w:t>，</w:t>
      </w:r>
      <w:r>
        <w:rPr>
          <w:rFonts w:hint="eastAsia" w:ascii="新宋体" w:hAnsi="新宋体" w:eastAsia="新宋体" w:cs="Calibri"/>
          <w:color w:val="auto"/>
          <w:sz w:val="22"/>
          <w:szCs w:val="22"/>
          <w:highlight w:val="none"/>
          <w:lang w:eastAsia="zh-CN"/>
        </w:rPr>
        <w:t>涉及未安置户数总计1850户</w:t>
      </w:r>
      <w:r>
        <w:rPr>
          <w:rFonts w:hint="eastAsia" w:ascii="新宋体" w:hAnsi="新宋体" w:eastAsia="新宋体" w:cs="Calibri"/>
          <w:color w:val="auto"/>
          <w:sz w:val="22"/>
          <w:szCs w:val="22"/>
          <w:highlight w:val="none"/>
        </w:rPr>
        <w:t>，</w:t>
      </w:r>
      <w:r>
        <w:rPr>
          <w:rFonts w:hint="eastAsia" w:ascii="新宋体" w:hAnsi="新宋体" w:eastAsia="新宋体" w:cs="Calibri"/>
          <w:color w:val="auto"/>
          <w:sz w:val="22"/>
          <w:szCs w:val="22"/>
          <w:highlight w:val="none"/>
          <w:lang w:eastAsia="zh-CN"/>
        </w:rPr>
        <w:t>旧房拆迁面积203547平方米</w:t>
      </w:r>
      <w:r>
        <w:rPr>
          <w:rFonts w:hint="eastAsia" w:ascii="新宋体" w:hAnsi="新宋体" w:eastAsia="新宋体" w:cs="Calibri"/>
          <w:color w:val="auto"/>
          <w:sz w:val="22"/>
          <w:szCs w:val="22"/>
          <w:highlight w:val="none"/>
        </w:rPr>
        <w:t>。</w:t>
      </w:r>
    </w:p>
    <w:p>
      <w:pPr>
        <w:snapToGrid w:val="0"/>
        <w:spacing w:line="440" w:lineRule="atLeas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（二）</w:t>
      </w:r>
      <w:r>
        <w:rPr>
          <w:rFonts w:hint="eastAsia" w:ascii="新宋体" w:hAnsi="新宋体" w:eastAsia="新宋体" w:cs="Calibri"/>
          <w:color w:val="auto"/>
          <w:sz w:val="22"/>
          <w:szCs w:val="22"/>
          <w:highlight w:val="none"/>
          <w:lang w:eastAsia="zh-CN"/>
        </w:rPr>
        <w:t>鹿城区安置服务项目（三期）</w:t>
      </w:r>
      <w:r>
        <w:rPr>
          <w:rFonts w:hint="eastAsia" w:ascii="新宋体" w:hAnsi="新宋体" w:eastAsia="新宋体" w:cs="Calibri"/>
          <w:color w:val="auto"/>
          <w:sz w:val="22"/>
          <w:szCs w:val="22"/>
          <w:highlight w:val="none"/>
        </w:rPr>
        <w:t>安置需求情况：总体安置需求</w:t>
      </w:r>
      <w:r>
        <w:rPr>
          <w:rFonts w:hint="eastAsia" w:ascii="新宋体" w:hAnsi="新宋体" w:eastAsia="新宋体" w:cs="Calibri"/>
          <w:color w:val="auto"/>
          <w:sz w:val="22"/>
          <w:szCs w:val="22"/>
          <w:highlight w:val="none"/>
          <w:lang w:eastAsia="zh-CN"/>
        </w:rPr>
        <w:t>447802</w:t>
      </w:r>
      <w:r>
        <w:rPr>
          <w:rFonts w:hint="eastAsia" w:ascii="新宋体" w:hAnsi="新宋体" w:eastAsia="新宋体" w:cs="Calibri"/>
          <w:color w:val="auto"/>
          <w:sz w:val="22"/>
          <w:szCs w:val="22"/>
          <w:highlight w:val="none"/>
        </w:rPr>
        <w:t>平方米，其中农户</w:t>
      </w:r>
      <w:r>
        <w:rPr>
          <w:rFonts w:hint="eastAsia" w:ascii="新宋体" w:hAnsi="新宋体" w:eastAsia="新宋体" w:cs="Calibri"/>
          <w:color w:val="auto"/>
          <w:sz w:val="22"/>
          <w:szCs w:val="22"/>
          <w:highlight w:val="none"/>
          <w:lang w:val="en-US" w:eastAsia="zh-CN"/>
        </w:rPr>
        <w:t>262295</w:t>
      </w:r>
      <w:r>
        <w:rPr>
          <w:rFonts w:hint="eastAsia" w:ascii="新宋体" w:hAnsi="新宋体" w:eastAsia="新宋体" w:cs="Calibri"/>
          <w:color w:val="auto"/>
          <w:sz w:val="22"/>
          <w:szCs w:val="22"/>
          <w:highlight w:val="none"/>
        </w:rPr>
        <w:t>平方米，居民户</w:t>
      </w:r>
      <w:r>
        <w:rPr>
          <w:rFonts w:hint="eastAsia" w:ascii="新宋体" w:hAnsi="新宋体" w:eastAsia="新宋体" w:cs="Calibri"/>
          <w:color w:val="auto"/>
          <w:sz w:val="22"/>
          <w:szCs w:val="22"/>
          <w:highlight w:val="none"/>
          <w:lang w:val="en-US" w:eastAsia="zh-CN"/>
        </w:rPr>
        <w:t>9465</w:t>
      </w:r>
      <w:r>
        <w:rPr>
          <w:rFonts w:hint="eastAsia" w:ascii="新宋体" w:hAnsi="新宋体" w:eastAsia="新宋体" w:cs="Calibri"/>
          <w:color w:val="auto"/>
          <w:sz w:val="22"/>
          <w:szCs w:val="22"/>
          <w:highlight w:val="none"/>
        </w:rPr>
        <w:t>平方米，众用分摊</w:t>
      </w:r>
      <w:r>
        <w:rPr>
          <w:rFonts w:hint="eastAsia" w:ascii="新宋体" w:hAnsi="新宋体" w:eastAsia="新宋体" w:cs="Calibri"/>
          <w:color w:val="auto"/>
          <w:sz w:val="22"/>
          <w:szCs w:val="22"/>
          <w:highlight w:val="none"/>
          <w:lang w:val="en-US" w:eastAsia="zh-CN"/>
        </w:rPr>
        <w:t>67940</w:t>
      </w:r>
      <w:r>
        <w:rPr>
          <w:rFonts w:hint="eastAsia" w:ascii="新宋体" w:hAnsi="新宋体" w:eastAsia="新宋体" w:cs="Calibri"/>
          <w:color w:val="auto"/>
          <w:sz w:val="22"/>
          <w:szCs w:val="22"/>
          <w:highlight w:val="none"/>
        </w:rPr>
        <w:t>平方米，套型差增购</w:t>
      </w:r>
      <w:r>
        <w:rPr>
          <w:rFonts w:hint="eastAsia" w:ascii="新宋体" w:hAnsi="新宋体" w:eastAsia="新宋体" w:cs="Calibri"/>
          <w:color w:val="auto"/>
          <w:sz w:val="22"/>
          <w:szCs w:val="22"/>
          <w:highlight w:val="none"/>
          <w:lang w:val="en-US" w:eastAsia="zh-CN"/>
        </w:rPr>
        <w:t>15602</w:t>
      </w:r>
      <w:r>
        <w:rPr>
          <w:rFonts w:hint="eastAsia" w:ascii="新宋体" w:hAnsi="新宋体" w:eastAsia="新宋体" w:cs="Calibri"/>
          <w:color w:val="auto"/>
          <w:sz w:val="22"/>
          <w:szCs w:val="22"/>
          <w:highlight w:val="none"/>
        </w:rPr>
        <w:t>平方米，奖励增购（50m</w:t>
      </w:r>
      <w:r>
        <w:rPr>
          <w:rFonts w:hint="eastAsia" w:ascii="新宋体" w:hAnsi="新宋体" w:eastAsia="新宋体" w:cs="Calibri"/>
          <w:color w:val="auto"/>
          <w:sz w:val="22"/>
          <w:szCs w:val="22"/>
          <w:highlight w:val="none"/>
          <w:vertAlign w:val="superscript"/>
        </w:rPr>
        <w:t>2</w:t>
      </w:r>
      <w:r>
        <w:rPr>
          <w:rFonts w:hint="eastAsia" w:ascii="新宋体" w:hAnsi="新宋体" w:eastAsia="新宋体" w:cs="Calibri"/>
          <w:color w:val="auto"/>
          <w:sz w:val="22"/>
          <w:szCs w:val="22"/>
          <w:highlight w:val="none"/>
        </w:rPr>
        <w:t>/户）</w:t>
      </w:r>
      <w:r>
        <w:rPr>
          <w:rFonts w:hint="eastAsia" w:ascii="新宋体" w:hAnsi="新宋体" w:eastAsia="新宋体" w:cs="Calibri"/>
          <w:color w:val="auto"/>
          <w:sz w:val="22"/>
          <w:szCs w:val="22"/>
          <w:highlight w:val="none"/>
          <w:lang w:val="en-US" w:eastAsia="zh-CN"/>
        </w:rPr>
        <w:t>92500</w:t>
      </w:r>
      <w:r>
        <w:rPr>
          <w:rFonts w:hint="eastAsia" w:ascii="新宋体" w:hAnsi="新宋体" w:eastAsia="新宋体" w:cs="Calibri"/>
          <w:color w:val="auto"/>
          <w:sz w:val="22"/>
          <w:szCs w:val="22"/>
          <w:highlight w:val="none"/>
        </w:rPr>
        <w:t>平方米。</w:t>
      </w:r>
    </w:p>
    <w:p>
      <w:pPr>
        <w:spacing w:before="120" w:beforeLines="50" w:after="120" w:afterLines="50"/>
        <w:rPr>
          <w:rFonts w:ascii="新宋体" w:hAnsi="新宋体" w:eastAsia="新宋体" w:cs="宋体"/>
          <w:b/>
          <w:bCs/>
          <w:color w:val="auto"/>
          <w:sz w:val="22"/>
          <w:szCs w:val="22"/>
          <w:highlight w:val="none"/>
        </w:rPr>
      </w:pPr>
    </w:p>
    <w:p>
      <w:pPr>
        <w:spacing w:before="120" w:beforeLines="50" w:after="120" w:afterLines="50"/>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三、安置房源</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（一）</w:t>
      </w:r>
      <w:r>
        <w:rPr>
          <w:rFonts w:hint="eastAsia" w:ascii="新宋体" w:hAnsi="新宋体" w:eastAsia="新宋体"/>
          <w:color w:val="auto"/>
          <w:sz w:val="22"/>
          <w:szCs w:val="22"/>
          <w:highlight w:val="none"/>
        </w:rPr>
        <w:t>安置房源包括安置性商品房以及市场化商品房，</w:t>
      </w:r>
      <w:r>
        <w:rPr>
          <w:rFonts w:hint="eastAsia" w:ascii="新宋体" w:hAnsi="新宋体" w:eastAsia="新宋体"/>
          <w:color w:val="auto"/>
          <w:sz w:val="22"/>
          <w:szCs w:val="22"/>
          <w:highlight w:val="none"/>
        </w:rPr>
        <w:t>具体房源以服务主体的投标安置方案为依据，提交采购人许可后实施安置。</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（二）安置房源由本项目中标人负责购置。</w:t>
      </w:r>
    </w:p>
    <w:p>
      <w:pPr>
        <w:spacing w:line="440" w:lineRule="exact"/>
        <w:rPr>
          <w:rFonts w:ascii="新宋体" w:hAnsi="新宋体" w:eastAsia="新宋体"/>
          <w:b/>
          <w:bCs/>
          <w:color w:val="auto"/>
          <w:sz w:val="22"/>
          <w:szCs w:val="22"/>
          <w:highlight w:val="none"/>
        </w:rPr>
      </w:pPr>
    </w:p>
    <w:p>
      <w:pPr>
        <w:spacing w:line="44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四、安置服务内容</w:t>
      </w:r>
    </w:p>
    <w:p>
      <w:pPr>
        <w:spacing w:line="440" w:lineRule="exact"/>
        <w:ind w:firstLine="442" w:firstLineChars="200"/>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1.安置事务性工作</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1）为确保安置房分配工作顺利进行，保证分配公开公平公正，需合理制定安置户摸文计划，提前梳理每日的安置户人员清单，选定摸文时间、摸文地点，有序的组织安置户摸文分栋号，维持好摸文现场的秩序，并根据每日实际进度情况为摸文的安置户准备好需要的食物和饮用水。</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（2）在完成所有安置户的安置后，逐户进行安置户安置情况的材料收集、汇总、整理。</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（3）</w:t>
      </w:r>
      <w:r>
        <w:rPr>
          <w:rFonts w:hint="eastAsia" w:ascii="新宋体" w:hAnsi="新宋体" w:eastAsia="新宋体" w:cs="Calibri"/>
          <w:color w:val="auto"/>
          <w:sz w:val="22"/>
          <w:szCs w:val="22"/>
          <w:highlight w:val="none"/>
        </w:rPr>
        <w:t>参与或委托第三方参与安置房验收，对安置房质量提出意见。</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（4）面向拆迁户，对地下车位进行处置；</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（5）收齐拆迁户需要上缴的安置补差款。</w:t>
      </w:r>
    </w:p>
    <w:p>
      <w:pPr>
        <w:spacing w:line="440" w:lineRule="exact"/>
        <w:ind w:firstLine="442" w:firstLineChars="200"/>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2.安置统筹性工作</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（1）建立咨询组，为安置户提供咨询服务，为他们解疑答惑，讲解政府的安置补偿政策和流程，使群众理解和支持安置工作，协助政府更好地推进一系列工作事宜。</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（2）合理统筹安排鹿城区各街道的安置房，提前沟通协调拆迁安置户安置意向，制定好安置方案计划，尤其要做好部分因原拆街道安置房紧张而无法安置在原街道安置户的统筹安置工作。</w:t>
      </w:r>
    </w:p>
    <w:p>
      <w:pPr>
        <w:spacing w:line="440" w:lineRule="exact"/>
        <w:ind w:firstLine="442" w:firstLineChars="200"/>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3.市场化房源购置</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若房源不够满足安置需求，需做好市场房源的评估和调查，综合考虑安置户的安置意向（如套型、区位等）和市场房源实际情况，另行向市场采购房源用于安置，保证所有安置户顺利完成安置。</w:t>
      </w:r>
    </w:p>
    <w:p>
      <w:pPr>
        <w:spacing w:line="440" w:lineRule="exact"/>
        <w:ind w:firstLine="442" w:firstLineChars="200"/>
        <w:rPr>
          <w:rFonts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4.完成本项目安置所需的其他安置服务工作。</w:t>
      </w:r>
    </w:p>
    <w:p>
      <w:pPr>
        <w:spacing w:line="440" w:lineRule="exact"/>
        <w:rPr>
          <w:rFonts w:ascii="新宋体" w:hAnsi="新宋体" w:eastAsia="新宋体"/>
          <w:b/>
          <w:bCs/>
          <w:color w:val="auto"/>
          <w:sz w:val="22"/>
          <w:szCs w:val="22"/>
          <w:highlight w:val="none"/>
        </w:rPr>
      </w:pPr>
    </w:p>
    <w:p>
      <w:pPr>
        <w:spacing w:line="44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五、安置进度</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安置服务期原则上不超过四年，中标方需在服务期内完成所有安置任务。</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项目中标方</w:t>
      </w:r>
      <w:r>
        <w:rPr>
          <w:rFonts w:hint="eastAsia"/>
          <w:color w:val="auto"/>
          <w:sz w:val="22"/>
          <w:szCs w:val="22"/>
          <w:highlight w:val="none"/>
        </w:rPr>
        <w:t>在项目执行过程中有权根据项目实际情况（社会化购置安置房资源建设进度等客观因素）对安置服务进度进行调整，调整后的服务进度需提交采购人审核通过后以项目补充协议方式进行约定。</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投标人可根据对本项目的理解在投标文件中提出具体的安置实施方案并附上计划安置进度，采购人将对投标人的安置方案进行评分量化。</w:t>
      </w:r>
    </w:p>
    <w:p>
      <w:pPr>
        <w:spacing w:line="440" w:lineRule="exact"/>
        <w:rPr>
          <w:rFonts w:ascii="新宋体" w:hAnsi="新宋体" w:eastAsia="新宋体"/>
          <w:b/>
          <w:bCs/>
          <w:color w:val="auto"/>
          <w:sz w:val="22"/>
          <w:szCs w:val="22"/>
          <w:highlight w:val="none"/>
        </w:rPr>
      </w:pPr>
    </w:p>
    <w:p>
      <w:pPr>
        <w:spacing w:line="44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六、本项目</w:t>
      </w:r>
      <w:r>
        <w:rPr>
          <w:rFonts w:ascii="新宋体" w:hAnsi="新宋体" w:eastAsia="新宋体"/>
          <w:b/>
          <w:bCs/>
          <w:color w:val="auto"/>
          <w:sz w:val="22"/>
          <w:szCs w:val="22"/>
          <w:highlight w:val="none"/>
        </w:rPr>
        <w:t>商务要求</w:t>
      </w:r>
    </w:p>
    <w:p>
      <w:pPr>
        <w:spacing w:line="440" w:lineRule="exact"/>
        <w:rPr>
          <w:rFonts w:ascii="新宋体" w:hAnsi="新宋体" w:eastAsia="新宋体"/>
          <w:b/>
          <w:bCs/>
          <w:color w:val="auto"/>
          <w:sz w:val="22"/>
          <w:szCs w:val="22"/>
          <w:highlight w:val="none"/>
        </w:rPr>
      </w:pPr>
      <w:bookmarkStart w:id="123" w:name="_Toc68551117"/>
      <w:r>
        <w:rPr>
          <w:rFonts w:hint="eastAsia" w:ascii="新宋体" w:hAnsi="新宋体" w:eastAsia="新宋体"/>
          <w:b/>
          <w:bCs/>
          <w:color w:val="auto"/>
          <w:sz w:val="22"/>
          <w:szCs w:val="22"/>
          <w:highlight w:val="none"/>
        </w:rPr>
        <w:t>（一）项目中标人需要支出的费用</w:t>
      </w:r>
    </w:p>
    <w:p>
      <w:pPr>
        <w:snapToGrid w:val="0"/>
        <w:spacing w:line="440" w:lineRule="exact"/>
        <w:ind w:firstLine="442" w:firstLineChars="200"/>
        <w:rPr>
          <w:rFonts w:ascii="新宋体" w:hAnsi="新宋体" w:eastAsia="新宋体" w:cs="Calibri"/>
          <w:b/>
          <w:bCs/>
          <w:color w:val="auto"/>
          <w:sz w:val="22"/>
          <w:szCs w:val="22"/>
          <w:highlight w:val="none"/>
        </w:rPr>
      </w:pPr>
      <w:r>
        <w:rPr>
          <w:rFonts w:hint="eastAsia" w:ascii="新宋体" w:hAnsi="新宋体" w:eastAsia="新宋体" w:cs="Calibri"/>
          <w:b/>
          <w:bCs/>
          <w:color w:val="auto"/>
          <w:sz w:val="22"/>
          <w:szCs w:val="22"/>
          <w:highlight w:val="none"/>
        </w:rPr>
        <w:t>1.筹集（购买）安置性商品房以及购买市场化房源费用以及房产产权转让给安置户所需的相关费用由本项目中标人承担。</w:t>
      </w:r>
    </w:p>
    <w:p>
      <w:pPr>
        <w:snapToGrid w:val="0"/>
        <w:spacing w:line="440" w:lineRule="exact"/>
        <w:ind w:firstLine="442" w:firstLineChars="200"/>
        <w:rPr>
          <w:rFonts w:ascii="新宋体" w:hAnsi="新宋体" w:eastAsia="新宋体" w:cs="Calibri"/>
          <w:b/>
          <w:bCs/>
          <w:color w:val="auto"/>
          <w:sz w:val="22"/>
          <w:szCs w:val="22"/>
          <w:highlight w:val="none"/>
        </w:rPr>
      </w:pPr>
      <w:r>
        <w:rPr>
          <w:rFonts w:hint="eastAsia" w:ascii="新宋体" w:hAnsi="新宋体" w:eastAsia="新宋体" w:cs="Calibri"/>
          <w:b/>
          <w:bCs/>
          <w:color w:val="auto"/>
          <w:sz w:val="22"/>
          <w:szCs w:val="22"/>
          <w:highlight w:val="none"/>
        </w:rPr>
        <w:t>2.</w:t>
      </w:r>
      <w:r>
        <w:rPr>
          <w:rFonts w:hint="eastAsia" w:ascii="新宋体" w:hAnsi="新宋体" w:eastAsia="新宋体"/>
          <w:b/>
          <w:bCs/>
          <w:color w:val="auto"/>
          <w:sz w:val="22"/>
          <w:szCs w:val="22"/>
          <w:highlight w:val="none"/>
        </w:rPr>
        <w:t>项目中标人所购买安置房，若完成本合同所有安置任务仍有剩余，则由项目中标人全权处置。中标人在实施项目安置服务过程中，被安置对象若放弃安置资格（放弃安置房产），则中标人具有相应安置房产的全部处置权。</w:t>
      </w:r>
    </w:p>
    <w:bookmarkEnd w:id="123"/>
    <w:p>
      <w:pPr>
        <w:snapToGrid w:val="0"/>
        <w:spacing w:line="440" w:lineRule="exact"/>
        <w:ind w:firstLine="442" w:firstLineChars="200"/>
        <w:rPr>
          <w:rFonts w:ascii="新宋体" w:hAnsi="新宋体" w:eastAsia="新宋体" w:cs="Calibri"/>
          <w:color w:val="auto"/>
          <w:sz w:val="22"/>
          <w:szCs w:val="22"/>
          <w:highlight w:val="none"/>
        </w:rPr>
      </w:pPr>
      <w:r>
        <w:rPr>
          <w:rFonts w:hint="eastAsia" w:ascii="新宋体" w:hAnsi="新宋体" w:eastAsia="新宋体" w:cs="Calibri"/>
          <w:b/>
          <w:bCs/>
          <w:color w:val="auto"/>
          <w:sz w:val="22"/>
          <w:szCs w:val="22"/>
          <w:highlight w:val="none"/>
        </w:rPr>
        <w:t>3.提供项目安置服务所需费用：项目中标人承担完成本章“四、安置服务内容”约定服务内容以及项目中标人投标承诺服务内容所需的所有费用</w:t>
      </w:r>
      <w:r>
        <w:rPr>
          <w:rFonts w:hint="eastAsia" w:ascii="新宋体" w:hAnsi="新宋体" w:eastAsia="新宋体" w:cs="Calibri"/>
          <w:color w:val="auto"/>
          <w:sz w:val="22"/>
          <w:szCs w:val="22"/>
          <w:highlight w:val="none"/>
        </w:rPr>
        <w:t>。</w:t>
      </w:r>
    </w:p>
    <w:p>
      <w:pPr>
        <w:spacing w:line="44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（二）采购人让渡费用</w:t>
      </w:r>
    </w:p>
    <w:p>
      <w:pPr>
        <w:snapToGrid w:val="0"/>
        <w:spacing w:line="440" w:lineRule="exact"/>
        <w:ind w:firstLine="442" w:firstLineChars="200"/>
        <w:rPr>
          <w:rFonts w:ascii="新宋体" w:hAnsi="新宋体" w:eastAsia="新宋体" w:cs="Calibri"/>
          <w:b/>
          <w:bCs/>
          <w:color w:val="auto"/>
          <w:sz w:val="22"/>
          <w:szCs w:val="22"/>
          <w:highlight w:val="none"/>
        </w:rPr>
      </w:pPr>
      <w:r>
        <w:rPr>
          <w:rFonts w:hint="eastAsia" w:ascii="新宋体" w:hAnsi="新宋体" w:eastAsia="新宋体" w:cs="Calibri"/>
          <w:b/>
          <w:bCs/>
          <w:color w:val="auto"/>
          <w:sz w:val="22"/>
          <w:szCs w:val="22"/>
          <w:highlight w:val="none"/>
        </w:rPr>
        <w:t>1.采购人让渡给项目中标人费用包括安置房补差收入及停车位收入权益让渡给项目中标人；具体如下：</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1.1安置房补差收入预计在</w:t>
      </w:r>
      <w:r>
        <w:rPr>
          <w:rFonts w:hint="eastAsia" w:ascii="新宋体" w:hAnsi="新宋体" w:eastAsia="新宋体" w:cs="Calibri"/>
          <w:color w:val="auto"/>
          <w:sz w:val="22"/>
          <w:szCs w:val="22"/>
          <w:highlight w:val="none"/>
          <w:lang w:val="en-US" w:eastAsia="zh-CN"/>
        </w:rPr>
        <w:t>220718</w:t>
      </w:r>
      <w:r>
        <w:rPr>
          <w:rFonts w:hint="eastAsia" w:ascii="新宋体" w:hAnsi="新宋体" w:eastAsia="新宋体" w:cs="Calibri"/>
          <w:color w:val="auto"/>
          <w:sz w:val="22"/>
          <w:szCs w:val="22"/>
          <w:highlight w:val="none"/>
        </w:rPr>
        <w:t>万元左右，具体包含如下内容:</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①安置房补差收入：按照《温州市鹿城区征收集体土地涉及房屋补偿实施细则（温鹿政办【2018】53号）》的有关规定，本项目的住宅原产权面积征收安置部分及其众用分摊面积的差价，未经登记部分但符合补偿规定的安置部分及其众用分摊面积差价；</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②一翻三空翻面积补差收入；</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③人均增购补偿费用收入：户籍在征收范围内农户选择人均50㎡的，由于基本上原拆的建筑面积大于人均30平方米，则考虑原拆面积至人均50平方米部分及其对应的众用分摊面积增购补偿费用；</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④套型差增购费用收入；</w:t>
      </w:r>
    </w:p>
    <w:p>
      <w:pPr>
        <w:snapToGrid w:val="0"/>
        <w:spacing w:line="440" w:lineRule="exact"/>
        <w:ind w:firstLine="440" w:firstLineChars="200"/>
        <w:rPr>
          <w:rFonts w:ascii="新宋体" w:hAnsi="新宋体" w:eastAsia="新宋体" w:cs="Calibri"/>
          <w:color w:val="auto"/>
          <w:sz w:val="22"/>
          <w:szCs w:val="22"/>
          <w:highlight w:val="none"/>
        </w:rPr>
      </w:pPr>
      <w:r>
        <w:rPr>
          <w:rFonts w:hint="eastAsia" w:ascii="新宋体" w:hAnsi="新宋体" w:eastAsia="新宋体" w:cs="Calibri"/>
          <w:color w:val="auto"/>
          <w:sz w:val="22"/>
          <w:szCs w:val="22"/>
          <w:highlight w:val="none"/>
        </w:rPr>
        <w:t>⑤奖励增购费用收入。</w:t>
      </w:r>
    </w:p>
    <w:p>
      <w:pPr>
        <w:snapToGrid w:val="0"/>
        <w:spacing w:line="440" w:lineRule="exact"/>
        <w:ind w:firstLine="442" w:firstLineChars="200"/>
        <w:rPr>
          <w:rFonts w:ascii="新宋体" w:hAnsi="新宋体" w:eastAsia="新宋体" w:cs="Calibri"/>
          <w:color w:val="auto"/>
          <w:sz w:val="22"/>
          <w:szCs w:val="22"/>
          <w:highlight w:val="none"/>
          <w:u w:val="single"/>
        </w:rPr>
      </w:pPr>
      <w:r>
        <w:rPr>
          <w:rFonts w:hint="eastAsia" w:ascii="新宋体" w:hAnsi="新宋体" w:eastAsia="新宋体" w:cs="Calibri"/>
          <w:b/>
          <w:bCs/>
          <w:color w:val="auto"/>
          <w:sz w:val="22"/>
          <w:szCs w:val="22"/>
          <w:highlight w:val="none"/>
        </w:rPr>
        <w:t>1.2停车位出让收入:</w:t>
      </w:r>
      <w:r>
        <w:rPr>
          <w:rFonts w:hint="eastAsia" w:ascii="新宋体" w:hAnsi="新宋体" w:eastAsia="新宋体" w:cs="Calibri"/>
          <w:b/>
          <w:bCs/>
          <w:color w:val="auto"/>
          <w:sz w:val="22"/>
          <w:szCs w:val="22"/>
          <w:highlight w:val="none"/>
          <w:u w:val="single"/>
        </w:rPr>
        <w:t>预计用于安置的停车位</w:t>
      </w:r>
      <w:r>
        <w:rPr>
          <w:rFonts w:hint="eastAsia" w:ascii="新宋体" w:hAnsi="新宋体" w:eastAsia="新宋体" w:cs="Calibri"/>
          <w:b/>
          <w:bCs/>
          <w:color w:val="auto"/>
          <w:sz w:val="22"/>
          <w:szCs w:val="22"/>
          <w:highlight w:val="none"/>
          <w:u w:val="single"/>
          <w:lang w:val="en-US" w:eastAsia="zh-CN"/>
        </w:rPr>
        <w:t>5095</w:t>
      </w:r>
      <w:r>
        <w:rPr>
          <w:rFonts w:hint="eastAsia" w:ascii="新宋体" w:hAnsi="新宋体" w:eastAsia="新宋体" w:cs="Calibri"/>
          <w:b/>
          <w:bCs/>
          <w:color w:val="auto"/>
          <w:sz w:val="22"/>
          <w:szCs w:val="22"/>
          <w:highlight w:val="none"/>
          <w:u w:val="single"/>
        </w:rPr>
        <w:t>个</w:t>
      </w:r>
      <w:r>
        <w:rPr>
          <w:rFonts w:hint="eastAsia" w:ascii="新宋体" w:hAnsi="新宋体" w:eastAsia="新宋体" w:cs="Calibri"/>
          <w:color w:val="auto"/>
          <w:sz w:val="22"/>
          <w:szCs w:val="22"/>
          <w:highlight w:val="none"/>
          <w:u w:val="single"/>
        </w:rPr>
        <w:t>。</w:t>
      </w:r>
    </w:p>
    <w:p>
      <w:pPr>
        <w:spacing w:line="44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（三）项目投标</w:t>
      </w:r>
      <w:r>
        <w:rPr>
          <w:rFonts w:ascii="新宋体" w:hAnsi="新宋体" w:eastAsia="新宋体"/>
          <w:b/>
          <w:bCs/>
          <w:color w:val="auto"/>
          <w:sz w:val="22"/>
          <w:szCs w:val="22"/>
          <w:highlight w:val="none"/>
        </w:rPr>
        <w:t>报价要求</w:t>
      </w:r>
    </w:p>
    <w:p>
      <w:pPr>
        <w:snapToGrid w:val="0"/>
        <w:spacing w:line="440" w:lineRule="exact"/>
        <w:ind w:firstLine="442" w:firstLineChars="20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1.筹集（购买）安置性商品房以及购买市场化房源费用报价：不再单独报价。</w:t>
      </w:r>
    </w:p>
    <w:p>
      <w:pPr>
        <w:snapToGrid w:val="0"/>
        <w:spacing w:line="440" w:lineRule="exact"/>
        <w:ind w:firstLine="442" w:firstLineChars="20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2.安置服务报价：</w:t>
      </w:r>
    </w:p>
    <w:p>
      <w:pPr>
        <w:snapToGrid w:val="0"/>
        <w:spacing w:line="440" w:lineRule="exact"/>
        <w:ind w:firstLine="442" w:firstLineChars="200"/>
        <w:rPr>
          <w:rFonts w:ascii="新宋体" w:hAnsi="新宋体" w:eastAsia="新宋体" w:cs="Calibri"/>
          <w:color w:val="auto"/>
          <w:kern w:val="0"/>
          <w:sz w:val="22"/>
          <w:szCs w:val="22"/>
          <w:highlight w:val="none"/>
        </w:rPr>
      </w:pPr>
      <w:r>
        <w:rPr>
          <w:rFonts w:hint="eastAsia" w:ascii="新宋体" w:hAnsi="新宋体" w:eastAsia="新宋体" w:cs="Calibri"/>
          <w:b/>
          <w:bCs/>
          <w:color w:val="auto"/>
          <w:kern w:val="0"/>
          <w:sz w:val="22"/>
          <w:szCs w:val="22"/>
          <w:highlight w:val="none"/>
          <w:u w:val="single"/>
        </w:rPr>
        <w:t>本项目投标</w:t>
      </w:r>
      <w:r>
        <w:rPr>
          <w:rFonts w:ascii="新宋体" w:hAnsi="新宋体" w:eastAsia="新宋体" w:cs="Calibri"/>
          <w:b/>
          <w:bCs/>
          <w:color w:val="auto"/>
          <w:kern w:val="0"/>
          <w:sz w:val="22"/>
          <w:szCs w:val="22"/>
          <w:highlight w:val="none"/>
          <w:u w:val="single"/>
        </w:rPr>
        <w:t>报价包括完成本项目安置服务所需的所有需支出费用（包括人工、服务、培训、</w:t>
      </w:r>
      <w:r>
        <w:rPr>
          <w:rFonts w:hint="eastAsia" w:ascii="新宋体" w:hAnsi="新宋体" w:eastAsia="新宋体" w:cs="Calibri"/>
          <w:b/>
          <w:bCs/>
          <w:color w:val="auto"/>
          <w:kern w:val="0"/>
          <w:sz w:val="22"/>
          <w:szCs w:val="22"/>
          <w:highlight w:val="none"/>
          <w:u w:val="single"/>
        </w:rPr>
        <w:t>场地费、宣传费用、</w:t>
      </w:r>
      <w:r>
        <w:rPr>
          <w:rFonts w:ascii="新宋体" w:hAnsi="新宋体" w:eastAsia="新宋体" w:cs="Calibri"/>
          <w:b/>
          <w:bCs/>
          <w:color w:val="auto"/>
          <w:kern w:val="0"/>
          <w:sz w:val="22"/>
          <w:szCs w:val="22"/>
          <w:highlight w:val="none"/>
          <w:u w:val="single"/>
        </w:rPr>
        <w:t>招标代理费、技术支持</w:t>
      </w:r>
      <w:r>
        <w:rPr>
          <w:rFonts w:hint="eastAsia" w:ascii="新宋体" w:hAnsi="新宋体" w:eastAsia="新宋体" w:cs="Calibri"/>
          <w:b/>
          <w:bCs/>
          <w:color w:val="auto"/>
          <w:kern w:val="0"/>
          <w:sz w:val="22"/>
          <w:szCs w:val="22"/>
          <w:highlight w:val="none"/>
          <w:u w:val="single"/>
        </w:rPr>
        <w:t>费用、法律支持费用、</w:t>
      </w:r>
      <w:r>
        <w:rPr>
          <w:rFonts w:ascii="新宋体" w:hAnsi="新宋体" w:eastAsia="新宋体" w:cs="Calibri"/>
          <w:b/>
          <w:bCs/>
          <w:color w:val="auto"/>
          <w:kern w:val="0"/>
          <w:sz w:val="22"/>
          <w:szCs w:val="22"/>
          <w:highlight w:val="none"/>
          <w:u w:val="single"/>
        </w:rPr>
        <w:t>税费等完成本项目</w:t>
      </w:r>
      <w:r>
        <w:rPr>
          <w:rFonts w:hint="eastAsia" w:ascii="新宋体" w:hAnsi="新宋体" w:eastAsia="新宋体" w:cs="Calibri"/>
          <w:b/>
          <w:bCs/>
          <w:color w:val="auto"/>
          <w:kern w:val="0"/>
          <w:sz w:val="22"/>
          <w:szCs w:val="22"/>
          <w:highlight w:val="none"/>
          <w:u w:val="single"/>
        </w:rPr>
        <w:t>安置服务所需</w:t>
      </w:r>
      <w:r>
        <w:rPr>
          <w:rFonts w:ascii="新宋体" w:hAnsi="新宋体" w:eastAsia="新宋体" w:cs="Calibri"/>
          <w:b/>
          <w:bCs/>
          <w:color w:val="auto"/>
          <w:kern w:val="0"/>
          <w:sz w:val="22"/>
          <w:szCs w:val="22"/>
          <w:highlight w:val="none"/>
          <w:u w:val="single"/>
        </w:rPr>
        <w:t>的一切费用）。</w:t>
      </w:r>
    </w:p>
    <w:p>
      <w:pPr>
        <w:pStyle w:val="593"/>
        <w:spacing w:line="440" w:lineRule="exact"/>
        <w:ind w:firstLine="440"/>
        <w:rPr>
          <w:rFonts w:ascii="新宋体" w:hAnsi="新宋体" w:eastAsia="新宋体" w:cs="Calibri"/>
          <w:b/>
          <w:bCs/>
          <w:color w:val="auto"/>
          <w:sz w:val="22"/>
          <w:szCs w:val="22"/>
          <w:highlight w:val="none"/>
          <w:u w:val="single"/>
        </w:rPr>
      </w:pPr>
      <w:r>
        <w:rPr>
          <w:rFonts w:hint="eastAsia" w:ascii="新宋体" w:hAnsi="新宋体" w:eastAsia="新宋体" w:cs="Calibri"/>
          <w:color w:val="auto"/>
          <w:sz w:val="22"/>
          <w:szCs w:val="22"/>
          <w:highlight w:val="none"/>
        </w:rPr>
        <w:t>3.</w:t>
      </w:r>
      <w:r>
        <w:rPr>
          <w:rFonts w:ascii="新宋体" w:hAnsi="新宋体" w:eastAsia="新宋体" w:cs="Calibri"/>
          <w:color w:val="auto"/>
          <w:sz w:val="22"/>
          <w:szCs w:val="22"/>
          <w:highlight w:val="none"/>
        </w:rPr>
        <w:t>▲</w:t>
      </w:r>
      <w:r>
        <w:rPr>
          <w:rFonts w:hint="eastAsia" w:ascii="新宋体" w:hAnsi="新宋体" w:eastAsia="新宋体" w:cs="Calibri"/>
          <w:b/>
          <w:bCs/>
          <w:color w:val="auto"/>
          <w:sz w:val="22"/>
          <w:szCs w:val="22"/>
          <w:highlight w:val="none"/>
          <w:u w:val="single"/>
        </w:rPr>
        <w:t>安置服务最高限价：</w:t>
      </w:r>
    </w:p>
    <w:p>
      <w:pPr>
        <w:pStyle w:val="593"/>
        <w:numPr>
          <w:ilvl w:val="0"/>
          <w:numId w:val="30"/>
        </w:numPr>
        <w:spacing w:line="440" w:lineRule="exact"/>
        <w:ind w:firstLine="440"/>
        <w:rPr>
          <w:rFonts w:ascii="新宋体" w:hAnsi="新宋体" w:eastAsia="新宋体"/>
          <w:bCs/>
          <w:color w:val="auto"/>
          <w:sz w:val="22"/>
          <w:szCs w:val="22"/>
          <w:highlight w:val="none"/>
        </w:rPr>
      </w:pPr>
      <w:r>
        <w:rPr>
          <w:rFonts w:hint="eastAsia" w:ascii="新宋体" w:hAnsi="新宋体" w:eastAsia="新宋体" w:cs="Calibri"/>
          <w:bCs/>
          <w:color w:val="auto"/>
          <w:sz w:val="22"/>
          <w:szCs w:val="22"/>
          <w:highlight w:val="none"/>
        </w:rPr>
        <w:t>项目最高限价：</w:t>
      </w:r>
      <w:r>
        <w:rPr>
          <w:rFonts w:hint="eastAsia" w:ascii="新宋体" w:hAnsi="新宋体" w:eastAsia="新宋体" w:cs="Calibri"/>
          <w:bCs/>
          <w:color w:val="auto"/>
          <w:sz w:val="22"/>
          <w:szCs w:val="22"/>
          <w:highlight w:val="none"/>
          <w:lang w:val="en-US" w:eastAsia="zh-CN"/>
        </w:rPr>
        <w:t>14000</w:t>
      </w:r>
      <w:r>
        <w:rPr>
          <w:rFonts w:hint="eastAsia" w:ascii="新宋体" w:hAnsi="新宋体" w:eastAsia="新宋体" w:cs="Calibri"/>
          <w:bCs/>
          <w:color w:val="auto"/>
          <w:sz w:val="22"/>
          <w:szCs w:val="22"/>
          <w:highlight w:val="none"/>
        </w:rPr>
        <w:t>万元；</w:t>
      </w:r>
    </w:p>
    <w:p>
      <w:pPr>
        <w:pStyle w:val="593"/>
        <w:numPr>
          <w:ilvl w:val="0"/>
          <w:numId w:val="30"/>
        </w:numPr>
        <w:spacing w:line="440" w:lineRule="exact"/>
        <w:ind w:firstLine="440"/>
        <w:rPr>
          <w:rFonts w:ascii="新宋体" w:hAnsi="新宋体" w:eastAsia="新宋体"/>
          <w:bCs/>
          <w:color w:val="auto"/>
          <w:sz w:val="22"/>
          <w:szCs w:val="22"/>
          <w:highlight w:val="none"/>
        </w:rPr>
      </w:pPr>
      <w:r>
        <w:rPr>
          <w:rFonts w:hint="eastAsia" w:ascii="新宋体" w:hAnsi="新宋体" w:eastAsia="新宋体" w:cs="Calibri"/>
          <w:bCs/>
          <w:color w:val="auto"/>
          <w:sz w:val="22"/>
          <w:szCs w:val="22"/>
          <w:highlight w:val="none"/>
        </w:rPr>
        <w:t>综合单价最高限价：</w:t>
      </w:r>
      <w:r>
        <w:rPr>
          <w:rFonts w:hint="eastAsia" w:ascii="新宋体" w:hAnsi="新宋体" w:eastAsia="新宋体" w:cs="Calibri"/>
          <w:bCs/>
          <w:color w:val="auto"/>
          <w:sz w:val="22"/>
          <w:szCs w:val="22"/>
          <w:highlight w:val="none"/>
          <w:lang w:val="en-US" w:eastAsia="zh-CN"/>
        </w:rPr>
        <w:t>313</w:t>
      </w:r>
      <w:r>
        <w:rPr>
          <w:rFonts w:hint="eastAsia" w:ascii="新宋体" w:hAnsi="新宋体" w:eastAsia="新宋体" w:cs="Calibri"/>
          <w:bCs/>
          <w:color w:val="auto"/>
          <w:sz w:val="22"/>
          <w:szCs w:val="22"/>
          <w:highlight w:val="none"/>
        </w:rPr>
        <w:t>元/m</w:t>
      </w:r>
      <w:r>
        <w:rPr>
          <w:rFonts w:hint="eastAsia" w:ascii="新宋体" w:hAnsi="新宋体" w:eastAsia="新宋体" w:cs="Calibri"/>
          <w:bCs/>
          <w:color w:val="auto"/>
          <w:sz w:val="22"/>
          <w:szCs w:val="22"/>
          <w:highlight w:val="none"/>
          <w:vertAlign w:val="superscript"/>
        </w:rPr>
        <w:t>2</w:t>
      </w:r>
      <w:r>
        <w:rPr>
          <w:rFonts w:hint="eastAsia" w:ascii="新宋体" w:hAnsi="新宋体" w:eastAsia="新宋体" w:cs="Calibri"/>
          <w:bCs/>
          <w:color w:val="auto"/>
          <w:sz w:val="22"/>
          <w:szCs w:val="22"/>
          <w:highlight w:val="none"/>
        </w:rPr>
        <w:t>。</w:t>
      </w:r>
    </w:p>
    <w:p>
      <w:pPr>
        <w:pStyle w:val="593"/>
        <w:spacing w:line="440" w:lineRule="exact"/>
        <w:ind w:left="442" w:firstLine="0" w:firstLineChars="0"/>
        <w:rPr>
          <w:rFonts w:ascii="新宋体" w:hAnsi="新宋体" w:eastAsia="新宋体" w:cs="新宋体"/>
          <w:color w:val="auto"/>
          <w:sz w:val="22"/>
          <w:szCs w:val="22"/>
          <w:highlight w:val="none"/>
        </w:rPr>
      </w:pPr>
      <w:r>
        <w:rPr>
          <w:rFonts w:hint="eastAsia" w:ascii="新宋体" w:hAnsi="新宋体" w:eastAsia="新宋体" w:cs="Calibri"/>
          <w:bCs/>
          <w:color w:val="auto"/>
          <w:sz w:val="22"/>
          <w:szCs w:val="22"/>
          <w:highlight w:val="none"/>
        </w:rPr>
        <w:t>4.本项目安置服务结算依据为投标人所报综合单价（元/ m</w:t>
      </w:r>
      <w:r>
        <w:rPr>
          <w:rFonts w:hint="eastAsia" w:ascii="新宋体" w:hAnsi="新宋体" w:eastAsia="新宋体" w:cs="Calibri"/>
          <w:bCs/>
          <w:color w:val="auto"/>
          <w:sz w:val="22"/>
          <w:szCs w:val="22"/>
          <w:highlight w:val="none"/>
          <w:vertAlign w:val="superscript"/>
        </w:rPr>
        <w:t>2</w:t>
      </w:r>
      <w:r>
        <w:rPr>
          <w:rFonts w:hint="eastAsia" w:ascii="新宋体" w:hAnsi="新宋体" w:eastAsia="新宋体" w:cs="Calibri"/>
          <w:bCs/>
          <w:color w:val="auto"/>
          <w:sz w:val="22"/>
          <w:szCs w:val="22"/>
          <w:highlight w:val="none"/>
        </w:rPr>
        <w:t>）以及服务期内实际产生的服务数量。</w:t>
      </w:r>
    </w:p>
    <w:p>
      <w:pPr>
        <w:pStyle w:val="4"/>
        <w:rPr>
          <w:rFonts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24" w:name="_Toc31492"/>
      <w:r>
        <w:rPr>
          <w:rFonts w:hint="eastAsia" w:ascii="新宋体" w:hAnsi="新宋体" w:eastAsia="新宋体" w:cs="新宋体"/>
          <w:color w:val="auto"/>
          <w:sz w:val="36"/>
          <w:szCs w:val="36"/>
          <w:highlight w:val="none"/>
        </w:rPr>
        <w:t>第六部分</w:t>
      </w:r>
      <w:bookmarkEnd w:id="117"/>
      <w:bookmarkEnd w:id="118"/>
      <w:bookmarkEnd w:id="119"/>
      <w:bookmarkEnd w:id="120"/>
      <w:bookmarkEnd w:id="121"/>
      <w:r>
        <w:rPr>
          <w:rFonts w:hint="eastAsia" w:ascii="新宋体" w:hAnsi="新宋体" w:eastAsia="新宋体" w:cs="新宋体"/>
          <w:color w:val="auto"/>
          <w:sz w:val="36"/>
          <w:szCs w:val="36"/>
          <w:highlight w:val="none"/>
        </w:rPr>
        <w:t xml:space="preserve">   评标原则及方法</w:t>
      </w:r>
      <w:bookmarkEnd w:id="122"/>
      <w:bookmarkEnd w:id="124"/>
    </w:p>
    <w:bookmarkEnd w:id="24"/>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Pr>
        <w:pStyle w:val="22"/>
        <w:overflowPunct w:val="0"/>
        <w:spacing w:after="0" w:line="440" w:lineRule="exact"/>
        <w:rPr>
          <w:rFonts w:ascii="新宋体" w:hAnsi="新宋体" w:eastAsia="新宋体" w:cs="新宋体"/>
          <w:b/>
          <w:color w:val="auto"/>
          <w:highlight w:val="none"/>
        </w:rPr>
      </w:pPr>
      <w:bookmarkStart w:id="125" w:name="_Toc221356898"/>
      <w:bookmarkStart w:id="126" w:name="_Toc221356961"/>
      <w:r>
        <w:rPr>
          <w:rFonts w:hint="eastAsia" w:ascii="新宋体" w:hAnsi="新宋体" w:eastAsia="新宋体" w:cs="新宋体"/>
          <w:b/>
          <w:color w:val="auto"/>
          <w:highlight w:val="none"/>
        </w:rPr>
        <w:t>一. 总  则</w:t>
      </w:r>
      <w:bookmarkEnd w:id="125"/>
      <w:bookmarkEnd w:id="126"/>
    </w:p>
    <w:p>
      <w:pPr>
        <w:overflowPunct w:val="0"/>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严格按照采购文件的商务、技术要求，对投标文件进行综合评定，提出优选方案，编写评标报告。对落标单位，评委会不作任何落标解释。投标人不得以任何方式干扰招投标工作的进行，一经发现其投标文件将被拒绝。</w:t>
      </w:r>
    </w:p>
    <w:p>
      <w:pPr>
        <w:pStyle w:val="22"/>
        <w:overflowPunct w:val="0"/>
        <w:spacing w:after="0" w:line="440" w:lineRule="exact"/>
        <w:rPr>
          <w:rFonts w:ascii="新宋体" w:hAnsi="新宋体" w:eastAsia="新宋体" w:cs="新宋体"/>
          <w:b/>
          <w:color w:val="auto"/>
          <w:highlight w:val="none"/>
        </w:rPr>
      </w:pPr>
      <w:bookmarkStart w:id="127" w:name="_Toc221356962"/>
      <w:bookmarkStart w:id="128" w:name="_Toc221356899"/>
      <w:r>
        <w:rPr>
          <w:rFonts w:hint="eastAsia" w:ascii="新宋体" w:hAnsi="新宋体" w:eastAsia="新宋体" w:cs="新宋体"/>
          <w:b/>
          <w:color w:val="auto"/>
          <w:highlight w:val="none"/>
        </w:rPr>
        <w:t>二、评标组织</w:t>
      </w:r>
      <w:bookmarkEnd w:id="127"/>
      <w:bookmarkEnd w:id="128"/>
    </w:p>
    <w:p>
      <w:pPr>
        <w:overflowPunct w:val="0"/>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评标工作由采购人依法组建的评标委员会负责，评标全过程由有关部门指导监督。</w:t>
      </w:r>
    </w:p>
    <w:p>
      <w:pPr>
        <w:autoSpaceDE w:val="0"/>
        <w:autoSpaceDN w:val="0"/>
        <w:adjustRightInd w:val="0"/>
        <w:spacing w:line="440" w:lineRule="exac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pPr>
        <w:overflowPunct w:val="0"/>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pPr>
        <w:pStyle w:val="22"/>
        <w:adjustRightInd w:val="0"/>
        <w:snapToGrid w:val="0"/>
        <w:spacing w:after="0" w:line="440" w:lineRule="exact"/>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四、 评标办法</w:t>
      </w:r>
    </w:p>
    <w:p>
      <w:pPr>
        <w:overflowPunct w:val="0"/>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评标办法采取百分制综合评分法，其中商务技术90分（技术权值为90%），投标报价10分（价格权值为10%）。即最大限度地满足采购文件实质性要求前提下，按照采购文件中规定的各项评分内容进行综合评审。以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pPr>
        <w:overflowPunct w:val="0"/>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评标过程中遇到特殊情况，由评标委员会遵循公平、公正原则，采取记名投票方式按照少数服从多数原则决定。</w:t>
      </w:r>
    </w:p>
    <w:p>
      <w:pPr>
        <w:pStyle w:val="22"/>
        <w:spacing w:after="0" w:line="44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pPr>
        <w:numPr>
          <w:ilvl w:val="0"/>
          <w:numId w:val="31"/>
        </w:numPr>
        <w:spacing w:line="44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商务技术文件的评定（90分）</w:t>
      </w:r>
    </w:p>
    <w:p>
      <w:pPr>
        <w:spacing w:line="44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各评委成员按下列评分项目进行评定，每人一张评分计算表，由评标委员会成员各自评定打分并记实名。</w:t>
      </w:r>
      <w:r>
        <w:rPr>
          <w:rFonts w:hint="eastAsia" w:ascii="新宋体" w:hAnsi="新宋体" w:eastAsia="新宋体" w:cs="新宋体"/>
          <w:b/>
          <w:color w:val="auto"/>
          <w:sz w:val="22"/>
          <w:szCs w:val="22"/>
          <w:highlight w:val="none"/>
        </w:rPr>
        <w:t>如任何一张表的一项评分内容分值超过规定的范围，则该张表无效。</w:t>
      </w:r>
      <w:r>
        <w:rPr>
          <w:rFonts w:hint="eastAsia" w:ascii="新宋体" w:hAnsi="新宋体" w:eastAsia="新宋体" w:cs="新宋体"/>
          <w:color w:val="auto"/>
          <w:sz w:val="22"/>
          <w:szCs w:val="22"/>
          <w:highlight w:val="none"/>
        </w:rPr>
        <w:t>评标委员会成员对各投标人的各项评分内容评分合计值的算术平均值为该投标人商务技术文件的最终得分（四舍五入，保留小数点后二位）。</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8"/>
        <w:gridCol w:w="1772"/>
        <w:gridCol w:w="708"/>
        <w:gridCol w:w="64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451" w:type="pct"/>
            <w:vAlign w:val="center"/>
          </w:tcPr>
          <w:p>
            <w:pPr>
              <w:jc w:val="center"/>
              <w:rPr>
                <w:rFonts w:ascii="新宋体" w:hAnsi="新宋体" w:eastAsia="新宋体" w:cs="宋体"/>
                <w:b/>
                <w:color w:val="auto"/>
                <w:sz w:val="22"/>
                <w:szCs w:val="22"/>
                <w:highlight w:val="none"/>
              </w:rPr>
            </w:pPr>
            <w:r>
              <w:rPr>
                <w:rFonts w:hint="eastAsia" w:ascii="新宋体" w:hAnsi="新宋体" w:eastAsia="新宋体" w:cs="宋体"/>
                <w:b/>
                <w:color w:val="auto"/>
                <w:sz w:val="22"/>
                <w:szCs w:val="22"/>
                <w:highlight w:val="none"/>
              </w:rPr>
              <w:t>序号</w:t>
            </w:r>
          </w:p>
        </w:tc>
        <w:tc>
          <w:tcPr>
            <w:tcW w:w="899" w:type="pct"/>
            <w:vAlign w:val="center"/>
          </w:tcPr>
          <w:p>
            <w:pPr>
              <w:jc w:val="center"/>
              <w:rPr>
                <w:rFonts w:ascii="新宋体" w:hAnsi="新宋体" w:eastAsia="新宋体" w:cs="宋体"/>
                <w:b/>
                <w:color w:val="auto"/>
                <w:sz w:val="22"/>
                <w:szCs w:val="22"/>
                <w:highlight w:val="none"/>
              </w:rPr>
            </w:pPr>
            <w:r>
              <w:rPr>
                <w:rFonts w:hint="eastAsia" w:ascii="新宋体" w:hAnsi="新宋体" w:eastAsia="新宋体" w:cs="宋体"/>
                <w:b/>
                <w:color w:val="auto"/>
                <w:sz w:val="22"/>
                <w:szCs w:val="22"/>
                <w:highlight w:val="none"/>
              </w:rPr>
              <w:t>评审项目</w:t>
            </w:r>
          </w:p>
        </w:tc>
        <w:tc>
          <w:tcPr>
            <w:tcW w:w="359" w:type="pct"/>
            <w:vAlign w:val="center"/>
          </w:tcPr>
          <w:p>
            <w:pPr>
              <w:jc w:val="center"/>
              <w:rPr>
                <w:rFonts w:ascii="新宋体" w:hAnsi="新宋体" w:eastAsia="新宋体" w:cs="宋体"/>
                <w:b/>
                <w:color w:val="auto"/>
                <w:sz w:val="22"/>
                <w:szCs w:val="22"/>
                <w:highlight w:val="none"/>
              </w:rPr>
            </w:pPr>
            <w:r>
              <w:rPr>
                <w:rFonts w:hint="eastAsia" w:ascii="新宋体" w:hAnsi="新宋体" w:eastAsia="新宋体" w:cs="宋体"/>
                <w:b/>
                <w:color w:val="auto"/>
                <w:sz w:val="22"/>
                <w:szCs w:val="22"/>
                <w:highlight w:val="none"/>
              </w:rPr>
              <w:t>分值</w:t>
            </w:r>
          </w:p>
        </w:tc>
        <w:tc>
          <w:tcPr>
            <w:tcW w:w="3291" w:type="pct"/>
            <w:vAlign w:val="center"/>
          </w:tcPr>
          <w:p>
            <w:pPr>
              <w:jc w:val="center"/>
              <w:rPr>
                <w:rFonts w:ascii="新宋体" w:hAnsi="新宋体" w:eastAsia="新宋体" w:cs="宋体"/>
                <w:b/>
                <w:color w:val="auto"/>
                <w:sz w:val="22"/>
                <w:szCs w:val="22"/>
                <w:highlight w:val="none"/>
              </w:rPr>
            </w:pPr>
            <w:r>
              <w:rPr>
                <w:rFonts w:hint="eastAsia" w:ascii="新宋体" w:hAnsi="新宋体" w:eastAsia="新宋体" w:cs="宋体"/>
                <w:b/>
                <w:color w:val="auto"/>
                <w:sz w:val="22"/>
                <w:szCs w:val="22"/>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51" w:type="pct"/>
            <w:vAlign w:val="center"/>
          </w:tcPr>
          <w:p>
            <w:pPr>
              <w:jc w:val="center"/>
              <w:rPr>
                <w:rFonts w:ascii="新宋体" w:hAnsi="新宋体" w:eastAsia="新宋体" w:cs="宋体"/>
                <w:color w:val="auto"/>
                <w:sz w:val="22"/>
                <w:szCs w:val="22"/>
                <w:highlight w:val="none"/>
              </w:rPr>
            </w:pPr>
            <w:bookmarkStart w:id="129" w:name="_Hlk83478624"/>
            <w:r>
              <w:rPr>
                <w:rFonts w:hint="eastAsia" w:ascii="新宋体" w:hAnsi="新宋体" w:eastAsia="新宋体" w:cs="宋体"/>
                <w:color w:val="auto"/>
                <w:sz w:val="22"/>
                <w:szCs w:val="22"/>
                <w:highlight w:val="none"/>
              </w:rPr>
              <w:t>1</w:t>
            </w:r>
          </w:p>
        </w:tc>
        <w:tc>
          <w:tcPr>
            <w:tcW w:w="899"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安置任务化解工作方案</w:t>
            </w:r>
          </w:p>
        </w:tc>
        <w:tc>
          <w:tcPr>
            <w:tcW w:w="359"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w:t>
            </w:r>
          </w:p>
        </w:tc>
        <w:tc>
          <w:tcPr>
            <w:tcW w:w="3291" w:type="pct"/>
            <w:vAlign w:val="center"/>
          </w:tcPr>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sz w:val="22"/>
                <w:szCs w:val="22"/>
                <w:highlight w:val="none"/>
              </w:rPr>
              <w:t>根据投标人对本项目的</w:t>
            </w:r>
            <w:r>
              <w:rPr>
                <w:rFonts w:hint="eastAsia" w:ascii="新宋体" w:hAnsi="新宋体" w:eastAsia="新宋体" w:cs="宋体"/>
                <w:color w:val="auto"/>
                <w:kern w:val="0"/>
                <w:sz w:val="22"/>
                <w:szCs w:val="22"/>
                <w:highlight w:val="none"/>
              </w:rPr>
              <w:t>安置任务化解工作方案</w:t>
            </w:r>
            <w:r>
              <w:rPr>
                <w:rFonts w:hint="eastAsia" w:ascii="新宋体" w:hAnsi="新宋体" w:eastAsia="新宋体" w:cs="宋体"/>
                <w:color w:val="auto"/>
                <w:sz w:val="22"/>
                <w:szCs w:val="22"/>
                <w:highlight w:val="none"/>
              </w:rPr>
              <w:t>等</w:t>
            </w:r>
            <w:r>
              <w:rPr>
                <w:rFonts w:hint="eastAsia" w:ascii="新宋体" w:hAnsi="新宋体" w:eastAsia="新宋体" w:cs="宋体"/>
                <w:color w:val="auto"/>
                <w:kern w:val="0"/>
                <w:sz w:val="22"/>
                <w:szCs w:val="22"/>
                <w:highlight w:val="none"/>
              </w:rPr>
              <w:t>打分：</w:t>
            </w:r>
            <w:r>
              <w:rPr>
                <w:rFonts w:ascii="新宋体" w:hAnsi="新宋体" w:eastAsia="新宋体" w:cs="宋体"/>
                <w:color w:val="auto"/>
                <w:kern w:val="0"/>
                <w:sz w:val="22"/>
                <w:szCs w:val="22"/>
                <w:highlight w:val="none"/>
              </w:rPr>
              <w:t xml:space="preserve"> </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安置任务化解工作方案考虑全面、方案可行：10-15分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安置任务化解工作方案基本可行：5-10分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安置任务化解工作方案考虑过于片面、方案不具备可行性：0-5分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451" w:type="pct"/>
            <w:vAlign w:val="center"/>
          </w:tcPr>
          <w:p>
            <w:pPr>
              <w:jc w:val="center"/>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2</w:t>
            </w:r>
          </w:p>
        </w:tc>
        <w:tc>
          <w:tcPr>
            <w:tcW w:w="899"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资金筹措方案</w:t>
            </w:r>
          </w:p>
        </w:tc>
        <w:tc>
          <w:tcPr>
            <w:tcW w:w="359"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12</w:t>
            </w:r>
          </w:p>
        </w:tc>
        <w:tc>
          <w:tcPr>
            <w:tcW w:w="3291" w:type="pct"/>
            <w:vAlign w:val="center"/>
          </w:tcPr>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根据投标人对本项目的资金筹措方案等打分：</w:t>
            </w:r>
            <w:r>
              <w:rPr>
                <w:rFonts w:ascii="新宋体" w:hAnsi="新宋体" w:eastAsia="新宋体" w:cs="宋体"/>
                <w:color w:val="auto"/>
                <w:kern w:val="0"/>
                <w:sz w:val="22"/>
                <w:szCs w:val="22"/>
                <w:highlight w:val="none"/>
              </w:rPr>
              <w:t xml:space="preserve"> </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资金筹措方案方案可行：8-12分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资金筹措方案方案基本可行：4-8分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资金筹措方案方案不可行：0-4分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51" w:type="pct"/>
            <w:vAlign w:val="center"/>
          </w:tcPr>
          <w:p>
            <w:pPr>
              <w:jc w:val="center"/>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3</w:t>
            </w:r>
          </w:p>
        </w:tc>
        <w:tc>
          <w:tcPr>
            <w:tcW w:w="899"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金融机构融资意向</w:t>
            </w:r>
          </w:p>
        </w:tc>
        <w:tc>
          <w:tcPr>
            <w:tcW w:w="359" w:type="pct"/>
            <w:vAlign w:val="center"/>
          </w:tcPr>
          <w:p>
            <w:pPr>
              <w:widowControl/>
              <w:jc w:val="center"/>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5</w:t>
            </w:r>
          </w:p>
        </w:tc>
        <w:tc>
          <w:tcPr>
            <w:tcW w:w="3291" w:type="pct"/>
            <w:vAlign w:val="center"/>
          </w:tcPr>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根据投标人前期提供与金融机构实质性对接，提供金融机构意向性文件或会议纪要；0-</w:t>
            </w: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5分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融资意向强，能提供相关融资框架协议：10-15分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融资意向一般：5-10分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无融资意向：0-5分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51" w:type="pct"/>
            <w:vAlign w:val="center"/>
          </w:tcPr>
          <w:p>
            <w:pPr>
              <w:jc w:val="center"/>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4</w:t>
            </w:r>
          </w:p>
        </w:tc>
        <w:tc>
          <w:tcPr>
            <w:tcW w:w="899"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安置性商品房筹集（外购）方案及商品房区位品质</w:t>
            </w:r>
          </w:p>
        </w:tc>
        <w:tc>
          <w:tcPr>
            <w:tcW w:w="359"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w:t>
            </w:r>
          </w:p>
        </w:tc>
        <w:tc>
          <w:tcPr>
            <w:tcW w:w="3291" w:type="pct"/>
            <w:vAlign w:val="center"/>
          </w:tcPr>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根据投标人对本项目的安置性商品房筹集（外购）方案及商品房区位品质等打分：0-15分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安置性商品房筹集（外购）方案可行、商品房品质高：10-15分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安置性商品房筹集（外购）方案基本可行、商品房品质一般：5-10分</w:t>
            </w:r>
          </w:p>
          <w:p>
            <w:pPr>
              <w:widowControl/>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安置性商品房筹集（外购）方案不可行、商品房品质差：0-5分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51"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5</w:t>
            </w:r>
          </w:p>
        </w:tc>
        <w:tc>
          <w:tcPr>
            <w:tcW w:w="899"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安置进度保障措施及人员配置</w:t>
            </w:r>
          </w:p>
        </w:tc>
        <w:tc>
          <w:tcPr>
            <w:tcW w:w="359" w:type="pct"/>
            <w:vAlign w:val="center"/>
          </w:tcPr>
          <w:p>
            <w:pPr>
              <w:widowControl/>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w:t>
            </w:r>
          </w:p>
        </w:tc>
        <w:tc>
          <w:tcPr>
            <w:tcW w:w="3291" w:type="pct"/>
            <w:vAlign w:val="center"/>
          </w:tcPr>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根据投标人对本项目的安置进度保障措施、现场配套服务人员配置方案等打分：0-15分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保障措施到位，人员配置合理：10-15分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保障措施基本到位，人员配置基本合理：5-10分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保障措施较差，人员配置不合理：0-5分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51"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6</w:t>
            </w:r>
          </w:p>
        </w:tc>
        <w:tc>
          <w:tcPr>
            <w:tcW w:w="899"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新宋体"/>
                <w:color w:val="auto"/>
                <w:sz w:val="22"/>
                <w:szCs w:val="22"/>
                <w:highlight w:val="none"/>
              </w:rPr>
              <w:t>与政府有关部门的对接方案</w:t>
            </w:r>
          </w:p>
        </w:tc>
        <w:tc>
          <w:tcPr>
            <w:tcW w:w="359" w:type="pct"/>
            <w:vAlign w:val="center"/>
          </w:tcPr>
          <w:p>
            <w:pPr>
              <w:widowControl/>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10</w:t>
            </w:r>
          </w:p>
        </w:tc>
        <w:tc>
          <w:tcPr>
            <w:tcW w:w="3291" w:type="pct"/>
            <w:vAlign w:val="center"/>
          </w:tcPr>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根据投标人在项目安置服务过程中与政府有关部门的对接方案对投标人的沟通协调能力进行量化评价：</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方案可行性高、沟通协调能力强：6.5-10分 </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方案基本可行、沟通协调能力一般：3-6.5分 </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方案不可行、沟通协调能力差：0-3分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51" w:type="pct"/>
            <w:vAlign w:val="center"/>
          </w:tcPr>
          <w:p>
            <w:pPr>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7</w:t>
            </w:r>
          </w:p>
        </w:tc>
        <w:tc>
          <w:tcPr>
            <w:tcW w:w="899" w:type="pct"/>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投标人的社会责任承担能力与风险</w:t>
            </w:r>
          </w:p>
        </w:tc>
        <w:tc>
          <w:tcPr>
            <w:tcW w:w="359" w:type="pct"/>
            <w:vAlign w:val="center"/>
          </w:tcPr>
          <w:p>
            <w:pPr>
              <w:widowControl/>
              <w:jc w:val="center"/>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8</w:t>
            </w:r>
          </w:p>
        </w:tc>
        <w:tc>
          <w:tcPr>
            <w:tcW w:w="3291" w:type="pct"/>
            <w:vAlign w:val="center"/>
          </w:tcPr>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根据本项目包含重大社会责任、社会影响的实际情况，对投标人的责任承担能力与风险进行评估量化：社会责任承担能力强，产生社会不良影响风险低：5-8分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社会责任承担能力一般，产生社会不良影响风险较高：2-5分</w:t>
            </w:r>
          </w:p>
          <w:p>
            <w:pPr>
              <w:jc w:val="lef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社会责任承担能力较差，产生社会不良影响风险高：0-2分</w:t>
            </w:r>
          </w:p>
        </w:tc>
      </w:tr>
      <w:bookmarkEnd w:id="129"/>
    </w:tbl>
    <w:p>
      <w:pPr>
        <w:pStyle w:val="23"/>
        <w:spacing w:after="0" w:line="440" w:lineRule="exact"/>
        <w:ind w:firstLine="0" w:firstLineChars="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p>
      <w:pPr>
        <w:pStyle w:val="23"/>
        <w:numPr>
          <w:ilvl w:val="0"/>
          <w:numId w:val="32"/>
        </w:numPr>
        <w:spacing w:after="0" w:line="440" w:lineRule="exact"/>
        <w:ind w:left="0" w:firstLine="425" w:firstLineChars="0"/>
        <w:rPr>
          <w:rFonts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以上所需的各种证书、证件、证明、执照若系复印件，须在复印件上加盖投标人有效的公章。证书、证件、证明等原件，属备查项目，并非强制性要求。评标主要依据投标人磋商响应文件中加盖有效公章的证书/证明文件复印件，如评标委员会对复印件有异议的，可在投标人提供原件资料里核查，若投标人未提供原件资料佐证的，则承担相应评分项不得分的风险。</w:t>
      </w:r>
    </w:p>
    <w:p>
      <w:pPr>
        <w:pStyle w:val="23"/>
        <w:numPr>
          <w:ilvl w:val="0"/>
          <w:numId w:val="32"/>
        </w:numPr>
        <w:spacing w:after="0" w:line="440" w:lineRule="exact"/>
        <w:ind w:left="0" w:firstLine="425" w:firstLineChars="0"/>
        <w:rPr>
          <w:rFonts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以上评分保留小数1位（四舍五入）</w:t>
      </w:r>
    </w:p>
    <w:p>
      <w:pPr>
        <w:numPr>
          <w:ilvl w:val="0"/>
          <w:numId w:val="31"/>
        </w:numPr>
        <w:spacing w:line="440" w:lineRule="exact"/>
        <w:ind w:firstLine="0"/>
        <w:rPr>
          <w:rFonts w:ascii="新宋体" w:hAnsi="新宋体" w:eastAsia="新宋体" w:cs="新宋体"/>
          <w:b/>
          <w:bCs/>
          <w:color w:val="auto"/>
          <w:sz w:val="22"/>
          <w:szCs w:val="22"/>
          <w:highlight w:val="none"/>
        </w:rPr>
      </w:pPr>
      <w:r>
        <w:rPr>
          <w:rFonts w:hint="eastAsia" w:ascii="新宋体" w:hAnsi="新宋体" w:eastAsia="新宋体"/>
          <w:b/>
          <w:color w:val="auto"/>
          <w:sz w:val="22"/>
          <w:szCs w:val="22"/>
          <w:highlight w:val="none"/>
        </w:rPr>
        <w:t>投标报价评分</w:t>
      </w:r>
      <w:r>
        <w:rPr>
          <w:rFonts w:hint="eastAsia" w:ascii="新宋体" w:hAnsi="新宋体" w:eastAsia="新宋体" w:cs="新宋体"/>
          <w:b/>
          <w:bCs/>
          <w:color w:val="auto"/>
          <w:sz w:val="22"/>
          <w:szCs w:val="22"/>
          <w:highlight w:val="none"/>
        </w:rPr>
        <w:t>（10分）：</w:t>
      </w:r>
    </w:p>
    <w:p>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2.1满足采购文件要求且投标价格最低的投标报价为评标基准价；</w:t>
      </w:r>
    </w:p>
    <w:p>
      <w:pPr>
        <w:spacing w:line="440" w:lineRule="exact"/>
        <w:ind w:firstLine="440" w:firstLineChars="200"/>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1）有效投标人的投标价等于评标基准价时，其投标报价评分值为满分；</w:t>
      </w:r>
    </w:p>
    <w:p>
      <w:pPr>
        <w:spacing w:line="440" w:lineRule="exact"/>
        <w:ind w:firstLine="440" w:firstLineChars="200"/>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2）未满足折扣条件的报价得分=（评标基准价/投标人投标报价）×10（四舍五入，保留小数点后2位）</w:t>
      </w:r>
    </w:p>
    <w:p>
      <w:pPr>
        <w:spacing w:line="440" w:lineRule="exact"/>
        <w:ind w:firstLine="440" w:firstLineChars="200"/>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3）满足折扣条件的报价得分=（评标基准价/投标人投标报价×90%）×10（四舍五入，保留小数点后2位）</w:t>
      </w:r>
    </w:p>
    <w:p>
      <w:pPr>
        <w:spacing w:line="440" w:lineRule="exact"/>
        <w:ind w:firstLine="440" w:firstLineChars="200"/>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4）本项目最高限价为3</w:t>
      </w:r>
      <w:r>
        <w:rPr>
          <w:rFonts w:hint="eastAsia" w:ascii="新宋体" w:hAnsi="新宋体" w:eastAsia="新宋体" w:cs="宋体"/>
          <w:bCs/>
          <w:color w:val="auto"/>
          <w:sz w:val="22"/>
          <w:highlight w:val="none"/>
          <w:lang w:val="en-US" w:eastAsia="zh-CN"/>
        </w:rPr>
        <w:t>13</w:t>
      </w:r>
      <w:r>
        <w:rPr>
          <w:rFonts w:hint="eastAsia" w:ascii="新宋体" w:hAnsi="新宋体" w:eastAsia="新宋体" w:cs="宋体"/>
          <w:bCs/>
          <w:color w:val="auto"/>
          <w:sz w:val="22"/>
          <w:highlight w:val="none"/>
        </w:rPr>
        <w:t>元/m</w:t>
      </w:r>
      <w:r>
        <w:rPr>
          <w:rFonts w:hint="eastAsia" w:ascii="新宋体" w:hAnsi="新宋体" w:eastAsia="新宋体" w:cs="宋体"/>
          <w:bCs/>
          <w:color w:val="auto"/>
          <w:sz w:val="22"/>
          <w:highlight w:val="none"/>
          <w:vertAlign w:val="superscript"/>
        </w:rPr>
        <w:t>2</w:t>
      </w:r>
      <w:r>
        <w:rPr>
          <w:rFonts w:hint="eastAsia" w:ascii="新宋体" w:hAnsi="新宋体" w:eastAsia="新宋体" w:cs="宋体"/>
          <w:bCs/>
          <w:color w:val="auto"/>
          <w:sz w:val="22"/>
          <w:highlight w:val="none"/>
        </w:rPr>
        <w:t>。如投标人报价超过最高限价，其投标文件作无效标处理。</w:t>
      </w:r>
    </w:p>
    <w:p>
      <w:pPr>
        <w:spacing w:line="440" w:lineRule="exact"/>
        <w:ind w:firstLine="440" w:firstLineChars="200"/>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5）所有投标人商务报价均超采购预算，重新组织招标。</w:t>
      </w:r>
    </w:p>
    <w:p>
      <w:pPr>
        <w:spacing w:line="440" w:lineRule="exac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2.2政府采购政策说明</w:t>
      </w:r>
    </w:p>
    <w:p>
      <w:pPr>
        <w:spacing w:line="440" w:lineRule="exact"/>
        <w:ind w:firstLine="440" w:firstLineChars="200"/>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①根据《政府采购促进中小企业发展管理办法》（财库﹝2020﹞46 号）的规定，投标人为小型或微型企业且投标产品为小型或微型企业生产的并提交相关证明材料，其小型或微型企业部分投标报价扣除10%后参与评审。</w:t>
      </w:r>
    </w:p>
    <w:p>
      <w:pPr>
        <w:spacing w:line="440" w:lineRule="exact"/>
        <w:ind w:firstLine="440" w:firstLineChars="200"/>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②根据《关于政府采购支持监狱企业发展有关问题的通知》（财库[2014]68号）的规定，投标人如为监狱企业且投标产品为小型或微型企业生产的并提交相关证明材料，在政府采购活动中，监狱企业视同小型、微型企业，其小型或微型企业部分投标报价扣除10%后参与评审。</w:t>
      </w:r>
    </w:p>
    <w:p>
      <w:pPr>
        <w:spacing w:line="440" w:lineRule="exact"/>
        <w:ind w:firstLine="440" w:firstLineChars="200"/>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③根据《财政部、民政部、中国残疾人联合会关于促进残疾人就业政府采购政策的通知》（财库〔2017〕141号）的规定，投标人如为残疾人福利性单位且投标产品为本企业或其他残疾人福利性单位制造的并提交相关证明材料，在政府采购活动中，残疾人福利性单位视同小型、微型企业，其小型或微型企业部分投标报价扣除10%后参与评审。</w:t>
      </w:r>
    </w:p>
    <w:p>
      <w:pPr>
        <w:topLinePunct/>
        <w:spacing w:line="440" w:lineRule="exact"/>
        <w:ind w:firstLine="330" w:firstLineChars="150"/>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④以上小型、微型企业的，不重复享受政策。未提供完整证明材料的，投标报价不予扣减。证明材料详见第二部分</w:t>
      </w:r>
      <w:r>
        <w:rPr>
          <w:rFonts w:hint="eastAsia" w:ascii="宋体" w:hAnsi="宋体" w:cs="宋体"/>
          <w:color w:val="auto"/>
          <w:sz w:val="22"/>
          <w:szCs w:val="22"/>
          <w:highlight w:val="none"/>
        </w:rPr>
        <w:t>；</w:t>
      </w:r>
      <w:r>
        <w:rPr>
          <w:rFonts w:hint="eastAsia" w:ascii="宋体" w:hAnsi="宋体" w:cs="宋体"/>
          <w:bCs/>
          <w:color w:val="auto"/>
          <w:sz w:val="22"/>
          <w:highlight w:val="none"/>
        </w:rPr>
        <w:t>对于联合体协议或者分包意向协议约定小微企业合同份额占到合同总金额30%以上的，对其投标报价给予3%的扣除，用扣除后的价格参与评审。</w:t>
      </w:r>
    </w:p>
    <w:p>
      <w:pPr>
        <w:spacing w:line="44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宋体"/>
          <w:bCs/>
          <w:color w:val="auto"/>
          <w:sz w:val="22"/>
          <w:highlight w:val="none"/>
        </w:rPr>
        <w:t>⑤投标如缺少须提供的一种功能或配置或服务，评标价将在其投标价的基础上加上其他投标人相应分项价格的最高价。如若中标，该缺漏项费用将由中标人自行承担。</w:t>
      </w:r>
    </w:p>
    <w:p>
      <w:pPr>
        <w:numPr>
          <w:ilvl w:val="0"/>
          <w:numId w:val="31"/>
        </w:numPr>
        <w:spacing w:line="440" w:lineRule="exact"/>
        <w:ind w:firstLine="0"/>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有效投标人的综合得分为商务技术文件得分和投标报价得分的总和</w:t>
      </w:r>
      <w:bookmarkStart w:id="130" w:name="_GoBack"/>
      <w:bookmarkEnd w:id="130"/>
      <w:r>
        <w:rPr>
          <w:rFonts w:hint="eastAsia" w:ascii="新宋体" w:hAnsi="新宋体" w:eastAsia="新宋体"/>
          <w:b/>
          <w:color w:val="auto"/>
          <w:sz w:val="22"/>
          <w:szCs w:val="22"/>
          <w:highlight w:val="none"/>
        </w:rPr>
        <w:t>。</w:t>
      </w:r>
    </w:p>
    <w:sectPr>
      <w:footerReference r:id="rId10" w:type="first"/>
      <w:headerReference r:id="rId8" w:type="default"/>
      <w:footerReference r:id="rId9" w:type="default"/>
      <w:type w:val="nextColumn"/>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Helvetica Neue">
    <w:altName w:val="黑体"/>
    <w:panose1 w:val="00000000000000000000"/>
    <w:charset w:val="00"/>
    <w:family w:val="auto"/>
    <w:pitch w:val="default"/>
    <w:sig w:usb0="00000000" w:usb1="00000000" w:usb2="00000010" w:usb3="00000000" w:csb0="00000001" w:csb1="00000000"/>
  </w:font>
  <w:font w:name="ZapfDingbatsNr2EFOP-Regular">
    <w:altName w:val="黑体"/>
    <w:panose1 w:val="00000000000000000000"/>
    <w:charset w:val="86"/>
    <w:family w:val="auto"/>
    <w:pitch w:val="default"/>
    <w:sig w:usb0="00000000" w:usb1="00000000" w:usb2="00000010" w:usb3="00000000" w:csb0="00040001" w:csb1="00000000"/>
  </w:font>
  <w:font w:name="Heiti SC Light">
    <w:altName w:val="宋体"/>
    <w:panose1 w:val="00000000000000000000"/>
    <w:charset w:val="86"/>
    <w:family w:val="auto"/>
    <w:pitch w:val="default"/>
    <w:sig w:usb0="00000000" w:usb1="00000000" w:usb2="00000010" w:usb3="00000000" w:csb0="003E0000"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宋体,Verdana,Arial">
    <w:altName w:val="宋体"/>
    <w:panose1 w:val="00000000000000000000"/>
    <w:charset w:val="86"/>
    <w:family w:val="roman"/>
    <w:pitch w:val="default"/>
    <w:sig w:usb0="00000000" w:usb1="00000000" w:usb2="00000010" w:usb3="00000000" w:csb0="00040000" w:csb1="00000000"/>
  </w:font>
  <w:font w:name="Univers LT Std 57 Cn">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Linotype Univers 330 Light">
    <w:altName w:val="宋体"/>
    <w:panose1 w:val="00000000000000000000"/>
    <w:charset w:val="86"/>
    <w:family w:val="swiss"/>
    <w:pitch w:val="default"/>
    <w:sig w:usb0="00000000" w:usb1="00000000" w:usb2="00000010" w:usb3="00000000" w:csb0="00040000"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0"/>
      </w:rPr>
    </w:pPr>
    <w:r>
      <w:fldChar w:fldCharType="begin"/>
    </w:r>
    <w:r>
      <w:rPr>
        <w:rStyle w:val="60"/>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top w:val="single" w:color="auto" w:sz="4" w:space="1"/>
      </w:pBdr>
      <w:ind w:right="-1" w:firstLine="4410" w:firstLineChars="2450"/>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pPr>
                            <w:pStyle w:val="37"/>
                            <w:rPr>
                              <w:rStyle w:val="60"/>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0"/>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0"/>
                              <w:rFonts w:ascii="新宋体" w:hAnsi="新宋体" w:eastAsia="新宋体" w:cs="新宋体"/>
                              <w:b/>
                              <w:sz w:val="16"/>
                              <w:szCs w:val="16"/>
                            </w:rPr>
                            <w:t>17</w:t>
                          </w:r>
                          <w:r>
                            <w:rPr>
                              <w:rFonts w:hint="eastAsia" w:ascii="新宋体" w:hAnsi="新宋体" w:eastAsia="新宋体" w:cs="新宋体"/>
                              <w:b/>
                              <w:sz w:val="16"/>
                              <w:szCs w:val="16"/>
                            </w:rPr>
                            <w:fldChar w:fldCharType="end"/>
                          </w:r>
                        </w:p>
                      </w:txbxContent>
                    </wps:txbx>
                    <wps:bodyPr wrap="square" lIns="0" tIns="0" rIns="0" bIns="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7kxVrUAAAAAwEAAA8AAAAAAAAAAQAgAAAAIgAAAGRycy9kb3ducmV2Lnht&#10;bFBLAQIUABQAAAAIAIdO4kAOnPLSxAEAAH8DAAAOAAAAAAAAAAEAIAAAACMBAABkcnMvZTJvRG9j&#10;LnhtbFBLBQYAAAAABgAGAFkBAABZBQAAAAA=&#10;">
              <v:fill on="f" focussize="0,0"/>
              <v:stroke on="f"/>
              <v:imagedata o:title=""/>
              <o:lock v:ext="edit" aspectratio="f"/>
              <v:textbox inset="0mm,0mm,0mm,0mm">
                <w:txbxContent>
                  <w:p>
                    <w:pPr>
                      <w:pStyle w:val="37"/>
                      <w:rPr>
                        <w:rStyle w:val="60"/>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0"/>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0"/>
                        <w:rFonts w:ascii="新宋体" w:hAnsi="新宋体" w:eastAsia="新宋体" w:cs="新宋体"/>
                        <w:b/>
                        <w:sz w:val="16"/>
                        <w:szCs w:val="16"/>
                      </w:rPr>
                      <w:t>17</w:t>
                    </w:r>
                    <w:r>
                      <w:rPr>
                        <w:rFonts w:hint="eastAsia" w:ascii="新宋体" w:hAnsi="新宋体" w:eastAsia="新宋体" w:cs="新宋体"/>
                        <w:b/>
                        <w:sz w:val="16"/>
                        <w:szCs w:val="16"/>
                      </w:rPr>
                      <w:fldChar w:fldCharType="end"/>
                    </w:r>
                  </w:p>
                </w:txbxContent>
              </v:textbox>
            </v:shape>
          </w:pict>
        </mc:Fallback>
      </mc:AlternateContent>
    </w:r>
    <w:r>
      <w:rPr>
        <w:rFonts w:hint="eastAsia"/>
      </w:rPr>
      <w:t>华诚工程咨询集团有限公司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M2KT6EPAgAADw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left"/>
    </w:pPr>
    <w:r>
      <w:rPr>
        <w:rFonts w:hint="eastAsia"/>
      </w:rPr>
      <w:t xml:space="preserve">温州市政府采购招标文件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eastAsia="新宋体"/>
      </w:rPr>
    </w:pPr>
    <w:r>
      <w:rPr>
        <w:rFonts w:hint="eastAsia" w:eastAsia="新宋体"/>
      </w:rPr>
      <w:t>鹿城区政府采购文件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00000005"/>
    <w:multiLevelType w:val="multilevel"/>
    <w:tmpl w:val="00000005"/>
    <w:lvl w:ilvl="0" w:tentative="0">
      <w:start w:val="1"/>
      <w:numFmt w:val="bullet"/>
      <w:pStyle w:val="30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
    <w:nsid w:val="00000006"/>
    <w:multiLevelType w:val="multilevel"/>
    <w:tmpl w:val="00000006"/>
    <w:lvl w:ilvl="0" w:tentative="0">
      <w:start w:val="1"/>
      <w:numFmt w:val="decimal"/>
      <w:pStyle w:val="17"/>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5"/>
      <w:numFmt w:val="decimal"/>
      <w:pStyle w:val="689"/>
      <w:lvlText w:val="%1."/>
      <w:lvlJc w:val="left"/>
      <w:pPr>
        <w:tabs>
          <w:tab w:val="left" w:pos="360"/>
        </w:tabs>
        <w:ind w:left="360" w:hanging="360"/>
      </w:pPr>
      <w:rPr>
        <w:rFonts w:hint="default"/>
      </w:rPr>
    </w:lvl>
    <w:lvl w:ilvl="1" w:tentative="0">
      <w:start w:val="0"/>
      <w:numFmt w:val="none"/>
      <w:pStyle w:val="651"/>
      <w:lvlText w:val=""/>
      <w:lvlJc w:val="left"/>
      <w:pPr>
        <w:tabs>
          <w:tab w:val="left" w:pos="360"/>
        </w:tabs>
      </w:pPr>
    </w:lvl>
    <w:lvl w:ilvl="2" w:tentative="0">
      <w:start w:val="0"/>
      <w:numFmt w:val="none"/>
      <w:pStyle w:val="573"/>
      <w:lvlText w:val=""/>
      <w:lvlJc w:val="left"/>
      <w:pPr>
        <w:tabs>
          <w:tab w:val="left" w:pos="360"/>
        </w:tabs>
      </w:pPr>
    </w:lvl>
    <w:lvl w:ilvl="3" w:tentative="0">
      <w:start w:val="0"/>
      <w:numFmt w:val="none"/>
      <w:pStyle w:val="578"/>
      <w:lvlText w:val=""/>
      <w:lvlJc w:val="left"/>
      <w:pPr>
        <w:tabs>
          <w:tab w:val="left" w:pos="360"/>
        </w:tabs>
      </w:pPr>
    </w:lvl>
    <w:lvl w:ilvl="4" w:tentative="0">
      <w:start w:val="0"/>
      <w:numFmt w:val="none"/>
      <w:pStyle w:val="609"/>
      <w:lvlText w:val=""/>
      <w:lvlJc w:val="left"/>
      <w:pPr>
        <w:tabs>
          <w:tab w:val="left" w:pos="360"/>
        </w:tabs>
      </w:pPr>
    </w:lvl>
    <w:lvl w:ilvl="5" w:tentative="0">
      <w:start w:val="0"/>
      <w:numFmt w:val="none"/>
      <w:pStyle w:val="608"/>
      <w:lvlText w:val=""/>
      <w:lvlJc w:val="left"/>
      <w:pPr>
        <w:tabs>
          <w:tab w:val="left" w:pos="360"/>
        </w:tabs>
      </w:pPr>
    </w:lvl>
    <w:lvl w:ilvl="6" w:tentative="0">
      <w:start w:val="0"/>
      <w:numFmt w:val="none"/>
      <w:pStyle w:val="607"/>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653"/>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64A10EF"/>
    <w:multiLevelType w:val="singleLevel"/>
    <w:tmpl w:val="064A10EF"/>
    <w:lvl w:ilvl="0" w:tentative="0">
      <w:start w:val="1"/>
      <w:numFmt w:val="decimal"/>
      <w:suff w:val="nothing"/>
      <w:lvlText w:val="（%1）"/>
      <w:lvlJc w:val="left"/>
    </w:lvl>
  </w:abstractNum>
  <w:abstractNum w:abstractNumId="9">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1">
    <w:nsid w:val="269F52CA"/>
    <w:multiLevelType w:val="multilevel"/>
    <w:tmpl w:val="269F52C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D723055"/>
    <w:multiLevelType w:val="multilevel"/>
    <w:tmpl w:val="2D723055"/>
    <w:lvl w:ilvl="0" w:tentative="0">
      <w:start w:val="1"/>
      <w:numFmt w:val="bullet"/>
      <w:pStyle w:val="460"/>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2DD62459"/>
    <w:multiLevelType w:val="singleLevel"/>
    <w:tmpl w:val="2DD62459"/>
    <w:lvl w:ilvl="0" w:tentative="0">
      <w:start w:val="1"/>
      <w:numFmt w:val="bullet"/>
      <w:pStyle w:val="540"/>
      <w:lvlText w:val=""/>
      <w:lvlJc w:val="left"/>
      <w:pPr>
        <w:tabs>
          <w:tab w:val="left" w:pos="425"/>
        </w:tabs>
        <w:ind w:left="425" w:hanging="425"/>
      </w:pPr>
      <w:rPr>
        <w:rFonts w:hint="default" w:ascii="Wingdings" w:hAnsi="Wingdings"/>
      </w:rPr>
    </w:lvl>
  </w:abstractNum>
  <w:abstractNum w:abstractNumId="14">
    <w:nsid w:val="335030C5"/>
    <w:multiLevelType w:val="multilevel"/>
    <w:tmpl w:val="335030C5"/>
    <w:lvl w:ilvl="0" w:tentative="0">
      <w:start w:val="1"/>
      <w:numFmt w:val="decimal"/>
      <w:pStyle w:val="648"/>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35B05358"/>
    <w:multiLevelType w:val="multilevel"/>
    <w:tmpl w:val="35B05358"/>
    <w:lvl w:ilvl="0" w:tentative="0">
      <w:start w:val="1"/>
      <w:numFmt w:val="bullet"/>
      <w:pStyle w:val="61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9622E4B"/>
    <w:multiLevelType w:val="multilevel"/>
    <w:tmpl w:val="39622E4B"/>
    <w:lvl w:ilvl="0" w:tentative="0">
      <w:start w:val="1"/>
      <w:numFmt w:val="decimal"/>
      <w:pStyle w:val="235"/>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7">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18">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19">
    <w:nsid w:val="496D15BE"/>
    <w:multiLevelType w:val="multilevel"/>
    <w:tmpl w:val="496D15BE"/>
    <w:lvl w:ilvl="0" w:tentative="0">
      <w:start w:val="1"/>
      <w:numFmt w:val="decimal"/>
      <w:pStyle w:val="208"/>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4CA75A52"/>
    <w:multiLevelType w:val="multilevel"/>
    <w:tmpl w:val="4CA75A52"/>
    <w:lvl w:ilvl="0" w:tentative="0">
      <w:start w:val="1"/>
      <w:numFmt w:val="decimal"/>
      <w:pStyle w:val="619"/>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1">
    <w:nsid w:val="54F403B5"/>
    <w:multiLevelType w:val="singleLevel"/>
    <w:tmpl w:val="54F403B5"/>
    <w:lvl w:ilvl="0" w:tentative="0">
      <w:start w:val="1"/>
      <w:numFmt w:val="chineseCounting"/>
      <w:suff w:val="nothing"/>
      <w:lvlText w:val="%1、"/>
      <w:lvlJc w:val="left"/>
      <w:pPr>
        <w:ind w:left="0" w:firstLine="0"/>
      </w:pPr>
    </w:lvl>
  </w:abstractNum>
  <w:abstractNum w:abstractNumId="22">
    <w:nsid w:val="550F68AE"/>
    <w:multiLevelType w:val="multilevel"/>
    <w:tmpl w:val="550F68AE"/>
    <w:lvl w:ilvl="0" w:tentative="0">
      <w:start w:val="1"/>
      <w:numFmt w:val="decimal"/>
      <w:pStyle w:val="469"/>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57FD3DA"/>
    <w:multiLevelType w:val="singleLevel"/>
    <w:tmpl w:val="557FD3DA"/>
    <w:lvl w:ilvl="0" w:tentative="0">
      <w:start w:val="3"/>
      <w:numFmt w:val="chineseCounting"/>
      <w:suff w:val="nothing"/>
      <w:lvlText w:val="%1、"/>
      <w:lvlJc w:val="left"/>
      <w:pPr>
        <w:ind w:left="0" w:firstLine="0"/>
      </w:pPr>
    </w:lvl>
  </w:abstractNum>
  <w:abstractNum w:abstractNumId="24">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A82CCC1"/>
    <w:multiLevelType w:val="singleLevel"/>
    <w:tmpl w:val="5A82CCC1"/>
    <w:lvl w:ilvl="0" w:tentative="0">
      <w:start w:val="1"/>
      <w:numFmt w:val="chineseCounting"/>
      <w:suff w:val="nothing"/>
      <w:lvlText w:val="%1、"/>
      <w:lvlJc w:val="left"/>
      <w:pPr>
        <w:ind w:left="0" w:firstLine="420"/>
      </w:pPr>
      <w:rPr>
        <w:rFonts w:hint="eastAsia"/>
      </w:rPr>
    </w:lvl>
  </w:abstractNum>
  <w:abstractNum w:abstractNumId="26">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27">
    <w:nsid w:val="6B864C8B"/>
    <w:multiLevelType w:val="multilevel"/>
    <w:tmpl w:val="6B864C8B"/>
    <w:lvl w:ilvl="0" w:tentative="0">
      <w:start w:val="1"/>
      <w:numFmt w:val="decimal"/>
      <w:pStyle w:val="523"/>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60"/>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28">
    <w:nsid w:val="70391D9F"/>
    <w:multiLevelType w:val="multilevel"/>
    <w:tmpl w:val="70391D9F"/>
    <w:lvl w:ilvl="0" w:tentative="0">
      <w:start w:val="1"/>
      <w:numFmt w:val="bullet"/>
      <w:pStyle w:val="374"/>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9">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476"/>
      <w:lvlText w:val=""/>
      <w:lvlJc w:val="left"/>
      <w:pPr>
        <w:ind w:left="840" w:hanging="420"/>
      </w:pPr>
      <w:rPr>
        <w:rFonts w:hint="default" w:ascii="Wingdings" w:hAnsi="Wingdings"/>
      </w:rPr>
    </w:lvl>
    <w:lvl w:ilvl="2" w:tentative="0">
      <w:start w:val="1"/>
      <w:numFmt w:val="bullet"/>
      <w:pStyle w:val="447"/>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9213472"/>
    <w:multiLevelType w:val="multilevel"/>
    <w:tmpl w:val="79213472"/>
    <w:lvl w:ilvl="0" w:tentative="0">
      <w:start w:val="1"/>
      <w:numFmt w:val="decimal"/>
      <w:pStyle w:val="299"/>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31">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27"/>
  </w:num>
  <w:num w:numId="3">
    <w:abstractNumId w:val="19"/>
  </w:num>
  <w:num w:numId="4">
    <w:abstractNumId w:val="16"/>
  </w:num>
  <w:num w:numId="5">
    <w:abstractNumId w:val="30"/>
  </w:num>
  <w:num w:numId="6">
    <w:abstractNumId w:val="3"/>
  </w:num>
  <w:num w:numId="7">
    <w:abstractNumId w:val="28"/>
  </w:num>
  <w:num w:numId="8">
    <w:abstractNumId w:val="29"/>
  </w:num>
  <w:num w:numId="9">
    <w:abstractNumId w:val="12"/>
  </w:num>
  <w:num w:numId="10">
    <w:abstractNumId w:val="22"/>
    <w:lvlOverride w:ilvl="0">
      <w:startOverride w:val="1"/>
    </w:lvlOverride>
  </w:num>
  <w:num w:numId="11">
    <w:abstractNumId w:val="13"/>
  </w:num>
  <w:num w:numId="12">
    <w:abstractNumId w:val="5"/>
  </w:num>
  <w:num w:numId="13">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4">
    <w:abstractNumId w:val="20"/>
  </w:num>
  <w:num w:numId="15">
    <w:abstractNumId w:val="14"/>
  </w:num>
  <w:num w:numId="16">
    <w:abstractNumId w:val="6"/>
  </w:num>
  <w:num w:numId="17">
    <w:abstractNumId w:val="31"/>
  </w:num>
  <w:num w:numId="18">
    <w:abstractNumId w:val="2"/>
  </w:num>
  <w:num w:numId="19">
    <w:abstractNumId w:val="7"/>
  </w:num>
  <w:num w:numId="20">
    <w:abstractNumId w:val="9"/>
  </w:num>
  <w:num w:numId="21">
    <w:abstractNumId w:val="21"/>
    <w:lvlOverride w:ilvl="0">
      <w:startOverride w:val="1"/>
    </w:lvlOverride>
  </w:num>
  <w:num w:numId="22">
    <w:abstractNumId w:val="23"/>
    <w:lvlOverride w:ilvl="0">
      <w:startOverride w:val="3"/>
    </w:lvlOverride>
  </w:num>
  <w:num w:numId="23">
    <w:abstractNumId w:val="24"/>
  </w:num>
  <w:num w:numId="24">
    <w:abstractNumId w:val="26"/>
  </w:num>
  <w:num w:numId="25">
    <w:abstractNumId w:val="17"/>
  </w:num>
  <w:num w:numId="26">
    <w:abstractNumId w:val="25"/>
  </w:num>
  <w:num w:numId="27">
    <w:abstractNumId w:val="1"/>
  </w:num>
  <w:num w:numId="28">
    <w:abstractNumId w:val="0"/>
  </w:num>
  <w:num w:numId="29">
    <w:abstractNumId w:val="18"/>
  </w:num>
  <w:num w:numId="30">
    <w:abstractNumId w:val="8"/>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iMTgxYTIzYzNjZDI5MDIwZjA1MTkyZWZkZDkxNjAifQ=="/>
  </w:docVars>
  <w:rsids>
    <w:rsidRoot w:val="00172A27"/>
    <w:rsid w:val="000016E0"/>
    <w:rsid w:val="000020D1"/>
    <w:rsid w:val="000026DD"/>
    <w:rsid w:val="0001503C"/>
    <w:rsid w:val="0001521F"/>
    <w:rsid w:val="00016CCB"/>
    <w:rsid w:val="00025364"/>
    <w:rsid w:val="00026D52"/>
    <w:rsid w:val="000276BD"/>
    <w:rsid w:val="00034534"/>
    <w:rsid w:val="00034C4D"/>
    <w:rsid w:val="0003586B"/>
    <w:rsid w:val="000404E1"/>
    <w:rsid w:val="00041F17"/>
    <w:rsid w:val="000423D5"/>
    <w:rsid w:val="0005011D"/>
    <w:rsid w:val="000526A1"/>
    <w:rsid w:val="000528C6"/>
    <w:rsid w:val="000546C0"/>
    <w:rsid w:val="00063852"/>
    <w:rsid w:val="00071105"/>
    <w:rsid w:val="00072217"/>
    <w:rsid w:val="00072D0A"/>
    <w:rsid w:val="00074270"/>
    <w:rsid w:val="00074BEF"/>
    <w:rsid w:val="00075CA7"/>
    <w:rsid w:val="000765F2"/>
    <w:rsid w:val="000766F3"/>
    <w:rsid w:val="000772F6"/>
    <w:rsid w:val="00091750"/>
    <w:rsid w:val="000922AF"/>
    <w:rsid w:val="0009250A"/>
    <w:rsid w:val="00096156"/>
    <w:rsid w:val="00096308"/>
    <w:rsid w:val="00096BB9"/>
    <w:rsid w:val="000A0F1B"/>
    <w:rsid w:val="000A10A2"/>
    <w:rsid w:val="000A1A6B"/>
    <w:rsid w:val="000A2103"/>
    <w:rsid w:val="000A481C"/>
    <w:rsid w:val="000A5391"/>
    <w:rsid w:val="000A5C27"/>
    <w:rsid w:val="000A5CE7"/>
    <w:rsid w:val="000B4764"/>
    <w:rsid w:val="000B4E1F"/>
    <w:rsid w:val="000B6A9E"/>
    <w:rsid w:val="000B7348"/>
    <w:rsid w:val="000B75CB"/>
    <w:rsid w:val="000B7D87"/>
    <w:rsid w:val="000C0DAD"/>
    <w:rsid w:val="000C1E25"/>
    <w:rsid w:val="000C1FCD"/>
    <w:rsid w:val="000C2444"/>
    <w:rsid w:val="000C33CF"/>
    <w:rsid w:val="000C36B8"/>
    <w:rsid w:val="000C3EBF"/>
    <w:rsid w:val="000C58F2"/>
    <w:rsid w:val="000C76E1"/>
    <w:rsid w:val="000D0679"/>
    <w:rsid w:val="000D3765"/>
    <w:rsid w:val="000D3B14"/>
    <w:rsid w:val="000D4ACC"/>
    <w:rsid w:val="000D55D4"/>
    <w:rsid w:val="000E0EF4"/>
    <w:rsid w:val="000E0F78"/>
    <w:rsid w:val="000E1986"/>
    <w:rsid w:val="000E37E0"/>
    <w:rsid w:val="000E3DDC"/>
    <w:rsid w:val="000E407F"/>
    <w:rsid w:val="000E44B1"/>
    <w:rsid w:val="000E56A0"/>
    <w:rsid w:val="000E5DB1"/>
    <w:rsid w:val="000E6CF3"/>
    <w:rsid w:val="000E74F4"/>
    <w:rsid w:val="000E77C2"/>
    <w:rsid w:val="000F30E2"/>
    <w:rsid w:val="000F31F1"/>
    <w:rsid w:val="000F65DE"/>
    <w:rsid w:val="000F6E1D"/>
    <w:rsid w:val="00100804"/>
    <w:rsid w:val="00102504"/>
    <w:rsid w:val="00105AFE"/>
    <w:rsid w:val="00113898"/>
    <w:rsid w:val="001147D0"/>
    <w:rsid w:val="0011601B"/>
    <w:rsid w:val="001167E6"/>
    <w:rsid w:val="001203C5"/>
    <w:rsid w:val="00120AE6"/>
    <w:rsid w:val="00120C4F"/>
    <w:rsid w:val="00125E3E"/>
    <w:rsid w:val="001302AF"/>
    <w:rsid w:val="0013068B"/>
    <w:rsid w:val="00132584"/>
    <w:rsid w:val="00137AC1"/>
    <w:rsid w:val="00137FA3"/>
    <w:rsid w:val="00146621"/>
    <w:rsid w:val="00147402"/>
    <w:rsid w:val="001504E5"/>
    <w:rsid w:val="00153389"/>
    <w:rsid w:val="00154344"/>
    <w:rsid w:val="00157D81"/>
    <w:rsid w:val="0016266F"/>
    <w:rsid w:val="00162E03"/>
    <w:rsid w:val="001642BC"/>
    <w:rsid w:val="001648AA"/>
    <w:rsid w:val="00165AEE"/>
    <w:rsid w:val="00166758"/>
    <w:rsid w:val="00166956"/>
    <w:rsid w:val="00167E80"/>
    <w:rsid w:val="00171C49"/>
    <w:rsid w:val="00172A27"/>
    <w:rsid w:val="00173998"/>
    <w:rsid w:val="00177023"/>
    <w:rsid w:val="001818DB"/>
    <w:rsid w:val="00182E5C"/>
    <w:rsid w:val="00184AAB"/>
    <w:rsid w:val="001907CE"/>
    <w:rsid w:val="001917D3"/>
    <w:rsid w:val="00194131"/>
    <w:rsid w:val="001952CC"/>
    <w:rsid w:val="00197E14"/>
    <w:rsid w:val="001A0025"/>
    <w:rsid w:val="001A0A65"/>
    <w:rsid w:val="001A222D"/>
    <w:rsid w:val="001A25D3"/>
    <w:rsid w:val="001A57C3"/>
    <w:rsid w:val="001A5957"/>
    <w:rsid w:val="001B192B"/>
    <w:rsid w:val="001B281E"/>
    <w:rsid w:val="001B2834"/>
    <w:rsid w:val="001B5B5D"/>
    <w:rsid w:val="001C18D6"/>
    <w:rsid w:val="001C18E4"/>
    <w:rsid w:val="001C1CEE"/>
    <w:rsid w:val="001C3C94"/>
    <w:rsid w:val="001C6714"/>
    <w:rsid w:val="001D000C"/>
    <w:rsid w:val="001D010E"/>
    <w:rsid w:val="001D1BF1"/>
    <w:rsid w:val="001D30A0"/>
    <w:rsid w:val="001D32C3"/>
    <w:rsid w:val="001D7349"/>
    <w:rsid w:val="001E3203"/>
    <w:rsid w:val="001E4FB3"/>
    <w:rsid w:val="001E6123"/>
    <w:rsid w:val="001F04E0"/>
    <w:rsid w:val="001F10CC"/>
    <w:rsid w:val="001F3830"/>
    <w:rsid w:val="001F3B5D"/>
    <w:rsid w:val="001F55A7"/>
    <w:rsid w:val="001F55D4"/>
    <w:rsid w:val="002016D5"/>
    <w:rsid w:val="00205090"/>
    <w:rsid w:val="00205A5C"/>
    <w:rsid w:val="002071D0"/>
    <w:rsid w:val="00207630"/>
    <w:rsid w:val="0020769F"/>
    <w:rsid w:val="002119E1"/>
    <w:rsid w:val="00211A52"/>
    <w:rsid w:val="002135E8"/>
    <w:rsid w:val="00214568"/>
    <w:rsid w:val="00214803"/>
    <w:rsid w:val="002150F9"/>
    <w:rsid w:val="00215129"/>
    <w:rsid w:val="00220814"/>
    <w:rsid w:val="002218BE"/>
    <w:rsid w:val="00222088"/>
    <w:rsid w:val="002225FD"/>
    <w:rsid w:val="00225414"/>
    <w:rsid w:val="00225FB0"/>
    <w:rsid w:val="00231743"/>
    <w:rsid w:val="00234100"/>
    <w:rsid w:val="00234C5A"/>
    <w:rsid w:val="0023680B"/>
    <w:rsid w:val="00237F32"/>
    <w:rsid w:val="00240F97"/>
    <w:rsid w:val="00241ACC"/>
    <w:rsid w:val="002450B8"/>
    <w:rsid w:val="002452A3"/>
    <w:rsid w:val="002453F2"/>
    <w:rsid w:val="00245E73"/>
    <w:rsid w:val="00250A6E"/>
    <w:rsid w:val="00252D92"/>
    <w:rsid w:val="0025717C"/>
    <w:rsid w:val="002612C9"/>
    <w:rsid w:val="00261AE6"/>
    <w:rsid w:val="00261C54"/>
    <w:rsid w:val="00262836"/>
    <w:rsid w:val="00264C67"/>
    <w:rsid w:val="00270F2B"/>
    <w:rsid w:val="0027530D"/>
    <w:rsid w:val="00277AE9"/>
    <w:rsid w:val="002808A3"/>
    <w:rsid w:val="0028097B"/>
    <w:rsid w:val="00281371"/>
    <w:rsid w:val="0028173C"/>
    <w:rsid w:val="00281DDD"/>
    <w:rsid w:val="00283764"/>
    <w:rsid w:val="0028639F"/>
    <w:rsid w:val="00290D89"/>
    <w:rsid w:val="00293952"/>
    <w:rsid w:val="00297E75"/>
    <w:rsid w:val="002A2185"/>
    <w:rsid w:val="002A3701"/>
    <w:rsid w:val="002A425D"/>
    <w:rsid w:val="002A4FBF"/>
    <w:rsid w:val="002B0EFA"/>
    <w:rsid w:val="002B1DDF"/>
    <w:rsid w:val="002B20CC"/>
    <w:rsid w:val="002B7EA6"/>
    <w:rsid w:val="002C0116"/>
    <w:rsid w:val="002C0713"/>
    <w:rsid w:val="002C133A"/>
    <w:rsid w:val="002C1B9D"/>
    <w:rsid w:val="002C1F7A"/>
    <w:rsid w:val="002C6213"/>
    <w:rsid w:val="002C68D8"/>
    <w:rsid w:val="002C7FDE"/>
    <w:rsid w:val="002D0B59"/>
    <w:rsid w:val="002D344E"/>
    <w:rsid w:val="002D36F0"/>
    <w:rsid w:val="002D79D3"/>
    <w:rsid w:val="002E0FA1"/>
    <w:rsid w:val="002E3ED6"/>
    <w:rsid w:val="002E44AF"/>
    <w:rsid w:val="002E4E17"/>
    <w:rsid w:val="002E55A5"/>
    <w:rsid w:val="002E7868"/>
    <w:rsid w:val="002F5652"/>
    <w:rsid w:val="002F5E0B"/>
    <w:rsid w:val="002F5E31"/>
    <w:rsid w:val="002F7683"/>
    <w:rsid w:val="002F7F21"/>
    <w:rsid w:val="00300B0C"/>
    <w:rsid w:val="00305B41"/>
    <w:rsid w:val="003065FB"/>
    <w:rsid w:val="0030672A"/>
    <w:rsid w:val="003109E5"/>
    <w:rsid w:val="00310E51"/>
    <w:rsid w:val="00312204"/>
    <w:rsid w:val="00313384"/>
    <w:rsid w:val="00317168"/>
    <w:rsid w:val="00320364"/>
    <w:rsid w:val="00321DA0"/>
    <w:rsid w:val="00322559"/>
    <w:rsid w:val="00324F57"/>
    <w:rsid w:val="00327E84"/>
    <w:rsid w:val="00330F68"/>
    <w:rsid w:val="003331F4"/>
    <w:rsid w:val="003334E2"/>
    <w:rsid w:val="00333CA9"/>
    <w:rsid w:val="00334582"/>
    <w:rsid w:val="00334CA0"/>
    <w:rsid w:val="00335D2E"/>
    <w:rsid w:val="00340832"/>
    <w:rsid w:val="00341122"/>
    <w:rsid w:val="00341A59"/>
    <w:rsid w:val="00342DF6"/>
    <w:rsid w:val="003447C6"/>
    <w:rsid w:val="00346936"/>
    <w:rsid w:val="00346FA6"/>
    <w:rsid w:val="00347434"/>
    <w:rsid w:val="003506D5"/>
    <w:rsid w:val="0035116C"/>
    <w:rsid w:val="0035123F"/>
    <w:rsid w:val="00352538"/>
    <w:rsid w:val="00352C42"/>
    <w:rsid w:val="0035369C"/>
    <w:rsid w:val="00360538"/>
    <w:rsid w:val="00360A27"/>
    <w:rsid w:val="00361339"/>
    <w:rsid w:val="00361505"/>
    <w:rsid w:val="00362235"/>
    <w:rsid w:val="00363654"/>
    <w:rsid w:val="003636A3"/>
    <w:rsid w:val="00365C7D"/>
    <w:rsid w:val="00366A4A"/>
    <w:rsid w:val="00370103"/>
    <w:rsid w:val="0037030E"/>
    <w:rsid w:val="0037045B"/>
    <w:rsid w:val="0037077D"/>
    <w:rsid w:val="00373FD6"/>
    <w:rsid w:val="00374BBC"/>
    <w:rsid w:val="003751D2"/>
    <w:rsid w:val="003802E6"/>
    <w:rsid w:val="00382609"/>
    <w:rsid w:val="00382FA1"/>
    <w:rsid w:val="00383450"/>
    <w:rsid w:val="00384072"/>
    <w:rsid w:val="003857DC"/>
    <w:rsid w:val="00395968"/>
    <w:rsid w:val="00395D79"/>
    <w:rsid w:val="003A1A9C"/>
    <w:rsid w:val="003A38AD"/>
    <w:rsid w:val="003A51E4"/>
    <w:rsid w:val="003A5340"/>
    <w:rsid w:val="003B37D4"/>
    <w:rsid w:val="003B4250"/>
    <w:rsid w:val="003B6D7D"/>
    <w:rsid w:val="003B766C"/>
    <w:rsid w:val="003C00A0"/>
    <w:rsid w:val="003C38C6"/>
    <w:rsid w:val="003C3CF3"/>
    <w:rsid w:val="003C4C5B"/>
    <w:rsid w:val="003C5F18"/>
    <w:rsid w:val="003C7167"/>
    <w:rsid w:val="003D0862"/>
    <w:rsid w:val="003D28C5"/>
    <w:rsid w:val="003D43D9"/>
    <w:rsid w:val="003E1A9C"/>
    <w:rsid w:val="003E29FF"/>
    <w:rsid w:val="003F1255"/>
    <w:rsid w:val="003F22EF"/>
    <w:rsid w:val="003F3093"/>
    <w:rsid w:val="003F3E8B"/>
    <w:rsid w:val="003F4B65"/>
    <w:rsid w:val="003F6B05"/>
    <w:rsid w:val="003F6E3F"/>
    <w:rsid w:val="0040337C"/>
    <w:rsid w:val="00404A39"/>
    <w:rsid w:val="00405799"/>
    <w:rsid w:val="004067F7"/>
    <w:rsid w:val="00407532"/>
    <w:rsid w:val="00407E18"/>
    <w:rsid w:val="004100A0"/>
    <w:rsid w:val="00410C98"/>
    <w:rsid w:val="00411C61"/>
    <w:rsid w:val="004140F7"/>
    <w:rsid w:val="00416873"/>
    <w:rsid w:val="00416DE2"/>
    <w:rsid w:val="00417484"/>
    <w:rsid w:val="0042049E"/>
    <w:rsid w:val="00421EDA"/>
    <w:rsid w:val="00421F79"/>
    <w:rsid w:val="00423729"/>
    <w:rsid w:val="00424E06"/>
    <w:rsid w:val="0042621A"/>
    <w:rsid w:val="00426D4B"/>
    <w:rsid w:val="00430108"/>
    <w:rsid w:val="00437AC9"/>
    <w:rsid w:val="00440660"/>
    <w:rsid w:val="004412DE"/>
    <w:rsid w:val="004418B9"/>
    <w:rsid w:val="00444318"/>
    <w:rsid w:val="00450E4F"/>
    <w:rsid w:val="004551E9"/>
    <w:rsid w:val="004574C5"/>
    <w:rsid w:val="00463404"/>
    <w:rsid w:val="00463EF4"/>
    <w:rsid w:val="004652A3"/>
    <w:rsid w:val="0047158F"/>
    <w:rsid w:val="00471C40"/>
    <w:rsid w:val="00471C4F"/>
    <w:rsid w:val="00474B4A"/>
    <w:rsid w:val="004755A8"/>
    <w:rsid w:val="0048110A"/>
    <w:rsid w:val="00481F74"/>
    <w:rsid w:val="004821A8"/>
    <w:rsid w:val="00485DA9"/>
    <w:rsid w:val="0048687F"/>
    <w:rsid w:val="00486A01"/>
    <w:rsid w:val="004956DF"/>
    <w:rsid w:val="0049766C"/>
    <w:rsid w:val="004A1225"/>
    <w:rsid w:val="004A2579"/>
    <w:rsid w:val="004A3332"/>
    <w:rsid w:val="004A6DF9"/>
    <w:rsid w:val="004A7385"/>
    <w:rsid w:val="004A7A17"/>
    <w:rsid w:val="004B1399"/>
    <w:rsid w:val="004B24FC"/>
    <w:rsid w:val="004B3428"/>
    <w:rsid w:val="004B3527"/>
    <w:rsid w:val="004B617F"/>
    <w:rsid w:val="004C15F7"/>
    <w:rsid w:val="004C255B"/>
    <w:rsid w:val="004C44DA"/>
    <w:rsid w:val="004C5F3D"/>
    <w:rsid w:val="004C7A19"/>
    <w:rsid w:val="004C7BD7"/>
    <w:rsid w:val="004D056E"/>
    <w:rsid w:val="004D15C0"/>
    <w:rsid w:val="004D41DF"/>
    <w:rsid w:val="004D50EE"/>
    <w:rsid w:val="004D58F1"/>
    <w:rsid w:val="004D7594"/>
    <w:rsid w:val="004E0F42"/>
    <w:rsid w:val="004E20EF"/>
    <w:rsid w:val="004E3A27"/>
    <w:rsid w:val="004E5358"/>
    <w:rsid w:val="004E5D4B"/>
    <w:rsid w:val="004E61E1"/>
    <w:rsid w:val="004E6766"/>
    <w:rsid w:val="004E6AB2"/>
    <w:rsid w:val="004E6F69"/>
    <w:rsid w:val="004F246B"/>
    <w:rsid w:val="004F430A"/>
    <w:rsid w:val="004F5A73"/>
    <w:rsid w:val="004F61F9"/>
    <w:rsid w:val="004F63E8"/>
    <w:rsid w:val="004F75B9"/>
    <w:rsid w:val="005007EA"/>
    <w:rsid w:val="00502F09"/>
    <w:rsid w:val="00503D9F"/>
    <w:rsid w:val="00504D6A"/>
    <w:rsid w:val="00505F47"/>
    <w:rsid w:val="005074A3"/>
    <w:rsid w:val="00511B93"/>
    <w:rsid w:val="00514650"/>
    <w:rsid w:val="0052285A"/>
    <w:rsid w:val="00526F98"/>
    <w:rsid w:val="00534162"/>
    <w:rsid w:val="00543D9A"/>
    <w:rsid w:val="00543E8A"/>
    <w:rsid w:val="00543FBA"/>
    <w:rsid w:val="00547B6D"/>
    <w:rsid w:val="005510CD"/>
    <w:rsid w:val="00551F4A"/>
    <w:rsid w:val="005530C6"/>
    <w:rsid w:val="00556412"/>
    <w:rsid w:val="00560C80"/>
    <w:rsid w:val="00560F44"/>
    <w:rsid w:val="005620B3"/>
    <w:rsid w:val="00564B33"/>
    <w:rsid w:val="005657AE"/>
    <w:rsid w:val="00567CB7"/>
    <w:rsid w:val="00572BE1"/>
    <w:rsid w:val="00573CEF"/>
    <w:rsid w:val="005754DB"/>
    <w:rsid w:val="005756AB"/>
    <w:rsid w:val="005830B3"/>
    <w:rsid w:val="00584716"/>
    <w:rsid w:val="00584782"/>
    <w:rsid w:val="00590BED"/>
    <w:rsid w:val="00590DE4"/>
    <w:rsid w:val="00595F11"/>
    <w:rsid w:val="005A2ACD"/>
    <w:rsid w:val="005A43B4"/>
    <w:rsid w:val="005A4A96"/>
    <w:rsid w:val="005A4B23"/>
    <w:rsid w:val="005A6404"/>
    <w:rsid w:val="005B3831"/>
    <w:rsid w:val="005B7403"/>
    <w:rsid w:val="005B7F32"/>
    <w:rsid w:val="005C139E"/>
    <w:rsid w:val="005C2F6F"/>
    <w:rsid w:val="005C342E"/>
    <w:rsid w:val="005C39EB"/>
    <w:rsid w:val="005C4AC0"/>
    <w:rsid w:val="005D0C26"/>
    <w:rsid w:val="005D225B"/>
    <w:rsid w:val="005E1C05"/>
    <w:rsid w:val="005E46C6"/>
    <w:rsid w:val="005E6554"/>
    <w:rsid w:val="005F178D"/>
    <w:rsid w:val="005F2119"/>
    <w:rsid w:val="005F255D"/>
    <w:rsid w:val="005F5430"/>
    <w:rsid w:val="005F5EAF"/>
    <w:rsid w:val="005F71EE"/>
    <w:rsid w:val="006015D9"/>
    <w:rsid w:val="0060182B"/>
    <w:rsid w:val="0060210D"/>
    <w:rsid w:val="00603FC8"/>
    <w:rsid w:val="0060488B"/>
    <w:rsid w:val="0061145C"/>
    <w:rsid w:val="00611E6C"/>
    <w:rsid w:val="006255A7"/>
    <w:rsid w:val="00625D68"/>
    <w:rsid w:val="00627A30"/>
    <w:rsid w:val="00631A2E"/>
    <w:rsid w:val="0063428C"/>
    <w:rsid w:val="00637353"/>
    <w:rsid w:val="006413C8"/>
    <w:rsid w:val="00642748"/>
    <w:rsid w:val="00643947"/>
    <w:rsid w:val="00643D21"/>
    <w:rsid w:val="006459F0"/>
    <w:rsid w:val="006464D5"/>
    <w:rsid w:val="00646DE9"/>
    <w:rsid w:val="00653BB6"/>
    <w:rsid w:val="0065478D"/>
    <w:rsid w:val="00655323"/>
    <w:rsid w:val="00655A70"/>
    <w:rsid w:val="00655E4C"/>
    <w:rsid w:val="00660862"/>
    <w:rsid w:val="0066201B"/>
    <w:rsid w:val="00662A63"/>
    <w:rsid w:val="00663E83"/>
    <w:rsid w:val="00665183"/>
    <w:rsid w:val="00667386"/>
    <w:rsid w:val="00667927"/>
    <w:rsid w:val="00667BC4"/>
    <w:rsid w:val="00667BEB"/>
    <w:rsid w:val="00670D62"/>
    <w:rsid w:val="00671CED"/>
    <w:rsid w:val="006750C4"/>
    <w:rsid w:val="0068035C"/>
    <w:rsid w:val="00682CF5"/>
    <w:rsid w:val="0068353C"/>
    <w:rsid w:val="00683600"/>
    <w:rsid w:val="00690FC4"/>
    <w:rsid w:val="00692C33"/>
    <w:rsid w:val="00693969"/>
    <w:rsid w:val="006953A4"/>
    <w:rsid w:val="0069593E"/>
    <w:rsid w:val="006A1C5B"/>
    <w:rsid w:val="006A343B"/>
    <w:rsid w:val="006A4934"/>
    <w:rsid w:val="006A78D8"/>
    <w:rsid w:val="006B1217"/>
    <w:rsid w:val="006B22FC"/>
    <w:rsid w:val="006B24FC"/>
    <w:rsid w:val="006B291A"/>
    <w:rsid w:val="006B50E2"/>
    <w:rsid w:val="006B731A"/>
    <w:rsid w:val="006C0AB0"/>
    <w:rsid w:val="006C1BD3"/>
    <w:rsid w:val="006C27B0"/>
    <w:rsid w:val="006C4B55"/>
    <w:rsid w:val="006C4E40"/>
    <w:rsid w:val="006C4F4F"/>
    <w:rsid w:val="006C5B24"/>
    <w:rsid w:val="006C5C35"/>
    <w:rsid w:val="006C6FC8"/>
    <w:rsid w:val="006C7D5A"/>
    <w:rsid w:val="006C7F73"/>
    <w:rsid w:val="006D16A6"/>
    <w:rsid w:val="006D356C"/>
    <w:rsid w:val="006D46D6"/>
    <w:rsid w:val="006D4D7F"/>
    <w:rsid w:val="006D55EA"/>
    <w:rsid w:val="006D612A"/>
    <w:rsid w:val="006F000D"/>
    <w:rsid w:val="006F49BD"/>
    <w:rsid w:val="006F4AD3"/>
    <w:rsid w:val="006F526F"/>
    <w:rsid w:val="006F719F"/>
    <w:rsid w:val="00700C74"/>
    <w:rsid w:val="00703BCC"/>
    <w:rsid w:val="007044B6"/>
    <w:rsid w:val="00705650"/>
    <w:rsid w:val="007123A7"/>
    <w:rsid w:val="007173B9"/>
    <w:rsid w:val="00717483"/>
    <w:rsid w:val="007205BE"/>
    <w:rsid w:val="00722895"/>
    <w:rsid w:val="00722FCD"/>
    <w:rsid w:val="00723F9D"/>
    <w:rsid w:val="00725529"/>
    <w:rsid w:val="00725981"/>
    <w:rsid w:val="0072668B"/>
    <w:rsid w:val="00726C90"/>
    <w:rsid w:val="0073547D"/>
    <w:rsid w:val="00735BFB"/>
    <w:rsid w:val="00736637"/>
    <w:rsid w:val="00736C06"/>
    <w:rsid w:val="00736D37"/>
    <w:rsid w:val="00737A63"/>
    <w:rsid w:val="007406E2"/>
    <w:rsid w:val="00744010"/>
    <w:rsid w:val="00744995"/>
    <w:rsid w:val="00745747"/>
    <w:rsid w:val="00747DF4"/>
    <w:rsid w:val="00750FB7"/>
    <w:rsid w:val="007512D7"/>
    <w:rsid w:val="00752013"/>
    <w:rsid w:val="007526D6"/>
    <w:rsid w:val="007527BF"/>
    <w:rsid w:val="00753717"/>
    <w:rsid w:val="00753F3F"/>
    <w:rsid w:val="0075741F"/>
    <w:rsid w:val="00760716"/>
    <w:rsid w:val="0076216B"/>
    <w:rsid w:val="00762454"/>
    <w:rsid w:val="00764DB2"/>
    <w:rsid w:val="007671C1"/>
    <w:rsid w:val="00770926"/>
    <w:rsid w:val="00771069"/>
    <w:rsid w:val="00774309"/>
    <w:rsid w:val="00774BAD"/>
    <w:rsid w:val="0077511C"/>
    <w:rsid w:val="00777154"/>
    <w:rsid w:val="00777CFB"/>
    <w:rsid w:val="0078020F"/>
    <w:rsid w:val="007814EB"/>
    <w:rsid w:val="007833AD"/>
    <w:rsid w:val="00784419"/>
    <w:rsid w:val="00784FF3"/>
    <w:rsid w:val="00785AD4"/>
    <w:rsid w:val="00787046"/>
    <w:rsid w:val="00787494"/>
    <w:rsid w:val="00790A06"/>
    <w:rsid w:val="00791336"/>
    <w:rsid w:val="00792CDE"/>
    <w:rsid w:val="007956CA"/>
    <w:rsid w:val="007A183E"/>
    <w:rsid w:val="007A214E"/>
    <w:rsid w:val="007A5A35"/>
    <w:rsid w:val="007B1683"/>
    <w:rsid w:val="007B376A"/>
    <w:rsid w:val="007B3865"/>
    <w:rsid w:val="007B3B83"/>
    <w:rsid w:val="007B5423"/>
    <w:rsid w:val="007B7552"/>
    <w:rsid w:val="007C1AC7"/>
    <w:rsid w:val="007C2199"/>
    <w:rsid w:val="007C26F8"/>
    <w:rsid w:val="007C3B0E"/>
    <w:rsid w:val="007C55B4"/>
    <w:rsid w:val="007C70F5"/>
    <w:rsid w:val="007D0799"/>
    <w:rsid w:val="007D10AB"/>
    <w:rsid w:val="007D3DCD"/>
    <w:rsid w:val="007D6026"/>
    <w:rsid w:val="007D62EA"/>
    <w:rsid w:val="007E3587"/>
    <w:rsid w:val="007F01B0"/>
    <w:rsid w:val="00800056"/>
    <w:rsid w:val="008015E4"/>
    <w:rsid w:val="00802B0C"/>
    <w:rsid w:val="00803D04"/>
    <w:rsid w:val="008054EB"/>
    <w:rsid w:val="008061FD"/>
    <w:rsid w:val="00806933"/>
    <w:rsid w:val="00807618"/>
    <w:rsid w:val="00807DB0"/>
    <w:rsid w:val="00810473"/>
    <w:rsid w:val="00810EEF"/>
    <w:rsid w:val="00811C8B"/>
    <w:rsid w:val="00814119"/>
    <w:rsid w:val="00814389"/>
    <w:rsid w:val="008145D9"/>
    <w:rsid w:val="00814AB4"/>
    <w:rsid w:val="00815C09"/>
    <w:rsid w:val="00823CA8"/>
    <w:rsid w:val="0082536B"/>
    <w:rsid w:val="0083027F"/>
    <w:rsid w:val="00833C4E"/>
    <w:rsid w:val="00835804"/>
    <w:rsid w:val="008372CE"/>
    <w:rsid w:val="0084150C"/>
    <w:rsid w:val="00843CA7"/>
    <w:rsid w:val="008442F6"/>
    <w:rsid w:val="00844842"/>
    <w:rsid w:val="00851BB6"/>
    <w:rsid w:val="0085451A"/>
    <w:rsid w:val="00855D7A"/>
    <w:rsid w:val="008640B4"/>
    <w:rsid w:val="00864169"/>
    <w:rsid w:val="00864B02"/>
    <w:rsid w:val="008653D9"/>
    <w:rsid w:val="00870E49"/>
    <w:rsid w:val="008717EC"/>
    <w:rsid w:val="00872BA5"/>
    <w:rsid w:val="00873A39"/>
    <w:rsid w:val="00876E97"/>
    <w:rsid w:val="008822EF"/>
    <w:rsid w:val="008837BD"/>
    <w:rsid w:val="0088633C"/>
    <w:rsid w:val="00890575"/>
    <w:rsid w:val="008923AF"/>
    <w:rsid w:val="00892B5A"/>
    <w:rsid w:val="00893721"/>
    <w:rsid w:val="00893B7B"/>
    <w:rsid w:val="008960AF"/>
    <w:rsid w:val="00897FB1"/>
    <w:rsid w:val="008A1EAA"/>
    <w:rsid w:val="008A2005"/>
    <w:rsid w:val="008A348E"/>
    <w:rsid w:val="008A4BBE"/>
    <w:rsid w:val="008A7E00"/>
    <w:rsid w:val="008B114E"/>
    <w:rsid w:val="008B16B9"/>
    <w:rsid w:val="008B350A"/>
    <w:rsid w:val="008C04BE"/>
    <w:rsid w:val="008C0E05"/>
    <w:rsid w:val="008C36F6"/>
    <w:rsid w:val="008C448B"/>
    <w:rsid w:val="008C56BE"/>
    <w:rsid w:val="008D572F"/>
    <w:rsid w:val="008D6204"/>
    <w:rsid w:val="008D7EB4"/>
    <w:rsid w:val="008E002C"/>
    <w:rsid w:val="008E09EA"/>
    <w:rsid w:val="008E61B7"/>
    <w:rsid w:val="008E6227"/>
    <w:rsid w:val="008E6DFE"/>
    <w:rsid w:val="008E7F0A"/>
    <w:rsid w:val="008E7F26"/>
    <w:rsid w:val="008F267D"/>
    <w:rsid w:val="008F4CD0"/>
    <w:rsid w:val="0090021D"/>
    <w:rsid w:val="00900D62"/>
    <w:rsid w:val="00902511"/>
    <w:rsid w:val="009031EA"/>
    <w:rsid w:val="00903C03"/>
    <w:rsid w:val="00907C70"/>
    <w:rsid w:val="009127D3"/>
    <w:rsid w:val="00912ECB"/>
    <w:rsid w:val="00915AE2"/>
    <w:rsid w:val="0091768C"/>
    <w:rsid w:val="009213E7"/>
    <w:rsid w:val="00921EBB"/>
    <w:rsid w:val="0092360D"/>
    <w:rsid w:val="00926FD9"/>
    <w:rsid w:val="009271D1"/>
    <w:rsid w:val="009319D5"/>
    <w:rsid w:val="00932626"/>
    <w:rsid w:val="00933655"/>
    <w:rsid w:val="00933740"/>
    <w:rsid w:val="009351A5"/>
    <w:rsid w:val="009354E7"/>
    <w:rsid w:val="00935803"/>
    <w:rsid w:val="0093637C"/>
    <w:rsid w:val="00937D7D"/>
    <w:rsid w:val="00940F7F"/>
    <w:rsid w:val="009415F2"/>
    <w:rsid w:val="00942007"/>
    <w:rsid w:val="0094329C"/>
    <w:rsid w:val="00944B94"/>
    <w:rsid w:val="0094534C"/>
    <w:rsid w:val="00946899"/>
    <w:rsid w:val="0094770C"/>
    <w:rsid w:val="00947995"/>
    <w:rsid w:val="00947ED2"/>
    <w:rsid w:val="00952BE0"/>
    <w:rsid w:val="00954185"/>
    <w:rsid w:val="0095629B"/>
    <w:rsid w:val="00956846"/>
    <w:rsid w:val="0096437E"/>
    <w:rsid w:val="00964C6C"/>
    <w:rsid w:val="00967DE1"/>
    <w:rsid w:val="009719FF"/>
    <w:rsid w:val="00973512"/>
    <w:rsid w:val="0097439E"/>
    <w:rsid w:val="009763BE"/>
    <w:rsid w:val="00977F88"/>
    <w:rsid w:val="00980498"/>
    <w:rsid w:val="00980701"/>
    <w:rsid w:val="00980B19"/>
    <w:rsid w:val="00983DB1"/>
    <w:rsid w:val="00984EF6"/>
    <w:rsid w:val="0098645F"/>
    <w:rsid w:val="0098782C"/>
    <w:rsid w:val="009913F0"/>
    <w:rsid w:val="00992064"/>
    <w:rsid w:val="009924CB"/>
    <w:rsid w:val="009934FC"/>
    <w:rsid w:val="009937D6"/>
    <w:rsid w:val="00993B92"/>
    <w:rsid w:val="00993DD0"/>
    <w:rsid w:val="00996A02"/>
    <w:rsid w:val="00997FCD"/>
    <w:rsid w:val="009A0264"/>
    <w:rsid w:val="009A037C"/>
    <w:rsid w:val="009A24AD"/>
    <w:rsid w:val="009A3813"/>
    <w:rsid w:val="009A58B5"/>
    <w:rsid w:val="009A5AD0"/>
    <w:rsid w:val="009A5D4F"/>
    <w:rsid w:val="009A6441"/>
    <w:rsid w:val="009A6AB6"/>
    <w:rsid w:val="009A7D93"/>
    <w:rsid w:val="009B0C1A"/>
    <w:rsid w:val="009B22E7"/>
    <w:rsid w:val="009B45BE"/>
    <w:rsid w:val="009B6ABF"/>
    <w:rsid w:val="009B6F7A"/>
    <w:rsid w:val="009B7AC2"/>
    <w:rsid w:val="009C21CC"/>
    <w:rsid w:val="009C4C3F"/>
    <w:rsid w:val="009C6791"/>
    <w:rsid w:val="009C6C44"/>
    <w:rsid w:val="009C6D93"/>
    <w:rsid w:val="009C6DEE"/>
    <w:rsid w:val="009C71F3"/>
    <w:rsid w:val="009D1732"/>
    <w:rsid w:val="009D6637"/>
    <w:rsid w:val="009D6B48"/>
    <w:rsid w:val="009D7984"/>
    <w:rsid w:val="009D79B2"/>
    <w:rsid w:val="009E1550"/>
    <w:rsid w:val="009E1C20"/>
    <w:rsid w:val="009E4D2A"/>
    <w:rsid w:val="009E5962"/>
    <w:rsid w:val="009F23DE"/>
    <w:rsid w:val="009F3114"/>
    <w:rsid w:val="009F535E"/>
    <w:rsid w:val="009F7AB7"/>
    <w:rsid w:val="009F7F82"/>
    <w:rsid w:val="00A008C2"/>
    <w:rsid w:val="00A00F1F"/>
    <w:rsid w:val="00A01D8A"/>
    <w:rsid w:val="00A027BC"/>
    <w:rsid w:val="00A039B7"/>
    <w:rsid w:val="00A03CB3"/>
    <w:rsid w:val="00A05C4D"/>
    <w:rsid w:val="00A06549"/>
    <w:rsid w:val="00A06F22"/>
    <w:rsid w:val="00A1020A"/>
    <w:rsid w:val="00A10BE1"/>
    <w:rsid w:val="00A1122E"/>
    <w:rsid w:val="00A113C6"/>
    <w:rsid w:val="00A11A46"/>
    <w:rsid w:val="00A11E6F"/>
    <w:rsid w:val="00A12DA5"/>
    <w:rsid w:val="00A15557"/>
    <w:rsid w:val="00A1733F"/>
    <w:rsid w:val="00A24BF8"/>
    <w:rsid w:val="00A27ECE"/>
    <w:rsid w:val="00A35069"/>
    <w:rsid w:val="00A40E62"/>
    <w:rsid w:val="00A46A66"/>
    <w:rsid w:val="00A470F3"/>
    <w:rsid w:val="00A53F23"/>
    <w:rsid w:val="00A5465C"/>
    <w:rsid w:val="00A553DC"/>
    <w:rsid w:val="00A57B31"/>
    <w:rsid w:val="00A60B98"/>
    <w:rsid w:val="00A60D98"/>
    <w:rsid w:val="00A61F6C"/>
    <w:rsid w:val="00A62AF8"/>
    <w:rsid w:val="00A6485D"/>
    <w:rsid w:val="00A66D8C"/>
    <w:rsid w:val="00A700B6"/>
    <w:rsid w:val="00A702D9"/>
    <w:rsid w:val="00A7049C"/>
    <w:rsid w:val="00A73305"/>
    <w:rsid w:val="00A75945"/>
    <w:rsid w:val="00A76BBB"/>
    <w:rsid w:val="00A80E4C"/>
    <w:rsid w:val="00A84268"/>
    <w:rsid w:val="00A8595C"/>
    <w:rsid w:val="00A85E04"/>
    <w:rsid w:val="00A86EC5"/>
    <w:rsid w:val="00A92608"/>
    <w:rsid w:val="00A92AFD"/>
    <w:rsid w:val="00A94C0F"/>
    <w:rsid w:val="00A957E3"/>
    <w:rsid w:val="00AA0A4B"/>
    <w:rsid w:val="00AA3703"/>
    <w:rsid w:val="00AB0A9F"/>
    <w:rsid w:val="00AB2D72"/>
    <w:rsid w:val="00AB39EA"/>
    <w:rsid w:val="00AB5391"/>
    <w:rsid w:val="00AC0197"/>
    <w:rsid w:val="00AC242D"/>
    <w:rsid w:val="00AC368D"/>
    <w:rsid w:val="00AC3F3E"/>
    <w:rsid w:val="00AC4072"/>
    <w:rsid w:val="00AC5687"/>
    <w:rsid w:val="00AC608B"/>
    <w:rsid w:val="00AD3036"/>
    <w:rsid w:val="00AD368E"/>
    <w:rsid w:val="00AD3C2E"/>
    <w:rsid w:val="00AD5BB4"/>
    <w:rsid w:val="00AE2EDF"/>
    <w:rsid w:val="00AE43E1"/>
    <w:rsid w:val="00AE4A56"/>
    <w:rsid w:val="00AE4B5A"/>
    <w:rsid w:val="00AF1BB6"/>
    <w:rsid w:val="00AF3B73"/>
    <w:rsid w:val="00AF50C7"/>
    <w:rsid w:val="00B0030C"/>
    <w:rsid w:val="00B009E3"/>
    <w:rsid w:val="00B035C0"/>
    <w:rsid w:val="00B04E09"/>
    <w:rsid w:val="00B04FA7"/>
    <w:rsid w:val="00B11FF4"/>
    <w:rsid w:val="00B1331A"/>
    <w:rsid w:val="00B154FB"/>
    <w:rsid w:val="00B159A8"/>
    <w:rsid w:val="00B21D03"/>
    <w:rsid w:val="00B21EED"/>
    <w:rsid w:val="00B22E12"/>
    <w:rsid w:val="00B23A3B"/>
    <w:rsid w:val="00B2635D"/>
    <w:rsid w:val="00B26F95"/>
    <w:rsid w:val="00B278A4"/>
    <w:rsid w:val="00B27CA4"/>
    <w:rsid w:val="00B30887"/>
    <w:rsid w:val="00B30C48"/>
    <w:rsid w:val="00B314EA"/>
    <w:rsid w:val="00B33ED8"/>
    <w:rsid w:val="00B3508B"/>
    <w:rsid w:val="00B404BA"/>
    <w:rsid w:val="00B41F38"/>
    <w:rsid w:val="00B4321C"/>
    <w:rsid w:val="00B43FFB"/>
    <w:rsid w:val="00B45565"/>
    <w:rsid w:val="00B46BFD"/>
    <w:rsid w:val="00B5194A"/>
    <w:rsid w:val="00B540C9"/>
    <w:rsid w:val="00B54AAA"/>
    <w:rsid w:val="00B5707A"/>
    <w:rsid w:val="00B5793D"/>
    <w:rsid w:val="00B61068"/>
    <w:rsid w:val="00B63701"/>
    <w:rsid w:val="00B657B0"/>
    <w:rsid w:val="00B65D90"/>
    <w:rsid w:val="00B67782"/>
    <w:rsid w:val="00B722C8"/>
    <w:rsid w:val="00B735BE"/>
    <w:rsid w:val="00B838B6"/>
    <w:rsid w:val="00B84B79"/>
    <w:rsid w:val="00B863D2"/>
    <w:rsid w:val="00B87200"/>
    <w:rsid w:val="00B90E78"/>
    <w:rsid w:val="00B90E88"/>
    <w:rsid w:val="00B92A7D"/>
    <w:rsid w:val="00B9507C"/>
    <w:rsid w:val="00B95ECF"/>
    <w:rsid w:val="00B9747D"/>
    <w:rsid w:val="00B97C3A"/>
    <w:rsid w:val="00BA16C6"/>
    <w:rsid w:val="00BA4F27"/>
    <w:rsid w:val="00BA52B0"/>
    <w:rsid w:val="00BA7061"/>
    <w:rsid w:val="00BB0CB2"/>
    <w:rsid w:val="00BB1A96"/>
    <w:rsid w:val="00BB39EC"/>
    <w:rsid w:val="00BB3F57"/>
    <w:rsid w:val="00BB64C1"/>
    <w:rsid w:val="00BB73C4"/>
    <w:rsid w:val="00BB768E"/>
    <w:rsid w:val="00BC0D8B"/>
    <w:rsid w:val="00BC12BC"/>
    <w:rsid w:val="00BC2855"/>
    <w:rsid w:val="00BC543D"/>
    <w:rsid w:val="00BC65A3"/>
    <w:rsid w:val="00BC6892"/>
    <w:rsid w:val="00BC77E3"/>
    <w:rsid w:val="00BD1A54"/>
    <w:rsid w:val="00BD21F7"/>
    <w:rsid w:val="00BD4342"/>
    <w:rsid w:val="00BD6BA5"/>
    <w:rsid w:val="00BD6FC9"/>
    <w:rsid w:val="00BE1CFF"/>
    <w:rsid w:val="00BE3849"/>
    <w:rsid w:val="00BE5FCE"/>
    <w:rsid w:val="00BF1E9B"/>
    <w:rsid w:val="00BF2D30"/>
    <w:rsid w:val="00BF30F7"/>
    <w:rsid w:val="00BF37E6"/>
    <w:rsid w:val="00BF3E90"/>
    <w:rsid w:val="00BF525E"/>
    <w:rsid w:val="00C0062A"/>
    <w:rsid w:val="00C0173C"/>
    <w:rsid w:val="00C025D3"/>
    <w:rsid w:val="00C042B4"/>
    <w:rsid w:val="00C0449E"/>
    <w:rsid w:val="00C053EB"/>
    <w:rsid w:val="00C0682B"/>
    <w:rsid w:val="00C077A8"/>
    <w:rsid w:val="00C10BCE"/>
    <w:rsid w:val="00C12586"/>
    <w:rsid w:val="00C13916"/>
    <w:rsid w:val="00C1467F"/>
    <w:rsid w:val="00C1508F"/>
    <w:rsid w:val="00C22710"/>
    <w:rsid w:val="00C22B55"/>
    <w:rsid w:val="00C24AA2"/>
    <w:rsid w:val="00C27EF1"/>
    <w:rsid w:val="00C31A8F"/>
    <w:rsid w:val="00C34BD2"/>
    <w:rsid w:val="00C37319"/>
    <w:rsid w:val="00C37C6E"/>
    <w:rsid w:val="00C404F3"/>
    <w:rsid w:val="00C4228E"/>
    <w:rsid w:val="00C42CCB"/>
    <w:rsid w:val="00C42E53"/>
    <w:rsid w:val="00C43DD2"/>
    <w:rsid w:val="00C458D0"/>
    <w:rsid w:val="00C458ED"/>
    <w:rsid w:val="00C459BC"/>
    <w:rsid w:val="00C45A3C"/>
    <w:rsid w:val="00C4672D"/>
    <w:rsid w:val="00C46AD6"/>
    <w:rsid w:val="00C46CBE"/>
    <w:rsid w:val="00C50585"/>
    <w:rsid w:val="00C5185A"/>
    <w:rsid w:val="00C54817"/>
    <w:rsid w:val="00C558C6"/>
    <w:rsid w:val="00C571CB"/>
    <w:rsid w:val="00C61CBD"/>
    <w:rsid w:val="00C64BFC"/>
    <w:rsid w:val="00C652B8"/>
    <w:rsid w:val="00C65C18"/>
    <w:rsid w:val="00C66891"/>
    <w:rsid w:val="00C7207C"/>
    <w:rsid w:val="00C72D05"/>
    <w:rsid w:val="00C731D8"/>
    <w:rsid w:val="00C76593"/>
    <w:rsid w:val="00C81F62"/>
    <w:rsid w:val="00C850BE"/>
    <w:rsid w:val="00C85CAA"/>
    <w:rsid w:val="00C862F3"/>
    <w:rsid w:val="00C87300"/>
    <w:rsid w:val="00C87532"/>
    <w:rsid w:val="00C90266"/>
    <w:rsid w:val="00C92631"/>
    <w:rsid w:val="00C936D8"/>
    <w:rsid w:val="00C965A5"/>
    <w:rsid w:val="00CA00C4"/>
    <w:rsid w:val="00CA010E"/>
    <w:rsid w:val="00CA37F7"/>
    <w:rsid w:val="00CA4352"/>
    <w:rsid w:val="00CA6FD1"/>
    <w:rsid w:val="00CA78F1"/>
    <w:rsid w:val="00CB2459"/>
    <w:rsid w:val="00CB3536"/>
    <w:rsid w:val="00CB4265"/>
    <w:rsid w:val="00CB4312"/>
    <w:rsid w:val="00CB4992"/>
    <w:rsid w:val="00CB4A53"/>
    <w:rsid w:val="00CC1BC9"/>
    <w:rsid w:val="00CC2550"/>
    <w:rsid w:val="00CC4F55"/>
    <w:rsid w:val="00CC5E14"/>
    <w:rsid w:val="00CC6D06"/>
    <w:rsid w:val="00CC7034"/>
    <w:rsid w:val="00CD15BF"/>
    <w:rsid w:val="00CD463C"/>
    <w:rsid w:val="00CD4742"/>
    <w:rsid w:val="00CD68F8"/>
    <w:rsid w:val="00CE2EE3"/>
    <w:rsid w:val="00CE3202"/>
    <w:rsid w:val="00CE6887"/>
    <w:rsid w:val="00CF060E"/>
    <w:rsid w:val="00CF375E"/>
    <w:rsid w:val="00CF463C"/>
    <w:rsid w:val="00CF786D"/>
    <w:rsid w:val="00D014C4"/>
    <w:rsid w:val="00D07492"/>
    <w:rsid w:val="00D10E31"/>
    <w:rsid w:val="00D152F0"/>
    <w:rsid w:val="00D159C8"/>
    <w:rsid w:val="00D20055"/>
    <w:rsid w:val="00D20AE1"/>
    <w:rsid w:val="00D23BC3"/>
    <w:rsid w:val="00D25873"/>
    <w:rsid w:val="00D25F58"/>
    <w:rsid w:val="00D277C3"/>
    <w:rsid w:val="00D30297"/>
    <w:rsid w:val="00D32B36"/>
    <w:rsid w:val="00D33026"/>
    <w:rsid w:val="00D34CE3"/>
    <w:rsid w:val="00D35346"/>
    <w:rsid w:val="00D35CC6"/>
    <w:rsid w:val="00D35E50"/>
    <w:rsid w:val="00D37567"/>
    <w:rsid w:val="00D41307"/>
    <w:rsid w:val="00D41FB0"/>
    <w:rsid w:val="00D5206C"/>
    <w:rsid w:val="00D5448B"/>
    <w:rsid w:val="00D55822"/>
    <w:rsid w:val="00D5670E"/>
    <w:rsid w:val="00D610B1"/>
    <w:rsid w:val="00D615CA"/>
    <w:rsid w:val="00D6713E"/>
    <w:rsid w:val="00D671AC"/>
    <w:rsid w:val="00D70D21"/>
    <w:rsid w:val="00D7139C"/>
    <w:rsid w:val="00D74FA8"/>
    <w:rsid w:val="00D762D6"/>
    <w:rsid w:val="00D82527"/>
    <w:rsid w:val="00D84898"/>
    <w:rsid w:val="00D8570D"/>
    <w:rsid w:val="00D90C6B"/>
    <w:rsid w:val="00D91FBD"/>
    <w:rsid w:val="00D93D88"/>
    <w:rsid w:val="00D946A4"/>
    <w:rsid w:val="00D9478C"/>
    <w:rsid w:val="00D964BC"/>
    <w:rsid w:val="00D96DE7"/>
    <w:rsid w:val="00DA06AE"/>
    <w:rsid w:val="00DA0DE9"/>
    <w:rsid w:val="00DA1FB2"/>
    <w:rsid w:val="00DB09D1"/>
    <w:rsid w:val="00DB17E4"/>
    <w:rsid w:val="00DB1C0A"/>
    <w:rsid w:val="00DB7AD2"/>
    <w:rsid w:val="00DC1211"/>
    <w:rsid w:val="00DC2FD7"/>
    <w:rsid w:val="00DC3F6F"/>
    <w:rsid w:val="00DD14D9"/>
    <w:rsid w:val="00DD1CE5"/>
    <w:rsid w:val="00DD3099"/>
    <w:rsid w:val="00DD5325"/>
    <w:rsid w:val="00DD7811"/>
    <w:rsid w:val="00DE2E56"/>
    <w:rsid w:val="00DF3B73"/>
    <w:rsid w:val="00DF4D22"/>
    <w:rsid w:val="00DF51A5"/>
    <w:rsid w:val="00DF7C8F"/>
    <w:rsid w:val="00E01F40"/>
    <w:rsid w:val="00E030C9"/>
    <w:rsid w:val="00E03A68"/>
    <w:rsid w:val="00E03F1F"/>
    <w:rsid w:val="00E04F0C"/>
    <w:rsid w:val="00E10C6F"/>
    <w:rsid w:val="00E11325"/>
    <w:rsid w:val="00E124D9"/>
    <w:rsid w:val="00E14221"/>
    <w:rsid w:val="00E145D9"/>
    <w:rsid w:val="00E15FF8"/>
    <w:rsid w:val="00E166DC"/>
    <w:rsid w:val="00E171F7"/>
    <w:rsid w:val="00E172E7"/>
    <w:rsid w:val="00E20494"/>
    <w:rsid w:val="00E21ADE"/>
    <w:rsid w:val="00E254BF"/>
    <w:rsid w:val="00E25CB9"/>
    <w:rsid w:val="00E2609F"/>
    <w:rsid w:val="00E26299"/>
    <w:rsid w:val="00E26DBA"/>
    <w:rsid w:val="00E30A5B"/>
    <w:rsid w:val="00E33246"/>
    <w:rsid w:val="00E33E12"/>
    <w:rsid w:val="00E34CF2"/>
    <w:rsid w:val="00E34E3C"/>
    <w:rsid w:val="00E37F50"/>
    <w:rsid w:val="00E4108C"/>
    <w:rsid w:val="00E41227"/>
    <w:rsid w:val="00E4143B"/>
    <w:rsid w:val="00E414B4"/>
    <w:rsid w:val="00E42F32"/>
    <w:rsid w:val="00E45AFA"/>
    <w:rsid w:val="00E4613A"/>
    <w:rsid w:val="00E46540"/>
    <w:rsid w:val="00E46E63"/>
    <w:rsid w:val="00E47762"/>
    <w:rsid w:val="00E537BD"/>
    <w:rsid w:val="00E550A3"/>
    <w:rsid w:val="00E5527F"/>
    <w:rsid w:val="00E56D05"/>
    <w:rsid w:val="00E57C23"/>
    <w:rsid w:val="00E6394D"/>
    <w:rsid w:val="00E6517A"/>
    <w:rsid w:val="00E65234"/>
    <w:rsid w:val="00E66F77"/>
    <w:rsid w:val="00E7133D"/>
    <w:rsid w:val="00E71862"/>
    <w:rsid w:val="00E720C9"/>
    <w:rsid w:val="00E81561"/>
    <w:rsid w:val="00E81685"/>
    <w:rsid w:val="00E82810"/>
    <w:rsid w:val="00E8358F"/>
    <w:rsid w:val="00E842F5"/>
    <w:rsid w:val="00E85198"/>
    <w:rsid w:val="00E9220A"/>
    <w:rsid w:val="00EA3A08"/>
    <w:rsid w:val="00EB000C"/>
    <w:rsid w:val="00EB231D"/>
    <w:rsid w:val="00EB35A4"/>
    <w:rsid w:val="00EB686B"/>
    <w:rsid w:val="00EB689E"/>
    <w:rsid w:val="00EB746E"/>
    <w:rsid w:val="00EB7FC5"/>
    <w:rsid w:val="00EC1014"/>
    <w:rsid w:val="00EC41A1"/>
    <w:rsid w:val="00EC4BB7"/>
    <w:rsid w:val="00EC61A3"/>
    <w:rsid w:val="00EC6AA6"/>
    <w:rsid w:val="00ED2EB1"/>
    <w:rsid w:val="00ED59D5"/>
    <w:rsid w:val="00EE0F22"/>
    <w:rsid w:val="00EE0FD4"/>
    <w:rsid w:val="00EE17BE"/>
    <w:rsid w:val="00EE5E1C"/>
    <w:rsid w:val="00EE74AE"/>
    <w:rsid w:val="00EF0A9C"/>
    <w:rsid w:val="00EF4325"/>
    <w:rsid w:val="00EF594C"/>
    <w:rsid w:val="00EF6F89"/>
    <w:rsid w:val="00EF78B8"/>
    <w:rsid w:val="00F01A97"/>
    <w:rsid w:val="00F032A0"/>
    <w:rsid w:val="00F054C4"/>
    <w:rsid w:val="00F06DE3"/>
    <w:rsid w:val="00F0786C"/>
    <w:rsid w:val="00F0791C"/>
    <w:rsid w:val="00F127F0"/>
    <w:rsid w:val="00F1680D"/>
    <w:rsid w:val="00F16A55"/>
    <w:rsid w:val="00F17807"/>
    <w:rsid w:val="00F17ECE"/>
    <w:rsid w:val="00F207D2"/>
    <w:rsid w:val="00F2202D"/>
    <w:rsid w:val="00F27561"/>
    <w:rsid w:val="00F275DE"/>
    <w:rsid w:val="00F27AF4"/>
    <w:rsid w:val="00F329FB"/>
    <w:rsid w:val="00F32C9D"/>
    <w:rsid w:val="00F340DB"/>
    <w:rsid w:val="00F366DD"/>
    <w:rsid w:val="00F366E4"/>
    <w:rsid w:val="00F37F56"/>
    <w:rsid w:val="00F433AF"/>
    <w:rsid w:val="00F52C7D"/>
    <w:rsid w:val="00F54E75"/>
    <w:rsid w:val="00F564FB"/>
    <w:rsid w:val="00F5727E"/>
    <w:rsid w:val="00F576C1"/>
    <w:rsid w:val="00F57EE3"/>
    <w:rsid w:val="00F6057C"/>
    <w:rsid w:val="00F60644"/>
    <w:rsid w:val="00F638EE"/>
    <w:rsid w:val="00F63A4B"/>
    <w:rsid w:val="00F64356"/>
    <w:rsid w:val="00F66991"/>
    <w:rsid w:val="00F701AF"/>
    <w:rsid w:val="00F701ED"/>
    <w:rsid w:val="00F726E3"/>
    <w:rsid w:val="00F72D91"/>
    <w:rsid w:val="00F7396B"/>
    <w:rsid w:val="00F75B38"/>
    <w:rsid w:val="00F76E40"/>
    <w:rsid w:val="00F77884"/>
    <w:rsid w:val="00F80DF3"/>
    <w:rsid w:val="00F815A1"/>
    <w:rsid w:val="00F81B12"/>
    <w:rsid w:val="00F85C36"/>
    <w:rsid w:val="00F9119F"/>
    <w:rsid w:val="00F924D9"/>
    <w:rsid w:val="00F95033"/>
    <w:rsid w:val="00F9721A"/>
    <w:rsid w:val="00FA1167"/>
    <w:rsid w:val="00FA2EAD"/>
    <w:rsid w:val="00FA3E8E"/>
    <w:rsid w:val="00FA52BA"/>
    <w:rsid w:val="00FA74B5"/>
    <w:rsid w:val="00FA7FE1"/>
    <w:rsid w:val="00FB01E9"/>
    <w:rsid w:val="00FB0746"/>
    <w:rsid w:val="00FB0F30"/>
    <w:rsid w:val="00FB1FCF"/>
    <w:rsid w:val="00FB42A5"/>
    <w:rsid w:val="00FB7028"/>
    <w:rsid w:val="00FB73B0"/>
    <w:rsid w:val="00FC10E2"/>
    <w:rsid w:val="00FC214D"/>
    <w:rsid w:val="00FC2430"/>
    <w:rsid w:val="00FC33DE"/>
    <w:rsid w:val="00FC5827"/>
    <w:rsid w:val="00FC597C"/>
    <w:rsid w:val="00FD02A7"/>
    <w:rsid w:val="00FD2AEE"/>
    <w:rsid w:val="00FD37D9"/>
    <w:rsid w:val="00FD4C7B"/>
    <w:rsid w:val="00FD5CCD"/>
    <w:rsid w:val="00FE0AF8"/>
    <w:rsid w:val="00FE19F6"/>
    <w:rsid w:val="00FE6290"/>
    <w:rsid w:val="00FF0768"/>
    <w:rsid w:val="01B47E04"/>
    <w:rsid w:val="01C24651"/>
    <w:rsid w:val="01C915FA"/>
    <w:rsid w:val="021E018C"/>
    <w:rsid w:val="02C74180"/>
    <w:rsid w:val="02F034FC"/>
    <w:rsid w:val="03096EC1"/>
    <w:rsid w:val="037B3BA0"/>
    <w:rsid w:val="03904534"/>
    <w:rsid w:val="039E20D1"/>
    <w:rsid w:val="03FC095B"/>
    <w:rsid w:val="03FD6D49"/>
    <w:rsid w:val="042F5D1F"/>
    <w:rsid w:val="04637138"/>
    <w:rsid w:val="04A24A7D"/>
    <w:rsid w:val="04B107BA"/>
    <w:rsid w:val="04B12457"/>
    <w:rsid w:val="04DF6A75"/>
    <w:rsid w:val="04EA21CE"/>
    <w:rsid w:val="0514323F"/>
    <w:rsid w:val="05534A8E"/>
    <w:rsid w:val="05626F0B"/>
    <w:rsid w:val="056801AD"/>
    <w:rsid w:val="05ED6D79"/>
    <w:rsid w:val="05EE2C8F"/>
    <w:rsid w:val="05F80C2C"/>
    <w:rsid w:val="060F03CA"/>
    <w:rsid w:val="061D6AF3"/>
    <w:rsid w:val="061F7618"/>
    <w:rsid w:val="06616FE7"/>
    <w:rsid w:val="06A2646F"/>
    <w:rsid w:val="0727403C"/>
    <w:rsid w:val="08820352"/>
    <w:rsid w:val="08C7561E"/>
    <w:rsid w:val="08F32743"/>
    <w:rsid w:val="08F919B2"/>
    <w:rsid w:val="090303BC"/>
    <w:rsid w:val="092615C0"/>
    <w:rsid w:val="094E0278"/>
    <w:rsid w:val="0B106908"/>
    <w:rsid w:val="0B1E58F0"/>
    <w:rsid w:val="0B2E69D9"/>
    <w:rsid w:val="0B4E0497"/>
    <w:rsid w:val="0B641FE7"/>
    <w:rsid w:val="0BA61824"/>
    <w:rsid w:val="0BCD6D9E"/>
    <w:rsid w:val="0BE12B86"/>
    <w:rsid w:val="0BFD6957"/>
    <w:rsid w:val="0C6041AC"/>
    <w:rsid w:val="0C6816CE"/>
    <w:rsid w:val="0C7E5F6D"/>
    <w:rsid w:val="0CA879D8"/>
    <w:rsid w:val="0D1C41F6"/>
    <w:rsid w:val="0D1D6955"/>
    <w:rsid w:val="0D227A9A"/>
    <w:rsid w:val="0D326E78"/>
    <w:rsid w:val="0D5A4DF7"/>
    <w:rsid w:val="0D915AFC"/>
    <w:rsid w:val="0D974242"/>
    <w:rsid w:val="0DB57E54"/>
    <w:rsid w:val="0E2A1C4C"/>
    <w:rsid w:val="0E3C2EFC"/>
    <w:rsid w:val="0E602A2C"/>
    <w:rsid w:val="0EAA77F2"/>
    <w:rsid w:val="0EEB6487"/>
    <w:rsid w:val="0F467BA7"/>
    <w:rsid w:val="0F874D5A"/>
    <w:rsid w:val="0FE47865"/>
    <w:rsid w:val="10206C75"/>
    <w:rsid w:val="103313EA"/>
    <w:rsid w:val="10C20E5F"/>
    <w:rsid w:val="10DB1A50"/>
    <w:rsid w:val="116F3DB0"/>
    <w:rsid w:val="11754949"/>
    <w:rsid w:val="11CB1184"/>
    <w:rsid w:val="11D44E50"/>
    <w:rsid w:val="12073A5E"/>
    <w:rsid w:val="124771D4"/>
    <w:rsid w:val="124F74EF"/>
    <w:rsid w:val="125856CA"/>
    <w:rsid w:val="12742AC7"/>
    <w:rsid w:val="130A757E"/>
    <w:rsid w:val="1331710B"/>
    <w:rsid w:val="138F6C27"/>
    <w:rsid w:val="139E45C8"/>
    <w:rsid w:val="14967CC8"/>
    <w:rsid w:val="14C33A7B"/>
    <w:rsid w:val="14F01823"/>
    <w:rsid w:val="14F81E38"/>
    <w:rsid w:val="150C6473"/>
    <w:rsid w:val="15877190"/>
    <w:rsid w:val="15A90DA7"/>
    <w:rsid w:val="15E44D1F"/>
    <w:rsid w:val="160C42D6"/>
    <w:rsid w:val="16F55FB8"/>
    <w:rsid w:val="16FB6B41"/>
    <w:rsid w:val="17372BA0"/>
    <w:rsid w:val="17AC5E51"/>
    <w:rsid w:val="17C8687A"/>
    <w:rsid w:val="1889564E"/>
    <w:rsid w:val="18B02EF0"/>
    <w:rsid w:val="18F56002"/>
    <w:rsid w:val="19004393"/>
    <w:rsid w:val="196E45B8"/>
    <w:rsid w:val="19E415C3"/>
    <w:rsid w:val="1A017AC7"/>
    <w:rsid w:val="1A2E4D24"/>
    <w:rsid w:val="1A686FD2"/>
    <w:rsid w:val="1B0672C6"/>
    <w:rsid w:val="1BB2199A"/>
    <w:rsid w:val="1BBA200E"/>
    <w:rsid w:val="1C7F0CB6"/>
    <w:rsid w:val="1CE33BE2"/>
    <w:rsid w:val="1D272397"/>
    <w:rsid w:val="1D747847"/>
    <w:rsid w:val="1D8125BE"/>
    <w:rsid w:val="1E8E2DB0"/>
    <w:rsid w:val="1EB525EF"/>
    <w:rsid w:val="1EB6109D"/>
    <w:rsid w:val="1ECA3722"/>
    <w:rsid w:val="1EF2736B"/>
    <w:rsid w:val="1F16470F"/>
    <w:rsid w:val="1F4F0922"/>
    <w:rsid w:val="1FDD44EC"/>
    <w:rsid w:val="204B180E"/>
    <w:rsid w:val="20821300"/>
    <w:rsid w:val="20AC6CCD"/>
    <w:rsid w:val="20DC6201"/>
    <w:rsid w:val="21584AE0"/>
    <w:rsid w:val="215F06A9"/>
    <w:rsid w:val="219B2BCD"/>
    <w:rsid w:val="22051F98"/>
    <w:rsid w:val="22430565"/>
    <w:rsid w:val="22660C40"/>
    <w:rsid w:val="22C44C41"/>
    <w:rsid w:val="22DB181A"/>
    <w:rsid w:val="22F11B81"/>
    <w:rsid w:val="231D479B"/>
    <w:rsid w:val="232F2985"/>
    <w:rsid w:val="23427BF9"/>
    <w:rsid w:val="236A69D7"/>
    <w:rsid w:val="23AA48AE"/>
    <w:rsid w:val="23C17FCB"/>
    <w:rsid w:val="244701EC"/>
    <w:rsid w:val="247054DD"/>
    <w:rsid w:val="24776664"/>
    <w:rsid w:val="250C613C"/>
    <w:rsid w:val="25394E23"/>
    <w:rsid w:val="253D2474"/>
    <w:rsid w:val="25457FB6"/>
    <w:rsid w:val="25870A1F"/>
    <w:rsid w:val="25AE615B"/>
    <w:rsid w:val="25B44F23"/>
    <w:rsid w:val="25E27B07"/>
    <w:rsid w:val="25EF7AF6"/>
    <w:rsid w:val="26094F01"/>
    <w:rsid w:val="262F2132"/>
    <w:rsid w:val="26303FAF"/>
    <w:rsid w:val="26B36C9D"/>
    <w:rsid w:val="26CB0992"/>
    <w:rsid w:val="274F1635"/>
    <w:rsid w:val="29185B06"/>
    <w:rsid w:val="291C39BD"/>
    <w:rsid w:val="292C14BA"/>
    <w:rsid w:val="29500600"/>
    <w:rsid w:val="29706C55"/>
    <w:rsid w:val="299452ED"/>
    <w:rsid w:val="29F50F47"/>
    <w:rsid w:val="2A4944AA"/>
    <w:rsid w:val="2A5F7A43"/>
    <w:rsid w:val="2AB51687"/>
    <w:rsid w:val="2AC667BC"/>
    <w:rsid w:val="2ACB79F4"/>
    <w:rsid w:val="2AD21F0D"/>
    <w:rsid w:val="2AD406FB"/>
    <w:rsid w:val="2BA75114"/>
    <w:rsid w:val="2BD64CE6"/>
    <w:rsid w:val="2C503A00"/>
    <w:rsid w:val="2C5E32CE"/>
    <w:rsid w:val="2C6879B6"/>
    <w:rsid w:val="2C7359A9"/>
    <w:rsid w:val="2CA90E20"/>
    <w:rsid w:val="2D175CF0"/>
    <w:rsid w:val="2D7527D3"/>
    <w:rsid w:val="2D81205D"/>
    <w:rsid w:val="2DC55411"/>
    <w:rsid w:val="2DE15A2A"/>
    <w:rsid w:val="2E704C40"/>
    <w:rsid w:val="2E7D6578"/>
    <w:rsid w:val="2EAE2F99"/>
    <w:rsid w:val="2EB201EE"/>
    <w:rsid w:val="2EFF34CE"/>
    <w:rsid w:val="2FBC7BBE"/>
    <w:rsid w:val="2FEB1721"/>
    <w:rsid w:val="2FF82CFC"/>
    <w:rsid w:val="30276088"/>
    <w:rsid w:val="303375CD"/>
    <w:rsid w:val="30417E57"/>
    <w:rsid w:val="308F1BC4"/>
    <w:rsid w:val="30CB0233"/>
    <w:rsid w:val="30D5114E"/>
    <w:rsid w:val="3103135B"/>
    <w:rsid w:val="31134A75"/>
    <w:rsid w:val="31361F63"/>
    <w:rsid w:val="31560621"/>
    <w:rsid w:val="31E94182"/>
    <w:rsid w:val="32462DCA"/>
    <w:rsid w:val="3252168B"/>
    <w:rsid w:val="32614B36"/>
    <w:rsid w:val="328874D7"/>
    <w:rsid w:val="32B465D6"/>
    <w:rsid w:val="3338457A"/>
    <w:rsid w:val="33436A97"/>
    <w:rsid w:val="33841118"/>
    <w:rsid w:val="338A38E1"/>
    <w:rsid w:val="33B15CD8"/>
    <w:rsid w:val="33B71E0E"/>
    <w:rsid w:val="33D33712"/>
    <w:rsid w:val="340D5FF7"/>
    <w:rsid w:val="34735E7F"/>
    <w:rsid w:val="347F2FC4"/>
    <w:rsid w:val="359A6072"/>
    <w:rsid w:val="35ED6FFE"/>
    <w:rsid w:val="362527CA"/>
    <w:rsid w:val="365E03A7"/>
    <w:rsid w:val="36650D65"/>
    <w:rsid w:val="366B11D8"/>
    <w:rsid w:val="36760A6F"/>
    <w:rsid w:val="36FD63F6"/>
    <w:rsid w:val="37424F12"/>
    <w:rsid w:val="375F35F1"/>
    <w:rsid w:val="37675342"/>
    <w:rsid w:val="379D4CDE"/>
    <w:rsid w:val="37E142B1"/>
    <w:rsid w:val="37EC177B"/>
    <w:rsid w:val="38461A94"/>
    <w:rsid w:val="39E64AA3"/>
    <w:rsid w:val="3A0E310A"/>
    <w:rsid w:val="3A337E82"/>
    <w:rsid w:val="3A5D47D6"/>
    <w:rsid w:val="3B1139DC"/>
    <w:rsid w:val="3B346891"/>
    <w:rsid w:val="3B3C3764"/>
    <w:rsid w:val="3B693ABE"/>
    <w:rsid w:val="3B930F30"/>
    <w:rsid w:val="3BCC6D26"/>
    <w:rsid w:val="3BCC7949"/>
    <w:rsid w:val="3BCD6DCC"/>
    <w:rsid w:val="3BFF1AFF"/>
    <w:rsid w:val="3C05794C"/>
    <w:rsid w:val="3C8637E7"/>
    <w:rsid w:val="3C93694A"/>
    <w:rsid w:val="3C9C0EE0"/>
    <w:rsid w:val="3CAA50D7"/>
    <w:rsid w:val="3CC23CE7"/>
    <w:rsid w:val="3D685D41"/>
    <w:rsid w:val="3D734BA5"/>
    <w:rsid w:val="3D86463A"/>
    <w:rsid w:val="3DD95F68"/>
    <w:rsid w:val="3DDD2815"/>
    <w:rsid w:val="3DEB73A9"/>
    <w:rsid w:val="3E3757C5"/>
    <w:rsid w:val="3EAC1F9C"/>
    <w:rsid w:val="3EBA7D64"/>
    <w:rsid w:val="3EC335AA"/>
    <w:rsid w:val="3F352ED7"/>
    <w:rsid w:val="3F7A1395"/>
    <w:rsid w:val="3F9A5F9A"/>
    <w:rsid w:val="40585914"/>
    <w:rsid w:val="406F0C12"/>
    <w:rsid w:val="409A7B8F"/>
    <w:rsid w:val="40CC3D1B"/>
    <w:rsid w:val="41230A69"/>
    <w:rsid w:val="420B3F64"/>
    <w:rsid w:val="422A509B"/>
    <w:rsid w:val="424B3B49"/>
    <w:rsid w:val="42613D77"/>
    <w:rsid w:val="429C5AC6"/>
    <w:rsid w:val="4300495F"/>
    <w:rsid w:val="430B4F7B"/>
    <w:rsid w:val="437370B7"/>
    <w:rsid w:val="43897891"/>
    <w:rsid w:val="43F17952"/>
    <w:rsid w:val="4426495C"/>
    <w:rsid w:val="44296D06"/>
    <w:rsid w:val="445B3043"/>
    <w:rsid w:val="447B369A"/>
    <w:rsid w:val="44DD3E91"/>
    <w:rsid w:val="44FE6A97"/>
    <w:rsid w:val="45197722"/>
    <w:rsid w:val="45280009"/>
    <w:rsid w:val="46830356"/>
    <w:rsid w:val="46946CC7"/>
    <w:rsid w:val="46E416BF"/>
    <w:rsid w:val="46F91E7C"/>
    <w:rsid w:val="47601966"/>
    <w:rsid w:val="47765B26"/>
    <w:rsid w:val="47B85DA2"/>
    <w:rsid w:val="47FA7693"/>
    <w:rsid w:val="47FC1AAA"/>
    <w:rsid w:val="48312A56"/>
    <w:rsid w:val="4831507B"/>
    <w:rsid w:val="485145C6"/>
    <w:rsid w:val="48584FE4"/>
    <w:rsid w:val="488C4279"/>
    <w:rsid w:val="48F873C3"/>
    <w:rsid w:val="49653F45"/>
    <w:rsid w:val="4A015467"/>
    <w:rsid w:val="4A3D466E"/>
    <w:rsid w:val="4A4C39AD"/>
    <w:rsid w:val="4A7D3C0E"/>
    <w:rsid w:val="4A9E78BB"/>
    <w:rsid w:val="4AE22767"/>
    <w:rsid w:val="4B8507BD"/>
    <w:rsid w:val="4BB47AC2"/>
    <w:rsid w:val="4BC02BD8"/>
    <w:rsid w:val="4BD66AD1"/>
    <w:rsid w:val="4C5E0D5A"/>
    <w:rsid w:val="4CBF4276"/>
    <w:rsid w:val="4CD541BE"/>
    <w:rsid w:val="4CE2382F"/>
    <w:rsid w:val="4D3E6D99"/>
    <w:rsid w:val="4E1622A9"/>
    <w:rsid w:val="4E1E138D"/>
    <w:rsid w:val="4E2E279D"/>
    <w:rsid w:val="4E471609"/>
    <w:rsid w:val="4E47495A"/>
    <w:rsid w:val="4F3B09F2"/>
    <w:rsid w:val="4F6D690C"/>
    <w:rsid w:val="4F6F0BB5"/>
    <w:rsid w:val="4FAB421F"/>
    <w:rsid w:val="4FC60261"/>
    <w:rsid w:val="5028016B"/>
    <w:rsid w:val="50873996"/>
    <w:rsid w:val="50F2034F"/>
    <w:rsid w:val="511643D3"/>
    <w:rsid w:val="51480BEA"/>
    <w:rsid w:val="51767DCA"/>
    <w:rsid w:val="51A251A0"/>
    <w:rsid w:val="51B122AB"/>
    <w:rsid w:val="51EC339B"/>
    <w:rsid w:val="52380824"/>
    <w:rsid w:val="52582329"/>
    <w:rsid w:val="52CD27D2"/>
    <w:rsid w:val="52E27E6E"/>
    <w:rsid w:val="52F13372"/>
    <w:rsid w:val="53013A3B"/>
    <w:rsid w:val="534D60B9"/>
    <w:rsid w:val="535A067F"/>
    <w:rsid w:val="53643DC4"/>
    <w:rsid w:val="539C13A0"/>
    <w:rsid w:val="53B72340"/>
    <w:rsid w:val="540B0B54"/>
    <w:rsid w:val="54461AD3"/>
    <w:rsid w:val="54581E64"/>
    <w:rsid w:val="546D14B1"/>
    <w:rsid w:val="54B566C2"/>
    <w:rsid w:val="54DC1596"/>
    <w:rsid w:val="54ED08A1"/>
    <w:rsid w:val="54FF2231"/>
    <w:rsid w:val="5568105C"/>
    <w:rsid w:val="556F3283"/>
    <w:rsid w:val="557C08CC"/>
    <w:rsid w:val="557C6727"/>
    <w:rsid w:val="5633291A"/>
    <w:rsid w:val="56A21C1F"/>
    <w:rsid w:val="56A91736"/>
    <w:rsid w:val="56C105B6"/>
    <w:rsid w:val="56D6525B"/>
    <w:rsid w:val="57396B1E"/>
    <w:rsid w:val="57481219"/>
    <w:rsid w:val="576A0140"/>
    <w:rsid w:val="57CF0AFC"/>
    <w:rsid w:val="5803602A"/>
    <w:rsid w:val="580509C8"/>
    <w:rsid w:val="58845D9B"/>
    <w:rsid w:val="58884175"/>
    <w:rsid w:val="58EF76ED"/>
    <w:rsid w:val="591B58C0"/>
    <w:rsid w:val="59204F48"/>
    <w:rsid w:val="59234ECA"/>
    <w:rsid w:val="593B6DC2"/>
    <w:rsid w:val="595D3DAB"/>
    <w:rsid w:val="59840B1E"/>
    <w:rsid w:val="59C062F8"/>
    <w:rsid w:val="5A245A88"/>
    <w:rsid w:val="5A6D3BE8"/>
    <w:rsid w:val="5A822399"/>
    <w:rsid w:val="5AB77B5E"/>
    <w:rsid w:val="5B3369D1"/>
    <w:rsid w:val="5BA62290"/>
    <w:rsid w:val="5BE307B4"/>
    <w:rsid w:val="5C276E7C"/>
    <w:rsid w:val="5C306DDF"/>
    <w:rsid w:val="5C49575C"/>
    <w:rsid w:val="5C9108EC"/>
    <w:rsid w:val="5C9E4B22"/>
    <w:rsid w:val="5CDC2240"/>
    <w:rsid w:val="5D0F5894"/>
    <w:rsid w:val="5D215608"/>
    <w:rsid w:val="5D316B4B"/>
    <w:rsid w:val="5D7C032C"/>
    <w:rsid w:val="5D8178C4"/>
    <w:rsid w:val="5D892981"/>
    <w:rsid w:val="5D89316A"/>
    <w:rsid w:val="5D8C27F9"/>
    <w:rsid w:val="5DA628A5"/>
    <w:rsid w:val="5DAE0909"/>
    <w:rsid w:val="5DCE5468"/>
    <w:rsid w:val="5DD652EB"/>
    <w:rsid w:val="5DE93F98"/>
    <w:rsid w:val="5E015F26"/>
    <w:rsid w:val="5E531B9F"/>
    <w:rsid w:val="5E5F1019"/>
    <w:rsid w:val="5EA77881"/>
    <w:rsid w:val="5ED42E29"/>
    <w:rsid w:val="5F0D61FF"/>
    <w:rsid w:val="5F2E1BCB"/>
    <w:rsid w:val="5F682CF2"/>
    <w:rsid w:val="5F704270"/>
    <w:rsid w:val="5F857143"/>
    <w:rsid w:val="5FFE4272"/>
    <w:rsid w:val="60101288"/>
    <w:rsid w:val="60115F92"/>
    <w:rsid w:val="60160E30"/>
    <w:rsid w:val="60510E15"/>
    <w:rsid w:val="605C2ABC"/>
    <w:rsid w:val="607D4FF6"/>
    <w:rsid w:val="60AB793D"/>
    <w:rsid w:val="60EB3387"/>
    <w:rsid w:val="615006E0"/>
    <w:rsid w:val="6161292D"/>
    <w:rsid w:val="61E34130"/>
    <w:rsid w:val="62305DD8"/>
    <w:rsid w:val="62532DD8"/>
    <w:rsid w:val="629F5C38"/>
    <w:rsid w:val="62D95D35"/>
    <w:rsid w:val="62DA0FAA"/>
    <w:rsid w:val="62E14DA4"/>
    <w:rsid w:val="62E55EDB"/>
    <w:rsid w:val="63A23566"/>
    <w:rsid w:val="63BD20CE"/>
    <w:rsid w:val="63E776F7"/>
    <w:rsid w:val="643D7267"/>
    <w:rsid w:val="647E7ACD"/>
    <w:rsid w:val="64B959C4"/>
    <w:rsid w:val="64BF74D6"/>
    <w:rsid w:val="64CA25E2"/>
    <w:rsid w:val="64CC5C0C"/>
    <w:rsid w:val="64DD6B4F"/>
    <w:rsid w:val="651D7774"/>
    <w:rsid w:val="6537227D"/>
    <w:rsid w:val="65687B32"/>
    <w:rsid w:val="656C31FA"/>
    <w:rsid w:val="65C12235"/>
    <w:rsid w:val="65C435F1"/>
    <w:rsid w:val="65FD5241"/>
    <w:rsid w:val="66145AE8"/>
    <w:rsid w:val="662D1EC2"/>
    <w:rsid w:val="668974B7"/>
    <w:rsid w:val="66BD4D07"/>
    <w:rsid w:val="66DB1A39"/>
    <w:rsid w:val="670420B9"/>
    <w:rsid w:val="67120167"/>
    <w:rsid w:val="679A064C"/>
    <w:rsid w:val="67EE6E63"/>
    <w:rsid w:val="681E541D"/>
    <w:rsid w:val="68546EEF"/>
    <w:rsid w:val="6876296E"/>
    <w:rsid w:val="68906D27"/>
    <w:rsid w:val="689D1AB8"/>
    <w:rsid w:val="68A80483"/>
    <w:rsid w:val="696F212F"/>
    <w:rsid w:val="69752D81"/>
    <w:rsid w:val="69791C0D"/>
    <w:rsid w:val="69A433E0"/>
    <w:rsid w:val="69DA2876"/>
    <w:rsid w:val="69E057C4"/>
    <w:rsid w:val="69EE5696"/>
    <w:rsid w:val="6A332318"/>
    <w:rsid w:val="6AAB60E7"/>
    <w:rsid w:val="6B171F35"/>
    <w:rsid w:val="6BAB6F14"/>
    <w:rsid w:val="6BAD1EE5"/>
    <w:rsid w:val="6BB9504A"/>
    <w:rsid w:val="6BBE353D"/>
    <w:rsid w:val="6BEB4F4D"/>
    <w:rsid w:val="6C8769E4"/>
    <w:rsid w:val="6CEB7854"/>
    <w:rsid w:val="6D3A3329"/>
    <w:rsid w:val="6D9E6246"/>
    <w:rsid w:val="6DF3512C"/>
    <w:rsid w:val="6E9C74A7"/>
    <w:rsid w:val="6EB16B19"/>
    <w:rsid w:val="6EC13C6B"/>
    <w:rsid w:val="6EC66036"/>
    <w:rsid w:val="6ED64447"/>
    <w:rsid w:val="6ED84BE7"/>
    <w:rsid w:val="6EEA3C8D"/>
    <w:rsid w:val="6FA86872"/>
    <w:rsid w:val="6FD027EB"/>
    <w:rsid w:val="6FFE28A4"/>
    <w:rsid w:val="700F5C96"/>
    <w:rsid w:val="70485252"/>
    <w:rsid w:val="704F2C5F"/>
    <w:rsid w:val="707E2B59"/>
    <w:rsid w:val="70A82C64"/>
    <w:rsid w:val="70D8212E"/>
    <w:rsid w:val="70DF68B2"/>
    <w:rsid w:val="70E4170B"/>
    <w:rsid w:val="7146408D"/>
    <w:rsid w:val="71F11159"/>
    <w:rsid w:val="7219323C"/>
    <w:rsid w:val="726F6C03"/>
    <w:rsid w:val="7290103C"/>
    <w:rsid w:val="72A24FEF"/>
    <w:rsid w:val="72B038B8"/>
    <w:rsid w:val="732228BC"/>
    <w:rsid w:val="733B028F"/>
    <w:rsid w:val="73547CB3"/>
    <w:rsid w:val="73694025"/>
    <w:rsid w:val="739A7DBC"/>
    <w:rsid w:val="73AC7712"/>
    <w:rsid w:val="73C37B3A"/>
    <w:rsid w:val="73E5397F"/>
    <w:rsid w:val="73EA70F6"/>
    <w:rsid w:val="740021F6"/>
    <w:rsid w:val="740A4FCB"/>
    <w:rsid w:val="74477C79"/>
    <w:rsid w:val="75107215"/>
    <w:rsid w:val="751838B1"/>
    <w:rsid w:val="751E042E"/>
    <w:rsid w:val="75787FC9"/>
    <w:rsid w:val="759304D8"/>
    <w:rsid w:val="75A17E72"/>
    <w:rsid w:val="75A27EB4"/>
    <w:rsid w:val="75D133D0"/>
    <w:rsid w:val="76032986"/>
    <w:rsid w:val="763E0C8B"/>
    <w:rsid w:val="76786F2E"/>
    <w:rsid w:val="76840A84"/>
    <w:rsid w:val="77AC147C"/>
    <w:rsid w:val="77B45926"/>
    <w:rsid w:val="77C94015"/>
    <w:rsid w:val="78B53650"/>
    <w:rsid w:val="78E818E5"/>
    <w:rsid w:val="79563EC9"/>
    <w:rsid w:val="797F60D5"/>
    <w:rsid w:val="79FF16A0"/>
    <w:rsid w:val="7A434E36"/>
    <w:rsid w:val="7A71383E"/>
    <w:rsid w:val="7A877999"/>
    <w:rsid w:val="7B396895"/>
    <w:rsid w:val="7BD24E35"/>
    <w:rsid w:val="7BD82258"/>
    <w:rsid w:val="7BE23A26"/>
    <w:rsid w:val="7C190EA3"/>
    <w:rsid w:val="7C2D09C7"/>
    <w:rsid w:val="7CA52ABC"/>
    <w:rsid w:val="7D332259"/>
    <w:rsid w:val="7D381AEC"/>
    <w:rsid w:val="7D3846C5"/>
    <w:rsid w:val="7D50212B"/>
    <w:rsid w:val="7D5254DE"/>
    <w:rsid w:val="7D5928AF"/>
    <w:rsid w:val="7D6B16D3"/>
    <w:rsid w:val="7D784C4C"/>
    <w:rsid w:val="7D790677"/>
    <w:rsid w:val="7DC04C9F"/>
    <w:rsid w:val="7E262414"/>
    <w:rsid w:val="7E334DCA"/>
    <w:rsid w:val="7E375C98"/>
    <w:rsid w:val="7E7901B6"/>
    <w:rsid w:val="7E843559"/>
    <w:rsid w:val="7FFF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
    <w:qFormat/>
    <w:uiPriority w:val="0"/>
    <w:pPr>
      <w:keepNext/>
      <w:jc w:val="center"/>
      <w:outlineLvl w:val="0"/>
    </w:pPr>
    <w:rPr>
      <w:rFonts w:ascii="楷体_GB2312" w:hAnsi="Tahoma" w:eastAsia="楷体_GB2312"/>
      <w:b/>
      <w:bCs/>
    </w:rPr>
  </w:style>
  <w:style w:type="paragraph" w:styleId="5">
    <w:name w:val="heading 2"/>
    <w:basedOn w:val="1"/>
    <w:next w:val="1"/>
    <w:link w:val="78"/>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79"/>
    <w:qFormat/>
    <w:uiPriority w:val="0"/>
    <w:pPr>
      <w:keepNext/>
      <w:keepLines/>
      <w:spacing w:before="260" w:after="260" w:line="415" w:lineRule="auto"/>
      <w:outlineLvl w:val="2"/>
    </w:pPr>
    <w:rPr>
      <w:b/>
      <w:bCs/>
      <w:sz w:val="32"/>
      <w:szCs w:val="32"/>
    </w:rPr>
  </w:style>
  <w:style w:type="paragraph" w:styleId="7">
    <w:name w:val="heading 4"/>
    <w:basedOn w:val="1"/>
    <w:next w:val="1"/>
    <w:link w:val="80"/>
    <w:qFormat/>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81"/>
    <w:qFormat/>
    <w:uiPriority w:val="0"/>
    <w:pPr>
      <w:keepNext/>
      <w:keepLines/>
      <w:spacing w:before="280" w:after="290" w:line="372" w:lineRule="auto"/>
      <w:outlineLvl w:val="4"/>
    </w:pPr>
    <w:rPr>
      <w:rFonts w:ascii="仿宋_GB2312" w:hAnsi="Tahoma"/>
      <w:b/>
      <w:bCs/>
      <w:sz w:val="28"/>
      <w:szCs w:val="28"/>
    </w:rPr>
  </w:style>
  <w:style w:type="paragraph" w:styleId="9">
    <w:name w:val="heading 6"/>
    <w:basedOn w:val="1"/>
    <w:next w:val="1"/>
    <w:link w:val="82"/>
    <w:qFormat/>
    <w:uiPriority w:val="0"/>
    <w:pPr>
      <w:keepNext/>
      <w:keepLines/>
      <w:spacing w:before="240" w:after="64" w:line="319" w:lineRule="auto"/>
      <w:outlineLvl w:val="5"/>
    </w:pPr>
    <w:rPr>
      <w:rFonts w:ascii="Arial" w:hAnsi="Arial" w:eastAsia="黑体"/>
      <w:b/>
      <w:bCs/>
      <w:sz w:val="24"/>
    </w:rPr>
  </w:style>
  <w:style w:type="paragraph" w:styleId="10">
    <w:name w:val="heading 7"/>
    <w:basedOn w:val="1"/>
    <w:next w:val="1"/>
    <w:link w:val="83"/>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1">
    <w:name w:val="heading 8"/>
    <w:basedOn w:val="1"/>
    <w:next w:val="1"/>
    <w:link w:val="84"/>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2">
    <w:name w:val="heading 9"/>
    <w:basedOn w:val="1"/>
    <w:next w:val="1"/>
    <w:link w:val="85"/>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75"/>
    <w:qFormat/>
    <w:uiPriority w:val="0"/>
    <w:pPr>
      <w:adjustRightInd w:val="0"/>
      <w:spacing w:line="312" w:lineRule="atLeast"/>
      <w:ind w:firstLine="420"/>
      <w:textAlignment w:val="baseline"/>
    </w:pPr>
    <w:rPr>
      <w:kern w:val="0"/>
      <w:szCs w:val="20"/>
    </w:rPr>
  </w:style>
  <w:style w:type="paragraph" w:styleId="3">
    <w:name w:val="macro"/>
    <w:link w:val="7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3">
    <w:name w:val="toc 7"/>
    <w:basedOn w:val="1"/>
    <w:next w:val="1"/>
    <w:qFormat/>
    <w:uiPriority w:val="39"/>
    <w:pPr>
      <w:autoSpaceDE w:val="0"/>
      <w:autoSpaceDN w:val="0"/>
      <w:adjustRightInd w:val="0"/>
      <w:ind w:left="2520" w:leftChars="1200"/>
      <w:jc w:val="left"/>
    </w:pPr>
    <w:rPr>
      <w:kern w:val="0"/>
      <w:sz w:val="20"/>
      <w:szCs w:val="20"/>
    </w:rPr>
  </w:style>
  <w:style w:type="paragraph" w:styleId="14">
    <w:name w:val="Note Heading"/>
    <w:basedOn w:val="1"/>
    <w:next w:val="1"/>
    <w:link w:val="86"/>
    <w:qFormat/>
    <w:uiPriority w:val="0"/>
    <w:pPr>
      <w:jc w:val="left"/>
    </w:pPr>
    <w:rPr>
      <w:rFonts w:eastAsia="黑体"/>
      <w:sz w:val="28"/>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link w:val="87"/>
    <w:qFormat/>
    <w:uiPriority w:val="0"/>
    <w:pPr>
      <w:autoSpaceDE w:val="0"/>
      <w:autoSpaceDN w:val="0"/>
      <w:adjustRightInd w:val="0"/>
      <w:jc w:val="left"/>
    </w:pPr>
    <w:rPr>
      <w:rFonts w:ascii="Arial" w:hAnsi="Arial" w:eastAsia="黑体"/>
      <w:kern w:val="0"/>
      <w:sz w:val="20"/>
      <w:szCs w:val="20"/>
    </w:rPr>
  </w:style>
  <w:style w:type="paragraph" w:styleId="17">
    <w:name w:val="List Bullet"/>
    <w:basedOn w:val="1"/>
    <w:qFormat/>
    <w:uiPriority w:val="0"/>
    <w:pPr>
      <w:numPr>
        <w:ilvl w:val="0"/>
        <w:numId w:val="1"/>
      </w:numPr>
      <w:tabs>
        <w:tab w:val="left" w:pos="360"/>
        <w:tab w:val="clear" w:pos="1080"/>
      </w:tabs>
    </w:pPr>
    <w:rPr>
      <w:rFonts w:ascii="Calibri" w:hAnsi="Calibri"/>
      <w:szCs w:val="22"/>
    </w:rPr>
  </w:style>
  <w:style w:type="paragraph" w:styleId="18">
    <w:name w:val="Document Map"/>
    <w:basedOn w:val="1"/>
    <w:link w:val="88"/>
    <w:qFormat/>
    <w:uiPriority w:val="0"/>
    <w:pPr>
      <w:shd w:val="clear" w:color="auto" w:fill="000080"/>
    </w:pPr>
  </w:style>
  <w:style w:type="paragraph" w:styleId="19">
    <w:name w:val="annotation text"/>
    <w:basedOn w:val="1"/>
    <w:link w:val="89"/>
    <w:qFormat/>
    <w:uiPriority w:val="0"/>
    <w:pPr>
      <w:jc w:val="left"/>
    </w:pPr>
  </w:style>
  <w:style w:type="paragraph" w:styleId="20">
    <w:name w:val="Salutation"/>
    <w:basedOn w:val="1"/>
    <w:next w:val="1"/>
    <w:link w:val="90"/>
    <w:qFormat/>
    <w:uiPriority w:val="0"/>
    <w:pPr>
      <w:tabs>
        <w:tab w:val="left" w:pos="840"/>
      </w:tabs>
      <w:autoSpaceDE w:val="0"/>
      <w:autoSpaceDN w:val="0"/>
      <w:adjustRightInd w:val="0"/>
      <w:jc w:val="left"/>
    </w:pPr>
    <w:rPr>
      <w:kern w:val="0"/>
      <w:sz w:val="20"/>
      <w:szCs w:val="20"/>
    </w:rPr>
  </w:style>
  <w:style w:type="paragraph" w:styleId="21">
    <w:name w:val="Body Text 3"/>
    <w:basedOn w:val="1"/>
    <w:link w:val="91"/>
    <w:qFormat/>
    <w:uiPriority w:val="0"/>
    <w:pPr>
      <w:autoSpaceDE w:val="0"/>
      <w:autoSpaceDN w:val="0"/>
      <w:adjustRightInd w:val="0"/>
      <w:jc w:val="center"/>
    </w:pPr>
    <w:rPr>
      <w:kern w:val="0"/>
      <w:sz w:val="20"/>
      <w:szCs w:val="20"/>
    </w:rPr>
  </w:style>
  <w:style w:type="paragraph" w:styleId="22">
    <w:name w:val="Body Text"/>
    <w:basedOn w:val="1"/>
    <w:next w:val="23"/>
    <w:link w:val="92"/>
    <w:qFormat/>
    <w:uiPriority w:val="0"/>
    <w:pPr>
      <w:spacing w:after="120"/>
    </w:pPr>
    <w:rPr>
      <w:rFonts w:ascii="Tahoma" w:hAnsi="Tahoma"/>
    </w:rPr>
  </w:style>
  <w:style w:type="paragraph" w:styleId="23">
    <w:name w:val="Body Text First Indent"/>
    <w:basedOn w:val="22"/>
    <w:next w:val="24"/>
    <w:link w:val="93"/>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4">
    <w:name w:val="toc 6"/>
    <w:basedOn w:val="1"/>
    <w:next w:val="1"/>
    <w:qFormat/>
    <w:uiPriority w:val="39"/>
    <w:pPr>
      <w:autoSpaceDE w:val="0"/>
      <w:autoSpaceDN w:val="0"/>
      <w:adjustRightInd w:val="0"/>
      <w:ind w:left="2100" w:leftChars="1000"/>
      <w:jc w:val="left"/>
    </w:pPr>
    <w:rPr>
      <w:kern w:val="0"/>
      <w:sz w:val="20"/>
      <w:szCs w:val="20"/>
    </w:rPr>
  </w:style>
  <w:style w:type="paragraph" w:styleId="25">
    <w:name w:val="Body Text Indent"/>
    <w:basedOn w:val="1"/>
    <w:link w:val="94"/>
    <w:qFormat/>
    <w:uiPriority w:val="0"/>
    <w:pPr>
      <w:adjustRightInd w:val="0"/>
      <w:spacing w:line="360" w:lineRule="auto"/>
      <w:ind w:firstLine="490"/>
      <w:jc w:val="left"/>
    </w:pPr>
    <w:rPr>
      <w:rFonts w:ascii="宋体" w:hAnsi="宋体"/>
      <w:sz w:val="24"/>
      <w:szCs w:val="20"/>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99"/>
    <w:pPr>
      <w:spacing w:after="120"/>
      <w:ind w:left="1440" w:leftChars="700" w:right="1440" w:rightChars="700"/>
    </w:pPr>
    <w:rPr>
      <w:szCs w:val="22"/>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39"/>
    <w:pPr>
      <w:autoSpaceDE w:val="0"/>
      <w:autoSpaceDN w:val="0"/>
      <w:adjustRightInd w:val="0"/>
      <w:ind w:left="1680" w:leftChars="800"/>
      <w:jc w:val="left"/>
    </w:pPr>
    <w:rPr>
      <w:kern w:val="0"/>
      <w:sz w:val="20"/>
      <w:szCs w:val="20"/>
    </w:rPr>
  </w:style>
  <w:style w:type="paragraph" w:styleId="30">
    <w:name w:val="toc 3"/>
    <w:basedOn w:val="1"/>
    <w:next w:val="1"/>
    <w:qFormat/>
    <w:uiPriority w:val="39"/>
    <w:pPr>
      <w:ind w:left="840" w:leftChars="400"/>
    </w:pPr>
  </w:style>
  <w:style w:type="paragraph" w:styleId="31">
    <w:name w:val="Plain Text"/>
    <w:basedOn w:val="1"/>
    <w:link w:val="95"/>
    <w:qFormat/>
    <w:uiPriority w:val="0"/>
    <w:rPr>
      <w:rFonts w:ascii="宋体" w:hAnsi="Courier New"/>
      <w:szCs w:val="20"/>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39"/>
    <w:pPr>
      <w:autoSpaceDE w:val="0"/>
      <w:autoSpaceDN w:val="0"/>
      <w:adjustRightInd w:val="0"/>
      <w:ind w:left="2940" w:leftChars="1400"/>
      <w:jc w:val="left"/>
    </w:pPr>
    <w:rPr>
      <w:kern w:val="0"/>
      <w:sz w:val="20"/>
      <w:szCs w:val="20"/>
    </w:rPr>
  </w:style>
  <w:style w:type="paragraph" w:styleId="34">
    <w:name w:val="Date"/>
    <w:basedOn w:val="1"/>
    <w:next w:val="1"/>
    <w:link w:val="96"/>
    <w:qFormat/>
    <w:uiPriority w:val="99"/>
    <w:pPr>
      <w:spacing w:line="440" w:lineRule="exact"/>
    </w:pPr>
    <w:rPr>
      <w:spacing w:val="12"/>
      <w:sz w:val="24"/>
      <w:szCs w:val="20"/>
    </w:rPr>
  </w:style>
  <w:style w:type="paragraph" w:styleId="35">
    <w:name w:val="Body Text Indent 2"/>
    <w:basedOn w:val="1"/>
    <w:link w:val="97"/>
    <w:qFormat/>
    <w:uiPriority w:val="0"/>
    <w:pPr>
      <w:spacing w:after="120" w:line="480" w:lineRule="auto"/>
      <w:ind w:left="420" w:leftChars="200"/>
    </w:pPr>
  </w:style>
  <w:style w:type="paragraph" w:styleId="36">
    <w:name w:val="Balloon Text"/>
    <w:basedOn w:val="1"/>
    <w:link w:val="98"/>
    <w:qFormat/>
    <w:uiPriority w:val="99"/>
    <w:rPr>
      <w:sz w:val="18"/>
      <w:szCs w:val="18"/>
    </w:rPr>
  </w:style>
  <w:style w:type="paragraph" w:styleId="37">
    <w:name w:val="footer"/>
    <w:basedOn w:val="1"/>
    <w:link w:val="99"/>
    <w:qFormat/>
    <w:uiPriority w:val="0"/>
    <w:pPr>
      <w:tabs>
        <w:tab w:val="center" w:pos="4153"/>
        <w:tab w:val="right" w:pos="8306"/>
      </w:tabs>
      <w:snapToGrid w:val="0"/>
      <w:jc w:val="left"/>
    </w:pPr>
    <w:rPr>
      <w:sz w:val="18"/>
      <w:szCs w:val="18"/>
    </w:rPr>
  </w:style>
  <w:style w:type="paragraph" w:styleId="38">
    <w:name w:val="header"/>
    <w:basedOn w:val="1"/>
    <w:link w:val="100"/>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01"/>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0">
    <w:name w:val="toc 1"/>
    <w:basedOn w:val="1"/>
    <w:next w:val="1"/>
    <w:qFormat/>
    <w:uiPriority w:val="39"/>
    <w:pPr>
      <w:spacing w:line="360" w:lineRule="exact"/>
      <w:ind w:left="718" w:hanging="718" w:hangingChars="342"/>
    </w:pPr>
    <w:rPr>
      <w:rFonts w:ascii="Arial" w:hAnsi="Arial" w:eastAsia="楷体_GB2312" w:cs="Arial"/>
    </w:rPr>
  </w:style>
  <w:style w:type="paragraph" w:styleId="41">
    <w:name w:val="toc 4"/>
    <w:basedOn w:val="1"/>
    <w:next w:val="1"/>
    <w:qFormat/>
    <w:uiPriority w:val="39"/>
    <w:pPr>
      <w:autoSpaceDE w:val="0"/>
      <w:autoSpaceDN w:val="0"/>
      <w:adjustRightInd w:val="0"/>
      <w:ind w:left="1260" w:leftChars="600"/>
      <w:jc w:val="left"/>
    </w:pPr>
    <w:rPr>
      <w:kern w:val="0"/>
      <w:sz w:val="20"/>
      <w:szCs w:val="20"/>
    </w:rPr>
  </w:style>
  <w:style w:type="paragraph" w:styleId="42">
    <w:name w:val="Subtitle"/>
    <w:basedOn w:val="1"/>
    <w:next w:val="1"/>
    <w:link w:val="102"/>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sz w:val="28"/>
    </w:rPr>
  </w:style>
  <w:style w:type="paragraph" w:styleId="45">
    <w:name w:val="footnote text"/>
    <w:basedOn w:val="1"/>
    <w:link w:val="103"/>
    <w:unhideWhenUsed/>
    <w:qFormat/>
    <w:uiPriority w:val="99"/>
    <w:pPr>
      <w:snapToGrid w:val="0"/>
      <w:spacing w:line="360" w:lineRule="auto"/>
      <w:jc w:val="left"/>
    </w:pPr>
    <w:rPr>
      <w:sz w:val="18"/>
      <w:szCs w:val="18"/>
    </w:rPr>
  </w:style>
  <w:style w:type="paragraph" w:styleId="46">
    <w:name w:val="Body Text Indent 3"/>
    <w:basedOn w:val="1"/>
    <w:link w:val="104"/>
    <w:qFormat/>
    <w:uiPriority w:val="99"/>
    <w:pPr>
      <w:spacing w:after="120"/>
      <w:ind w:left="420" w:leftChars="200"/>
    </w:pPr>
    <w:rPr>
      <w:sz w:val="16"/>
      <w:szCs w:val="16"/>
    </w:rPr>
  </w:style>
  <w:style w:type="paragraph" w:styleId="47">
    <w:name w:val="toc 2"/>
    <w:basedOn w:val="1"/>
    <w:next w:val="1"/>
    <w:qFormat/>
    <w:uiPriority w:val="39"/>
    <w:pPr>
      <w:ind w:left="420" w:leftChars="200"/>
    </w:pPr>
  </w:style>
  <w:style w:type="paragraph" w:styleId="48">
    <w:name w:val="toc 9"/>
    <w:basedOn w:val="1"/>
    <w:next w:val="1"/>
    <w:qFormat/>
    <w:uiPriority w:val="39"/>
    <w:pPr>
      <w:autoSpaceDE w:val="0"/>
      <w:autoSpaceDN w:val="0"/>
      <w:adjustRightInd w:val="0"/>
      <w:ind w:left="3360" w:leftChars="1600"/>
      <w:jc w:val="left"/>
    </w:pPr>
    <w:rPr>
      <w:kern w:val="0"/>
      <w:sz w:val="20"/>
      <w:szCs w:val="20"/>
    </w:rPr>
  </w:style>
  <w:style w:type="paragraph" w:styleId="49">
    <w:name w:val="Body Text 2"/>
    <w:basedOn w:val="1"/>
    <w:link w:val="105"/>
    <w:qFormat/>
    <w:uiPriority w:val="0"/>
    <w:pPr>
      <w:autoSpaceDE w:val="0"/>
      <w:autoSpaceDN w:val="0"/>
      <w:adjustRightInd w:val="0"/>
      <w:spacing w:after="120" w:line="480" w:lineRule="auto"/>
      <w:jc w:val="left"/>
    </w:pPr>
    <w:rPr>
      <w:kern w:val="0"/>
      <w:sz w:val="20"/>
      <w:szCs w:val="20"/>
    </w:rPr>
  </w:style>
  <w:style w:type="paragraph" w:styleId="50">
    <w:name w:val="HTML Preformatted"/>
    <w:basedOn w:val="1"/>
    <w:link w:val="106"/>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1">
    <w:name w:val="Normal (Web)"/>
    <w:basedOn w:val="1"/>
    <w:link w:val="107"/>
    <w:qFormat/>
    <w:uiPriority w:val="99"/>
    <w:pPr>
      <w:widowControl/>
      <w:spacing w:before="100" w:beforeAutospacing="1" w:after="100" w:afterAutospacing="1"/>
      <w:jc w:val="left"/>
    </w:pPr>
    <w:rPr>
      <w:rFonts w:ascii="宋体" w:hAnsi="宋体"/>
      <w:color w:val="000000"/>
      <w:kern w:val="0"/>
      <w:sz w:val="24"/>
    </w:rPr>
  </w:style>
  <w:style w:type="paragraph" w:styleId="52">
    <w:name w:val="index 1"/>
    <w:basedOn w:val="1"/>
    <w:next w:val="1"/>
    <w:qFormat/>
    <w:uiPriority w:val="0"/>
    <w:pPr>
      <w:spacing w:line="220" w:lineRule="exact"/>
      <w:jc w:val="center"/>
    </w:pPr>
    <w:rPr>
      <w:rFonts w:ascii="仿宋_GB2312" w:eastAsia="仿宋_GB2312"/>
      <w:szCs w:val="21"/>
    </w:rPr>
  </w:style>
  <w:style w:type="paragraph" w:styleId="53">
    <w:name w:val="Title"/>
    <w:basedOn w:val="1"/>
    <w:link w:val="108"/>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4">
    <w:name w:val="annotation subject"/>
    <w:basedOn w:val="19"/>
    <w:next w:val="19"/>
    <w:link w:val="109"/>
    <w:qFormat/>
    <w:uiPriority w:val="0"/>
    <w:rPr>
      <w:b/>
      <w:bCs/>
    </w:rPr>
  </w:style>
  <w:style w:type="paragraph" w:styleId="55">
    <w:name w:val="Body Text First Indent 2"/>
    <w:basedOn w:val="25"/>
    <w:link w:val="110"/>
    <w:unhideWhenUsed/>
    <w:qFormat/>
    <w:uiPriority w:val="0"/>
    <w:pPr>
      <w:adjustRightInd/>
      <w:spacing w:after="120"/>
      <w:ind w:left="420" w:leftChars="200" w:firstLine="420" w:firstLineChars="200"/>
      <w:jc w:val="both"/>
    </w:pPr>
    <w:rPr>
      <w:szCs w:val="24"/>
    </w:rPr>
  </w:style>
  <w:style w:type="table" w:styleId="57">
    <w:name w:val="Table Grid"/>
    <w:basedOn w:val="5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22"/>
    <w:rPr>
      <w:rFonts w:ascii="仿宋_GB2312" w:eastAsia="仿宋_GB2312"/>
      <w:bCs/>
      <w:sz w:val="32"/>
      <w:szCs w:val="32"/>
    </w:rPr>
  </w:style>
  <w:style w:type="character" w:styleId="60">
    <w:name w:val="page number"/>
    <w:qFormat/>
    <w:uiPriority w:val="0"/>
    <w:rPr>
      <w:szCs w:val="20"/>
    </w:rPr>
  </w:style>
  <w:style w:type="character" w:styleId="61">
    <w:name w:val="FollowedHyperlink"/>
    <w:qFormat/>
    <w:uiPriority w:val="99"/>
    <w:rPr>
      <w:rFonts w:ascii="仿宋_GB2312" w:eastAsia="仿宋_GB2312"/>
      <w:b/>
      <w:color w:val="800080"/>
      <w:sz w:val="32"/>
      <w:szCs w:val="32"/>
      <w:u w:val="single"/>
    </w:rPr>
  </w:style>
  <w:style w:type="character" w:styleId="62">
    <w:name w:val="Emphasis"/>
    <w:qFormat/>
    <w:uiPriority w:val="20"/>
    <w:rPr>
      <w:i/>
      <w:iCs/>
    </w:rPr>
  </w:style>
  <w:style w:type="character" w:styleId="63">
    <w:name w:val="line number"/>
    <w:qFormat/>
    <w:uiPriority w:val="0"/>
    <w:rPr>
      <w:rFonts w:ascii="仿宋_GB2312" w:hAnsi="Tahoma" w:eastAsia="仿宋_GB2312"/>
      <w:b/>
      <w:sz w:val="32"/>
      <w:szCs w:val="32"/>
    </w:rPr>
  </w:style>
  <w:style w:type="character" w:styleId="64">
    <w:name w:val="HTML Definition"/>
    <w:unhideWhenUsed/>
    <w:qFormat/>
    <w:uiPriority w:val="99"/>
    <w:rPr>
      <w:szCs w:val="20"/>
    </w:rPr>
  </w:style>
  <w:style w:type="character" w:styleId="65">
    <w:name w:val="HTML Typewriter"/>
    <w:qFormat/>
    <w:uiPriority w:val="0"/>
    <w:rPr>
      <w:rFonts w:ascii="宋体" w:hAnsi="宋体" w:eastAsia="宋体" w:cs="宋体"/>
      <w:sz w:val="24"/>
      <w:szCs w:val="24"/>
    </w:rPr>
  </w:style>
  <w:style w:type="character" w:styleId="66">
    <w:name w:val="HTML Acronym"/>
    <w:unhideWhenUsed/>
    <w:qFormat/>
    <w:uiPriority w:val="99"/>
    <w:rPr>
      <w:szCs w:val="20"/>
    </w:rPr>
  </w:style>
  <w:style w:type="character" w:styleId="67">
    <w:name w:val="HTML Variable"/>
    <w:unhideWhenUsed/>
    <w:qFormat/>
    <w:uiPriority w:val="99"/>
    <w:rPr>
      <w:szCs w:val="20"/>
    </w:rPr>
  </w:style>
  <w:style w:type="character" w:styleId="68">
    <w:name w:val="Hyperlink"/>
    <w:qFormat/>
    <w:uiPriority w:val="99"/>
    <w:rPr>
      <w:rFonts w:ascii="仿宋_GB2312" w:eastAsia="仿宋_GB2312"/>
      <w:color w:val="000000"/>
      <w:sz w:val="20"/>
      <w:szCs w:val="20"/>
      <w:u w:val="none"/>
    </w:rPr>
  </w:style>
  <w:style w:type="character" w:styleId="69">
    <w:name w:val="HTML Code"/>
    <w:unhideWhenUsed/>
    <w:qFormat/>
    <w:uiPriority w:val="99"/>
    <w:rPr>
      <w:rFonts w:hint="eastAsia" w:ascii="微软雅黑" w:hAnsi="微软雅黑" w:eastAsia="微软雅黑" w:cs="微软雅黑"/>
      <w:sz w:val="20"/>
      <w:szCs w:val="20"/>
    </w:rPr>
  </w:style>
  <w:style w:type="character" w:styleId="70">
    <w:name w:val="annotation reference"/>
    <w:qFormat/>
    <w:uiPriority w:val="0"/>
    <w:rPr>
      <w:sz w:val="21"/>
      <w:szCs w:val="21"/>
    </w:rPr>
  </w:style>
  <w:style w:type="character" w:styleId="71">
    <w:name w:val="HTML Cite"/>
    <w:qFormat/>
    <w:uiPriority w:val="0"/>
    <w:rPr>
      <w:color w:val="008000"/>
    </w:rPr>
  </w:style>
  <w:style w:type="character" w:styleId="72">
    <w:name w:val="footnote reference"/>
    <w:qFormat/>
    <w:uiPriority w:val="99"/>
    <w:rPr>
      <w:vertAlign w:val="superscript"/>
    </w:rPr>
  </w:style>
  <w:style w:type="character" w:styleId="73">
    <w:name w:val="HTML Keyboard"/>
    <w:unhideWhenUsed/>
    <w:qFormat/>
    <w:uiPriority w:val="99"/>
    <w:rPr>
      <w:rFonts w:hint="eastAsia" w:ascii="微软雅黑" w:hAnsi="微软雅黑" w:eastAsia="微软雅黑" w:cs="微软雅黑"/>
      <w:sz w:val="20"/>
      <w:szCs w:val="20"/>
    </w:rPr>
  </w:style>
  <w:style w:type="character" w:styleId="74">
    <w:name w:val="HTML Sample"/>
    <w:unhideWhenUsed/>
    <w:qFormat/>
    <w:uiPriority w:val="0"/>
    <w:rPr>
      <w:rFonts w:hint="eastAsia" w:ascii="微软雅黑" w:hAnsi="微软雅黑" w:eastAsia="微软雅黑" w:cs="微软雅黑"/>
      <w:szCs w:val="20"/>
    </w:rPr>
  </w:style>
  <w:style w:type="character" w:customStyle="1" w:styleId="75">
    <w:name w:val="正文缩进 字符1"/>
    <w:link w:val="2"/>
    <w:qFormat/>
    <w:uiPriority w:val="0"/>
    <w:rPr>
      <w:rFonts w:eastAsia="宋体"/>
      <w:sz w:val="21"/>
      <w:lang w:val="en-US" w:eastAsia="zh-CN" w:bidi="ar-SA"/>
    </w:rPr>
  </w:style>
  <w:style w:type="character" w:customStyle="1" w:styleId="76">
    <w:name w:val="宏文本 字符"/>
    <w:link w:val="3"/>
    <w:qFormat/>
    <w:uiPriority w:val="0"/>
    <w:rPr>
      <w:rFonts w:ascii="Courier New" w:hAnsi="Courier New"/>
      <w:kern w:val="2"/>
      <w:sz w:val="24"/>
      <w:szCs w:val="24"/>
      <w:lang w:val="en-US" w:eastAsia="zh-CN" w:bidi="ar-SA"/>
    </w:rPr>
  </w:style>
  <w:style w:type="character" w:customStyle="1" w:styleId="77">
    <w:name w:val="标题 1 字符"/>
    <w:link w:val="4"/>
    <w:qFormat/>
    <w:uiPriority w:val="0"/>
    <w:rPr>
      <w:rFonts w:ascii="楷体_GB2312" w:hAnsi="Tahoma" w:eastAsia="楷体_GB2312"/>
      <w:b/>
      <w:bCs/>
      <w:kern w:val="2"/>
      <w:sz w:val="21"/>
      <w:szCs w:val="24"/>
    </w:rPr>
  </w:style>
  <w:style w:type="character" w:customStyle="1" w:styleId="78">
    <w:name w:val="标题 2 字符"/>
    <w:link w:val="5"/>
    <w:qFormat/>
    <w:uiPriority w:val="0"/>
    <w:rPr>
      <w:rFonts w:ascii="Arial" w:hAnsi="Arial" w:eastAsia="黑体"/>
      <w:b/>
      <w:bCs/>
      <w:kern w:val="2"/>
      <w:sz w:val="32"/>
      <w:szCs w:val="32"/>
    </w:rPr>
  </w:style>
  <w:style w:type="character" w:customStyle="1" w:styleId="79">
    <w:name w:val="标题 3 字符"/>
    <w:link w:val="6"/>
    <w:qFormat/>
    <w:uiPriority w:val="0"/>
    <w:rPr>
      <w:b/>
      <w:bCs/>
      <w:kern w:val="2"/>
      <w:sz w:val="32"/>
      <w:szCs w:val="32"/>
    </w:rPr>
  </w:style>
  <w:style w:type="character" w:customStyle="1" w:styleId="80">
    <w:name w:val="标题 4 字符"/>
    <w:link w:val="7"/>
    <w:qFormat/>
    <w:uiPriority w:val="0"/>
    <w:rPr>
      <w:rFonts w:ascii="Cambria" w:hAnsi="Cambria"/>
      <w:b/>
      <w:bCs/>
      <w:kern w:val="2"/>
      <w:sz w:val="28"/>
      <w:szCs w:val="28"/>
    </w:rPr>
  </w:style>
  <w:style w:type="character" w:customStyle="1" w:styleId="81">
    <w:name w:val="标题 5 字符"/>
    <w:link w:val="8"/>
    <w:qFormat/>
    <w:uiPriority w:val="0"/>
    <w:rPr>
      <w:rFonts w:ascii="仿宋_GB2312" w:hAnsi="Tahoma"/>
      <w:b/>
      <w:bCs/>
      <w:kern w:val="2"/>
      <w:sz w:val="28"/>
      <w:szCs w:val="28"/>
    </w:rPr>
  </w:style>
  <w:style w:type="character" w:customStyle="1" w:styleId="82">
    <w:name w:val="标题 6 字符1"/>
    <w:link w:val="9"/>
    <w:qFormat/>
    <w:uiPriority w:val="0"/>
    <w:rPr>
      <w:rFonts w:ascii="Arial" w:hAnsi="Arial" w:eastAsia="黑体"/>
      <w:b/>
      <w:bCs/>
      <w:kern w:val="2"/>
      <w:sz w:val="24"/>
      <w:szCs w:val="24"/>
    </w:rPr>
  </w:style>
  <w:style w:type="character" w:customStyle="1" w:styleId="83">
    <w:name w:val="标题 7 字符"/>
    <w:link w:val="10"/>
    <w:qFormat/>
    <w:uiPriority w:val="0"/>
    <w:rPr>
      <w:rFonts w:ascii="Arial" w:hAnsi="Arial" w:eastAsia="黑体"/>
      <w:b/>
      <w:sz w:val="21"/>
      <w:szCs w:val="21"/>
    </w:rPr>
  </w:style>
  <w:style w:type="character" w:customStyle="1" w:styleId="84">
    <w:name w:val="标题 8 字符"/>
    <w:link w:val="11"/>
    <w:qFormat/>
    <w:uiPriority w:val="0"/>
    <w:rPr>
      <w:rFonts w:ascii="Arial" w:hAnsi="Arial" w:eastAsia="黑体"/>
      <w:b/>
      <w:sz w:val="24"/>
      <w:szCs w:val="32"/>
    </w:rPr>
  </w:style>
  <w:style w:type="character" w:customStyle="1" w:styleId="85">
    <w:name w:val="标题 9 字符"/>
    <w:link w:val="12"/>
    <w:qFormat/>
    <w:uiPriority w:val="0"/>
    <w:rPr>
      <w:rFonts w:ascii="Arial" w:hAnsi="Arial" w:eastAsia="黑体"/>
      <w:b/>
      <w:sz w:val="21"/>
      <w:szCs w:val="32"/>
    </w:rPr>
  </w:style>
  <w:style w:type="character" w:customStyle="1" w:styleId="86">
    <w:name w:val="注释标题 字符"/>
    <w:link w:val="14"/>
    <w:qFormat/>
    <w:uiPriority w:val="0"/>
    <w:rPr>
      <w:rFonts w:eastAsia="黑体"/>
      <w:kern w:val="2"/>
      <w:sz w:val="28"/>
    </w:rPr>
  </w:style>
  <w:style w:type="character" w:customStyle="1" w:styleId="87">
    <w:name w:val="题注 字符"/>
    <w:link w:val="16"/>
    <w:qFormat/>
    <w:uiPriority w:val="0"/>
    <w:rPr>
      <w:rFonts w:ascii="Arial" w:hAnsi="Arial" w:eastAsia="黑体" w:cs="Arial"/>
    </w:rPr>
  </w:style>
  <w:style w:type="character" w:customStyle="1" w:styleId="88">
    <w:name w:val="文档结构图 字符"/>
    <w:link w:val="18"/>
    <w:qFormat/>
    <w:uiPriority w:val="0"/>
    <w:rPr>
      <w:kern w:val="2"/>
      <w:sz w:val="21"/>
      <w:szCs w:val="24"/>
      <w:shd w:val="clear" w:color="auto" w:fill="000080"/>
    </w:rPr>
  </w:style>
  <w:style w:type="character" w:customStyle="1" w:styleId="89">
    <w:name w:val="批注文字 字符1"/>
    <w:link w:val="19"/>
    <w:qFormat/>
    <w:uiPriority w:val="0"/>
    <w:rPr>
      <w:kern w:val="2"/>
      <w:sz w:val="21"/>
      <w:szCs w:val="24"/>
    </w:rPr>
  </w:style>
  <w:style w:type="character" w:customStyle="1" w:styleId="90">
    <w:name w:val="称呼 字符"/>
    <w:link w:val="20"/>
    <w:qFormat/>
    <w:uiPriority w:val="0"/>
    <w:rPr>
      <w:szCs w:val="20"/>
    </w:rPr>
  </w:style>
  <w:style w:type="character" w:customStyle="1" w:styleId="91">
    <w:name w:val="正文文本 3 字符"/>
    <w:link w:val="21"/>
    <w:qFormat/>
    <w:uiPriority w:val="0"/>
    <w:rPr>
      <w:szCs w:val="20"/>
    </w:rPr>
  </w:style>
  <w:style w:type="character" w:customStyle="1" w:styleId="92">
    <w:name w:val="正文文本 字符"/>
    <w:link w:val="22"/>
    <w:qFormat/>
    <w:uiPriority w:val="0"/>
    <w:rPr>
      <w:rFonts w:ascii="Tahoma" w:hAnsi="Tahoma"/>
      <w:kern w:val="2"/>
      <w:sz w:val="21"/>
      <w:szCs w:val="24"/>
    </w:rPr>
  </w:style>
  <w:style w:type="character" w:customStyle="1" w:styleId="93">
    <w:name w:val="正文文本首行缩进 字符"/>
    <w:link w:val="23"/>
    <w:qFormat/>
    <w:uiPriority w:val="0"/>
    <w:rPr>
      <w:rFonts w:ascii="仿宋_GB2312"/>
      <w:b/>
      <w:sz w:val="32"/>
      <w:szCs w:val="32"/>
    </w:rPr>
  </w:style>
  <w:style w:type="character" w:customStyle="1" w:styleId="94">
    <w:name w:val="正文文本缩进 字符"/>
    <w:link w:val="25"/>
    <w:qFormat/>
    <w:uiPriority w:val="0"/>
    <w:rPr>
      <w:rFonts w:ascii="宋体" w:hAnsi="宋体"/>
      <w:kern w:val="2"/>
      <w:sz w:val="24"/>
    </w:rPr>
  </w:style>
  <w:style w:type="character" w:customStyle="1" w:styleId="95">
    <w:name w:val="纯文本 字符"/>
    <w:link w:val="31"/>
    <w:qFormat/>
    <w:uiPriority w:val="0"/>
    <w:rPr>
      <w:rFonts w:ascii="宋体" w:hAnsi="Courier New" w:eastAsia="宋体"/>
      <w:kern w:val="2"/>
      <w:sz w:val="21"/>
      <w:lang w:val="en-US" w:eastAsia="zh-CN" w:bidi="ar-SA"/>
    </w:rPr>
  </w:style>
  <w:style w:type="character" w:customStyle="1" w:styleId="96">
    <w:name w:val="日期 字符"/>
    <w:link w:val="34"/>
    <w:qFormat/>
    <w:uiPriority w:val="99"/>
    <w:rPr>
      <w:spacing w:val="12"/>
      <w:kern w:val="2"/>
      <w:sz w:val="24"/>
    </w:rPr>
  </w:style>
  <w:style w:type="character" w:customStyle="1" w:styleId="97">
    <w:name w:val="正文文本缩进 2 字符"/>
    <w:link w:val="35"/>
    <w:qFormat/>
    <w:uiPriority w:val="0"/>
    <w:rPr>
      <w:kern w:val="2"/>
      <w:sz w:val="21"/>
      <w:szCs w:val="24"/>
    </w:rPr>
  </w:style>
  <w:style w:type="character" w:customStyle="1" w:styleId="98">
    <w:name w:val="批注框文本 字符"/>
    <w:link w:val="36"/>
    <w:qFormat/>
    <w:uiPriority w:val="99"/>
    <w:rPr>
      <w:kern w:val="2"/>
      <w:sz w:val="18"/>
      <w:szCs w:val="18"/>
    </w:rPr>
  </w:style>
  <w:style w:type="character" w:customStyle="1" w:styleId="99">
    <w:name w:val="页脚 字符"/>
    <w:link w:val="37"/>
    <w:qFormat/>
    <w:uiPriority w:val="0"/>
    <w:rPr>
      <w:kern w:val="2"/>
      <w:sz w:val="18"/>
      <w:szCs w:val="18"/>
    </w:rPr>
  </w:style>
  <w:style w:type="character" w:customStyle="1" w:styleId="100">
    <w:name w:val="页眉 字符"/>
    <w:link w:val="38"/>
    <w:qFormat/>
    <w:uiPriority w:val="0"/>
    <w:rPr>
      <w:kern w:val="2"/>
      <w:sz w:val="18"/>
      <w:szCs w:val="18"/>
    </w:rPr>
  </w:style>
  <w:style w:type="character" w:customStyle="1" w:styleId="101">
    <w:name w:val="签名 字符"/>
    <w:link w:val="39"/>
    <w:qFormat/>
    <w:uiPriority w:val="0"/>
    <w:rPr>
      <w:rFonts w:ascii="Tahoma" w:hAnsi="Tahoma" w:eastAsia="仿宋_GB2312"/>
      <w:sz w:val="24"/>
      <w:szCs w:val="20"/>
    </w:rPr>
  </w:style>
  <w:style w:type="character" w:customStyle="1" w:styleId="102">
    <w:name w:val="副标题 字符"/>
    <w:link w:val="42"/>
    <w:qFormat/>
    <w:uiPriority w:val="0"/>
    <w:rPr>
      <w:rFonts w:ascii="Cambria" w:hAnsi="Cambria"/>
      <w:b/>
      <w:bCs/>
      <w:kern w:val="28"/>
      <w:sz w:val="32"/>
      <w:szCs w:val="32"/>
    </w:rPr>
  </w:style>
  <w:style w:type="character" w:customStyle="1" w:styleId="103">
    <w:name w:val="脚注文本 字符"/>
    <w:link w:val="45"/>
    <w:qFormat/>
    <w:uiPriority w:val="99"/>
    <w:rPr>
      <w:kern w:val="2"/>
      <w:sz w:val="18"/>
      <w:szCs w:val="18"/>
    </w:rPr>
  </w:style>
  <w:style w:type="character" w:customStyle="1" w:styleId="104">
    <w:name w:val="正文文本缩进 3 字符"/>
    <w:link w:val="46"/>
    <w:qFormat/>
    <w:uiPriority w:val="99"/>
    <w:rPr>
      <w:kern w:val="2"/>
      <w:sz w:val="16"/>
      <w:szCs w:val="16"/>
    </w:rPr>
  </w:style>
  <w:style w:type="character" w:customStyle="1" w:styleId="105">
    <w:name w:val="正文文本 2 字符"/>
    <w:link w:val="49"/>
    <w:qFormat/>
    <w:uiPriority w:val="0"/>
    <w:rPr>
      <w:szCs w:val="20"/>
    </w:rPr>
  </w:style>
  <w:style w:type="character" w:customStyle="1" w:styleId="106">
    <w:name w:val="HTML 预设格式 字符"/>
    <w:link w:val="50"/>
    <w:qFormat/>
    <w:uiPriority w:val="0"/>
    <w:rPr>
      <w:rFonts w:ascii="微软雅黑" w:hAnsi="微软雅黑" w:eastAsia="微软雅黑"/>
      <w:sz w:val="24"/>
      <w:szCs w:val="24"/>
    </w:rPr>
  </w:style>
  <w:style w:type="character" w:customStyle="1" w:styleId="107">
    <w:name w:val="普通(网站) 字符"/>
    <w:link w:val="51"/>
    <w:qFormat/>
    <w:uiPriority w:val="99"/>
    <w:rPr>
      <w:rFonts w:ascii="宋体" w:hAnsi="宋体"/>
      <w:color w:val="000000"/>
      <w:sz w:val="24"/>
      <w:szCs w:val="24"/>
    </w:rPr>
  </w:style>
  <w:style w:type="character" w:customStyle="1" w:styleId="108">
    <w:name w:val="标题 字符"/>
    <w:link w:val="53"/>
    <w:qFormat/>
    <w:uiPriority w:val="0"/>
    <w:rPr>
      <w:rFonts w:ascii="Cambria" w:hAnsi="Cambria"/>
      <w:b/>
      <w:bCs/>
      <w:sz w:val="32"/>
      <w:szCs w:val="32"/>
    </w:rPr>
  </w:style>
  <w:style w:type="character" w:customStyle="1" w:styleId="109">
    <w:name w:val="批注主题 字符"/>
    <w:link w:val="54"/>
    <w:qFormat/>
    <w:uiPriority w:val="0"/>
    <w:rPr>
      <w:b/>
      <w:bCs/>
      <w:kern w:val="2"/>
      <w:sz w:val="21"/>
      <w:szCs w:val="24"/>
    </w:rPr>
  </w:style>
  <w:style w:type="character" w:customStyle="1" w:styleId="110">
    <w:name w:val="正文文本首行缩进 2 字符"/>
    <w:link w:val="55"/>
    <w:qFormat/>
    <w:uiPriority w:val="0"/>
    <w:rPr>
      <w:rFonts w:ascii="宋体" w:hAnsi="宋体"/>
      <w:kern w:val="2"/>
      <w:sz w:val="24"/>
      <w:szCs w:val="24"/>
    </w:rPr>
  </w:style>
  <w:style w:type="character" w:customStyle="1" w:styleId="111">
    <w:name w:val="red1"/>
    <w:qFormat/>
    <w:uiPriority w:val="0"/>
    <w:rPr>
      <w:color w:val="FF0000"/>
      <w:szCs w:val="20"/>
    </w:rPr>
  </w:style>
  <w:style w:type="character" w:customStyle="1" w:styleId="112">
    <w:name w:val="heading 4 Char1"/>
    <w:qFormat/>
    <w:uiPriority w:val="0"/>
    <w:rPr>
      <w:rFonts w:ascii="Cambria" w:hAnsi="Cambria" w:eastAsia="宋体"/>
      <w:b/>
      <w:bCs/>
      <w:kern w:val="2"/>
      <w:sz w:val="28"/>
      <w:szCs w:val="28"/>
      <w:lang w:val="en-US" w:eastAsia="zh-CN" w:bidi="ar-SA"/>
    </w:rPr>
  </w:style>
  <w:style w:type="character" w:customStyle="1" w:styleId="113">
    <w:name w:val="headline-content"/>
    <w:qFormat/>
    <w:uiPriority w:val="0"/>
  </w:style>
  <w:style w:type="character" w:customStyle="1" w:styleId="114">
    <w:name w:val="p91"/>
    <w:qFormat/>
    <w:uiPriority w:val="0"/>
    <w:rPr>
      <w:rFonts w:hint="eastAsia" w:ascii="宋体" w:hAnsi="宋体" w:eastAsia="宋体"/>
      <w:spacing w:val="360"/>
      <w:sz w:val="18"/>
      <w:szCs w:val="18"/>
    </w:rPr>
  </w:style>
  <w:style w:type="character" w:customStyle="1" w:styleId="115">
    <w:name w:val="正文靠右 Char Char"/>
    <w:qFormat/>
    <w:uiPriority w:val="0"/>
    <w:rPr>
      <w:kern w:val="2"/>
      <w:sz w:val="21"/>
      <w:szCs w:val="24"/>
    </w:rPr>
  </w:style>
  <w:style w:type="character" w:customStyle="1" w:styleId="116">
    <w:name w:val="正文文本 Char"/>
    <w:qFormat/>
    <w:uiPriority w:val="99"/>
    <w:rPr>
      <w:rFonts w:ascii="仿宋_GB2312" w:eastAsia="宋体"/>
      <w:b/>
      <w:kern w:val="2"/>
      <w:sz w:val="21"/>
      <w:szCs w:val="24"/>
      <w:lang w:val="en-US" w:eastAsia="zh-CN" w:bidi="ar-SA"/>
    </w:rPr>
  </w:style>
  <w:style w:type="character" w:customStyle="1" w:styleId="117">
    <w:name w:val="批注文字 Char"/>
    <w:qFormat/>
    <w:uiPriority w:val="0"/>
    <w:rPr>
      <w:rFonts w:eastAsia="宋体"/>
      <w:kern w:val="2"/>
      <w:sz w:val="21"/>
      <w:szCs w:val="24"/>
      <w:lang w:val="en-US" w:eastAsia="zh-CN" w:bidi="ar-SA"/>
    </w:rPr>
  </w:style>
  <w:style w:type="character" w:customStyle="1" w:styleId="118">
    <w:name w:val="box-header-con"/>
    <w:qFormat/>
    <w:uiPriority w:val="0"/>
  </w:style>
  <w:style w:type="character" w:customStyle="1" w:styleId="119">
    <w:name w:val="heading 2 Char2"/>
    <w:qFormat/>
    <w:uiPriority w:val="0"/>
    <w:rPr>
      <w:rFonts w:ascii="Cambria" w:hAnsi="Cambria" w:eastAsia="仿宋_GB2312"/>
      <w:b/>
      <w:bCs/>
      <w:kern w:val="2"/>
      <w:sz w:val="32"/>
      <w:szCs w:val="32"/>
    </w:rPr>
  </w:style>
  <w:style w:type="character" w:customStyle="1" w:styleId="120">
    <w:name w:val="正文文本 2 Char2"/>
    <w:semiHidden/>
    <w:qFormat/>
    <w:uiPriority w:val="99"/>
    <w:rPr>
      <w:kern w:val="2"/>
      <w:sz w:val="21"/>
      <w:szCs w:val="24"/>
    </w:rPr>
  </w:style>
  <w:style w:type="character" w:customStyle="1" w:styleId="121">
    <w:name w:val="me04"/>
    <w:qFormat/>
    <w:uiPriority w:val="0"/>
    <w:rPr>
      <w:rFonts w:ascii="仿宋_GB2312" w:hAnsi="Tahoma" w:eastAsia="仿宋_GB2312"/>
      <w:b/>
      <w:sz w:val="32"/>
      <w:szCs w:val="32"/>
    </w:rPr>
  </w:style>
  <w:style w:type="character" w:customStyle="1" w:styleId="122">
    <w:name w:val="hui"/>
    <w:qFormat/>
    <w:uiPriority w:val="0"/>
    <w:rPr>
      <w:rFonts w:ascii="仿宋_GB2312" w:hAnsi="Tahoma" w:eastAsia="仿宋_GB2312"/>
      <w:b/>
      <w:sz w:val="32"/>
      <w:szCs w:val="32"/>
    </w:rPr>
  </w:style>
  <w:style w:type="character" w:customStyle="1" w:styleId="123">
    <w:name w:val="legend"/>
    <w:qFormat/>
    <w:uiPriority w:val="0"/>
    <w:rPr>
      <w:rFonts w:ascii="Arial" w:hAnsi="Arial" w:cs="Arial"/>
      <w:b/>
      <w:color w:val="73B304"/>
      <w:sz w:val="16"/>
      <w:szCs w:val="16"/>
      <w:shd w:val="clear" w:color="auto" w:fill="FFFFFF"/>
    </w:rPr>
  </w:style>
  <w:style w:type="character" w:customStyle="1" w:styleId="124">
    <w:name w:val="标题 1 Char1"/>
    <w:qFormat/>
    <w:uiPriority w:val="0"/>
    <w:rPr>
      <w:rFonts w:ascii="楷体_GB2312" w:hAnsi="Tahoma" w:eastAsia="楷体_GB2312"/>
      <w:b/>
      <w:bCs/>
      <w:kern w:val="2"/>
      <w:sz w:val="21"/>
      <w:szCs w:val="24"/>
    </w:rPr>
  </w:style>
  <w:style w:type="character" w:customStyle="1" w:styleId="125">
    <w:name w:val="Texte Char Char"/>
    <w:qFormat/>
    <w:uiPriority w:val="0"/>
    <w:rPr>
      <w:rFonts w:ascii="宋体" w:hAnsi="Courier New" w:eastAsia="宋体"/>
      <w:b/>
      <w:sz w:val="21"/>
      <w:szCs w:val="21"/>
      <w:lang w:val="en-US" w:eastAsia="zh-CN" w:bidi="ar-SA"/>
    </w:rPr>
  </w:style>
  <w:style w:type="character" w:customStyle="1" w:styleId="126">
    <w:name w:val="font161"/>
    <w:qFormat/>
    <w:uiPriority w:val="0"/>
    <w:rPr>
      <w:b/>
      <w:bCs/>
      <w:sz w:val="32"/>
      <w:szCs w:val="32"/>
    </w:rPr>
  </w:style>
  <w:style w:type="character" w:customStyle="1" w:styleId="127">
    <w:name w:val="doc"/>
    <w:qFormat/>
    <w:uiPriority w:val="0"/>
    <w:rPr>
      <w:szCs w:val="20"/>
    </w:rPr>
  </w:style>
  <w:style w:type="character" w:customStyle="1" w:styleId="128">
    <w:name w:val="批注文字 Char2"/>
    <w:semiHidden/>
    <w:qFormat/>
    <w:uiPriority w:val="99"/>
    <w:rPr>
      <w:kern w:val="2"/>
      <w:sz w:val="21"/>
      <w:szCs w:val="24"/>
    </w:rPr>
  </w:style>
  <w:style w:type="character" w:customStyle="1" w:styleId="129">
    <w:name w:val="heading 2 Char"/>
    <w:qFormat/>
    <w:uiPriority w:val="0"/>
    <w:rPr>
      <w:rFonts w:ascii="Arial" w:hAnsi="Arial" w:eastAsia="黑体" w:cs="Times New Roman"/>
      <w:b/>
      <w:sz w:val="30"/>
      <w:szCs w:val="24"/>
    </w:rPr>
  </w:style>
  <w:style w:type="character" w:customStyle="1" w:styleId="130">
    <w:name w:val="Char Char211"/>
    <w:qFormat/>
    <w:uiPriority w:val="0"/>
    <w:rPr>
      <w:rFonts w:ascii="Times New Roman" w:hAnsi="Times New Roman" w:eastAsia="宋体" w:cs="Times New Roman"/>
      <w:b/>
      <w:bCs/>
      <w:kern w:val="44"/>
      <w:sz w:val="44"/>
      <w:szCs w:val="44"/>
    </w:rPr>
  </w:style>
  <w:style w:type="character" w:customStyle="1" w:styleId="131">
    <w:name w:val="页脚 Char2"/>
    <w:semiHidden/>
    <w:qFormat/>
    <w:uiPriority w:val="99"/>
    <w:rPr>
      <w:kern w:val="2"/>
      <w:sz w:val="18"/>
      <w:szCs w:val="18"/>
    </w:rPr>
  </w:style>
  <w:style w:type="character" w:customStyle="1" w:styleId="132">
    <w:name w:val="表格用 Char Char"/>
    <w:link w:val="133"/>
    <w:qFormat/>
    <w:locked/>
    <w:uiPriority w:val="0"/>
    <w:rPr>
      <w:sz w:val="21"/>
      <w:szCs w:val="24"/>
    </w:rPr>
  </w:style>
  <w:style w:type="paragraph" w:customStyle="1" w:styleId="133">
    <w:name w:val="表格用"/>
    <w:basedOn w:val="1"/>
    <w:link w:val="132"/>
    <w:qFormat/>
    <w:uiPriority w:val="0"/>
    <w:rPr>
      <w:kern w:val="0"/>
    </w:rPr>
  </w:style>
  <w:style w:type="character" w:customStyle="1" w:styleId="134">
    <w:name w:val="注释正文＋下划线 Char"/>
    <w:link w:val="135"/>
    <w:qFormat/>
    <w:uiPriority w:val="0"/>
    <w:rPr>
      <w:rFonts w:ascii="宋体" w:hAnsi="宋体"/>
      <w:kern w:val="2"/>
      <w:sz w:val="28"/>
      <w:szCs w:val="28"/>
      <w:u w:val="single"/>
    </w:rPr>
  </w:style>
  <w:style w:type="paragraph" w:customStyle="1" w:styleId="135">
    <w:name w:val="注释正文＋下划线"/>
    <w:basedOn w:val="1"/>
    <w:link w:val="134"/>
    <w:qFormat/>
    <w:uiPriority w:val="0"/>
    <w:rPr>
      <w:rFonts w:ascii="宋体" w:hAnsi="宋体"/>
      <w:sz w:val="28"/>
      <w:szCs w:val="28"/>
      <w:u w:val="single"/>
    </w:rPr>
  </w:style>
  <w:style w:type="character" w:customStyle="1" w:styleId="136">
    <w:name w:val="文档结构图 Char"/>
    <w:qFormat/>
    <w:uiPriority w:val="99"/>
    <w:rPr>
      <w:rFonts w:eastAsia="宋体"/>
      <w:kern w:val="2"/>
      <w:sz w:val="21"/>
      <w:szCs w:val="24"/>
      <w:lang w:val="en-US" w:eastAsia="zh-CN" w:bidi="ar-SA"/>
    </w:rPr>
  </w:style>
  <w:style w:type="character" w:customStyle="1" w:styleId="137">
    <w:name w:val="文档结构图 Char3"/>
    <w:semiHidden/>
    <w:qFormat/>
    <w:uiPriority w:val="99"/>
    <w:rPr>
      <w:rFonts w:ascii="宋体"/>
      <w:kern w:val="2"/>
      <w:sz w:val="18"/>
      <w:szCs w:val="18"/>
    </w:rPr>
  </w:style>
  <w:style w:type="character" w:customStyle="1" w:styleId="138">
    <w:name w:val="_正文段落 Char"/>
    <w:link w:val="139"/>
    <w:qFormat/>
    <w:uiPriority w:val="0"/>
    <w:rPr>
      <w:kern w:val="2"/>
      <w:sz w:val="21"/>
      <w:szCs w:val="24"/>
    </w:rPr>
  </w:style>
  <w:style w:type="paragraph" w:customStyle="1" w:styleId="139">
    <w:name w:val="_正文段落"/>
    <w:basedOn w:val="1"/>
    <w:link w:val="138"/>
    <w:qFormat/>
    <w:uiPriority w:val="0"/>
    <w:pPr>
      <w:spacing w:before="15" w:beforeLines="15" w:after="15" w:afterLines="15" w:line="360" w:lineRule="auto"/>
      <w:ind w:firstLine="200" w:firstLineChars="200"/>
    </w:pPr>
  </w:style>
  <w:style w:type="character" w:customStyle="1" w:styleId="140">
    <w:name w:val="样式 宋体1"/>
    <w:qFormat/>
    <w:uiPriority w:val="0"/>
    <w:rPr>
      <w:rFonts w:ascii="宋体" w:hAnsi="宋体" w:eastAsia="宋体"/>
      <w:sz w:val="24"/>
    </w:rPr>
  </w:style>
  <w:style w:type="character" w:styleId="141">
    <w:name w:val="Placeholder Text"/>
    <w:semiHidden/>
    <w:qFormat/>
    <w:uiPriority w:val="99"/>
    <w:rPr>
      <w:color w:val="808080"/>
    </w:rPr>
  </w:style>
  <w:style w:type="character" w:customStyle="1" w:styleId="142">
    <w:name w:val="blue1"/>
    <w:qFormat/>
    <w:uiPriority w:val="0"/>
    <w:rPr>
      <w:rFonts w:ascii="仿宋_GB2312" w:hAnsi="Tahoma" w:eastAsia="仿宋_GB2312"/>
      <w:b/>
      <w:sz w:val="32"/>
      <w:szCs w:val="32"/>
    </w:rPr>
  </w:style>
  <w:style w:type="character" w:customStyle="1" w:styleId="143">
    <w:name w:val="注释标题 Char2"/>
    <w:semiHidden/>
    <w:qFormat/>
    <w:uiPriority w:val="99"/>
    <w:rPr>
      <w:kern w:val="2"/>
      <w:sz w:val="21"/>
      <w:szCs w:val="24"/>
    </w:rPr>
  </w:style>
  <w:style w:type="character" w:customStyle="1" w:styleId="144">
    <w:name w:val="标书标题 3 Char Char Char"/>
    <w:link w:val="145"/>
    <w:qFormat/>
    <w:uiPriority w:val="0"/>
    <w:rPr>
      <w:rFonts w:ascii="Arial" w:hAnsi="Arial" w:eastAsia="仿宋_GB2312" w:cs="Times New Roman"/>
      <w:b/>
      <w:kern w:val="2"/>
      <w:sz w:val="24"/>
      <w:szCs w:val="32"/>
    </w:rPr>
  </w:style>
  <w:style w:type="paragraph" w:customStyle="1" w:styleId="145">
    <w:name w:val="标书标题 3 Char"/>
    <w:basedOn w:val="1"/>
    <w:link w:val="144"/>
    <w:qFormat/>
    <w:uiPriority w:val="0"/>
    <w:pPr>
      <w:tabs>
        <w:tab w:val="left" w:pos="720"/>
      </w:tabs>
      <w:spacing w:line="360" w:lineRule="auto"/>
      <w:outlineLvl w:val="2"/>
    </w:pPr>
    <w:rPr>
      <w:rFonts w:ascii="Arial" w:hAnsi="Arial" w:eastAsia="仿宋_GB2312"/>
      <w:b/>
      <w:sz w:val="24"/>
      <w:szCs w:val="32"/>
    </w:rPr>
  </w:style>
  <w:style w:type="character" w:customStyle="1" w:styleId="146">
    <w:name w:val="heading 5 Char2"/>
    <w:qFormat/>
    <w:uiPriority w:val="0"/>
    <w:rPr>
      <w:rFonts w:ascii="仿宋_GB2312" w:eastAsia="仿宋_GB2312"/>
      <w:b/>
      <w:bCs/>
      <w:kern w:val="2"/>
      <w:sz w:val="28"/>
      <w:szCs w:val="28"/>
    </w:rPr>
  </w:style>
  <w:style w:type="character" w:customStyle="1" w:styleId="147">
    <w:name w:val="heading 9 Char1"/>
    <w:qFormat/>
    <w:uiPriority w:val="0"/>
    <w:rPr>
      <w:rFonts w:ascii="Arial" w:hAnsi="Arial" w:eastAsia="黑体"/>
      <w:b/>
      <w:sz w:val="21"/>
      <w:szCs w:val="32"/>
      <w:lang w:val="en-US" w:eastAsia="zh-CN" w:bidi="ar-SA"/>
    </w:rPr>
  </w:style>
  <w:style w:type="character" w:customStyle="1" w:styleId="148">
    <w:name w:val="HTML 预设格式 Char2"/>
    <w:semiHidden/>
    <w:qFormat/>
    <w:uiPriority w:val="99"/>
    <w:rPr>
      <w:rFonts w:ascii="Courier New" w:hAnsi="Courier New" w:cs="Courier New"/>
      <w:kern w:val="2"/>
    </w:rPr>
  </w:style>
  <w:style w:type="character" w:customStyle="1" w:styleId="149">
    <w:name w:val="font21"/>
    <w:qFormat/>
    <w:uiPriority w:val="0"/>
    <w:rPr>
      <w:rFonts w:hint="default" w:ascii="Times New Roman" w:hAnsi="Times New Roman" w:cs="Times New Roman"/>
      <w:color w:val="000000"/>
      <w:sz w:val="20"/>
      <w:szCs w:val="20"/>
      <w:u w:val="none"/>
    </w:rPr>
  </w:style>
  <w:style w:type="character" w:customStyle="1" w:styleId="150">
    <w:name w:val="标题 6 字符"/>
    <w:qFormat/>
    <w:uiPriority w:val="0"/>
    <w:rPr>
      <w:rFonts w:ascii="黑体" w:hAnsi="黑体" w:eastAsia="黑体" w:cs="黑体"/>
      <w:b/>
      <w:bCs/>
      <w:kern w:val="2"/>
      <w:sz w:val="24"/>
      <w:szCs w:val="28"/>
    </w:rPr>
  </w:style>
  <w:style w:type="character" w:customStyle="1" w:styleId="151">
    <w:name w:val="Char Char19"/>
    <w:qFormat/>
    <w:uiPriority w:val="0"/>
    <w:rPr>
      <w:rFonts w:ascii="Cambria" w:hAnsi="Cambria" w:eastAsia="仿宋_GB2312"/>
      <w:b/>
      <w:bCs/>
      <w:kern w:val="2"/>
      <w:sz w:val="32"/>
      <w:szCs w:val="32"/>
    </w:rPr>
  </w:style>
  <w:style w:type="character" w:customStyle="1" w:styleId="152">
    <w:name w:val="正文缩进 Char1 Char"/>
    <w:qFormat/>
    <w:uiPriority w:val="0"/>
    <w:rPr>
      <w:rFonts w:ascii="仿宋_GB2312" w:eastAsia="宋体"/>
      <w:b/>
      <w:sz w:val="21"/>
      <w:szCs w:val="32"/>
      <w:lang w:val="en-US" w:eastAsia="zh-CN" w:bidi="ar-SA"/>
    </w:rPr>
  </w:style>
  <w:style w:type="character" w:customStyle="1" w:styleId="153">
    <w:name w:val="正文文本 2 Char1"/>
    <w:qFormat/>
    <w:uiPriority w:val="0"/>
    <w:rPr>
      <w:rFonts w:ascii="Calibri" w:hAnsi="Calibri" w:cs="黑体"/>
      <w:kern w:val="2"/>
      <w:sz w:val="24"/>
      <w:szCs w:val="22"/>
    </w:rPr>
  </w:style>
  <w:style w:type="character" w:customStyle="1" w:styleId="154">
    <w:name w:val="副标题 Char1"/>
    <w:qFormat/>
    <w:uiPriority w:val="11"/>
    <w:rPr>
      <w:rFonts w:ascii="Cambria" w:hAnsi="Cambria" w:cs="Times New Roman"/>
      <w:b/>
      <w:bCs/>
      <w:kern w:val="28"/>
      <w:sz w:val="32"/>
      <w:szCs w:val="32"/>
    </w:rPr>
  </w:style>
  <w:style w:type="character" w:customStyle="1" w:styleId="155">
    <w:name w:val="小标题 Char"/>
    <w:link w:val="156"/>
    <w:qFormat/>
    <w:uiPriority w:val="0"/>
    <w:rPr>
      <w:rFonts w:eastAsia="黑体"/>
    </w:rPr>
  </w:style>
  <w:style w:type="paragraph" w:customStyle="1" w:styleId="156">
    <w:name w:val="小标题"/>
    <w:basedOn w:val="1"/>
    <w:link w:val="155"/>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157">
    <w:name w:val="heading 4 Char"/>
    <w:qFormat/>
    <w:uiPriority w:val="0"/>
    <w:rPr>
      <w:rFonts w:ascii="Arial" w:hAnsi="Arial" w:eastAsia="黑体" w:cs="Times New Roman"/>
      <w:b/>
      <w:sz w:val="21"/>
      <w:szCs w:val="21"/>
    </w:rPr>
  </w:style>
  <w:style w:type="character" w:customStyle="1" w:styleId="158">
    <w:name w:val="样式4 Char"/>
    <w:link w:val="159"/>
    <w:qFormat/>
    <w:uiPriority w:val="0"/>
    <w:rPr>
      <w:rFonts w:ascii="Arial" w:hAnsi="Arial" w:eastAsia="黑体"/>
      <w:b/>
      <w:bCs/>
      <w:kern w:val="2"/>
      <w:sz w:val="24"/>
      <w:szCs w:val="28"/>
    </w:rPr>
  </w:style>
  <w:style w:type="paragraph" w:customStyle="1" w:styleId="159">
    <w:name w:val="样式4"/>
    <w:basedOn w:val="160"/>
    <w:next w:val="1"/>
    <w:link w:val="158"/>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60">
    <w:name w:val="4级"/>
    <w:basedOn w:val="7"/>
    <w:next w:val="55"/>
    <w:qFormat/>
    <w:uiPriority w:val="0"/>
    <w:pPr>
      <w:keepNext w:val="0"/>
      <w:numPr>
        <w:ilvl w:val="3"/>
        <w:numId w:val="2"/>
      </w:numPr>
      <w:adjustRightInd w:val="0"/>
      <w:spacing w:beforeLines="50" w:afterLines="50" w:line="376" w:lineRule="auto"/>
      <w:ind w:right="210" w:rightChars="100"/>
      <w:jc w:val="left"/>
      <w:textAlignment w:val="baseline"/>
    </w:pPr>
    <w:rPr>
      <w:kern w:val="0"/>
      <w:sz w:val="24"/>
    </w:rPr>
  </w:style>
  <w:style w:type="character" w:customStyle="1" w:styleId="161">
    <w:name w:val="正文居中 Char Char"/>
    <w:qFormat/>
    <w:uiPriority w:val="0"/>
    <w:rPr>
      <w:kern w:val="2"/>
      <w:sz w:val="21"/>
      <w:szCs w:val="24"/>
    </w:rPr>
  </w:style>
  <w:style w:type="character" w:customStyle="1" w:styleId="162">
    <w:name w:val="纯文本 Char1"/>
    <w:qFormat/>
    <w:uiPriority w:val="0"/>
    <w:rPr>
      <w:rFonts w:ascii="宋体" w:hAnsi="Courier New"/>
      <w:kern w:val="2"/>
      <w:sz w:val="21"/>
    </w:rPr>
  </w:style>
  <w:style w:type="character" w:customStyle="1" w:styleId="163">
    <w:name w:val="标题 4 Char"/>
    <w:qFormat/>
    <w:uiPriority w:val="9"/>
    <w:rPr>
      <w:rFonts w:ascii="Arial" w:hAnsi="Arial" w:eastAsia="黑体"/>
      <w:b/>
      <w:bCs/>
      <w:kern w:val="2"/>
      <w:sz w:val="28"/>
      <w:szCs w:val="28"/>
      <w:lang w:val="en-US" w:eastAsia="zh-CN" w:bidi="ar-SA"/>
    </w:rPr>
  </w:style>
  <w:style w:type="character" w:customStyle="1" w:styleId="164">
    <w:name w:val="强调划线"/>
    <w:qFormat/>
    <w:uiPriority w:val="0"/>
    <w:rPr>
      <w:u w:val="single"/>
    </w:rPr>
  </w:style>
  <w:style w:type="character" w:customStyle="1" w:styleId="165">
    <w:name w:val="大标题 Char Char"/>
    <w:qFormat/>
    <w:uiPriority w:val="0"/>
    <w:rPr>
      <w:rFonts w:ascii="黑体" w:hAnsi="黑体" w:eastAsia="黑体"/>
      <w:b/>
      <w:bCs/>
      <w:kern w:val="2"/>
      <w:sz w:val="72"/>
      <w:szCs w:val="72"/>
    </w:rPr>
  </w:style>
  <w:style w:type="character" w:customStyle="1" w:styleId="166">
    <w:name w:val="Style4"/>
    <w:qFormat/>
    <w:uiPriority w:val="0"/>
    <w:rPr>
      <w:rFonts w:ascii="Calibri" w:hAnsi="宋体" w:eastAsia="宋体" w:cs="Times New Roman"/>
      <w:szCs w:val="22"/>
      <w:lang w:eastAsia="zh-CN"/>
    </w:rPr>
  </w:style>
  <w:style w:type="character" w:customStyle="1" w:styleId="167">
    <w:name w:val="引用 Char"/>
    <w:link w:val="168"/>
    <w:qFormat/>
    <w:uiPriority w:val="29"/>
    <w:rPr>
      <w:rFonts w:ascii="Calibri" w:hAnsi="Calibri"/>
      <w:b/>
      <w:i/>
      <w:iCs/>
      <w:color w:val="000000"/>
      <w:sz w:val="32"/>
      <w:szCs w:val="32"/>
    </w:rPr>
  </w:style>
  <w:style w:type="paragraph" w:customStyle="1" w:styleId="168">
    <w:name w:val="引用1"/>
    <w:basedOn w:val="1"/>
    <w:next w:val="1"/>
    <w:link w:val="167"/>
    <w:qFormat/>
    <w:uiPriority w:val="29"/>
    <w:rPr>
      <w:rFonts w:ascii="Calibri" w:hAnsi="Calibri"/>
      <w:b/>
      <w:i/>
      <w:iCs/>
      <w:color w:val="000000"/>
      <w:kern w:val="0"/>
      <w:sz w:val="32"/>
      <w:szCs w:val="32"/>
    </w:rPr>
  </w:style>
  <w:style w:type="character" w:customStyle="1" w:styleId="169">
    <w:name w:val="页眉注释 Char Char"/>
    <w:qFormat/>
    <w:uiPriority w:val="0"/>
    <w:rPr>
      <w:rFonts w:ascii="华文细黑" w:hAnsi="华文细黑" w:eastAsia="华文细黑"/>
      <w:b/>
      <w:color w:val="FFFFFF"/>
      <w:kern w:val="2"/>
      <w:sz w:val="18"/>
      <w:szCs w:val="18"/>
    </w:rPr>
  </w:style>
  <w:style w:type="character" w:customStyle="1" w:styleId="170">
    <w:name w:val="A6"/>
    <w:qFormat/>
    <w:uiPriority w:val="0"/>
    <w:rPr>
      <w:rFonts w:cs="Helvetica Neue"/>
      <w:color w:val="3E667A"/>
      <w:sz w:val="14"/>
      <w:szCs w:val="14"/>
    </w:rPr>
  </w:style>
  <w:style w:type="character" w:customStyle="1" w:styleId="171">
    <w:name w:val="标题样式 Char"/>
    <w:link w:val="172"/>
    <w:qFormat/>
    <w:uiPriority w:val="0"/>
    <w:rPr>
      <w:b/>
    </w:rPr>
  </w:style>
  <w:style w:type="paragraph" w:customStyle="1" w:styleId="172">
    <w:name w:val="标题样式"/>
    <w:basedOn w:val="1"/>
    <w:link w:val="171"/>
    <w:qFormat/>
    <w:uiPriority w:val="0"/>
    <w:pPr>
      <w:spacing w:before="156" w:beforeLines="50" w:after="156" w:afterLines="50"/>
    </w:pPr>
    <w:rPr>
      <w:b/>
      <w:kern w:val="0"/>
      <w:sz w:val="20"/>
      <w:szCs w:val="20"/>
    </w:rPr>
  </w:style>
  <w:style w:type="character" w:customStyle="1" w:styleId="173">
    <w:name w:val="样式5 Char"/>
    <w:link w:val="174"/>
    <w:qFormat/>
    <w:uiPriority w:val="0"/>
    <w:rPr>
      <w:rFonts w:ascii="仿宋_GB2312"/>
      <w:b/>
      <w:kern w:val="2"/>
      <w:sz w:val="28"/>
      <w:szCs w:val="21"/>
    </w:rPr>
  </w:style>
  <w:style w:type="paragraph" w:customStyle="1" w:styleId="174">
    <w:name w:val="样式5"/>
    <w:basedOn w:val="2"/>
    <w:link w:val="173"/>
    <w:qFormat/>
    <w:uiPriority w:val="0"/>
    <w:pPr>
      <w:adjustRightInd/>
      <w:spacing w:line="360" w:lineRule="auto"/>
      <w:ind w:firstLine="200" w:firstLineChars="200"/>
      <w:textAlignment w:val="auto"/>
    </w:pPr>
    <w:rPr>
      <w:rFonts w:ascii="仿宋_GB2312"/>
      <w:b/>
      <w:kern w:val="2"/>
      <w:sz w:val="28"/>
      <w:szCs w:val="21"/>
    </w:rPr>
  </w:style>
  <w:style w:type="character" w:customStyle="1" w:styleId="175">
    <w:name w:val="HTML 预设格式 Char1"/>
    <w:qFormat/>
    <w:uiPriority w:val="99"/>
    <w:rPr>
      <w:rFonts w:ascii="Courier New" w:hAnsi="Courier New" w:cs="Courier New"/>
      <w:kern w:val="2"/>
    </w:rPr>
  </w:style>
  <w:style w:type="character" w:customStyle="1" w:styleId="176">
    <w:name w:val="Plain Text Char"/>
    <w:qFormat/>
    <w:uiPriority w:val="0"/>
    <w:rPr>
      <w:rFonts w:ascii="宋体" w:hAnsi="Courier New" w:eastAsia="宋体" w:cs="Times New Roman"/>
      <w:sz w:val="21"/>
      <w:szCs w:val="21"/>
    </w:rPr>
  </w:style>
  <w:style w:type="character" w:customStyle="1" w:styleId="177">
    <w:name w:val="dandyren_title1"/>
    <w:qFormat/>
    <w:uiPriority w:val="0"/>
    <w:rPr>
      <w:rFonts w:ascii="仿宋_GB2312" w:eastAsia="仿宋_GB2312"/>
      <w:b/>
      <w:bCs/>
      <w:color w:val="FF6633"/>
      <w:sz w:val="18"/>
      <w:szCs w:val="18"/>
    </w:rPr>
  </w:style>
  <w:style w:type="character" w:customStyle="1" w:styleId="178">
    <w:name w:val="op-map-singlepoint-info-right1"/>
    <w:qFormat/>
    <w:uiPriority w:val="0"/>
    <w:rPr>
      <w:szCs w:val="20"/>
    </w:rPr>
  </w:style>
  <w:style w:type="character" w:customStyle="1" w:styleId="179">
    <w:name w:val="Char Char15"/>
    <w:qFormat/>
    <w:uiPriority w:val="0"/>
    <w:rPr>
      <w:rFonts w:ascii="Arial" w:hAnsi="Arial" w:eastAsia="黑体"/>
      <w:b/>
      <w:sz w:val="24"/>
      <w:szCs w:val="24"/>
    </w:rPr>
  </w:style>
  <w:style w:type="character" w:customStyle="1" w:styleId="180">
    <w:name w:val="pages"/>
    <w:qFormat/>
    <w:uiPriority w:val="0"/>
    <w:rPr>
      <w:color w:val="999999"/>
      <w:szCs w:val="20"/>
    </w:rPr>
  </w:style>
  <w:style w:type="character" w:customStyle="1" w:styleId="181">
    <w:name w:val="Char Char111"/>
    <w:qFormat/>
    <w:uiPriority w:val="0"/>
    <w:rPr>
      <w:rFonts w:ascii="Times New Roman" w:hAnsi="Times New Roman" w:eastAsia="宋体" w:cs="Times New Roman"/>
      <w:sz w:val="18"/>
      <w:szCs w:val="18"/>
    </w:rPr>
  </w:style>
  <w:style w:type="character" w:customStyle="1" w:styleId="182">
    <w:name w:val="正文00 Char"/>
    <w:link w:val="183"/>
    <w:qFormat/>
    <w:uiPriority w:val="0"/>
    <w:rPr>
      <w:rFonts w:ascii="宋体" w:hAnsi="宋体"/>
      <w:kern w:val="2"/>
      <w:sz w:val="24"/>
      <w:szCs w:val="24"/>
    </w:rPr>
  </w:style>
  <w:style w:type="paragraph" w:customStyle="1" w:styleId="183">
    <w:name w:val="正文00"/>
    <w:basedOn w:val="1"/>
    <w:link w:val="182"/>
    <w:qFormat/>
    <w:uiPriority w:val="0"/>
    <w:pPr>
      <w:spacing w:line="360" w:lineRule="auto"/>
      <w:ind w:firstLine="480" w:firstLineChars="200"/>
    </w:pPr>
    <w:rPr>
      <w:rFonts w:ascii="宋体" w:hAnsi="宋体"/>
      <w:sz w:val="24"/>
    </w:rPr>
  </w:style>
  <w:style w:type="character" w:customStyle="1" w:styleId="184">
    <w:name w:val="ändrad Char"/>
    <w:qFormat/>
    <w:uiPriority w:val="0"/>
    <w:rPr>
      <w:rFonts w:ascii="仿宋_GB2312" w:eastAsia="宋体"/>
      <w:b/>
      <w:kern w:val="2"/>
      <w:sz w:val="21"/>
      <w:szCs w:val="24"/>
      <w:lang w:val="en-US" w:eastAsia="zh-CN" w:bidi="ar-SA"/>
    </w:rPr>
  </w:style>
  <w:style w:type="character" w:customStyle="1" w:styleId="185">
    <w:name w:val="heading 3 Char2"/>
    <w:qFormat/>
    <w:uiPriority w:val="0"/>
    <w:rPr>
      <w:rFonts w:ascii="仿宋_GB2312" w:eastAsia="仿宋_GB2312"/>
      <w:b/>
      <w:bCs/>
      <w:kern w:val="2"/>
      <w:sz w:val="32"/>
      <w:szCs w:val="32"/>
    </w:rPr>
  </w:style>
  <w:style w:type="character" w:customStyle="1" w:styleId="186">
    <w:name w:val="样式 宋体"/>
    <w:qFormat/>
    <w:uiPriority w:val="0"/>
    <w:rPr>
      <w:rFonts w:ascii="宋体" w:hAnsi="宋体" w:eastAsia="宋体"/>
      <w:b/>
      <w:sz w:val="24"/>
      <w:szCs w:val="24"/>
    </w:rPr>
  </w:style>
  <w:style w:type="character" w:customStyle="1" w:styleId="187">
    <w:name w:val="正文文本缩进 3 Char1"/>
    <w:qFormat/>
    <w:uiPriority w:val="0"/>
    <w:rPr>
      <w:rFonts w:ascii="Calibri" w:hAnsi="Calibri" w:cs="黑体"/>
      <w:kern w:val="2"/>
      <w:sz w:val="16"/>
      <w:szCs w:val="16"/>
    </w:rPr>
  </w:style>
  <w:style w:type="character" w:customStyle="1" w:styleId="188">
    <w:name w:val="Footer-Even Char2"/>
    <w:qFormat/>
    <w:uiPriority w:val="0"/>
    <w:rPr>
      <w:rFonts w:ascii="仿宋_GB2312" w:eastAsia="仿宋_GB2312"/>
      <w:b/>
      <w:kern w:val="2"/>
      <w:sz w:val="18"/>
      <w:szCs w:val="18"/>
    </w:rPr>
  </w:style>
  <w:style w:type="character" w:customStyle="1" w:styleId="189">
    <w:name w:val="样式 正文文本 Char Char Char"/>
    <w:qFormat/>
    <w:uiPriority w:val="0"/>
    <w:rPr>
      <w:rFonts w:ascii="Arial" w:hAnsi="Arial" w:eastAsia="宋体"/>
      <w:color w:val="000000"/>
      <w:kern w:val="2"/>
      <w:sz w:val="21"/>
      <w:lang w:val="en-US" w:eastAsia="zh-CN" w:bidi="ar-SA"/>
    </w:rPr>
  </w:style>
  <w:style w:type="character" w:customStyle="1" w:styleId="190">
    <w:name w:val="目录标题 Char Char"/>
    <w:qFormat/>
    <w:uiPriority w:val="0"/>
    <w:rPr>
      <w:rFonts w:eastAsia="黑体"/>
      <w:b/>
      <w:bCs/>
      <w:kern w:val="2"/>
      <w:sz w:val="44"/>
      <w:szCs w:val="44"/>
    </w:rPr>
  </w:style>
  <w:style w:type="character" w:customStyle="1" w:styleId="191">
    <w:name w:val="样式 样式 四号 首行缩进:  0.74 厘米 行距: 1.5 倍行距 + 宋体 四号 行距: 1.5 倍行距 Char"/>
    <w:link w:val="192"/>
    <w:qFormat/>
    <w:uiPriority w:val="0"/>
    <w:rPr>
      <w:rFonts w:ascii="宋体" w:hAnsi="宋体" w:cs="宋体"/>
      <w:kern w:val="2"/>
      <w:sz w:val="28"/>
    </w:rPr>
  </w:style>
  <w:style w:type="paragraph" w:customStyle="1" w:styleId="192">
    <w:name w:val="样式 样式 四号 首行缩进:  0.74 厘米 行距: 1.5 倍行距 + 宋体 四号 行距: 1.5 倍行距"/>
    <w:basedOn w:val="1"/>
    <w:link w:val="191"/>
    <w:qFormat/>
    <w:uiPriority w:val="0"/>
    <w:pPr>
      <w:spacing w:line="360" w:lineRule="auto"/>
      <w:ind w:firstLine="560" w:firstLineChars="200"/>
    </w:pPr>
    <w:rPr>
      <w:rFonts w:ascii="宋体" w:hAnsi="宋体"/>
      <w:sz w:val="28"/>
      <w:szCs w:val="20"/>
    </w:rPr>
  </w:style>
  <w:style w:type="character" w:customStyle="1" w:styleId="193">
    <w:name w:val="PI Char"/>
    <w:qFormat/>
    <w:uiPriority w:val="0"/>
    <w:rPr>
      <w:rFonts w:ascii="宋体" w:hAnsi="宋体" w:eastAsia="仿宋_GB2312"/>
      <w:b/>
      <w:sz w:val="24"/>
      <w:szCs w:val="32"/>
    </w:rPr>
  </w:style>
  <w:style w:type="character" w:customStyle="1" w:styleId="194">
    <w:name w:val="正文文本缩进 2 Char"/>
    <w:qFormat/>
    <w:uiPriority w:val="0"/>
    <w:rPr>
      <w:kern w:val="2"/>
      <w:sz w:val="21"/>
      <w:szCs w:val="24"/>
    </w:rPr>
  </w:style>
  <w:style w:type="character" w:customStyle="1" w:styleId="195">
    <w:name w:val="正文文本 Char Char"/>
    <w:qFormat/>
    <w:uiPriority w:val="0"/>
    <w:rPr>
      <w:rFonts w:ascii="Times New Roman" w:hAnsi="Times New Roman"/>
      <w:kern w:val="2"/>
      <w:sz w:val="21"/>
      <w:szCs w:val="24"/>
    </w:rPr>
  </w:style>
  <w:style w:type="character" w:customStyle="1" w:styleId="196">
    <w:name w:val="style41"/>
    <w:qFormat/>
    <w:uiPriority w:val="0"/>
    <w:rPr>
      <w:rFonts w:ascii="仿宋_GB2312" w:eastAsia="仿宋_GB2312"/>
      <w:b/>
      <w:color w:val="auto"/>
      <w:sz w:val="32"/>
      <w:szCs w:val="32"/>
    </w:rPr>
  </w:style>
  <w:style w:type="character" w:customStyle="1" w:styleId="197">
    <w:name w:val="明显参考1"/>
    <w:qFormat/>
    <w:uiPriority w:val="0"/>
    <w:rPr>
      <w:b/>
      <w:bCs/>
      <w:smallCaps/>
      <w:color w:val="C0504D"/>
      <w:spacing w:val="5"/>
      <w:u w:val="single"/>
    </w:rPr>
  </w:style>
  <w:style w:type="character" w:customStyle="1" w:styleId="198">
    <w:name w:val="签名 Char"/>
    <w:qFormat/>
    <w:uiPriority w:val="0"/>
    <w:rPr>
      <w:rFonts w:ascii="Tahoma" w:hAnsi="Tahoma" w:eastAsia="仿宋_GB2312"/>
      <w:sz w:val="24"/>
    </w:rPr>
  </w:style>
  <w:style w:type="character" w:customStyle="1" w:styleId="199">
    <w:name w:val="heading 8 Char1"/>
    <w:qFormat/>
    <w:uiPriority w:val="0"/>
    <w:rPr>
      <w:rFonts w:ascii="Arial" w:hAnsi="Arial" w:eastAsia="黑体"/>
      <w:b/>
      <w:sz w:val="24"/>
      <w:szCs w:val="32"/>
      <w:lang w:val="en-US" w:eastAsia="zh-CN" w:bidi="ar-SA"/>
    </w:rPr>
  </w:style>
  <w:style w:type="character" w:customStyle="1" w:styleId="200">
    <w:name w:val="Style1"/>
    <w:qFormat/>
    <w:uiPriority w:val="0"/>
    <w:rPr>
      <w:rFonts w:ascii="Calibri" w:hAnsi="宋体" w:eastAsia="宋体" w:cs="Times New Roman"/>
      <w:sz w:val="22"/>
      <w:szCs w:val="22"/>
      <w:lang w:eastAsia="zh-CN"/>
    </w:rPr>
  </w:style>
  <w:style w:type="character" w:customStyle="1" w:styleId="201">
    <w:name w:val="注释题目"/>
    <w:qFormat/>
    <w:uiPriority w:val="0"/>
    <w:rPr>
      <w:rFonts w:eastAsia="黑体"/>
      <w:sz w:val="28"/>
      <w:u w:val="none"/>
    </w:rPr>
  </w:style>
  <w:style w:type="character" w:customStyle="1" w:styleId="202">
    <w:name w:val="栏目标题 Char Char"/>
    <w:qFormat/>
    <w:uiPriority w:val="0"/>
    <w:rPr>
      <w:rFonts w:ascii="黑体" w:hAnsi="黑体" w:eastAsia="黑体"/>
      <w:b/>
      <w:kern w:val="2"/>
      <w:sz w:val="21"/>
      <w:szCs w:val="24"/>
    </w:rPr>
  </w:style>
  <w:style w:type="character" w:customStyle="1" w:styleId="203">
    <w:name w:val="宏文本 Char"/>
    <w:qFormat/>
    <w:uiPriority w:val="0"/>
    <w:rPr>
      <w:rFonts w:ascii="Courier New" w:hAnsi="Courier New"/>
      <w:kern w:val="2"/>
      <w:sz w:val="24"/>
      <w:szCs w:val="24"/>
    </w:rPr>
  </w:style>
  <w:style w:type="character" w:customStyle="1" w:styleId="204">
    <w:name w:val="Char Char18"/>
    <w:qFormat/>
    <w:uiPriority w:val="0"/>
    <w:rPr>
      <w:rFonts w:ascii="仿宋_GB2312" w:eastAsia="仿宋_GB2312"/>
      <w:b/>
      <w:bCs/>
      <w:kern w:val="2"/>
      <w:sz w:val="32"/>
      <w:szCs w:val="32"/>
    </w:rPr>
  </w:style>
  <w:style w:type="character" w:customStyle="1" w:styleId="205">
    <w:name w:val="表格标题 Char"/>
    <w:link w:val="206"/>
    <w:qFormat/>
    <w:uiPriority w:val="0"/>
    <w:rPr>
      <w:rFonts w:ascii="黑体" w:hAnsi="黑体" w:eastAsia="黑体"/>
      <w:b/>
      <w:color w:val="FFFFFF"/>
      <w:kern w:val="2"/>
      <w:sz w:val="21"/>
      <w:szCs w:val="24"/>
    </w:rPr>
  </w:style>
  <w:style w:type="paragraph" w:customStyle="1" w:styleId="206">
    <w:name w:val="表格标题"/>
    <w:basedOn w:val="1"/>
    <w:link w:val="205"/>
    <w:qFormat/>
    <w:uiPriority w:val="0"/>
    <w:rPr>
      <w:rFonts w:ascii="黑体" w:hAnsi="黑体" w:eastAsia="黑体"/>
      <w:b/>
      <w:color w:val="FFFFFF"/>
    </w:rPr>
  </w:style>
  <w:style w:type="character" w:customStyle="1" w:styleId="207">
    <w:name w:val="111 Char"/>
    <w:link w:val="208"/>
    <w:qFormat/>
    <w:uiPriority w:val="0"/>
    <w:rPr>
      <w:kern w:val="2"/>
    </w:rPr>
  </w:style>
  <w:style w:type="paragraph" w:customStyle="1" w:styleId="208">
    <w:name w:val="111"/>
    <w:basedOn w:val="209"/>
    <w:link w:val="207"/>
    <w:qFormat/>
    <w:uiPriority w:val="0"/>
    <w:pPr>
      <w:numPr>
        <w:ilvl w:val="0"/>
        <w:numId w:val="3"/>
      </w:numPr>
      <w:ind w:firstLine="0" w:firstLineChars="0"/>
    </w:pPr>
  </w:style>
  <w:style w:type="paragraph" w:customStyle="1" w:styleId="209">
    <w:name w:val="段落"/>
    <w:basedOn w:val="1"/>
    <w:link w:val="210"/>
    <w:qFormat/>
    <w:uiPriority w:val="0"/>
    <w:pPr>
      <w:spacing w:line="360" w:lineRule="auto"/>
      <w:ind w:firstLine="200" w:firstLineChars="200"/>
    </w:pPr>
    <w:rPr>
      <w:sz w:val="20"/>
      <w:szCs w:val="20"/>
    </w:rPr>
  </w:style>
  <w:style w:type="character" w:customStyle="1" w:styleId="210">
    <w:name w:val="段落 Char"/>
    <w:link w:val="209"/>
    <w:qFormat/>
    <w:uiPriority w:val="0"/>
    <w:rPr>
      <w:kern w:val="2"/>
    </w:rPr>
  </w:style>
  <w:style w:type="character" w:customStyle="1" w:styleId="211">
    <w:name w:val="font11"/>
    <w:qFormat/>
    <w:uiPriority w:val="0"/>
    <w:rPr>
      <w:rFonts w:hint="eastAsia" w:ascii="宋体" w:hAnsi="宋体" w:eastAsia="宋体" w:cs="宋体"/>
      <w:color w:val="000000"/>
      <w:sz w:val="20"/>
      <w:szCs w:val="20"/>
      <w:u w:val="none"/>
      <w:vertAlign w:val="superscript"/>
    </w:rPr>
  </w:style>
  <w:style w:type="character" w:customStyle="1" w:styleId="212">
    <w:name w:val="标题 5 Char"/>
    <w:qFormat/>
    <w:uiPriority w:val="0"/>
    <w:rPr>
      <w:rFonts w:ascii="仿宋_GB2312" w:hAnsi="Tahoma"/>
      <w:b/>
      <w:bCs/>
      <w:kern w:val="2"/>
      <w:sz w:val="28"/>
      <w:szCs w:val="28"/>
    </w:rPr>
  </w:style>
  <w:style w:type="character" w:customStyle="1" w:styleId="213">
    <w:name w:val="*正文 Char"/>
    <w:link w:val="214"/>
    <w:qFormat/>
    <w:uiPriority w:val="0"/>
    <w:rPr>
      <w:rFonts w:ascii="仿宋_GB2312" w:eastAsia="仿宋_GB2312"/>
      <w:kern w:val="2"/>
      <w:sz w:val="24"/>
      <w:szCs w:val="28"/>
      <w:lang w:val="zh-CN"/>
    </w:rPr>
  </w:style>
  <w:style w:type="paragraph" w:customStyle="1" w:styleId="214">
    <w:name w:val="*正文"/>
    <w:basedOn w:val="1"/>
    <w:link w:val="213"/>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215">
    <w:name w:val="页脚 Char1"/>
    <w:qFormat/>
    <w:uiPriority w:val="0"/>
    <w:rPr>
      <w:kern w:val="2"/>
      <w:sz w:val="18"/>
      <w:szCs w:val="18"/>
    </w:rPr>
  </w:style>
  <w:style w:type="character" w:customStyle="1" w:styleId="216">
    <w:name w:val="release-day"/>
    <w:qFormat/>
    <w:uiPriority w:val="0"/>
    <w:rPr>
      <w:szCs w:val="20"/>
      <w:bdr w:val="single" w:color="BDEBB0" w:sz="4" w:space="0"/>
      <w:shd w:val="clear" w:color="auto" w:fill="F5FFF1"/>
    </w:rPr>
  </w:style>
  <w:style w:type="character" w:customStyle="1" w:styleId="217">
    <w:name w:val="Ò³Ã¼ Char Char1"/>
    <w:qFormat/>
    <w:uiPriority w:val="0"/>
    <w:rPr>
      <w:rFonts w:ascii="仿宋_GB2312" w:eastAsia="宋体"/>
      <w:b/>
      <w:kern w:val="2"/>
      <w:sz w:val="18"/>
      <w:szCs w:val="18"/>
      <w:lang w:val="en-US" w:eastAsia="zh-CN" w:bidi="ar-SA"/>
    </w:rPr>
  </w:style>
  <w:style w:type="character" w:customStyle="1" w:styleId="218">
    <w:name w:val="font12"/>
    <w:qFormat/>
    <w:uiPriority w:val="0"/>
    <w:rPr>
      <w:rFonts w:hint="eastAsia" w:ascii="宋体" w:hAnsi="宋体" w:eastAsia="宋体" w:cs="宋体"/>
      <w:color w:val="000000"/>
      <w:sz w:val="20"/>
      <w:szCs w:val="20"/>
      <w:u w:val="none"/>
    </w:rPr>
  </w:style>
  <w:style w:type="character" w:customStyle="1" w:styleId="219">
    <w:name w:val="apple-converted-space"/>
    <w:qFormat/>
    <w:uiPriority w:val="0"/>
  </w:style>
  <w:style w:type="character" w:customStyle="1" w:styleId="220">
    <w:name w:val="apple-style-span"/>
    <w:qFormat/>
    <w:uiPriority w:val="0"/>
  </w:style>
  <w:style w:type="character" w:customStyle="1" w:styleId="221">
    <w:name w:val="标题 3 Char1"/>
    <w:qFormat/>
    <w:uiPriority w:val="0"/>
    <w:rPr>
      <w:b/>
      <w:bCs/>
      <w:kern w:val="2"/>
      <w:sz w:val="32"/>
      <w:szCs w:val="32"/>
    </w:rPr>
  </w:style>
  <w:style w:type="character" w:customStyle="1" w:styleId="222">
    <w:name w:val="编号正文缩进 Char Char"/>
    <w:qFormat/>
    <w:uiPriority w:val="0"/>
    <w:rPr>
      <w:sz w:val="24"/>
    </w:rPr>
  </w:style>
  <w:style w:type="character" w:customStyle="1" w:styleId="223">
    <w:name w:val="heading 1 Char1"/>
    <w:qFormat/>
    <w:uiPriority w:val="0"/>
    <w:rPr>
      <w:rFonts w:ascii="仿宋_GB2312" w:eastAsia="宋体"/>
      <w:b/>
      <w:bCs/>
      <w:kern w:val="44"/>
      <w:sz w:val="44"/>
      <w:szCs w:val="44"/>
      <w:lang w:val="en-US" w:eastAsia="zh-CN" w:bidi="ar-SA"/>
    </w:rPr>
  </w:style>
  <w:style w:type="character" w:customStyle="1" w:styleId="224">
    <w:name w:val="副标题 Char"/>
    <w:qFormat/>
    <w:uiPriority w:val="0"/>
    <w:rPr>
      <w:rFonts w:ascii="Cambria" w:hAnsi="Cambria"/>
      <w:b/>
      <w:bCs/>
      <w:kern w:val="28"/>
      <w:sz w:val="32"/>
      <w:szCs w:val="32"/>
    </w:rPr>
  </w:style>
  <w:style w:type="character" w:customStyle="1" w:styleId="225">
    <w:name w:val="无间隔 Char"/>
    <w:link w:val="226"/>
    <w:qFormat/>
    <w:uiPriority w:val="0"/>
    <w:rPr>
      <w:sz w:val="22"/>
      <w:szCs w:val="22"/>
      <w:lang w:val="en-US" w:eastAsia="zh-CN" w:bidi="ar-SA"/>
    </w:rPr>
  </w:style>
  <w:style w:type="paragraph" w:customStyle="1" w:styleId="226">
    <w:name w:val="无间隔1"/>
    <w:link w:val="225"/>
    <w:qFormat/>
    <w:uiPriority w:val="0"/>
    <w:rPr>
      <w:rFonts w:ascii="Times New Roman" w:hAnsi="Times New Roman" w:eastAsia="宋体" w:cs="Times New Roman"/>
      <w:sz w:val="22"/>
      <w:szCs w:val="22"/>
      <w:lang w:val="en-US" w:eastAsia="zh-CN" w:bidi="ar-SA"/>
    </w:rPr>
  </w:style>
  <w:style w:type="character" w:customStyle="1" w:styleId="227">
    <w:name w:val="投标正文 Char"/>
    <w:link w:val="228"/>
    <w:qFormat/>
    <w:uiPriority w:val="0"/>
    <w:rPr>
      <w:rFonts w:ascii="Calibri" w:hAnsi="Calibri"/>
      <w:sz w:val="24"/>
      <w:szCs w:val="24"/>
    </w:rPr>
  </w:style>
  <w:style w:type="paragraph" w:customStyle="1" w:styleId="228">
    <w:name w:val="投标正文"/>
    <w:basedOn w:val="1"/>
    <w:link w:val="227"/>
    <w:qFormat/>
    <w:uiPriority w:val="0"/>
    <w:pPr>
      <w:spacing w:line="360" w:lineRule="auto"/>
      <w:ind w:left="100" w:firstLine="480" w:firstLineChars="200"/>
    </w:pPr>
    <w:rPr>
      <w:rFonts w:ascii="Calibri" w:hAnsi="Calibri"/>
      <w:kern w:val="0"/>
      <w:sz w:val="24"/>
    </w:rPr>
  </w:style>
  <w:style w:type="character" w:customStyle="1" w:styleId="229">
    <w:name w:val="注释标题 Char"/>
    <w:qFormat/>
    <w:uiPriority w:val="0"/>
    <w:rPr>
      <w:rFonts w:eastAsia="黑体"/>
      <w:kern w:val="2"/>
      <w:sz w:val="28"/>
    </w:rPr>
  </w:style>
  <w:style w:type="character" w:customStyle="1" w:styleId="230">
    <w:name w:val="小标题 Char Char"/>
    <w:qFormat/>
    <w:uiPriority w:val="0"/>
    <w:rPr>
      <w:rFonts w:ascii="黑体" w:hAnsi="黑体" w:eastAsia="黑体"/>
      <w:b/>
      <w:bCs/>
      <w:kern w:val="2"/>
      <w:sz w:val="48"/>
      <w:szCs w:val="48"/>
    </w:rPr>
  </w:style>
  <w:style w:type="character" w:customStyle="1" w:styleId="231">
    <w:name w:val="正文缩进 Char2"/>
    <w:qFormat/>
    <w:uiPriority w:val="0"/>
    <w:rPr>
      <w:rFonts w:ascii="Tahoma" w:hAnsi="Tahoma" w:eastAsia="宋体"/>
      <w:b/>
      <w:bCs/>
      <w:kern w:val="2"/>
      <w:sz w:val="24"/>
      <w:szCs w:val="24"/>
      <w:lang w:val="en-US" w:eastAsia="zh-CN" w:bidi="ar-SA"/>
    </w:rPr>
  </w:style>
  <w:style w:type="character" w:customStyle="1" w:styleId="232">
    <w:name w:val="正文缩进 Char"/>
    <w:qFormat/>
    <w:uiPriority w:val="99"/>
    <w:rPr>
      <w:rFonts w:eastAsia="仿宋_GB2312"/>
      <w:sz w:val="21"/>
      <w:lang w:val="en-US" w:eastAsia="zh-CN" w:bidi="ar-SA"/>
    </w:rPr>
  </w:style>
  <w:style w:type="character" w:customStyle="1" w:styleId="233">
    <w:name w:val="HTML 预设格式 Char"/>
    <w:qFormat/>
    <w:uiPriority w:val="0"/>
    <w:rPr>
      <w:rFonts w:ascii="微软雅黑" w:hAnsi="微软雅黑" w:eastAsia="微软雅黑"/>
      <w:sz w:val="24"/>
      <w:szCs w:val="24"/>
    </w:rPr>
  </w:style>
  <w:style w:type="character" w:customStyle="1" w:styleId="234">
    <w:name w:val="编号正文缩进 Char"/>
    <w:link w:val="235"/>
    <w:qFormat/>
    <w:uiPriority w:val="0"/>
    <w:rPr>
      <w:sz w:val="24"/>
    </w:rPr>
  </w:style>
  <w:style w:type="paragraph" w:customStyle="1" w:styleId="235">
    <w:name w:val="编号正文缩进"/>
    <w:basedOn w:val="2"/>
    <w:link w:val="234"/>
    <w:qFormat/>
    <w:uiPriority w:val="0"/>
    <w:pPr>
      <w:numPr>
        <w:ilvl w:val="0"/>
        <w:numId w:val="4"/>
      </w:numPr>
      <w:spacing w:line="400" w:lineRule="atLeast"/>
    </w:pPr>
    <w:rPr>
      <w:sz w:val="24"/>
    </w:rPr>
  </w:style>
  <w:style w:type="character" w:customStyle="1" w:styleId="236">
    <w:name w:val="aaaaaaaaaaaaaa Char Char"/>
    <w:link w:val="237"/>
    <w:qFormat/>
    <w:uiPriority w:val="0"/>
    <w:rPr>
      <w:kern w:val="2"/>
    </w:rPr>
  </w:style>
  <w:style w:type="paragraph" w:customStyle="1" w:styleId="237">
    <w:name w:val="aaaaaaaaaaaaaa"/>
    <w:basedOn w:val="1"/>
    <w:link w:val="236"/>
    <w:qFormat/>
    <w:uiPriority w:val="0"/>
    <w:pPr>
      <w:spacing w:line="360" w:lineRule="auto"/>
      <w:ind w:firstLine="485" w:firstLineChars="202"/>
    </w:pPr>
    <w:rPr>
      <w:sz w:val="20"/>
      <w:szCs w:val="20"/>
    </w:rPr>
  </w:style>
  <w:style w:type="character" w:customStyle="1" w:styleId="238">
    <w:name w:val="Table Text Char Char"/>
    <w:link w:val="239"/>
    <w:qFormat/>
    <w:uiPriority w:val="0"/>
    <w:rPr>
      <w:sz w:val="24"/>
    </w:rPr>
  </w:style>
  <w:style w:type="paragraph" w:customStyle="1" w:styleId="239">
    <w:name w:val="Table Text"/>
    <w:basedOn w:val="1"/>
    <w:link w:val="238"/>
    <w:qFormat/>
    <w:uiPriority w:val="0"/>
    <w:pPr>
      <w:widowControl/>
      <w:autoSpaceDE w:val="0"/>
      <w:autoSpaceDN w:val="0"/>
      <w:adjustRightInd w:val="0"/>
      <w:spacing w:before="60" w:after="60"/>
      <w:jc w:val="left"/>
    </w:pPr>
    <w:rPr>
      <w:kern w:val="0"/>
      <w:sz w:val="24"/>
      <w:szCs w:val="20"/>
    </w:rPr>
  </w:style>
  <w:style w:type="character" w:customStyle="1" w:styleId="240">
    <w:name w:val="Char Char22"/>
    <w:qFormat/>
    <w:uiPriority w:val="0"/>
    <w:rPr>
      <w:rFonts w:ascii="Arial" w:hAnsi="Arial" w:eastAsia="黑体"/>
      <w:b/>
      <w:bCs/>
      <w:kern w:val="44"/>
      <w:sz w:val="30"/>
      <w:szCs w:val="44"/>
      <w:lang w:val="en-US" w:eastAsia="zh-CN" w:bidi="ar-SA"/>
    </w:rPr>
  </w:style>
  <w:style w:type="character" w:customStyle="1" w:styleId="241">
    <w:name w:val="正文2 Char"/>
    <w:link w:val="242"/>
    <w:qFormat/>
    <w:uiPriority w:val="0"/>
    <w:rPr>
      <w:sz w:val="24"/>
    </w:rPr>
  </w:style>
  <w:style w:type="paragraph" w:customStyle="1" w:styleId="242">
    <w:name w:val="正文2"/>
    <w:basedOn w:val="1"/>
    <w:link w:val="241"/>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243">
    <w:name w:val="栏目标题 Char"/>
    <w:link w:val="244"/>
    <w:qFormat/>
    <w:uiPriority w:val="0"/>
    <w:rPr>
      <w:rFonts w:ascii="黑体" w:hAnsi="黑体" w:eastAsia="黑体"/>
      <w:b/>
      <w:kern w:val="2"/>
      <w:sz w:val="21"/>
      <w:szCs w:val="24"/>
    </w:rPr>
  </w:style>
  <w:style w:type="paragraph" w:customStyle="1" w:styleId="244">
    <w:name w:val="栏目标题"/>
    <w:basedOn w:val="1"/>
    <w:link w:val="243"/>
    <w:qFormat/>
    <w:uiPriority w:val="0"/>
    <w:pPr>
      <w:jc w:val="center"/>
    </w:pPr>
    <w:rPr>
      <w:rFonts w:ascii="黑体" w:hAnsi="黑体" w:eastAsia="黑体"/>
      <w:b/>
    </w:rPr>
  </w:style>
  <w:style w:type="character" w:customStyle="1" w:styleId="245">
    <w:name w:val="明显引用 Char"/>
    <w:link w:val="246"/>
    <w:qFormat/>
    <w:uiPriority w:val="0"/>
    <w:rPr>
      <w:rFonts w:ascii="Calibri" w:hAnsi="Calibri"/>
      <w:b/>
      <w:bCs/>
      <w:i/>
      <w:iCs/>
      <w:color w:val="4F81BD"/>
      <w:sz w:val="32"/>
      <w:szCs w:val="32"/>
    </w:rPr>
  </w:style>
  <w:style w:type="paragraph" w:customStyle="1" w:styleId="246">
    <w:name w:val="明显引用1"/>
    <w:basedOn w:val="1"/>
    <w:next w:val="1"/>
    <w:link w:val="245"/>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247">
    <w:name w:val="普通文字1 Char"/>
    <w:qFormat/>
    <w:uiPriority w:val="0"/>
    <w:rPr>
      <w:rFonts w:ascii="宋体" w:hAnsi="Courier New" w:eastAsia="宋体" w:cs="Courier New"/>
      <w:kern w:val="2"/>
      <w:sz w:val="21"/>
      <w:szCs w:val="21"/>
      <w:lang w:val="en-US" w:eastAsia="zh-CN" w:bidi="ar-SA"/>
    </w:rPr>
  </w:style>
  <w:style w:type="character" w:customStyle="1" w:styleId="248">
    <w:name w:val="书籍标题1"/>
    <w:qFormat/>
    <w:uiPriority w:val="0"/>
    <w:rPr>
      <w:b/>
      <w:bCs/>
      <w:smallCaps/>
      <w:spacing w:val="5"/>
    </w:rPr>
  </w:style>
  <w:style w:type="character" w:customStyle="1" w:styleId="249">
    <w:name w:val="正文文本缩进 2 Char1"/>
    <w:qFormat/>
    <w:uiPriority w:val="0"/>
    <w:rPr>
      <w:kern w:val="2"/>
      <w:sz w:val="21"/>
      <w:szCs w:val="24"/>
    </w:rPr>
  </w:style>
  <w:style w:type="character" w:customStyle="1" w:styleId="250">
    <w:name w:val="批注文字 字符"/>
    <w:qFormat/>
    <w:uiPriority w:val="0"/>
    <w:rPr>
      <w:rFonts w:eastAsia="宋体"/>
      <w:kern w:val="2"/>
      <w:sz w:val="36"/>
      <w:szCs w:val="24"/>
      <w:lang w:val="en-US" w:eastAsia="zh-CN" w:bidi="ar-SA"/>
    </w:rPr>
  </w:style>
  <w:style w:type="character" w:customStyle="1" w:styleId="251">
    <w:name w:val="hover30"/>
    <w:qFormat/>
    <w:uiPriority w:val="0"/>
    <w:rPr>
      <w:szCs w:val="20"/>
    </w:rPr>
  </w:style>
  <w:style w:type="character" w:customStyle="1" w:styleId="252">
    <w:name w:val="heading 6 Char1"/>
    <w:qFormat/>
    <w:uiPriority w:val="0"/>
    <w:rPr>
      <w:rFonts w:ascii="Arial" w:hAnsi="Arial" w:eastAsia="黑体"/>
      <w:b/>
      <w:kern w:val="2"/>
      <w:sz w:val="24"/>
      <w:szCs w:val="24"/>
      <w:lang w:val="en-US" w:eastAsia="zh-CN" w:bidi="ar-SA"/>
    </w:rPr>
  </w:style>
  <w:style w:type="character" w:customStyle="1" w:styleId="253">
    <w:name w:val="批注主题 Char1"/>
    <w:qFormat/>
    <w:uiPriority w:val="0"/>
    <w:rPr>
      <w:b/>
      <w:bCs/>
      <w:kern w:val="2"/>
      <w:sz w:val="21"/>
      <w:szCs w:val="24"/>
    </w:rPr>
  </w:style>
  <w:style w:type="character" w:customStyle="1" w:styleId="254">
    <w:name w:val="Char Char6"/>
    <w:qFormat/>
    <w:uiPriority w:val="0"/>
    <w:rPr>
      <w:rFonts w:ascii="Times New Roman" w:hAnsi="Times New Roman" w:eastAsia="宋体" w:cs="Times New Roman"/>
      <w:szCs w:val="24"/>
    </w:rPr>
  </w:style>
  <w:style w:type="character" w:customStyle="1" w:styleId="255">
    <w:name w:val="input"/>
    <w:qFormat/>
    <w:uiPriority w:val="0"/>
    <w:rPr>
      <w:szCs w:val="20"/>
    </w:rPr>
  </w:style>
  <w:style w:type="character" w:customStyle="1" w:styleId="256">
    <w:name w:val="red"/>
    <w:qFormat/>
    <w:uiPriority w:val="0"/>
    <w:rPr>
      <w:color w:val="FF0000"/>
      <w:szCs w:val="20"/>
    </w:rPr>
  </w:style>
  <w:style w:type="character" w:customStyle="1" w:styleId="257">
    <w:name w:val="正文文本缩进 Char"/>
    <w:qFormat/>
    <w:uiPriority w:val="0"/>
    <w:rPr>
      <w:rFonts w:ascii="宋体" w:hAnsi="宋体"/>
      <w:kern w:val="2"/>
      <w:sz w:val="24"/>
    </w:rPr>
  </w:style>
  <w:style w:type="character" w:customStyle="1" w:styleId="258">
    <w:name w:val="PI Char2"/>
    <w:qFormat/>
    <w:uiPriority w:val="0"/>
    <w:rPr>
      <w:rFonts w:ascii="仿宋_GB2312" w:eastAsia="仿宋_GB2312"/>
      <w:b/>
      <w:kern w:val="2"/>
      <w:sz w:val="24"/>
      <w:szCs w:val="24"/>
    </w:rPr>
  </w:style>
  <w:style w:type="character" w:customStyle="1" w:styleId="259">
    <w:name w:val="表格 Char"/>
    <w:qFormat/>
    <w:uiPriority w:val="0"/>
    <w:rPr>
      <w:rFonts w:ascii="Calibri" w:hAnsi="Calibri" w:cs="黑体"/>
      <w:kern w:val="2"/>
      <w:sz w:val="21"/>
      <w:szCs w:val="21"/>
    </w:rPr>
  </w:style>
  <w:style w:type="character" w:customStyle="1" w:styleId="260">
    <w:name w:val="Char Char"/>
    <w:qFormat/>
    <w:uiPriority w:val="0"/>
    <w:rPr>
      <w:rFonts w:ascii="宋体" w:hAnsi="Courier New" w:eastAsia="宋体"/>
      <w:kern w:val="2"/>
      <w:sz w:val="21"/>
      <w:lang w:val="en-US" w:eastAsia="zh-CN" w:bidi="ar-SA"/>
    </w:rPr>
  </w:style>
  <w:style w:type="character" w:customStyle="1" w:styleId="261">
    <w:name w:val="param_td1"/>
    <w:qFormat/>
    <w:uiPriority w:val="0"/>
    <w:rPr>
      <w:rFonts w:ascii="仿宋_GB2312" w:hAnsi="Tahoma" w:eastAsia="仿宋_GB2312"/>
      <w:b/>
      <w:sz w:val="32"/>
      <w:szCs w:val="32"/>
    </w:rPr>
  </w:style>
  <w:style w:type="character" w:customStyle="1" w:styleId="262">
    <w:name w:val="注释正文"/>
    <w:qFormat/>
    <w:uiPriority w:val="0"/>
    <w:rPr>
      <w:rFonts w:eastAsia="宋体"/>
      <w:sz w:val="28"/>
      <w:u w:val="single"/>
    </w:rPr>
  </w:style>
  <w:style w:type="character" w:customStyle="1" w:styleId="263">
    <w:name w:val="正文首行缩进 2 Char2"/>
    <w:qFormat/>
    <w:uiPriority w:val="0"/>
    <w:rPr>
      <w:rFonts w:ascii="Calibri" w:hAnsi="Calibri" w:cs="黑体"/>
      <w:kern w:val="2"/>
      <w:sz w:val="21"/>
      <w:szCs w:val="24"/>
    </w:rPr>
  </w:style>
  <w:style w:type="character" w:customStyle="1" w:styleId="264">
    <w:name w:val="Footer-Even Char1"/>
    <w:qFormat/>
    <w:uiPriority w:val="0"/>
    <w:rPr>
      <w:rFonts w:ascii="仿宋_GB2312" w:eastAsia="宋体"/>
      <w:b/>
      <w:kern w:val="2"/>
      <w:sz w:val="18"/>
      <w:szCs w:val="18"/>
      <w:lang w:val="en-US" w:eastAsia="zh-CN" w:bidi="ar-SA"/>
    </w:rPr>
  </w:style>
  <w:style w:type="character" w:customStyle="1" w:styleId="265">
    <w:name w:val="正文居中 Char"/>
    <w:link w:val="266"/>
    <w:qFormat/>
    <w:uiPriority w:val="0"/>
    <w:rPr>
      <w:kern w:val="2"/>
      <w:sz w:val="21"/>
      <w:szCs w:val="24"/>
    </w:rPr>
  </w:style>
  <w:style w:type="paragraph" w:customStyle="1" w:styleId="266">
    <w:name w:val="正文居中"/>
    <w:basedOn w:val="1"/>
    <w:link w:val="265"/>
    <w:qFormat/>
    <w:uiPriority w:val="0"/>
    <w:pPr>
      <w:jc w:val="center"/>
    </w:pPr>
  </w:style>
  <w:style w:type="character" w:customStyle="1" w:styleId="267">
    <w:name w:val="Char Char61"/>
    <w:qFormat/>
    <w:uiPriority w:val="0"/>
    <w:rPr>
      <w:rFonts w:ascii="Times New Roman" w:hAnsi="Times New Roman" w:eastAsia="宋体" w:cs="Times New Roman"/>
      <w:szCs w:val="24"/>
    </w:rPr>
  </w:style>
  <w:style w:type="character" w:customStyle="1" w:styleId="268">
    <w:name w:val="宏文本 Char1"/>
    <w:semiHidden/>
    <w:qFormat/>
    <w:uiPriority w:val="99"/>
    <w:rPr>
      <w:rFonts w:ascii="Courier New" w:hAnsi="Courier New" w:cs="Courier New"/>
      <w:kern w:val="2"/>
      <w:sz w:val="24"/>
      <w:szCs w:val="24"/>
    </w:rPr>
  </w:style>
  <w:style w:type="character" w:customStyle="1" w:styleId="269">
    <w:name w:val="纯文本 Char"/>
    <w:qFormat/>
    <w:uiPriority w:val="0"/>
    <w:rPr>
      <w:rFonts w:ascii="仿宋_GB2312" w:hAnsi="Wingdings" w:eastAsia="仿宋_GB2312"/>
      <w:sz w:val="21"/>
      <w:szCs w:val="21"/>
      <w:lang w:val="en-US" w:eastAsia="zh-CN" w:bidi="ar-SA"/>
    </w:rPr>
  </w:style>
  <w:style w:type="character" w:customStyle="1" w:styleId="270">
    <w:name w:val="font01"/>
    <w:qFormat/>
    <w:uiPriority w:val="0"/>
    <w:rPr>
      <w:rFonts w:hint="eastAsia" w:ascii="宋体" w:hAnsi="宋体" w:eastAsia="宋体" w:cs="宋体"/>
      <w:color w:val="000000"/>
      <w:sz w:val="22"/>
      <w:szCs w:val="22"/>
      <w:u w:val="none"/>
    </w:rPr>
  </w:style>
  <w:style w:type="character" w:customStyle="1" w:styleId="271">
    <w:name w:val="heading 3 Char"/>
    <w:qFormat/>
    <w:uiPriority w:val="0"/>
    <w:rPr>
      <w:rFonts w:ascii="Arial" w:hAnsi="Arial" w:eastAsia="黑体"/>
      <w:b/>
      <w:sz w:val="28"/>
      <w:szCs w:val="24"/>
    </w:rPr>
  </w:style>
  <w:style w:type="character" w:customStyle="1" w:styleId="272">
    <w:name w:val="password"/>
    <w:qFormat/>
    <w:uiPriority w:val="0"/>
    <w:rPr>
      <w:szCs w:val="20"/>
    </w:rPr>
  </w:style>
  <w:style w:type="character" w:customStyle="1" w:styleId="273">
    <w:name w:val="标题 1 Char"/>
    <w:qFormat/>
    <w:uiPriority w:val="0"/>
    <w:rPr>
      <w:rFonts w:eastAsia="宋体"/>
      <w:b/>
      <w:bCs/>
      <w:kern w:val="44"/>
      <w:sz w:val="44"/>
      <w:szCs w:val="44"/>
      <w:lang w:val="en-US" w:eastAsia="zh-CN" w:bidi="ar-SA"/>
    </w:rPr>
  </w:style>
  <w:style w:type="character" w:customStyle="1" w:styleId="274">
    <w:name w:val="Char Char2"/>
    <w:qFormat/>
    <w:uiPriority w:val="0"/>
    <w:rPr>
      <w:rFonts w:ascii="Arial" w:hAnsi="Arial" w:eastAsia="黑体"/>
      <w:b/>
      <w:bCs/>
      <w:kern w:val="44"/>
      <w:sz w:val="30"/>
      <w:szCs w:val="44"/>
      <w:lang w:val="en-US" w:eastAsia="zh-CN" w:bidi="ar-SA"/>
    </w:rPr>
  </w:style>
  <w:style w:type="character" w:customStyle="1" w:styleId="275">
    <w:name w:val="文档结构图 Char1"/>
    <w:qFormat/>
    <w:uiPriority w:val="0"/>
    <w:rPr>
      <w:kern w:val="2"/>
      <w:sz w:val="21"/>
      <w:szCs w:val="24"/>
      <w:shd w:val="clear" w:color="auto" w:fill="000080"/>
    </w:rPr>
  </w:style>
  <w:style w:type="character" w:customStyle="1" w:styleId="276">
    <w:name w:val="gray6"/>
    <w:qFormat/>
    <w:uiPriority w:val="0"/>
    <w:rPr>
      <w:rFonts w:ascii="仿宋_GB2312" w:hAnsi="Tahoma" w:eastAsia="仿宋_GB2312"/>
      <w:b/>
      <w:sz w:val="32"/>
      <w:szCs w:val="32"/>
    </w:rPr>
  </w:style>
  <w:style w:type="character" w:customStyle="1" w:styleId="277">
    <w:name w:val="Heading 2 Hidden Char1 Char"/>
    <w:qFormat/>
    <w:uiPriority w:val="0"/>
    <w:rPr>
      <w:rFonts w:ascii="宋体" w:hAnsi="Times New Roman" w:eastAsia="宋体" w:cs="Times New Roman"/>
      <w:kern w:val="0"/>
      <w:sz w:val="24"/>
      <w:szCs w:val="24"/>
    </w:rPr>
  </w:style>
  <w:style w:type="character" w:customStyle="1" w:styleId="278">
    <w:name w:val="标题 4 Char1"/>
    <w:qFormat/>
    <w:uiPriority w:val="0"/>
    <w:rPr>
      <w:rFonts w:ascii="Cambria" w:hAnsi="Cambria"/>
      <w:b/>
      <w:bCs/>
      <w:kern w:val="2"/>
      <w:sz w:val="28"/>
      <w:szCs w:val="28"/>
    </w:rPr>
  </w:style>
  <w:style w:type="character" w:customStyle="1" w:styleId="279">
    <w:name w:val="符号正文缩进 Char Char"/>
    <w:qFormat/>
    <w:uiPriority w:val="0"/>
    <w:rPr>
      <w:sz w:val="24"/>
    </w:rPr>
  </w:style>
  <w:style w:type="character" w:customStyle="1" w:styleId="280">
    <w:name w:val="Char Char Char"/>
    <w:qFormat/>
    <w:uiPriority w:val="0"/>
    <w:rPr>
      <w:rFonts w:ascii="宋体" w:hAnsi="宋体" w:eastAsia="宋体"/>
      <w:kern w:val="2"/>
      <w:sz w:val="18"/>
      <w:szCs w:val="18"/>
      <w:lang w:val="en-US" w:eastAsia="zh-CN" w:bidi="ar-SA"/>
    </w:rPr>
  </w:style>
  <w:style w:type="character" w:customStyle="1" w:styleId="281">
    <w:name w:val="A3"/>
    <w:qFormat/>
    <w:uiPriority w:val="0"/>
    <w:rPr>
      <w:rFonts w:ascii="ZapfDingbatsNr2EFOP-Regular" w:eastAsia="ZapfDingbatsNr2EFOP-Regular" w:cs="ZapfDingbatsNr2EFOP-Regular"/>
      <w:color w:val="211D1E"/>
      <w:sz w:val="14"/>
      <w:szCs w:val="14"/>
    </w:rPr>
  </w:style>
  <w:style w:type="character" w:customStyle="1" w:styleId="282">
    <w:name w:val="Char Char201"/>
    <w:qFormat/>
    <w:uiPriority w:val="0"/>
    <w:rPr>
      <w:rFonts w:ascii="Cambria" w:hAnsi="Cambria" w:eastAsia="宋体" w:cs="Times New Roman"/>
      <w:b/>
      <w:bCs/>
      <w:sz w:val="32"/>
      <w:szCs w:val="32"/>
    </w:rPr>
  </w:style>
  <w:style w:type="character" w:customStyle="1" w:styleId="283">
    <w:name w:val="med1"/>
    <w:qFormat/>
    <w:uiPriority w:val="0"/>
  </w:style>
  <w:style w:type="character" w:customStyle="1" w:styleId="284">
    <w:name w:val="doc1"/>
    <w:qFormat/>
    <w:uiPriority w:val="0"/>
    <w:rPr>
      <w:szCs w:val="20"/>
    </w:rPr>
  </w:style>
  <w:style w:type="character" w:customStyle="1" w:styleId="285">
    <w:name w:val="3级 Char"/>
    <w:link w:val="286"/>
    <w:qFormat/>
    <w:uiPriority w:val="0"/>
    <w:rPr>
      <w:rFonts w:ascii="Calibri" w:hAnsi="Calibri"/>
      <w:b/>
      <w:bCs/>
      <w:sz w:val="28"/>
      <w:szCs w:val="32"/>
    </w:rPr>
  </w:style>
  <w:style w:type="paragraph" w:customStyle="1" w:styleId="286">
    <w:name w:val="3级"/>
    <w:basedOn w:val="6"/>
    <w:next w:val="23"/>
    <w:link w:val="285"/>
    <w:qFormat/>
    <w:uiPriority w:val="0"/>
    <w:pPr>
      <w:spacing w:line="416" w:lineRule="auto"/>
      <w:ind w:right="100" w:rightChars="100"/>
    </w:pPr>
    <w:rPr>
      <w:rFonts w:ascii="Calibri" w:hAnsi="Calibri"/>
      <w:kern w:val="0"/>
      <w:sz w:val="28"/>
    </w:rPr>
  </w:style>
  <w:style w:type="character" w:customStyle="1" w:styleId="287">
    <w:name w:val="正文文本 3 Char"/>
    <w:qFormat/>
    <w:uiPriority w:val="0"/>
  </w:style>
  <w:style w:type="character" w:customStyle="1" w:styleId="288">
    <w:name w:val="Char Char21"/>
    <w:qFormat/>
    <w:uiPriority w:val="0"/>
    <w:rPr>
      <w:rFonts w:ascii="Times New Roman" w:hAnsi="Times New Roman" w:eastAsia="宋体" w:cs="Times New Roman"/>
      <w:b/>
      <w:bCs/>
      <w:kern w:val="44"/>
      <w:sz w:val="44"/>
      <w:szCs w:val="44"/>
    </w:rPr>
  </w:style>
  <w:style w:type="character" w:customStyle="1" w:styleId="289">
    <w:name w:val="批注框文本 Char1"/>
    <w:semiHidden/>
    <w:qFormat/>
    <w:locked/>
    <w:uiPriority w:val="99"/>
    <w:rPr>
      <w:rFonts w:hint="eastAsia" w:ascii="Heiti SC Light" w:hAnsi="宋体" w:eastAsia="Heiti SC Light" w:cs="Times New Roman"/>
      <w:sz w:val="18"/>
      <w:szCs w:val="18"/>
    </w:rPr>
  </w:style>
  <w:style w:type="character" w:customStyle="1" w:styleId="290">
    <w:name w:val="heading 2 Char1"/>
    <w:qFormat/>
    <w:uiPriority w:val="0"/>
    <w:rPr>
      <w:rFonts w:ascii="Cambria" w:hAnsi="Cambria" w:eastAsia="宋体"/>
      <w:b/>
      <w:bCs/>
      <w:kern w:val="2"/>
      <w:sz w:val="32"/>
      <w:szCs w:val="32"/>
      <w:lang w:val="en-US" w:eastAsia="zh-CN" w:bidi="ar-SA"/>
    </w:rPr>
  </w:style>
  <w:style w:type="character" w:customStyle="1" w:styleId="291">
    <w:name w:val="正文首行缩进 Char2"/>
    <w:qFormat/>
    <w:uiPriority w:val="0"/>
    <w:rPr>
      <w:rFonts w:ascii="仿宋_GB2312"/>
      <w:b/>
      <w:sz w:val="32"/>
      <w:szCs w:val="32"/>
    </w:rPr>
  </w:style>
  <w:style w:type="character" w:customStyle="1" w:styleId="292">
    <w:name w:val="内容文本 Char"/>
    <w:link w:val="293"/>
    <w:qFormat/>
    <w:uiPriority w:val="0"/>
    <w:rPr>
      <w:rFonts w:ascii="宋体" w:hAnsi="宋体"/>
      <w:sz w:val="24"/>
      <w:szCs w:val="24"/>
      <w:lang w:eastAsia="en-US" w:bidi="en-US"/>
    </w:rPr>
  </w:style>
  <w:style w:type="paragraph" w:customStyle="1" w:styleId="293">
    <w:name w:val="内容文本"/>
    <w:basedOn w:val="294"/>
    <w:link w:val="292"/>
    <w:qFormat/>
    <w:uiPriority w:val="0"/>
    <w:pPr>
      <w:spacing w:line="360" w:lineRule="auto"/>
      <w:ind w:firstLine="200"/>
      <w:contextualSpacing/>
      <w:jc w:val="left"/>
    </w:pPr>
    <w:rPr>
      <w:rFonts w:ascii="宋体" w:hAnsi="宋体"/>
      <w:kern w:val="0"/>
      <w:sz w:val="24"/>
      <w:lang w:eastAsia="en-US" w:bidi="en-US"/>
    </w:rPr>
  </w:style>
  <w:style w:type="paragraph" w:customStyle="1" w:styleId="294">
    <w:name w:val="列表段落1"/>
    <w:basedOn w:val="1"/>
    <w:link w:val="295"/>
    <w:qFormat/>
    <w:uiPriority w:val="99"/>
    <w:pPr>
      <w:ind w:firstLine="420" w:firstLineChars="200"/>
    </w:pPr>
  </w:style>
  <w:style w:type="character" w:customStyle="1" w:styleId="295">
    <w:name w:val="列出段落 Char"/>
    <w:link w:val="294"/>
    <w:qFormat/>
    <w:uiPriority w:val="99"/>
    <w:rPr>
      <w:kern w:val="2"/>
      <w:sz w:val="21"/>
      <w:szCs w:val="24"/>
    </w:rPr>
  </w:style>
  <w:style w:type="character" w:customStyle="1" w:styleId="296">
    <w:name w:val="Char1"/>
    <w:qFormat/>
    <w:uiPriority w:val="0"/>
    <w:rPr>
      <w:rFonts w:ascii="宋体" w:hAnsi="宋体" w:eastAsia="宋体"/>
      <w:b/>
      <w:kern w:val="2"/>
      <w:sz w:val="24"/>
      <w:szCs w:val="24"/>
      <w:lang w:val="en-US" w:eastAsia="zh-CN" w:bidi="ar-SA"/>
    </w:rPr>
  </w:style>
  <w:style w:type="character" w:customStyle="1" w:styleId="297">
    <w:name w:val="size31"/>
    <w:qFormat/>
    <w:uiPriority w:val="0"/>
    <w:rPr>
      <w:rFonts w:hint="default" w:ascii="Arial" w:hAnsi="Arial" w:cs="Arial"/>
      <w:color w:val="2D2D2D"/>
      <w:spacing w:val="285"/>
      <w:sz w:val="18"/>
      <w:szCs w:val="18"/>
    </w:rPr>
  </w:style>
  <w:style w:type="character" w:customStyle="1" w:styleId="298">
    <w:name w:val="1.1.1.1.1 Char"/>
    <w:link w:val="299"/>
    <w:qFormat/>
    <w:uiPriority w:val="0"/>
    <w:rPr>
      <w:rFonts w:ascii="Arial" w:hAnsi="Arial" w:eastAsia="黑体"/>
      <w:b/>
      <w:bCs/>
      <w:kern w:val="2"/>
      <w:sz w:val="24"/>
      <w:szCs w:val="28"/>
    </w:rPr>
  </w:style>
  <w:style w:type="paragraph" w:customStyle="1" w:styleId="299">
    <w:name w:val="1.1.1.1.1"/>
    <w:basedOn w:val="174"/>
    <w:next w:val="2"/>
    <w:link w:val="298"/>
    <w:qFormat/>
    <w:uiPriority w:val="0"/>
    <w:pPr>
      <w:keepLines/>
      <w:numPr>
        <w:ilvl w:val="0"/>
        <w:numId w:val="5"/>
      </w:numPr>
      <w:spacing w:before="240" w:after="240" w:line="377" w:lineRule="auto"/>
      <w:ind w:firstLine="0" w:firstLineChars="0"/>
      <w:outlineLvl w:val="4"/>
    </w:pPr>
    <w:rPr>
      <w:rFonts w:ascii="Arial" w:hAnsi="Arial" w:eastAsia="黑体"/>
      <w:bCs/>
      <w:sz w:val="24"/>
      <w:szCs w:val="28"/>
    </w:rPr>
  </w:style>
  <w:style w:type="character" w:customStyle="1" w:styleId="300">
    <w:name w:val="正文4 Char Char"/>
    <w:link w:val="301"/>
    <w:qFormat/>
    <w:uiPriority w:val="0"/>
    <w:rPr>
      <w:kern w:val="2"/>
    </w:rPr>
  </w:style>
  <w:style w:type="paragraph" w:customStyle="1" w:styleId="301">
    <w:name w:val="正文4"/>
    <w:basedOn w:val="1"/>
    <w:link w:val="300"/>
    <w:qFormat/>
    <w:uiPriority w:val="0"/>
    <w:pPr>
      <w:numPr>
        <w:ilvl w:val="0"/>
        <w:numId w:val="6"/>
      </w:numPr>
      <w:spacing w:before="60" w:after="60" w:line="360" w:lineRule="auto"/>
      <w:ind w:firstLine="0"/>
    </w:pPr>
    <w:rPr>
      <w:sz w:val="20"/>
      <w:szCs w:val="20"/>
    </w:rPr>
  </w:style>
  <w:style w:type="character" w:customStyle="1" w:styleId="302">
    <w:name w:val="标题1"/>
    <w:qFormat/>
    <w:uiPriority w:val="0"/>
  </w:style>
  <w:style w:type="character" w:customStyle="1" w:styleId="303">
    <w:name w:val="题注 Char"/>
    <w:qFormat/>
    <w:uiPriority w:val="0"/>
    <w:rPr>
      <w:rFonts w:ascii="Arial" w:hAnsi="Arial" w:eastAsia="黑体" w:cs="Arial"/>
    </w:rPr>
  </w:style>
  <w:style w:type="character" w:customStyle="1" w:styleId="304">
    <w:name w:val="heading 7 Char1"/>
    <w:qFormat/>
    <w:uiPriority w:val="0"/>
    <w:rPr>
      <w:rFonts w:ascii="Arial" w:hAnsi="Arial" w:eastAsia="黑体"/>
      <w:b/>
      <w:sz w:val="21"/>
      <w:szCs w:val="21"/>
      <w:lang w:val="en-US" w:eastAsia="zh-CN" w:bidi="ar-SA"/>
    </w:rPr>
  </w:style>
  <w:style w:type="character" w:customStyle="1" w:styleId="305">
    <w:name w:val="样式1 Char"/>
    <w:link w:val="306"/>
    <w:qFormat/>
    <w:uiPriority w:val="0"/>
    <w:rPr>
      <w:rFonts w:ascii="宋体" w:hAnsi="宋体"/>
      <w:kern w:val="2"/>
      <w:sz w:val="21"/>
      <w:szCs w:val="21"/>
    </w:rPr>
  </w:style>
  <w:style w:type="paragraph" w:customStyle="1" w:styleId="306">
    <w:name w:val="样式1"/>
    <w:basedOn w:val="1"/>
    <w:next w:val="7"/>
    <w:link w:val="305"/>
    <w:qFormat/>
    <w:uiPriority w:val="0"/>
    <w:pPr>
      <w:spacing w:line="360" w:lineRule="auto"/>
      <w:ind w:firstLine="420" w:firstLineChars="200"/>
    </w:pPr>
    <w:rPr>
      <w:rFonts w:ascii="宋体" w:hAnsi="宋体"/>
      <w:szCs w:val="21"/>
    </w:rPr>
  </w:style>
  <w:style w:type="character" w:customStyle="1" w:styleId="307">
    <w:name w:val="样式 样式 正文首行缩进 + 首行缩进:  2 字符 + 首行缩进:  2 字符 Char"/>
    <w:link w:val="308"/>
    <w:qFormat/>
    <w:uiPriority w:val="0"/>
    <w:rPr>
      <w:rFonts w:cs="宋体"/>
      <w:kern w:val="2"/>
      <w:sz w:val="24"/>
    </w:rPr>
  </w:style>
  <w:style w:type="paragraph" w:customStyle="1" w:styleId="308">
    <w:name w:val="样式 样式 正文首行缩进 + 首行缩进:  2 字符 + 首行缩进:  2 字符"/>
    <w:basedOn w:val="1"/>
    <w:link w:val="307"/>
    <w:qFormat/>
    <w:uiPriority w:val="0"/>
    <w:pPr>
      <w:spacing w:line="440" w:lineRule="exact"/>
      <w:ind w:firstLine="200" w:firstLineChars="200"/>
    </w:pPr>
    <w:rPr>
      <w:sz w:val="24"/>
      <w:szCs w:val="20"/>
    </w:rPr>
  </w:style>
  <w:style w:type="character" w:customStyle="1" w:styleId="309">
    <w:name w:val="heading 3 Char1"/>
    <w:qFormat/>
    <w:uiPriority w:val="0"/>
    <w:rPr>
      <w:rFonts w:ascii="仿宋_GB2312" w:eastAsia="宋体"/>
      <w:b/>
      <w:bCs/>
      <w:kern w:val="2"/>
      <w:sz w:val="32"/>
      <w:szCs w:val="32"/>
      <w:lang w:val="en-US" w:eastAsia="zh-CN" w:bidi="ar-SA"/>
    </w:rPr>
  </w:style>
  <w:style w:type="character" w:customStyle="1" w:styleId="310">
    <w:name w:val="日期 Char"/>
    <w:qFormat/>
    <w:uiPriority w:val="99"/>
    <w:rPr>
      <w:spacing w:val="12"/>
      <w:kern w:val="2"/>
      <w:sz w:val="24"/>
    </w:rPr>
  </w:style>
  <w:style w:type="character" w:customStyle="1" w:styleId="311">
    <w:name w:val="哈哈正文 Char"/>
    <w:link w:val="312"/>
    <w:qFormat/>
    <w:uiPriority w:val="0"/>
    <w:rPr>
      <w:rFonts w:ascii="宋体" w:hAnsi="宋体" w:cs="宋体"/>
      <w:kern w:val="2"/>
      <w:sz w:val="24"/>
    </w:rPr>
  </w:style>
  <w:style w:type="paragraph" w:customStyle="1" w:styleId="312">
    <w:name w:val="哈哈正文"/>
    <w:basedOn w:val="1"/>
    <w:link w:val="311"/>
    <w:qFormat/>
    <w:uiPriority w:val="0"/>
    <w:pPr>
      <w:spacing w:line="360" w:lineRule="auto"/>
      <w:ind w:firstLine="200" w:firstLineChars="200"/>
    </w:pPr>
    <w:rPr>
      <w:rFonts w:ascii="宋体" w:hAnsi="宋体"/>
      <w:sz w:val="24"/>
      <w:szCs w:val="20"/>
    </w:rPr>
  </w:style>
  <w:style w:type="character" w:customStyle="1" w:styleId="313">
    <w:name w:val="页眉注释 Char"/>
    <w:link w:val="314"/>
    <w:qFormat/>
    <w:uiPriority w:val="0"/>
    <w:rPr>
      <w:rFonts w:ascii="华文细黑" w:hAnsi="华文细黑" w:eastAsia="华文细黑"/>
      <w:b/>
      <w:color w:val="FFFFFF"/>
      <w:kern w:val="2"/>
      <w:sz w:val="18"/>
      <w:szCs w:val="18"/>
    </w:rPr>
  </w:style>
  <w:style w:type="paragraph" w:customStyle="1" w:styleId="314">
    <w:name w:val="页眉注释"/>
    <w:basedOn w:val="1"/>
    <w:link w:val="313"/>
    <w:qFormat/>
    <w:uiPriority w:val="0"/>
    <w:pPr>
      <w:spacing w:line="0" w:lineRule="atLeast"/>
      <w:jc w:val="center"/>
    </w:pPr>
    <w:rPr>
      <w:rFonts w:ascii="华文细黑" w:hAnsi="华文细黑" w:eastAsia="华文细黑"/>
      <w:b/>
      <w:color w:val="FFFFFF"/>
      <w:sz w:val="18"/>
      <w:szCs w:val="18"/>
    </w:rPr>
  </w:style>
  <w:style w:type="character" w:customStyle="1" w:styleId="315">
    <w:name w:val="标题 2 Char1"/>
    <w:qFormat/>
    <w:uiPriority w:val="0"/>
    <w:rPr>
      <w:rFonts w:ascii="Arial" w:hAnsi="Arial" w:eastAsia="黑体"/>
      <w:b/>
      <w:bCs/>
      <w:kern w:val="2"/>
      <w:sz w:val="32"/>
      <w:szCs w:val="32"/>
    </w:rPr>
  </w:style>
  <w:style w:type="character" w:customStyle="1" w:styleId="316">
    <w:name w:val="Style5"/>
    <w:qFormat/>
    <w:uiPriority w:val="0"/>
    <w:rPr>
      <w:rFonts w:ascii="Calibri" w:hAnsi="宋体" w:eastAsia="宋体" w:cs="Times New Roman"/>
      <w:sz w:val="22"/>
      <w:szCs w:val="22"/>
      <w:lang w:eastAsia="zh-CN"/>
    </w:rPr>
  </w:style>
  <w:style w:type="character" w:customStyle="1" w:styleId="317">
    <w:name w:val="标题 3 Char"/>
    <w:qFormat/>
    <w:uiPriority w:val="0"/>
    <w:rPr>
      <w:rFonts w:ascii="黑体" w:hAnsi="宋体" w:eastAsia="黑体"/>
      <w:bCs/>
      <w:kern w:val="2"/>
      <w:sz w:val="28"/>
      <w:szCs w:val="28"/>
      <w:lang w:val="en-US" w:eastAsia="zh-CN" w:bidi="ar-SA"/>
    </w:rPr>
  </w:style>
  <w:style w:type="character" w:customStyle="1" w:styleId="318">
    <w:name w:val="Title1"/>
    <w:qFormat/>
    <w:uiPriority w:val="0"/>
  </w:style>
  <w:style w:type="character" w:customStyle="1" w:styleId="319">
    <w:name w:val="标题 Char1"/>
    <w:qFormat/>
    <w:uiPriority w:val="0"/>
    <w:rPr>
      <w:rFonts w:ascii="Cambria" w:hAnsi="Cambria" w:cs="Times New Roman"/>
      <w:b/>
      <w:bCs/>
      <w:kern w:val="2"/>
      <w:sz w:val="32"/>
      <w:szCs w:val="32"/>
    </w:rPr>
  </w:style>
  <w:style w:type="character" w:customStyle="1" w:styleId="320">
    <w:name w:val="authcode"/>
    <w:qFormat/>
    <w:uiPriority w:val="0"/>
    <w:rPr>
      <w:szCs w:val="20"/>
    </w:rPr>
  </w:style>
  <w:style w:type="character" w:customStyle="1" w:styleId="321">
    <w:name w:val="标题 8 Char"/>
    <w:qFormat/>
    <w:uiPriority w:val="0"/>
    <w:rPr>
      <w:rFonts w:ascii="Arial" w:hAnsi="Arial" w:eastAsia="黑体"/>
      <w:b/>
      <w:sz w:val="24"/>
      <w:szCs w:val="32"/>
    </w:rPr>
  </w:style>
  <w:style w:type="character" w:customStyle="1" w:styleId="322">
    <w:name w:val="文档结构图 Char2"/>
    <w:semiHidden/>
    <w:qFormat/>
    <w:uiPriority w:val="0"/>
    <w:rPr>
      <w:rFonts w:ascii="Microsoft YaHei UI" w:eastAsia="Microsoft YaHei UI"/>
      <w:sz w:val="18"/>
      <w:szCs w:val="18"/>
    </w:rPr>
  </w:style>
  <w:style w:type="character" w:customStyle="1" w:styleId="323">
    <w:name w:val="样式2 Char"/>
    <w:qFormat/>
    <w:uiPriority w:val="0"/>
    <w:rPr>
      <w:rFonts w:ascii="Arial" w:hAnsi="Arial" w:eastAsia="黑体"/>
      <w:b/>
      <w:bCs/>
      <w:sz w:val="36"/>
      <w:szCs w:val="32"/>
    </w:rPr>
  </w:style>
  <w:style w:type="character" w:customStyle="1" w:styleId="324">
    <w:name w:val="题注(图注) Char"/>
    <w:qFormat/>
    <w:uiPriority w:val="0"/>
    <w:rPr>
      <w:rFonts w:ascii="Arial Unicode MS" w:hAnsi="Arial Unicode MS" w:eastAsia="宋体" w:cs="宋体"/>
      <w:szCs w:val="20"/>
      <w:lang w:val="en-US" w:eastAsia="zh-CN"/>
    </w:rPr>
  </w:style>
  <w:style w:type="character" w:customStyle="1" w:styleId="325">
    <w:name w:val="普通(网站) Char"/>
    <w:qFormat/>
    <w:uiPriority w:val="99"/>
    <w:rPr>
      <w:rFonts w:ascii="宋体" w:hAnsi="宋体"/>
      <w:color w:val="000000"/>
      <w:sz w:val="24"/>
      <w:szCs w:val="24"/>
    </w:rPr>
  </w:style>
  <w:style w:type="character" w:customStyle="1" w:styleId="326">
    <w:name w:val="smalltxt1"/>
    <w:qFormat/>
    <w:uiPriority w:val="0"/>
    <w:rPr>
      <w:rFonts w:hint="default" w:ascii="ˎ̥" w:hAnsi="ˎ̥" w:eastAsia="仿宋_GB2312"/>
      <w:b/>
      <w:sz w:val="24"/>
      <w:szCs w:val="24"/>
    </w:rPr>
  </w:style>
  <w:style w:type="character" w:customStyle="1" w:styleId="327">
    <w:name w:val="样式 正文文本 Char Char"/>
    <w:link w:val="328"/>
    <w:qFormat/>
    <w:uiPriority w:val="0"/>
    <w:rPr>
      <w:rFonts w:ascii="Arial" w:hAnsi="Arial" w:cs="宋体"/>
      <w:color w:val="000000"/>
      <w:kern w:val="2"/>
      <w:sz w:val="21"/>
    </w:rPr>
  </w:style>
  <w:style w:type="paragraph" w:customStyle="1" w:styleId="328">
    <w:name w:val="样式 正文文本"/>
    <w:basedOn w:val="1"/>
    <w:link w:val="327"/>
    <w:qFormat/>
    <w:uiPriority w:val="0"/>
    <w:pPr>
      <w:adjustRightInd w:val="0"/>
      <w:snapToGrid w:val="0"/>
      <w:spacing w:line="400" w:lineRule="exact"/>
      <w:ind w:firstLine="200" w:firstLineChars="200"/>
    </w:pPr>
    <w:rPr>
      <w:rFonts w:ascii="Arial" w:hAnsi="Arial"/>
      <w:color w:val="000000"/>
      <w:szCs w:val="20"/>
    </w:rPr>
  </w:style>
  <w:style w:type="character" w:customStyle="1" w:styleId="329">
    <w:name w:val="页眉 Char1"/>
    <w:qFormat/>
    <w:uiPriority w:val="0"/>
    <w:rPr>
      <w:kern w:val="2"/>
      <w:sz w:val="18"/>
      <w:szCs w:val="18"/>
    </w:rPr>
  </w:style>
  <w:style w:type="character" w:customStyle="1" w:styleId="330">
    <w:name w:val="heading 5 Char"/>
    <w:qFormat/>
    <w:uiPriority w:val="0"/>
    <w:rPr>
      <w:rFonts w:ascii="Arial" w:hAnsi="Arial" w:eastAsia="黑体"/>
      <w:b/>
      <w:sz w:val="21"/>
      <w:szCs w:val="21"/>
    </w:rPr>
  </w:style>
  <w:style w:type="character" w:customStyle="1" w:styleId="331">
    <w:name w:val="明显强调1"/>
    <w:qFormat/>
    <w:uiPriority w:val="0"/>
    <w:rPr>
      <w:b/>
      <w:bCs/>
      <w:i/>
      <w:iCs/>
      <w:color w:val="4F81BD"/>
    </w:rPr>
  </w:style>
  <w:style w:type="character" w:customStyle="1" w:styleId="332">
    <w:name w:val="Style2"/>
    <w:qFormat/>
    <w:uiPriority w:val="0"/>
    <w:rPr>
      <w:rFonts w:ascii="Calibri" w:hAnsi="宋体" w:eastAsia="宋体" w:cs="Times New Roman"/>
      <w:sz w:val="22"/>
      <w:szCs w:val="22"/>
      <w:lang w:eastAsia="zh-CN"/>
    </w:rPr>
  </w:style>
  <w:style w:type="character" w:customStyle="1" w:styleId="333">
    <w:name w:val="不明显参考1"/>
    <w:qFormat/>
    <w:uiPriority w:val="0"/>
    <w:rPr>
      <w:smallCaps/>
      <w:color w:val="C0504D"/>
      <w:u w:val="single"/>
    </w:rPr>
  </w:style>
  <w:style w:type="character" w:customStyle="1" w:styleId="334">
    <w:name w:val="num"/>
    <w:qFormat/>
    <w:uiPriority w:val="0"/>
    <w:rPr>
      <w:b/>
      <w:color w:val="FF7800"/>
      <w:szCs w:val="20"/>
    </w:rPr>
  </w:style>
  <w:style w:type="character" w:customStyle="1" w:styleId="335">
    <w:name w:val="Style3"/>
    <w:qFormat/>
    <w:uiPriority w:val="0"/>
    <w:rPr>
      <w:rFonts w:ascii="Calibri" w:hAnsi="宋体" w:eastAsia="宋体" w:cs="Times New Roman"/>
      <w:szCs w:val="22"/>
      <w:lang w:eastAsia="zh-CN"/>
    </w:rPr>
  </w:style>
  <w:style w:type="character" w:customStyle="1" w:styleId="336">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337">
    <w:name w:val="fr"/>
    <w:qFormat/>
    <w:uiPriority w:val="0"/>
    <w:rPr>
      <w:szCs w:val="20"/>
    </w:rPr>
  </w:style>
  <w:style w:type="character" w:customStyle="1" w:styleId="338">
    <w:name w:val="update"/>
    <w:qFormat/>
    <w:uiPriority w:val="0"/>
    <w:rPr>
      <w:szCs w:val="20"/>
    </w:rPr>
  </w:style>
  <w:style w:type="character" w:customStyle="1" w:styleId="339">
    <w:name w:val="count"/>
    <w:qFormat/>
    <w:uiPriority w:val="0"/>
  </w:style>
  <w:style w:type="character" w:customStyle="1" w:styleId="340">
    <w:name w:val="列出段落 Char1"/>
    <w:qFormat/>
    <w:uiPriority w:val="0"/>
    <w:rPr>
      <w:kern w:val="2"/>
      <w:sz w:val="21"/>
    </w:rPr>
  </w:style>
  <w:style w:type="character" w:customStyle="1" w:styleId="341">
    <w:name w:val="不明显强调1"/>
    <w:qFormat/>
    <w:uiPriority w:val="0"/>
    <w:rPr>
      <w:i/>
      <w:iCs/>
      <w:color w:val="808080"/>
    </w:rPr>
  </w:style>
  <w:style w:type="character" w:customStyle="1" w:styleId="342">
    <w:name w:val="页脚 Char"/>
    <w:qFormat/>
    <w:uiPriority w:val="99"/>
    <w:rPr>
      <w:rFonts w:eastAsia="仿宋_GB2312"/>
      <w:kern w:val="2"/>
      <w:sz w:val="18"/>
      <w:szCs w:val="18"/>
      <w:lang w:val="en-US" w:eastAsia="zh-CN" w:bidi="ar-SA"/>
    </w:rPr>
  </w:style>
  <w:style w:type="character" w:customStyle="1" w:styleId="343">
    <w:name w:val="日期 Char1"/>
    <w:qFormat/>
    <w:uiPriority w:val="0"/>
    <w:rPr>
      <w:rFonts w:ascii="Calibri" w:hAnsi="Calibri" w:cs="黑体"/>
      <w:kern w:val="2"/>
      <w:sz w:val="24"/>
      <w:szCs w:val="22"/>
    </w:rPr>
  </w:style>
  <w:style w:type="character" w:customStyle="1" w:styleId="344">
    <w:name w:val="题注 Char1"/>
    <w:qFormat/>
    <w:uiPriority w:val="0"/>
    <w:rPr>
      <w:rFonts w:ascii="Arial" w:hAnsi="Arial" w:eastAsia="黑体" w:cs="Arial"/>
      <w:kern w:val="2"/>
    </w:rPr>
  </w:style>
  <w:style w:type="character" w:customStyle="1" w:styleId="345">
    <w:name w:val="图片题注 Char"/>
    <w:link w:val="346"/>
    <w:qFormat/>
    <w:uiPriority w:val="0"/>
    <w:rPr>
      <w:rFonts w:ascii="Calibri Light" w:hAnsi="Calibri Light" w:eastAsia="黑体" w:cs="黑体"/>
      <w:bCs/>
      <w:kern w:val="2"/>
    </w:rPr>
  </w:style>
  <w:style w:type="paragraph" w:customStyle="1" w:styleId="346">
    <w:name w:val="图片题注"/>
    <w:basedOn w:val="16"/>
    <w:link w:val="345"/>
    <w:qFormat/>
    <w:uiPriority w:val="0"/>
    <w:pPr>
      <w:autoSpaceDE/>
      <w:autoSpaceDN/>
      <w:adjustRightInd/>
      <w:spacing w:line="360" w:lineRule="auto"/>
      <w:jc w:val="center"/>
    </w:pPr>
    <w:rPr>
      <w:rFonts w:ascii="Calibri Light" w:hAnsi="Calibri Light"/>
      <w:bCs/>
      <w:kern w:val="2"/>
    </w:rPr>
  </w:style>
  <w:style w:type="character" w:customStyle="1" w:styleId="347">
    <w:name w:val="目录标题 Char"/>
    <w:link w:val="348"/>
    <w:qFormat/>
    <w:uiPriority w:val="0"/>
    <w:rPr>
      <w:rFonts w:eastAsia="黑体"/>
      <w:b/>
      <w:bCs/>
      <w:kern w:val="2"/>
      <w:sz w:val="44"/>
      <w:szCs w:val="44"/>
    </w:rPr>
  </w:style>
  <w:style w:type="paragraph" w:customStyle="1" w:styleId="348">
    <w:name w:val="目录标题1"/>
    <w:basedOn w:val="1"/>
    <w:link w:val="347"/>
    <w:qFormat/>
    <w:uiPriority w:val="0"/>
    <w:pPr>
      <w:jc w:val="center"/>
    </w:pPr>
    <w:rPr>
      <w:rFonts w:eastAsia="黑体"/>
      <w:b/>
      <w:bCs/>
      <w:sz w:val="44"/>
      <w:szCs w:val="44"/>
    </w:rPr>
  </w:style>
  <w:style w:type="character" w:customStyle="1" w:styleId="349">
    <w:name w:val="Ò³Ã¼ Char Char2"/>
    <w:qFormat/>
    <w:uiPriority w:val="0"/>
    <w:rPr>
      <w:rFonts w:ascii="仿宋_GB2312" w:eastAsia="仿宋_GB2312"/>
      <w:b/>
      <w:kern w:val="2"/>
      <w:sz w:val="18"/>
      <w:szCs w:val="18"/>
    </w:rPr>
  </w:style>
  <w:style w:type="character" w:customStyle="1" w:styleId="350">
    <w:name w:val="Char Char1"/>
    <w:qFormat/>
    <w:uiPriority w:val="0"/>
    <w:rPr>
      <w:rFonts w:ascii="宋体" w:hAnsi="Courier New" w:eastAsia="宋体"/>
      <w:kern w:val="2"/>
      <w:sz w:val="21"/>
      <w:lang w:val="en-US" w:eastAsia="zh-CN" w:bidi="ar-SA"/>
    </w:rPr>
  </w:style>
  <w:style w:type="character" w:customStyle="1" w:styleId="351">
    <w:name w:val="正文1 Char Char"/>
    <w:link w:val="352"/>
    <w:qFormat/>
    <w:uiPriority w:val="0"/>
    <w:rPr>
      <w:rFonts w:ascii="宋体" w:hAnsi="宋体" w:cs="宋体"/>
      <w:b/>
      <w:sz w:val="21"/>
      <w:szCs w:val="32"/>
    </w:rPr>
  </w:style>
  <w:style w:type="paragraph" w:customStyle="1" w:styleId="352">
    <w:name w:val="正文1"/>
    <w:basedOn w:val="1"/>
    <w:link w:val="351"/>
    <w:qFormat/>
    <w:uiPriority w:val="0"/>
    <w:pPr>
      <w:widowControl/>
      <w:spacing w:line="360" w:lineRule="auto"/>
      <w:ind w:left="360" w:firstLine="420"/>
      <w:jc w:val="left"/>
    </w:pPr>
    <w:rPr>
      <w:rFonts w:ascii="宋体" w:hAnsi="宋体"/>
      <w:b/>
      <w:kern w:val="0"/>
      <w:szCs w:val="32"/>
    </w:rPr>
  </w:style>
  <w:style w:type="character" w:customStyle="1" w:styleId="353">
    <w:name w:val="Char Char11"/>
    <w:qFormat/>
    <w:uiPriority w:val="0"/>
    <w:rPr>
      <w:rFonts w:ascii="Times New Roman" w:hAnsi="Times New Roman" w:eastAsia="宋体" w:cs="Times New Roman"/>
      <w:sz w:val="18"/>
      <w:szCs w:val="18"/>
    </w:rPr>
  </w:style>
  <w:style w:type="character" w:customStyle="1" w:styleId="354">
    <w:name w:val="style21"/>
    <w:qFormat/>
    <w:uiPriority w:val="0"/>
    <w:rPr>
      <w:rFonts w:ascii="仿宋_GB2312" w:eastAsia="仿宋_GB2312"/>
      <w:b/>
      <w:sz w:val="15"/>
      <w:szCs w:val="15"/>
    </w:rPr>
  </w:style>
  <w:style w:type="character" w:customStyle="1" w:styleId="355">
    <w:name w:val="标题 2 Char"/>
    <w:qFormat/>
    <w:uiPriority w:val="0"/>
    <w:rPr>
      <w:rFonts w:ascii="Arial" w:hAnsi="Arial" w:eastAsia="黑体"/>
      <w:b/>
      <w:bCs/>
      <w:kern w:val="2"/>
      <w:sz w:val="32"/>
      <w:szCs w:val="32"/>
      <w:lang w:val="en-US" w:eastAsia="zh-CN" w:bidi="ar-SA"/>
    </w:rPr>
  </w:style>
  <w:style w:type="character" w:customStyle="1" w:styleId="356">
    <w:name w:val="注释正文＋下划线 Char Char"/>
    <w:qFormat/>
    <w:uiPriority w:val="0"/>
    <w:rPr>
      <w:rFonts w:ascii="宋体" w:hAnsi="宋体"/>
      <w:kern w:val="2"/>
      <w:sz w:val="28"/>
      <w:szCs w:val="28"/>
      <w:u w:val="single"/>
    </w:rPr>
  </w:style>
  <w:style w:type="character" w:customStyle="1" w:styleId="357">
    <w:name w:val="大标题 Char"/>
    <w:link w:val="358"/>
    <w:qFormat/>
    <w:uiPriority w:val="0"/>
    <w:rPr>
      <w:rFonts w:ascii="黑体" w:hAnsi="黑体" w:eastAsia="黑体"/>
      <w:b/>
      <w:bCs/>
      <w:kern w:val="2"/>
      <w:sz w:val="72"/>
      <w:szCs w:val="72"/>
    </w:rPr>
  </w:style>
  <w:style w:type="paragraph" w:customStyle="1" w:styleId="358">
    <w:name w:val="大标题"/>
    <w:basedOn w:val="1"/>
    <w:link w:val="357"/>
    <w:qFormat/>
    <w:uiPriority w:val="0"/>
    <w:pPr>
      <w:spacing w:line="40" w:lineRule="atLeast"/>
    </w:pPr>
    <w:rPr>
      <w:rFonts w:ascii="黑体" w:hAnsi="黑体" w:eastAsia="黑体"/>
      <w:b/>
      <w:bCs/>
      <w:sz w:val="72"/>
      <w:szCs w:val="72"/>
    </w:rPr>
  </w:style>
  <w:style w:type="character" w:customStyle="1" w:styleId="359">
    <w:name w:val="heading 5 Char1"/>
    <w:qFormat/>
    <w:uiPriority w:val="0"/>
    <w:rPr>
      <w:rFonts w:ascii="仿宋_GB2312" w:eastAsia="宋体"/>
      <w:b/>
      <w:bCs/>
      <w:kern w:val="2"/>
      <w:sz w:val="28"/>
      <w:szCs w:val="28"/>
      <w:lang w:val="en-US" w:eastAsia="zh-CN" w:bidi="ar-SA"/>
    </w:rPr>
  </w:style>
  <w:style w:type="character" w:customStyle="1" w:styleId="360">
    <w:name w:val="注释标题 Char1"/>
    <w:qFormat/>
    <w:uiPriority w:val="0"/>
    <w:rPr>
      <w:kern w:val="2"/>
      <w:sz w:val="21"/>
      <w:szCs w:val="24"/>
    </w:rPr>
  </w:style>
  <w:style w:type="character" w:customStyle="1" w:styleId="361">
    <w:name w:val="Char Char Char1"/>
    <w:qFormat/>
    <w:uiPriority w:val="0"/>
    <w:rPr>
      <w:rFonts w:ascii="宋体" w:hAnsi="Courier New" w:eastAsia="仿宋_GB2312"/>
      <w:b/>
      <w:sz w:val="21"/>
      <w:szCs w:val="21"/>
    </w:rPr>
  </w:style>
  <w:style w:type="character" w:customStyle="1" w:styleId="362">
    <w:name w:val="正文（首行缩进2字符） Char"/>
    <w:link w:val="363"/>
    <w:qFormat/>
    <w:uiPriority w:val="0"/>
    <w:rPr>
      <w:kern w:val="2"/>
      <w:sz w:val="22"/>
      <w:szCs w:val="24"/>
    </w:rPr>
  </w:style>
  <w:style w:type="paragraph" w:customStyle="1" w:styleId="363">
    <w:name w:val="正文（首行缩进2字符）"/>
    <w:basedOn w:val="1"/>
    <w:link w:val="362"/>
    <w:qFormat/>
    <w:uiPriority w:val="0"/>
    <w:pPr>
      <w:jc w:val="center"/>
    </w:pPr>
    <w:rPr>
      <w:sz w:val="22"/>
    </w:rPr>
  </w:style>
  <w:style w:type="character" w:customStyle="1" w:styleId="364">
    <w:name w:val="Char Char17"/>
    <w:qFormat/>
    <w:uiPriority w:val="0"/>
    <w:rPr>
      <w:rFonts w:ascii="Cambria" w:hAnsi="Cambria" w:eastAsia="仿宋_GB2312"/>
      <w:b/>
      <w:bCs/>
      <w:kern w:val="2"/>
      <w:sz w:val="28"/>
      <w:szCs w:val="28"/>
    </w:rPr>
  </w:style>
  <w:style w:type="character" w:customStyle="1" w:styleId="365">
    <w:name w:val="pt141"/>
    <w:qFormat/>
    <w:uiPriority w:val="0"/>
    <w:rPr>
      <w:rFonts w:ascii="仿宋_GB2312" w:eastAsia="仿宋_GB2312"/>
      <w:b/>
      <w:color w:val="330066"/>
      <w:spacing w:val="450"/>
      <w:sz w:val="22"/>
      <w:szCs w:val="22"/>
    </w:rPr>
  </w:style>
  <w:style w:type="character" w:customStyle="1" w:styleId="366">
    <w:name w:val="hover15"/>
    <w:qFormat/>
    <w:uiPriority w:val="0"/>
    <w:rPr>
      <w:szCs w:val="20"/>
      <w:u w:val="single"/>
    </w:rPr>
  </w:style>
  <w:style w:type="character" w:customStyle="1" w:styleId="367">
    <w:name w:val="正文靠右 Char"/>
    <w:link w:val="368"/>
    <w:qFormat/>
    <w:uiPriority w:val="0"/>
    <w:rPr>
      <w:kern w:val="2"/>
      <w:sz w:val="21"/>
      <w:szCs w:val="24"/>
    </w:rPr>
  </w:style>
  <w:style w:type="paragraph" w:customStyle="1" w:styleId="368">
    <w:name w:val="正文靠右"/>
    <w:basedOn w:val="1"/>
    <w:link w:val="367"/>
    <w:qFormat/>
    <w:uiPriority w:val="0"/>
    <w:pPr>
      <w:jc w:val="right"/>
    </w:pPr>
  </w:style>
  <w:style w:type="character" w:customStyle="1" w:styleId="369">
    <w:name w:val="heading 1 Char"/>
    <w:qFormat/>
    <w:uiPriority w:val="0"/>
    <w:rPr>
      <w:rFonts w:ascii="Arial" w:hAnsi="Arial" w:eastAsia="黑体"/>
      <w:b/>
      <w:sz w:val="36"/>
      <w:szCs w:val="36"/>
    </w:rPr>
  </w:style>
  <w:style w:type="character" w:customStyle="1" w:styleId="370">
    <w:name w:val="style111"/>
    <w:qFormat/>
    <w:uiPriority w:val="0"/>
    <w:rPr>
      <w:sz w:val="27"/>
      <w:szCs w:val="27"/>
    </w:rPr>
  </w:style>
  <w:style w:type="character" w:customStyle="1" w:styleId="371">
    <w:name w:val="Ò³Ã¼ Char Char"/>
    <w:qFormat/>
    <w:uiPriority w:val="0"/>
    <w:rPr>
      <w:rFonts w:ascii="仿宋_GB2312" w:eastAsia="仿宋_GB2312"/>
      <w:b/>
      <w:sz w:val="18"/>
      <w:szCs w:val="18"/>
    </w:rPr>
  </w:style>
  <w:style w:type="character" w:customStyle="1" w:styleId="372">
    <w:name w:val="正文缩进 字符"/>
    <w:qFormat/>
    <w:uiPriority w:val="0"/>
    <w:rPr>
      <w:rFonts w:eastAsia="宋体"/>
      <w:sz w:val="21"/>
      <w:lang w:val="en-US" w:eastAsia="zh-CN" w:bidi="ar-SA"/>
    </w:rPr>
  </w:style>
  <w:style w:type="character" w:customStyle="1" w:styleId="373">
    <w:name w:val="符号正文缩进 Char"/>
    <w:link w:val="374"/>
    <w:qFormat/>
    <w:uiPriority w:val="0"/>
    <w:rPr>
      <w:sz w:val="24"/>
    </w:rPr>
  </w:style>
  <w:style w:type="paragraph" w:customStyle="1" w:styleId="374">
    <w:name w:val="符号正文缩进"/>
    <w:basedOn w:val="2"/>
    <w:link w:val="373"/>
    <w:qFormat/>
    <w:uiPriority w:val="0"/>
    <w:pPr>
      <w:numPr>
        <w:ilvl w:val="0"/>
        <w:numId w:val="7"/>
      </w:numPr>
      <w:spacing w:line="400" w:lineRule="atLeast"/>
    </w:pPr>
    <w:rPr>
      <w:sz w:val="24"/>
    </w:rPr>
  </w:style>
  <w:style w:type="character" w:customStyle="1" w:styleId="375">
    <w:name w:val="Footer-Even Char"/>
    <w:qFormat/>
    <w:uiPriority w:val="0"/>
    <w:rPr>
      <w:rFonts w:ascii="仿宋_GB2312" w:eastAsia="仿宋_GB2312"/>
      <w:b/>
      <w:sz w:val="18"/>
      <w:szCs w:val="18"/>
    </w:rPr>
  </w:style>
  <w:style w:type="character" w:customStyle="1" w:styleId="376">
    <w:name w:val="文档正文 Char"/>
    <w:link w:val="377"/>
    <w:qFormat/>
    <w:locked/>
    <w:uiPriority w:val="0"/>
    <w:rPr>
      <w:sz w:val="24"/>
    </w:rPr>
  </w:style>
  <w:style w:type="paragraph" w:customStyle="1" w:styleId="377">
    <w:name w:val="文档正文"/>
    <w:basedOn w:val="1"/>
    <w:link w:val="376"/>
    <w:qFormat/>
    <w:uiPriority w:val="0"/>
    <w:pPr>
      <w:adjustRightInd w:val="0"/>
      <w:spacing w:line="300" w:lineRule="auto"/>
      <w:ind w:firstLine="567"/>
      <w:textAlignment w:val="baseline"/>
    </w:pPr>
    <w:rPr>
      <w:kern w:val="0"/>
      <w:sz w:val="24"/>
      <w:szCs w:val="20"/>
    </w:rPr>
  </w:style>
  <w:style w:type="character" w:customStyle="1" w:styleId="378">
    <w:name w:val="样式2 Char Char"/>
    <w:link w:val="379"/>
    <w:qFormat/>
    <w:uiPriority w:val="0"/>
    <w:rPr>
      <w:rFonts w:ascii="宋体" w:hAnsi="宋体"/>
      <w:b/>
      <w:bCs/>
      <w:kern w:val="2"/>
      <w:sz w:val="28"/>
      <w:szCs w:val="28"/>
    </w:rPr>
  </w:style>
  <w:style w:type="paragraph" w:customStyle="1" w:styleId="379">
    <w:name w:val="样式2"/>
    <w:basedOn w:val="5"/>
    <w:link w:val="378"/>
    <w:qFormat/>
    <w:uiPriority w:val="0"/>
    <w:pPr>
      <w:snapToGrid w:val="0"/>
      <w:spacing w:after="156" w:afterLines="50" w:line="480" w:lineRule="exact"/>
      <w:ind w:firstLine="556"/>
    </w:pPr>
    <w:rPr>
      <w:rFonts w:ascii="宋体" w:hAnsi="宋体" w:eastAsia="宋体"/>
      <w:sz w:val="28"/>
      <w:szCs w:val="28"/>
    </w:rPr>
  </w:style>
  <w:style w:type="character" w:customStyle="1" w:styleId="380">
    <w:name w:val="正文首行缩进 Char"/>
    <w:qFormat/>
    <w:uiPriority w:val="0"/>
    <w:rPr>
      <w:rFonts w:ascii="仿宋_GB2312" w:eastAsia="宋体"/>
      <w:b/>
      <w:kern w:val="2"/>
      <w:sz w:val="21"/>
      <w:szCs w:val="24"/>
      <w:lang w:val="en-US" w:eastAsia="zh-CN" w:bidi="ar-SA"/>
    </w:rPr>
  </w:style>
  <w:style w:type="character" w:customStyle="1" w:styleId="381">
    <w:name w:val="表正文 Char2"/>
    <w:qFormat/>
    <w:uiPriority w:val="0"/>
    <w:rPr>
      <w:rFonts w:ascii="Times New Roman" w:hAnsi="Times New Roman" w:eastAsia="宋体" w:cs="Times New Roman"/>
      <w:szCs w:val="24"/>
    </w:rPr>
  </w:style>
  <w:style w:type="character" w:customStyle="1" w:styleId="382">
    <w:name w:val="font31"/>
    <w:qFormat/>
    <w:uiPriority w:val="0"/>
    <w:rPr>
      <w:rFonts w:hint="eastAsia" w:ascii="宋体" w:hAnsi="宋体" w:eastAsia="宋体" w:cs="宋体"/>
      <w:color w:val="000000"/>
      <w:sz w:val="20"/>
      <w:szCs w:val="20"/>
      <w:u w:val="none"/>
    </w:rPr>
  </w:style>
  <w:style w:type="character" w:customStyle="1" w:styleId="383">
    <w:name w:val="heading 4 Char2"/>
    <w:qFormat/>
    <w:uiPriority w:val="0"/>
    <w:rPr>
      <w:rFonts w:ascii="Cambria" w:hAnsi="Cambria" w:eastAsia="仿宋_GB2312"/>
      <w:b/>
      <w:bCs/>
      <w:kern w:val="2"/>
      <w:sz w:val="28"/>
      <w:szCs w:val="28"/>
    </w:rPr>
  </w:style>
  <w:style w:type="character" w:customStyle="1" w:styleId="384">
    <w:name w:val="2级 Char"/>
    <w:link w:val="385"/>
    <w:qFormat/>
    <w:uiPriority w:val="0"/>
    <w:rPr>
      <w:rFonts w:ascii="Cambria" w:hAnsi="Cambria"/>
      <w:b/>
      <w:bCs/>
      <w:sz w:val="28"/>
      <w:szCs w:val="32"/>
    </w:rPr>
  </w:style>
  <w:style w:type="paragraph" w:customStyle="1" w:styleId="385">
    <w:name w:val="2级"/>
    <w:basedOn w:val="5"/>
    <w:next w:val="55"/>
    <w:link w:val="384"/>
    <w:qFormat/>
    <w:uiPriority w:val="0"/>
    <w:pPr>
      <w:spacing w:line="416" w:lineRule="auto"/>
    </w:pPr>
    <w:rPr>
      <w:rFonts w:ascii="Cambria" w:hAnsi="Cambria" w:eastAsia="宋体"/>
      <w:kern w:val="0"/>
      <w:sz w:val="28"/>
    </w:rPr>
  </w:style>
  <w:style w:type="character" w:customStyle="1" w:styleId="386">
    <w:name w:val="正文首行缩进 2 Char1"/>
    <w:qFormat/>
    <w:uiPriority w:val="0"/>
  </w:style>
  <w:style w:type="character" w:customStyle="1" w:styleId="387">
    <w:name w:val="zbggmain style9"/>
    <w:qFormat/>
    <w:uiPriority w:val="0"/>
    <w:rPr>
      <w:szCs w:val="20"/>
    </w:rPr>
  </w:style>
  <w:style w:type="character" w:customStyle="1" w:styleId="388">
    <w:name w:val="页眉 Char"/>
    <w:qFormat/>
    <w:uiPriority w:val="99"/>
    <w:rPr>
      <w:rFonts w:eastAsia="仿宋_GB2312"/>
      <w:kern w:val="2"/>
      <w:sz w:val="18"/>
      <w:szCs w:val="18"/>
      <w:lang w:val="en-US" w:eastAsia="zh-CN" w:bidi="ar-SA"/>
    </w:rPr>
  </w:style>
  <w:style w:type="character" w:customStyle="1" w:styleId="389">
    <w:name w:val="样式 标题 3 + 黑体 小四 Char Char"/>
    <w:link w:val="390"/>
    <w:qFormat/>
    <w:uiPriority w:val="0"/>
    <w:rPr>
      <w:rFonts w:ascii="黑体" w:hAnsi="Arial" w:eastAsia="黑体"/>
      <w:bCs/>
      <w:sz w:val="24"/>
      <w:szCs w:val="24"/>
    </w:rPr>
  </w:style>
  <w:style w:type="paragraph" w:customStyle="1" w:styleId="390">
    <w:name w:val="样式 标题 3 + 黑体 小四"/>
    <w:basedOn w:val="6"/>
    <w:link w:val="389"/>
    <w:qFormat/>
    <w:uiPriority w:val="0"/>
    <w:pPr>
      <w:spacing w:line="413" w:lineRule="auto"/>
    </w:pPr>
    <w:rPr>
      <w:rFonts w:ascii="黑体" w:hAnsi="Arial" w:eastAsia="黑体"/>
      <w:b w:val="0"/>
      <w:kern w:val="0"/>
      <w:sz w:val="24"/>
      <w:szCs w:val="24"/>
    </w:rPr>
  </w:style>
  <w:style w:type="character" w:customStyle="1" w:styleId="391">
    <w:name w:val="明显引用 Char1"/>
    <w:qFormat/>
    <w:uiPriority w:val="99"/>
    <w:rPr>
      <w:rFonts w:ascii="Tahoma" w:hAnsi="Tahoma"/>
      <w:b/>
      <w:bCs/>
      <w:i/>
      <w:iCs/>
      <w:color w:val="4F81BD"/>
      <w:kern w:val="2"/>
      <w:sz w:val="21"/>
      <w:szCs w:val="24"/>
    </w:rPr>
  </w:style>
  <w:style w:type="character" w:customStyle="1" w:styleId="392">
    <w:name w:val="Char Char20"/>
    <w:qFormat/>
    <w:uiPriority w:val="0"/>
    <w:rPr>
      <w:rFonts w:ascii="仿宋_GB2312" w:eastAsia="仿宋_GB2312"/>
      <w:b/>
      <w:bCs/>
      <w:kern w:val="44"/>
      <w:sz w:val="44"/>
      <w:szCs w:val="44"/>
    </w:rPr>
  </w:style>
  <w:style w:type="character" w:customStyle="1" w:styleId="393">
    <w:name w:val="表格 Char Char"/>
    <w:link w:val="394"/>
    <w:qFormat/>
    <w:uiPriority w:val="0"/>
    <w:rPr>
      <w:rFonts w:ascii="宋体" w:hAnsi="宋体"/>
      <w:b/>
      <w:sz w:val="32"/>
      <w:szCs w:val="32"/>
    </w:rPr>
  </w:style>
  <w:style w:type="paragraph" w:customStyle="1" w:styleId="394">
    <w:name w:val="表格"/>
    <w:basedOn w:val="1"/>
    <w:link w:val="393"/>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395">
    <w:name w:val="表格标题 Char Char"/>
    <w:qFormat/>
    <w:uiPriority w:val="0"/>
    <w:rPr>
      <w:rFonts w:ascii="黑体" w:hAnsi="黑体" w:eastAsia="黑体"/>
      <w:b/>
      <w:color w:val="FFFFFF"/>
      <w:kern w:val="2"/>
      <w:sz w:val="21"/>
      <w:szCs w:val="24"/>
    </w:rPr>
  </w:style>
  <w:style w:type="character" w:customStyle="1" w:styleId="396">
    <w:name w:val="Char Char Char Char Char Char Char Char Char"/>
    <w:qFormat/>
    <w:uiPriority w:val="0"/>
    <w:rPr>
      <w:rFonts w:ascii="宋体" w:hAnsi="Courier New" w:eastAsia="宋体"/>
      <w:b/>
      <w:sz w:val="21"/>
      <w:szCs w:val="21"/>
      <w:lang w:val="en-US" w:eastAsia="zh-CN" w:bidi="ar-SA"/>
    </w:rPr>
  </w:style>
  <w:style w:type="character" w:customStyle="1" w:styleId="397">
    <w:name w:val="PI Char1"/>
    <w:qFormat/>
    <w:uiPriority w:val="0"/>
    <w:rPr>
      <w:rFonts w:ascii="仿宋_GB2312" w:eastAsia="宋体"/>
      <w:b/>
      <w:kern w:val="2"/>
      <w:sz w:val="24"/>
      <w:szCs w:val="24"/>
      <w:lang w:val="en-US" w:eastAsia="zh-CN" w:bidi="ar-SA"/>
    </w:rPr>
  </w:style>
  <w:style w:type="character" w:customStyle="1" w:styleId="398">
    <w:name w:val="Char Char16"/>
    <w:qFormat/>
    <w:uiPriority w:val="0"/>
    <w:rPr>
      <w:rFonts w:ascii="仿宋_GB2312" w:eastAsia="仿宋_GB2312"/>
      <w:b/>
      <w:bCs/>
      <w:kern w:val="2"/>
      <w:sz w:val="28"/>
      <w:szCs w:val="28"/>
    </w:rPr>
  </w:style>
  <w:style w:type="character" w:customStyle="1" w:styleId="399">
    <w:name w:val="heading 1 Char2"/>
    <w:qFormat/>
    <w:uiPriority w:val="0"/>
    <w:rPr>
      <w:rFonts w:ascii="仿宋_GB2312" w:eastAsia="仿宋_GB2312"/>
      <w:b/>
      <w:bCs/>
      <w:kern w:val="44"/>
      <w:sz w:val="44"/>
      <w:szCs w:val="44"/>
    </w:rPr>
  </w:style>
  <w:style w:type="character" w:customStyle="1" w:styleId="400">
    <w:name w:val="upload"/>
    <w:qFormat/>
    <w:uiPriority w:val="0"/>
    <w:rPr>
      <w:szCs w:val="20"/>
    </w:rPr>
  </w:style>
  <w:style w:type="character" w:customStyle="1" w:styleId="401">
    <w:name w:val="正文首行缩进 Char1"/>
    <w:qFormat/>
    <w:uiPriority w:val="0"/>
    <w:rPr>
      <w:rFonts w:ascii="Tahoma" w:hAnsi="Tahoma"/>
      <w:kern w:val="2"/>
      <w:sz w:val="21"/>
      <w:szCs w:val="24"/>
    </w:rPr>
  </w:style>
  <w:style w:type="character" w:customStyle="1" w:styleId="402">
    <w:name w:val="批注主题 Char"/>
    <w:qFormat/>
    <w:uiPriority w:val="99"/>
    <w:rPr>
      <w:rFonts w:eastAsia="宋体"/>
      <w:b/>
      <w:bCs/>
      <w:kern w:val="2"/>
      <w:sz w:val="21"/>
      <w:szCs w:val="24"/>
      <w:lang w:val="en-US" w:eastAsia="zh-CN" w:bidi="ar-SA"/>
    </w:rPr>
  </w:style>
  <w:style w:type="character" w:customStyle="1" w:styleId="403">
    <w:name w:val="表格题注 Char"/>
    <w:link w:val="404"/>
    <w:qFormat/>
    <w:uiPriority w:val="0"/>
    <w:rPr>
      <w:rFonts w:ascii="Calibri Light" w:hAnsi="Calibri Light" w:eastAsia="黑体" w:cs="黑体"/>
      <w:bCs/>
      <w:kern w:val="2"/>
      <w:sz w:val="21"/>
      <w:szCs w:val="21"/>
    </w:rPr>
  </w:style>
  <w:style w:type="paragraph" w:customStyle="1" w:styleId="404">
    <w:name w:val="表格题注"/>
    <w:basedOn w:val="16"/>
    <w:link w:val="403"/>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05">
    <w:name w:val="引用 Char1"/>
    <w:qFormat/>
    <w:uiPriority w:val="99"/>
    <w:rPr>
      <w:rFonts w:ascii="Tahoma" w:hAnsi="Tahoma"/>
      <w:i/>
      <w:iCs/>
      <w:color w:val="000000"/>
      <w:kern w:val="2"/>
      <w:sz w:val="21"/>
      <w:szCs w:val="24"/>
    </w:rPr>
  </w:style>
  <w:style w:type="character" w:customStyle="1" w:styleId="406">
    <w:name w:val="标题 Char"/>
    <w:qFormat/>
    <w:uiPriority w:val="0"/>
    <w:rPr>
      <w:rFonts w:ascii="宋体,Verdana,Arial" w:hAnsi="宋体,Verdana,Arial" w:eastAsia="Cambria"/>
      <w:b/>
      <w:bCs/>
      <w:sz w:val="32"/>
      <w:szCs w:val="32"/>
    </w:rPr>
  </w:style>
  <w:style w:type="character" w:customStyle="1" w:styleId="407">
    <w:name w:val="标题 6 Char"/>
    <w:qFormat/>
    <w:uiPriority w:val="0"/>
    <w:rPr>
      <w:rFonts w:ascii="Arial" w:hAnsi="Arial" w:eastAsia="黑体"/>
      <w:b/>
      <w:bCs/>
      <w:kern w:val="2"/>
      <w:sz w:val="24"/>
      <w:szCs w:val="24"/>
    </w:rPr>
  </w:style>
  <w:style w:type="character" w:customStyle="1" w:styleId="408">
    <w:name w:val="标题 7 Char"/>
    <w:qFormat/>
    <w:uiPriority w:val="0"/>
    <w:rPr>
      <w:rFonts w:ascii="Arial" w:hAnsi="Arial" w:eastAsia="黑体"/>
      <w:b/>
      <w:sz w:val="21"/>
      <w:szCs w:val="21"/>
    </w:rPr>
  </w:style>
  <w:style w:type="character" w:customStyle="1" w:styleId="409">
    <w:name w:val="标题 9 Char"/>
    <w:qFormat/>
    <w:uiPriority w:val="0"/>
    <w:rPr>
      <w:rFonts w:ascii="Arial" w:hAnsi="Arial" w:eastAsia="黑体"/>
      <w:b/>
      <w:sz w:val="21"/>
      <w:szCs w:val="32"/>
    </w:rPr>
  </w:style>
  <w:style w:type="character" w:customStyle="1" w:styleId="410">
    <w:name w:val="正文缩进 Char1"/>
    <w:qFormat/>
    <w:uiPriority w:val="0"/>
    <w:rPr>
      <w:sz w:val="21"/>
    </w:rPr>
  </w:style>
  <w:style w:type="character" w:customStyle="1" w:styleId="411">
    <w:name w:val="脚注文本 Char"/>
    <w:qFormat/>
    <w:uiPriority w:val="99"/>
    <w:rPr>
      <w:kern w:val="2"/>
      <w:sz w:val="18"/>
      <w:szCs w:val="18"/>
    </w:rPr>
  </w:style>
  <w:style w:type="character" w:customStyle="1" w:styleId="412">
    <w:name w:val="正文文本 Char1"/>
    <w:qFormat/>
    <w:uiPriority w:val="0"/>
    <w:rPr>
      <w:rFonts w:ascii="Tahoma" w:hAnsi="Tahoma"/>
      <w:kern w:val="2"/>
      <w:sz w:val="21"/>
      <w:szCs w:val="24"/>
    </w:rPr>
  </w:style>
  <w:style w:type="character" w:customStyle="1" w:styleId="413">
    <w:name w:val="批注框文本 Char"/>
    <w:qFormat/>
    <w:uiPriority w:val="99"/>
    <w:rPr>
      <w:kern w:val="2"/>
      <w:sz w:val="18"/>
      <w:szCs w:val="18"/>
    </w:rPr>
  </w:style>
  <w:style w:type="character" w:customStyle="1" w:styleId="414">
    <w:name w:val="称呼 Char"/>
    <w:qFormat/>
    <w:uiPriority w:val="0"/>
  </w:style>
  <w:style w:type="character" w:customStyle="1" w:styleId="415">
    <w:name w:val="正文文本缩进 3 Char"/>
    <w:qFormat/>
    <w:uiPriority w:val="99"/>
    <w:rPr>
      <w:kern w:val="2"/>
      <w:sz w:val="16"/>
      <w:szCs w:val="16"/>
    </w:rPr>
  </w:style>
  <w:style w:type="character" w:customStyle="1" w:styleId="416">
    <w:name w:val="正文文本 2 Char"/>
    <w:qFormat/>
    <w:uiPriority w:val="0"/>
  </w:style>
  <w:style w:type="character" w:customStyle="1" w:styleId="417">
    <w:name w:val="正文首行缩进 2 Char"/>
    <w:qFormat/>
    <w:uiPriority w:val="0"/>
    <w:rPr>
      <w:rFonts w:ascii="宋体" w:hAnsi="宋体"/>
      <w:kern w:val="2"/>
      <w:sz w:val="24"/>
      <w:szCs w:val="24"/>
    </w:rPr>
  </w:style>
  <w:style w:type="character" w:customStyle="1" w:styleId="418">
    <w:name w:val="批注文字 Char1"/>
    <w:qFormat/>
    <w:uiPriority w:val="0"/>
    <w:rPr>
      <w:kern w:val="2"/>
      <w:sz w:val="21"/>
      <w:szCs w:val="24"/>
    </w:rPr>
  </w:style>
  <w:style w:type="character" w:customStyle="1" w:styleId="419">
    <w:name w:val="脚注文本 Char1"/>
    <w:semiHidden/>
    <w:qFormat/>
    <w:uiPriority w:val="99"/>
    <w:rPr>
      <w:kern w:val="2"/>
      <w:sz w:val="18"/>
      <w:szCs w:val="18"/>
    </w:rPr>
  </w:style>
  <w:style w:type="character" w:customStyle="1" w:styleId="420">
    <w:name w:val="正文首行缩进 Char3"/>
    <w:semiHidden/>
    <w:qFormat/>
    <w:uiPriority w:val="99"/>
    <w:rPr>
      <w:lang w:val="en-US" w:eastAsia="zh-CN" w:bidi="ar-SA"/>
    </w:rPr>
  </w:style>
  <w:style w:type="character" w:customStyle="1" w:styleId="421">
    <w:name w:val="正文文本缩进 2 Char2"/>
    <w:semiHidden/>
    <w:qFormat/>
    <w:uiPriority w:val="99"/>
    <w:rPr>
      <w:kern w:val="2"/>
      <w:sz w:val="21"/>
      <w:szCs w:val="24"/>
    </w:rPr>
  </w:style>
  <w:style w:type="character" w:customStyle="1" w:styleId="422">
    <w:name w:val="正文文本缩进 Char1"/>
    <w:semiHidden/>
    <w:qFormat/>
    <w:uiPriority w:val="99"/>
    <w:rPr>
      <w:kern w:val="2"/>
      <w:sz w:val="21"/>
      <w:szCs w:val="24"/>
    </w:rPr>
  </w:style>
  <w:style w:type="character" w:customStyle="1" w:styleId="423">
    <w:name w:val="日期 Char2"/>
    <w:semiHidden/>
    <w:qFormat/>
    <w:uiPriority w:val="99"/>
    <w:rPr>
      <w:kern w:val="2"/>
      <w:sz w:val="21"/>
      <w:szCs w:val="24"/>
    </w:rPr>
  </w:style>
  <w:style w:type="character" w:customStyle="1" w:styleId="424">
    <w:name w:val="正文首行缩进 2 Char3"/>
    <w:semiHidden/>
    <w:qFormat/>
    <w:uiPriority w:val="99"/>
  </w:style>
  <w:style w:type="character" w:customStyle="1" w:styleId="425">
    <w:name w:val="副标题 Char2"/>
    <w:qFormat/>
    <w:uiPriority w:val="11"/>
    <w:rPr>
      <w:rFonts w:ascii="Cambria" w:hAnsi="Cambria" w:cs="Times New Roman"/>
      <w:b/>
      <w:bCs/>
      <w:kern w:val="28"/>
      <w:sz w:val="32"/>
      <w:szCs w:val="32"/>
    </w:rPr>
  </w:style>
  <w:style w:type="character" w:customStyle="1" w:styleId="426">
    <w:name w:val="正文文本 3 Char1"/>
    <w:semiHidden/>
    <w:qFormat/>
    <w:uiPriority w:val="99"/>
    <w:rPr>
      <w:kern w:val="2"/>
      <w:sz w:val="16"/>
      <w:szCs w:val="16"/>
    </w:rPr>
  </w:style>
  <w:style w:type="character" w:customStyle="1" w:styleId="427">
    <w:name w:val="正文文本缩进 3 Char2"/>
    <w:semiHidden/>
    <w:qFormat/>
    <w:uiPriority w:val="99"/>
    <w:rPr>
      <w:kern w:val="2"/>
      <w:sz w:val="16"/>
      <w:szCs w:val="16"/>
    </w:rPr>
  </w:style>
  <w:style w:type="character" w:customStyle="1" w:styleId="428">
    <w:name w:val="宏文本 Char2"/>
    <w:semiHidden/>
    <w:qFormat/>
    <w:uiPriority w:val="99"/>
    <w:rPr>
      <w:rFonts w:ascii="Courier New" w:hAnsi="Courier New" w:cs="Courier New"/>
      <w:kern w:val="2"/>
      <w:sz w:val="24"/>
      <w:szCs w:val="24"/>
    </w:rPr>
  </w:style>
  <w:style w:type="character" w:customStyle="1" w:styleId="429">
    <w:name w:val="标题 Char2"/>
    <w:qFormat/>
    <w:uiPriority w:val="10"/>
    <w:rPr>
      <w:rFonts w:ascii="Cambria" w:hAnsi="Cambria" w:cs="Times New Roman"/>
      <w:b/>
      <w:bCs/>
      <w:kern w:val="2"/>
      <w:sz w:val="32"/>
      <w:szCs w:val="32"/>
    </w:rPr>
  </w:style>
  <w:style w:type="character" w:customStyle="1" w:styleId="430">
    <w:name w:val="称呼 Char1"/>
    <w:semiHidden/>
    <w:qFormat/>
    <w:uiPriority w:val="99"/>
    <w:rPr>
      <w:kern w:val="2"/>
      <w:sz w:val="21"/>
      <w:szCs w:val="24"/>
    </w:rPr>
  </w:style>
  <w:style w:type="character" w:customStyle="1" w:styleId="431">
    <w:name w:val="签名 Char1"/>
    <w:semiHidden/>
    <w:qFormat/>
    <w:uiPriority w:val="99"/>
    <w:rPr>
      <w:kern w:val="2"/>
      <w:sz w:val="21"/>
      <w:szCs w:val="24"/>
    </w:rPr>
  </w:style>
  <w:style w:type="character" w:customStyle="1" w:styleId="432">
    <w:name w:val="批注主题 Char2"/>
    <w:semiHidden/>
    <w:qFormat/>
    <w:uiPriority w:val="99"/>
    <w:rPr>
      <w:b/>
      <w:bCs/>
      <w:kern w:val="2"/>
      <w:sz w:val="21"/>
      <w:szCs w:val="24"/>
    </w:rPr>
  </w:style>
  <w:style w:type="character" w:customStyle="1" w:styleId="433">
    <w:name w:val="页眉 Char2"/>
    <w:semiHidden/>
    <w:qFormat/>
    <w:uiPriority w:val="99"/>
    <w:rPr>
      <w:kern w:val="2"/>
      <w:sz w:val="18"/>
      <w:szCs w:val="18"/>
    </w:rPr>
  </w:style>
  <w:style w:type="character" w:customStyle="1" w:styleId="434">
    <w:name w:val="批注框文本 Char2"/>
    <w:semiHidden/>
    <w:qFormat/>
    <w:uiPriority w:val="99"/>
    <w:rPr>
      <w:kern w:val="2"/>
      <w:sz w:val="18"/>
      <w:szCs w:val="18"/>
    </w:rPr>
  </w:style>
  <w:style w:type="character" w:customStyle="1" w:styleId="435">
    <w:name w:val="纯文本 Char2"/>
    <w:semiHidden/>
    <w:qFormat/>
    <w:uiPriority w:val="99"/>
    <w:rPr>
      <w:rFonts w:ascii="宋体" w:hAnsi="Courier New" w:cs="Courier New"/>
      <w:kern w:val="2"/>
      <w:sz w:val="21"/>
      <w:szCs w:val="21"/>
    </w:rPr>
  </w:style>
  <w:style w:type="paragraph" w:customStyle="1" w:styleId="436">
    <w:name w:val="列出段落3"/>
    <w:basedOn w:val="1"/>
    <w:qFormat/>
    <w:uiPriority w:val="0"/>
    <w:pPr>
      <w:spacing w:line="360" w:lineRule="auto"/>
      <w:ind w:firstLine="420" w:firstLineChars="200"/>
    </w:pPr>
    <w:rPr>
      <w:rFonts w:ascii="Calibri" w:hAnsi="Calibri"/>
      <w:sz w:val="24"/>
      <w:szCs w:val="22"/>
    </w:rPr>
  </w:style>
  <w:style w:type="paragraph" w:customStyle="1" w:styleId="437">
    <w:name w:val="1Text"/>
    <w:basedOn w:val="1"/>
    <w:qFormat/>
    <w:uiPriority w:val="0"/>
    <w:pPr>
      <w:spacing w:before="156" w:beforeLines="50" w:after="156" w:afterLines="50" w:line="360" w:lineRule="auto"/>
      <w:ind w:firstLine="480" w:firstLineChars="200"/>
      <w:jc w:val="left"/>
    </w:pPr>
    <w:rPr>
      <w:rFonts w:ascii="Calibri" w:hAnsi="Calibri"/>
      <w:kern w:val="0"/>
      <w:sz w:val="24"/>
    </w:rPr>
  </w:style>
  <w:style w:type="paragraph" w:customStyle="1" w:styleId="438">
    <w:name w:val="样式 正文缩进 + 首行缩进:  2 字符"/>
    <w:basedOn w:val="2"/>
    <w:qFormat/>
    <w:uiPriority w:val="0"/>
    <w:pPr>
      <w:adjustRightInd/>
      <w:spacing w:line="360" w:lineRule="auto"/>
      <w:ind w:firstLine="200" w:firstLineChars="200"/>
      <w:textAlignment w:val="auto"/>
    </w:pPr>
    <w:rPr>
      <w:rFonts w:cs="宋体"/>
      <w:kern w:val="2"/>
      <w:sz w:val="24"/>
    </w:rPr>
  </w:style>
  <w:style w:type="paragraph" w:customStyle="1" w:styleId="439">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40">
    <w:name w:val="标准段落"/>
    <w:basedOn w:val="1"/>
    <w:qFormat/>
    <w:uiPriority w:val="0"/>
    <w:pPr>
      <w:spacing w:after="120" w:line="360" w:lineRule="auto"/>
      <w:ind w:firstLine="420"/>
    </w:pPr>
    <w:rPr>
      <w:rFonts w:ascii="黑体" w:hAnsi="宋体" w:eastAsia="黑体"/>
      <w:b/>
      <w:spacing w:val="6"/>
      <w:szCs w:val="22"/>
    </w:rPr>
  </w:style>
  <w:style w:type="paragraph" w:customStyle="1" w:styleId="441">
    <w:name w:val="Char Char3"/>
    <w:basedOn w:val="1"/>
    <w:qFormat/>
    <w:uiPriority w:val="0"/>
    <w:rPr>
      <w:rFonts w:ascii="仿宋_GB2312" w:eastAsia="仿宋_GB2312"/>
      <w:b/>
      <w:sz w:val="32"/>
      <w:szCs w:val="32"/>
    </w:rPr>
  </w:style>
  <w:style w:type="paragraph" w:customStyle="1" w:styleId="442">
    <w:name w:val="_Style 11"/>
    <w:basedOn w:val="1"/>
    <w:qFormat/>
    <w:uiPriority w:val="0"/>
    <w:pPr>
      <w:tabs>
        <w:tab w:val="left" w:pos="360"/>
      </w:tabs>
    </w:pPr>
    <w:rPr>
      <w:szCs w:val="22"/>
    </w:rPr>
  </w:style>
  <w:style w:type="paragraph" w:customStyle="1" w:styleId="44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44">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5">
    <w:name w:val="Pa5"/>
    <w:basedOn w:val="446"/>
    <w:next w:val="446"/>
    <w:qFormat/>
    <w:uiPriority w:val="0"/>
    <w:pPr>
      <w:spacing w:after="60" w:line="161" w:lineRule="atLeast"/>
    </w:pPr>
    <w:rPr>
      <w:rFonts w:ascii="Univers LT Std 57 Cn" w:hAnsi="Univers LT Std 57 Cn" w:cs="Times New Roman"/>
      <w:color w:val="auto"/>
    </w:rPr>
  </w:style>
  <w:style w:type="paragraph" w:customStyle="1" w:styleId="4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7">
    <w:name w:val="标题3"/>
    <w:basedOn w:val="6"/>
    <w:qFormat/>
    <w:uiPriority w:val="0"/>
    <w:pPr>
      <w:numPr>
        <w:ilvl w:val="2"/>
        <w:numId w:val="8"/>
      </w:numPr>
      <w:spacing w:line="416" w:lineRule="auto"/>
      <w:jc w:val="left"/>
    </w:pPr>
    <w:rPr>
      <w:rFonts w:eastAsia="黑体" w:cs="Arial"/>
    </w:rPr>
  </w:style>
  <w:style w:type="paragraph" w:customStyle="1" w:styleId="448">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449">
    <w:name w:val="列出段落6"/>
    <w:basedOn w:val="1"/>
    <w:qFormat/>
    <w:uiPriority w:val="0"/>
    <w:pPr>
      <w:ind w:firstLine="420" w:firstLineChars="200"/>
    </w:pPr>
  </w:style>
  <w:style w:type="paragraph" w:customStyle="1" w:styleId="450">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451">
    <w:name w:val="保留正文"/>
    <w:basedOn w:val="22"/>
    <w:qFormat/>
    <w:uiPriority w:val="0"/>
    <w:pPr>
      <w:keepNext/>
      <w:spacing w:after="160"/>
    </w:pPr>
    <w:rPr>
      <w:rFonts w:ascii="仿宋_GB2312"/>
      <w:b/>
    </w:rPr>
  </w:style>
  <w:style w:type="paragraph" w:customStyle="1" w:styleId="452">
    <w:name w:val="Char1 Char Char Char"/>
    <w:basedOn w:val="1"/>
    <w:qFormat/>
    <w:uiPriority w:val="0"/>
    <w:rPr>
      <w:szCs w:val="20"/>
    </w:rPr>
  </w:style>
  <w:style w:type="paragraph" w:customStyle="1" w:styleId="453">
    <w:name w:val="表格文字加粗"/>
    <w:basedOn w:val="454"/>
    <w:qFormat/>
    <w:uiPriority w:val="0"/>
    <w:pPr>
      <w:spacing w:line="240" w:lineRule="auto"/>
    </w:pPr>
    <w:rPr>
      <w:rFonts w:ascii="宋体" w:hAnsi="宋体" w:cs="宋体"/>
      <w:b/>
      <w:bCs/>
      <w:sz w:val="18"/>
      <w:szCs w:val="18"/>
    </w:rPr>
  </w:style>
  <w:style w:type="paragraph" w:customStyle="1" w:styleId="454">
    <w:name w:val="表格文字"/>
    <w:basedOn w:val="1"/>
    <w:qFormat/>
    <w:uiPriority w:val="0"/>
    <w:pPr>
      <w:spacing w:line="420" w:lineRule="atLeast"/>
      <w:jc w:val="left"/>
    </w:pPr>
    <w:rPr>
      <w:szCs w:val="20"/>
    </w:rPr>
  </w:style>
  <w:style w:type="paragraph" w:customStyle="1" w:styleId="455">
    <w:name w:val="哈哈表格"/>
    <w:basedOn w:val="1"/>
    <w:qFormat/>
    <w:uiPriority w:val="0"/>
    <w:pPr>
      <w:spacing w:line="360" w:lineRule="auto"/>
    </w:pPr>
    <w:rPr>
      <w:rFonts w:ascii="宋体" w:hAnsi="宋体" w:cs="宋体"/>
      <w:sz w:val="24"/>
      <w:szCs w:val="20"/>
    </w:rPr>
  </w:style>
  <w:style w:type="paragraph" w:customStyle="1" w:styleId="456">
    <w:name w:val="样式 四号 首行缩进:  1 厘米"/>
    <w:basedOn w:val="1"/>
    <w:qFormat/>
    <w:uiPriority w:val="0"/>
    <w:pPr>
      <w:spacing w:line="440" w:lineRule="exact"/>
      <w:ind w:firstLine="567"/>
    </w:pPr>
    <w:rPr>
      <w:rFonts w:cs="宋体"/>
      <w:sz w:val="28"/>
      <w:szCs w:val="20"/>
    </w:rPr>
  </w:style>
  <w:style w:type="paragraph" w:customStyle="1" w:styleId="457">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458">
    <w:name w:val="正文（首行缩进）"/>
    <w:basedOn w:val="25"/>
    <w:qFormat/>
    <w:uiPriority w:val="0"/>
    <w:pPr>
      <w:widowControl/>
      <w:overflowPunct w:val="0"/>
      <w:autoSpaceDE w:val="0"/>
      <w:autoSpaceDN w:val="0"/>
      <w:spacing w:before="156"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59">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460">
    <w:name w:val="符号2"/>
    <w:basedOn w:val="1"/>
    <w:qFormat/>
    <w:uiPriority w:val="0"/>
    <w:pPr>
      <w:widowControl/>
      <w:numPr>
        <w:ilvl w:val="0"/>
        <w:numId w:val="9"/>
      </w:numPr>
      <w:spacing w:line="360" w:lineRule="auto"/>
      <w:jc w:val="left"/>
    </w:pPr>
    <w:rPr>
      <w:rFonts w:ascii="仿宋_GB2312" w:eastAsia="仿宋_GB2312"/>
      <w:sz w:val="28"/>
    </w:rPr>
  </w:style>
  <w:style w:type="paragraph" w:customStyle="1" w:styleId="46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4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3">
    <w:name w:val="样式 标题 3 + 黑体 小四 非加粗"/>
    <w:basedOn w:val="6"/>
    <w:qFormat/>
    <w:uiPriority w:val="0"/>
    <w:pPr>
      <w:spacing w:line="413" w:lineRule="auto"/>
    </w:pPr>
    <w:rPr>
      <w:rFonts w:ascii="黑体" w:hAnsi="黑体" w:eastAsia="黑体"/>
      <w:b w:val="0"/>
      <w:bCs w:val="0"/>
      <w:kern w:val="0"/>
      <w:sz w:val="24"/>
    </w:rPr>
  </w:style>
  <w:style w:type="paragraph" w:customStyle="1" w:styleId="464">
    <w:name w:val="标题 3H"/>
    <w:basedOn w:val="6"/>
    <w:next w:val="2"/>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465">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66">
    <w:name w:val="Body text|22"/>
    <w:basedOn w:val="1"/>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467">
    <w:name w:val="List Paragraph2"/>
    <w:basedOn w:val="1"/>
    <w:qFormat/>
    <w:uiPriority w:val="0"/>
    <w:pPr>
      <w:ind w:firstLine="420" w:firstLineChars="200"/>
    </w:pPr>
  </w:style>
  <w:style w:type="paragraph" w:customStyle="1" w:styleId="468">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69">
    <w:name w:val="编号正文"/>
    <w:basedOn w:val="22"/>
    <w:qFormat/>
    <w:uiPriority w:val="0"/>
    <w:pPr>
      <w:numPr>
        <w:ilvl w:val="0"/>
        <w:numId w:val="10"/>
      </w:numPr>
      <w:adjustRightInd w:val="0"/>
      <w:snapToGrid w:val="0"/>
      <w:spacing w:beforeLines="30" w:after="60" w:line="300" w:lineRule="auto"/>
      <w:jc w:val="left"/>
    </w:pPr>
    <w:rPr>
      <w:rFonts w:ascii="Times New Roman" w:hAnsi="Times New Roman"/>
      <w:kern w:val="0"/>
      <w:sz w:val="24"/>
      <w:szCs w:val="20"/>
    </w:rPr>
  </w:style>
  <w:style w:type="paragraph" w:customStyle="1" w:styleId="470">
    <w:name w:val="招标文件－标准正文"/>
    <w:basedOn w:val="31"/>
    <w:qFormat/>
    <w:uiPriority w:val="0"/>
    <w:pPr>
      <w:spacing w:line="360" w:lineRule="auto"/>
    </w:pPr>
    <w:rPr>
      <w:rFonts w:ascii="Times New Roman" w:hAnsi="Times New Roman" w:cs="宋体"/>
      <w:color w:val="000000"/>
      <w:sz w:val="24"/>
    </w:rPr>
  </w:style>
  <w:style w:type="paragraph" w:customStyle="1" w:styleId="47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73">
    <w:name w:val="方案"/>
    <w:basedOn w:val="1"/>
    <w:qFormat/>
    <w:uiPriority w:val="0"/>
    <w:pPr>
      <w:jc w:val="right"/>
    </w:pPr>
    <w:rPr>
      <w:rFonts w:eastAsia="黑体"/>
      <w:b/>
      <w:sz w:val="52"/>
    </w:rPr>
  </w:style>
  <w:style w:type="paragraph" w:customStyle="1" w:styleId="474">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475">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476">
    <w:name w:val="标题2"/>
    <w:basedOn w:val="5"/>
    <w:qFormat/>
    <w:uiPriority w:val="0"/>
    <w:pPr>
      <w:numPr>
        <w:ilvl w:val="1"/>
        <w:numId w:val="8"/>
      </w:numPr>
      <w:spacing w:before="240" w:after="240" w:line="360" w:lineRule="auto"/>
    </w:pPr>
    <w:rPr>
      <w:rFonts w:ascii="Times New Roman" w:hAnsi="Times New Roman"/>
      <w:sz w:val="36"/>
    </w:rPr>
  </w:style>
  <w:style w:type="paragraph" w:customStyle="1" w:styleId="477">
    <w:name w:val="样式 标题 4 + 非加粗"/>
    <w:basedOn w:val="7"/>
    <w:qFormat/>
    <w:uiPriority w:val="0"/>
    <w:pPr>
      <w:keepNext w:val="0"/>
      <w:tabs>
        <w:tab w:val="left" w:pos="0"/>
      </w:tabs>
      <w:adjustRightInd w:val="0"/>
      <w:textAlignment w:val="baseline"/>
    </w:pPr>
    <w:rPr>
      <w:rFonts w:ascii="Arial" w:hAnsi="Arial" w:eastAsia="黑体"/>
      <w:sz w:val="24"/>
      <w:szCs w:val="20"/>
    </w:rPr>
  </w:style>
  <w:style w:type="paragraph" w:customStyle="1" w:styleId="478">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479">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480">
    <w:name w:val="列出段落4"/>
    <w:basedOn w:val="1"/>
    <w:qFormat/>
    <w:uiPriority w:val="0"/>
    <w:pPr>
      <w:ind w:firstLine="420" w:firstLineChars="200"/>
    </w:pPr>
  </w:style>
  <w:style w:type="paragraph" w:customStyle="1" w:styleId="481">
    <w:name w:val="文字"/>
    <w:basedOn w:val="1"/>
    <w:qFormat/>
    <w:uiPriority w:val="0"/>
    <w:pPr>
      <w:tabs>
        <w:tab w:val="left" w:pos="8520"/>
      </w:tabs>
      <w:spacing w:line="312" w:lineRule="auto"/>
      <w:ind w:right="-210" w:firstLine="556"/>
    </w:pPr>
    <w:rPr>
      <w:rFonts w:ascii="宋体"/>
      <w:sz w:val="28"/>
      <w:szCs w:val="20"/>
    </w:rPr>
  </w:style>
  <w:style w:type="paragraph" w:customStyle="1" w:styleId="48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3">
    <w:name w:val="列出段落2"/>
    <w:basedOn w:val="1"/>
    <w:qFormat/>
    <w:uiPriority w:val="0"/>
    <w:pPr>
      <w:spacing w:line="360" w:lineRule="auto"/>
      <w:ind w:firstLine="420" w:firstLineChars="200"/>
    </w:pPr>
    <w:rPr>
      <w:rFonts w:ascii="Calibri" w:hAnsi="Calibri"/>
      <w:sz w:val="24"/>
      <w:szCs w:val="22"/>
    </w:rPr>
  </w:style>
  <w:style w:type="paragraph" w:customStyle="1" w:styleId="484">
    <w:name w:val="默认段落字体 Para Char Char Char Char Char Char Char Char Char1 Char Char Char Char"/>
    <w:basedOn w:val="1"/>
    <w:qFormat/>
    <w:uiPriority w:val="0"/>
    <w:rPr>
      <w:rFonts w:ascii="Tahoma" w:hAnsi="Tahoma"/>
      <w:sz w:val="24"/>
      <w:szCs w:val="20"/>
    </w:rPr>
  </w:style>
  <w:style w:type="paragraph" w:customStyle="1" w:styleId="485">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486">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48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488">
    <w:name w:val="样式_4"/>
    <w:basedOn w:val="7"/>
    <w:next w:val="7"/>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489">
    <w:name w:val="正文常用"/>
    <w:basedOn w:val="1"/>
    <w:qFormat/>
    <w:uiPriority w:val="0"/>
    <w:pPr>
      <w:spacing w:line="360" w:lineRule="auto"/>
      <w:ind w:firstLine="420"/>
    </w:pPr>
    <w:rPr>
      <w:rFonts w:ascii="宋体" w:hAnsi="宋体"/>
      <w:color w:val="000000"/>
      <w:sz w:val="24"/>
      <w:szCs w:val="21"/>
    </w:rPr>
  </w:style>
  <w:style w:type="paragraph" w:customStyle="1" w:styleId="490">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9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492">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93">
    <w:name w:val="[Normal]"/>
    <w:qFormat/>
    <w:uiPriority w:val="0"/>
    <w:rPr>
      <w:rFonts w:ascii="宋体" w:hAnsi="宋体" w:eastAsia="宋体" w:cs="Times New Roman"/>
      <w:sz w:val="24"/>
      <w:szCs w:val="22"/>
      <w:lang w:val="zh-CN" w:eastAsia="zh-CN" w:bidi="ar-SA"/>
    </w:rPr>
  </w:style>
  <w:style w:type="paragraph" w:customStyle="1" w:styleId="494">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96">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49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498">
    <w:name w:val="H 4"/>
    <w:basedOn w:val="7"/>
    <w:next w:val="1"/>
    <w:qFormat/>
    <w:uiPriority w:val="0"/>
    <w:pPr>
      <w:spacing w:before="120" w:after="120" w:line="240" w:lineRule="auto"/>
    </w:pPr>
    <w:rPr>
      <w:rFonts w:ascii="宋体" w:hAnsi="宋体"/>
      <w:szCs w:val="24"/>
      <w:lang w:val="zh-CN"/>
    </w:rPr>
  </w:style>
  <w:style w:type="paragraph" w:customStyle="1" w:styleId="49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500">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02">
    <w:name w:val="CM106"/>
    <w:basedOn w:val="446"/>
    <w:next w:val="446"/>
    <w:qFormat/>
    <w:uiPriority w:val="0"/>
    <w:rPr>
      <w:rFonts w:cs="Times New Roman"/>
      <w:color w:val="auto"/>
    </w:rPr>
  </w:style>
  <w:style w:type="paragraph" w:customStyle="1" w:styleId="503">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504">
    <w:name w:val="Char Char Char Char1"/>
    <w:basedOn w:val="1"/>
    <w:qFormat/>
    <w:uiPriority w:val="0"/>
    <w:rPr>
      <w:szCs w:val="20"/>
    </w:rPr>
  </w:style>
  <w:style w:type="paragraph" w:customStyle="1" w:styleId="505">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506">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507">
    <w:name w:val="正文－恩普"/>
    <w:basedOn w:val="2"/>
    <w:qFormat/>
    <w:uiPriority w:val="0"/>
    <w:pPr>
      <w:adjustRightInd/>
      <w:spacing w:line="360" w:lineRule="auto"/>
      <w:ind w:firstLine="200" w:firstLineChars="200"/>
      <w:textAlignment w:val="auto"/>
    </w:pPr>
    <w:rPr>
      <w:rFonts w:ascii="仿宋_GB2312"/>
      <w:b/>
      <w:kern w:val="2"/>
      <w:sz w:val="24"/>
      <w:szCs w:val="24"/>
    </w:rPr>
  </w:style>
  <w:style w:type="paragraph" w:customStyle="1" w:styleId="508">
    <w:name w:val="List Paragraph1"/>
    <w:basedOn w:val="1"/>
    <w:qFormat/>
    <w:uiPriority w:val="0"/>
    <w:pPr>
      <w:spacing w:line="360" w:lineRule="auto"/>
      <w:ind w:firstLine="420" w:firstLineChars="200"/>
    </w:pPr>
    <w:rPr>
      <w:rFonts w:ascii="Calibri" w:hAnsi="Calibri"/>
      <w:sz w:val="24"/>
      <w:szCs w:val="22"/>
    </w:rPr>
  </w:style>
  <w:style w:type="paragraph" w:customStyle="1" w:styleId="509">
    <w:name w:val="默认段落字体 Para Char Char Char Char Char Char Char Char Char1 Char Char Char Char Char Char Char"/>
    <w:basedOn w:val="18"/>
    <w:qFormat/>
    <w:uiPriority w:val="0"/>
    <w:rPr>
      <w:rFonts w:ascii="Tahoma" w:hAnsi="Tahoma"/>
      <w:sz w:val="24"/>
    </w:rPr>
  </w:style>
  <w:style w:type="paragraph" w:customStyle="1" w:styleId="510">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511">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12">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513">
    <w:name w:val="_Style 25"/>
    <w:basedOn w:val="1"/>
    <w:qFormat/>
    <w:uiPriority w:val="0"/>
  </w:style>
  <w:style w:type="paragraph" w:customStyle="1" w:styleId="514">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51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516">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517">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518">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519">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20">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21">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22">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3">
    <w:name w:val="1级"/>
    <w:basedOn w:val="4"/>
    <w:next w:val="55"/>
    <w:qFormat/>
    <w:uiPriority w:val="0"/>
    <w:pPr>
      <w:keepLines/>
      <w:pageBreakBefore/>
      <w:numPr>
        <w:ilvl w:val="0"/>
        <w:numId w:val="2"/>
      </w:numPr>
      <w:spacing w:before="340" w:after="330" w:line="578" w:lineRule="auto"/>
      <w:jc w:val="left"/>
    </w:pPr>
    <w:rPr>
      <w:rFonts w:ascii="Calibri" w:hAnsi="Calibri" w:eastAsia="宋体"/>
      <w:kern w:val="44"/>
      <w:sz w:val="32"/>
      <w:szCs w:val="32"/>
    </w:rPr>
  </w:style>
  <w:style w:type="paragraph" w:customStyle="1" w:styleId="524">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525">
    <w:name w:val="普通 (Web)"/>
    <w:basedOn w:val="1"/>
    <w:qFormat/>
    <w:uiPriority w:val="0"/>
    <w:pPr>
      <w:widowControl/>
      <w:spacing w:before="100" w:after="100"/>
      <w:jc w:val="left"/>
    </w:pPr>
    <w:rPr>
      <w:rFonts w:ascii="宋体" w:hAnsi="宋体"/>
      <w:kern w:val="0"/>
      <w:sz w:val="24"/>
    </w:rPr>
  </w:style>
  <w:style w:type="paragraph" w:customStyle="1" w:styleId="52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27">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8">
    <w:name w:val="TOC 标题1"/>
    <w:basedOn w:val="4"/>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52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0">
    <w:name w:val="样式 标题 3 + (中文) 黑体 小四 非加粗 段前: 7.8 磅 段后: 0 磅 行距: 固定值 20 磅"/>
    <w:basedOn w:val="6"/>
    <w:qFormat/>
    <w:uiPriority w:val="0"/>
    <w:pPr>
      <w:spacing w:before="0" w:after="0" w:line="400" w:lineRule="exact"/>
    </w:pPr>
    <w:rPr>
      <w:rFonts w:ascii="仿宋_GB2312" w:eastAsia="黑体" w:cs="宋体"/>
      <w:b w:val="0"/>
      <w:bCs w:val="0"/>
      <w:sz w:val="24"/>
      <w:szCs w:val="20"/>
    </w:rPr>
  </w:style>
  <w:style w:type="paragraph" w:customStyle="1" w:styleId="53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32">
    <w:name w:val="Revision1"/>
    <w:qFormat/>
    <w:uiPriority w:val="99"/>
    <w:rPr>
      <w:rFonts w:ascii="Times New Roman" w:hAnsi="Times New Roman" w:eastAsia="宋体" w:cs="Times New Roman"/>
      <w:kern w:val="2"/>
      <w:sz w:val="21"/>
      <w:szCs w:val="24"/>
      <w:lang w:val="en-US" w:eastAsia="zh-CN" w:bidi="ar-SA"/>
    </w:rPr>
  </w:style>
  <w:style w:type="paragraph" w:customStyle="1" w:styleId="533">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34">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535">
    <w:name w:val="列出段落5"/>
    <w:basedOn w:val="1"/>
    <w:qFormat/>
    <w:uiPriority w:val="0"/>
    <w:pPr>
      <w:ind w:firstLine="420" w:firstLineChars="200"/>
    </w:pPr>
  </w:style>
  <w:style w:type="paragraph" w:customStyle="1" w:styleId="536">
    <w:name w:val="样式 标题 3正文三级标题 + 小五 左 行距: 固定值 12 磅"/>
    <w:basedOn w:val="6"/>
    <w:qFormat/>
    <w:uiPriority w:val="0"/>
    <w:pPr>
      <w:spacing w:line="240" w:lineRule="exact"/>
      <w:jc w:val="left"/>
    </w:pPr>
    <w:rPr>
      <w:rFonts w:cs="宋体"/>
      <w:sz w:val="18"/>
      <w:szCs w:val="20"/>
    </w:rPr>
  </w:style>
  <w:style w:type="paragraph" w:customStyle="1" w:styleId="537">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538">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40">
    <w:name w:val="项目符1"/>
    <w:basedOn w:val="1"/>
    <w:next w:val="1"/>
    <w:qFormat/>
    <w:uiPriority w:val="0"/>
    <w:pPr>
      <w:numPr>
        <w:ilvl w:val="0"/>
        <w:numId w:val="11"/>
      </w:numPr>
      <w:spacing w:before="60" w:line="360" w:lineRule="auto"/>
    </w:pPr>
    <w:rPr>
      <w:spacing w:val="6"/>
      <w:szCs w:val="20"/>
    </w:rPr>
  </w:style>
  <w:style w:type="paragraph" w:customStyle="1" w:styleId="54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42">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43">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54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45">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546">
    <w:name w:val="【注意】"/>
    <w:basedOn w:val="1"/>
    <w:next w:val="1"/>
    <w:qFormat/>
    <w:uiPriority w:val="0"/>
    <w:pPr>
      <w:spacing w:before="120" w:after="120"/>
      <w:jc w:val="left"/>
    </w:pPr>
    <w:rPr>
      <w:rFonts w:ascii="宋体" w:hAnsi="Arial"/>
      <w:szCs w:val="20"/>
    </w:rPr>
  </w:style>
  <w:style w:type="paragraph" w:customStyle="1" w:styleId="547">
    <w:name w:val="Char Char Char2"/>
    <w:basedOn w:val="1"/>
    <w:next w:val="1"/>
    <w:qFormat/>
    <w:uiPriority w:val="0"/>
    <w:pPr>
      <w:shd w:val="clear" w:color="auto" w:fill="000080"/>
    </w:pPr>
    <w:rPr>
      <w:rFonts w:ascii="Tahoma" w:hAnsi="Tahoma"/>
      <w:sz w:val="24"/>
    </w:rPr>
  </w:style>
  <w:style w:type="paragraph" w:customStyle="1" w:styleId="548">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549">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50">
    <w:name w:val="纯文本11"/>
    <w:basedOn w:val="1"/>
    <w:qFormat/>
    <w:uiPriority w:val="0"/>
    <w:pPr>
      <w:adjustRightInd w:val="0"/>
      <w:textAlignment w:val="baseline"/>
    </w:pPr>
    <w:rPr>
      <w:rFonts w:ascii="宋体" w:hAnsi="Courier New" w:eastAsia="楷体_GB2312"/>
      <w:sz w:val="26"/>
      <w:szCs w:val="20"/>
    </w:rPr>
  </w:style>
  <w:style w:type="paragraph" w:customStyle="1" w:styleId="551">
    <w:name w:val="图表脚注"/>
    <w:next w:val="552"/>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3">
    <w:name w:val="_Style 33"/>
    <w:basedOn w:val="1"/>
    <w:qFormat/>
    <w:uiPriority w:val="0"/>
  </w:style>
  <w:style w:type="paragraph" w:customStyle="1" w:styleId="554">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557">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58">
    <w:name w:val="Char Char Char Char Char Char Char Char Char Char Char Char Char Char"/>
    <w:basedOn w:val="1"/>
    <w:qFormat/>
    <w:uiPriority w:val="0"/>
    <w:pPr>
      <w:widowControl/>
      <w:spacing w:after="160" w:line="240" w:lineRule="exact"/>
      <w:jc w:val="left"/>
    </w:pPr>
    <w:rPr>
      <w:bCs/>
    </w:rPr>
  </w:style>
  <w:style w:type="paragraph" w:customStyle="1" w:styleId="559">
    <w:name w:val="Char"/>
    <w:basedOn w:val="1"/>
    <w:qFormat/>
    <w:uiPriority w:val="0"/>
    <w:pPr>
      <w:widowControl/>
      <w:spacing w:line="400" w:lineRule="exact"/>
      <w:jc w:val="center"/>
    </w:pPr>
    <w:rPr>
      <w:rFonts w:ascii="Verdana" w:hAnsi="Verdana"/>
      <w:kern w:val="0"/>
      <w:szCs w:val="20"/>
      <w:lang w:eastAsia="en-US"/>
    </w:rPr>
  </w:style>
  <w:style w:type="paragraph" w:customStyle="1" w:styleId="56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1">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62">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563">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564">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565">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66">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67">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68">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569">
    <w:name w:val="样式 标题 2 + 居中"/>
    <w:basedOn w:val="5"/>
    <w:qFormat/>
    <w:uiPriority w:val="0"/>
    <w:pPr>
      <w:spacing w:before="100" w:beforeLines="50" w:beforeAutospacing="1" w:after="100" w:afterLines="50" w:afterAutospacing="1" w:line="360" w:lineRule="auto"/>
      <w:jc w:val="center"/>
    </w:pPr>
    <w:rPr>
      <w:rFonts w:cs="宋体"/>
      <w:szCs w:val="20"/>
    </w:rPr>
  </w:style>
  <w:style w:type="paragraph" w:customStyle="1" w:styleId="570">
    <w:name w:val="Blockquote"/>
    <w:basedOn w:val="1"/>
    <w:qFormat/>
    <w:uiPriority w:val="0"/>
    <w:pPr>
      <w:autoSpaceDE w:val="0"/>
      <w:autoSpaceDN w:val="0"/>
      <w:spacing w:before="100" w:after="100"/>
      <w:ind w:left="360" w:right="360"/>
      <w:jc w:val="left"/>
    </w:pPr>
    <w:rPr>
      <w:szCs w:val="20"/>
    </w:rPr>
  </w:style>
  <w:style w:type="paragraph" w:customStyle="1" w:styleId="571">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572">
    <w:name w:val="纯文本2"/>
    <w:basedOn w:val="522"/>
    <w:qFormat/>
    <w:uiPriority w:val="0"/>
    <w:pPr>
      <w:adjustRightInd w:val="0"/>
      <w:snapToGrid w:val="0"/>
      <w:spacing w:line="288" w:lineRule="auto"/>
      <w:ind w:firstLine="200" w:firstLineChars="200"/>
    </w:pPr>
    <w:rPr>
      <w:rFonts w:ascii="宋体" w:hAnsi="Courier New"/>
    </w:rPr>
  </w:style>
  <w:style w:type="paragraph" w:customStyle="1" w:styleId="573">
    <w:name w:val="一级条标题"/>
    <w:next w:val="1"/>
    <w:qFormat/>
    <w:uiPriority w:val="0"/>
    <w:pPr>
      <w:numPr>
        <w:ilvl w:val="2"/>
        <w:numId w:val="12"/>
      </w:numPr>
      <w:outlineLvl w:val="2"/>
    </w:pPr>
    <w:rPr>
      <w:rFonts w:ascii="Times New Roman" w:hAnsi="Times New Roman" w:eastAsia="黑体" w:cs="Times New Roman"/>
      <w:sz w:val="21"/>
      <w:lang w:val="en-US" w:eastAsia="zh-CN" w:bidi="ar-SA"/>
    </w:rPr>
  </w:style>
  <w:style w:type="paragraph" w:customStyle="1" w:styleId="57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5">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5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77">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578">
    <w:name w:val="二级条标题"/>
    <w:basedOn w:val="573"/>
    <w:next w:val="1"/>
    <w:qFormat/>
    <w:uiPriority w:val="0"/>
    <w:pPr>
      <w:numPr>
        <w:ilvl w:val="3"/>
      </w:numPr>
      <w:outlineLvl w:val="3"/>
    </w:pPr>
  </w:style>
  <w:style w:type="paragraph" w:customStyle="1" w:styleId="579">
    <w:name w:val="Body text|25"/>
    <w:basedOn w:val="1"/>
    <w:qFormat/>
    <w:uiPriority w:val="0"/>
    <w:pPr>
      <w:shd w:val="clear" w:color="auto" w:fill="FFFFFF"/>
      <w:spacing w:before="120" w:line="341" w:lineRule="exact"/>
      <w:ind w:hanging="100"/>
      <w:jc w:val="distribute"/>
    </w:pPr>
    <w:rPr>
      <w:rFonts w:ascii="PMingLiU" w:hAnsi="PMingLiU" w:eastAsia="PMingLiU" w:cs="PMingLiU"/>
      <w:sz w:val="20"/>
      <w:szCs w:val="20"/>
    </w:rPr>
  </w:style>
  <w:style w:type="paragraph" w:customStyle="1" w:styleId="580">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581">
    <w:name w:val="1"/>
    <w:basedOn w:val="1"/>
    <w:qFormat/>
    <w:uiPriority w:val="0"/>
  </w:style>
  <w:style w:type="paragraph" w:customStyle="1" w:styleId="582">
    <w:name w:val="样式 标题 5正文四级标题 + 宋体 小五 行距: 固定值 12 磅1"/>
    <w:basedOn w:val="8"/>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583">
    <w:name w:val="正文 首行缩进:  2 字符 Char"/>
    <w:basedOn w:val="1"/>
    <w:qFormat/>
    <w:uiPriority w:val="0"/>
    <w:pPr>
      <w:spacing w:line="360" w:lineRule="auto"/>
      <w:ind w:firstLine="480"/>
    </w:pPr>
    <w:rPr>
      <w:rFonts w:cs="宋体"/>
      <w:sz w:val="24"/>
      <w:szCs w:val="20"/>
    </w:rPr>
  </w:style>
  <w:style w:type="paragraph" w:customStyle="1" w:styleId="58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85">
    <w:name w:val="样式 首行缩进:  2 字符1"/>
    <w:basedOn w:val="1"/>
    <w:qFormat/>
    <w:uiPriority w:val="0"/>
    <w:pPr>
      <w:spacing w:line="360" w:lineRule="auto"/>
      <w:ind w:firstLine="540" w:firstLineChars="225"/>
    </w:pPr>
    <w:rPr>
      <w:sz w:val="24"/>
      <w:szCs w:val="20"/>
    </w:rPr>
  </w:style>
  <w:style w:type="paragraph" w:customStyle="1" w:styleId="586">
    <w:name w:val="Char3"/>
    <w:basedOn w:val="1"/>
    <w:qFormat/>
    <w:uiPriority w:val="0"/>
    <w:rPr>
      <w:rFonts w:ascii="Tahoma" w:hAnsi="Tahoma"/>
      <w:sz w:val="24"/>
      <w:szCs w:val="20"/>
    </w:rPr>
  </w:style>
  <w:style w:type="paragraph" w:customStyle="1" w:styleId="58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88">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589">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9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591">
    <w:name w:val="Char Char Char Char Char Char Char Char Char Char Char Char Char"/>
    <w:basedOn w:val="1"/>
    <w:qFormat/>
    <w:uiPriority w:val="0"/>
  </w:style>
  <w:style w:type="paragraph" w:customStyle="1" w:styleId="592">
    <w:name w:val="Char Char Char Char Char Char Char1"/>
    <w:basedOn w:val="1"/>
    <w:qFormat/>
    <w:uiPriority w:val="0"/>
    <w:pPr>
      <w:widowControl/>
      <w:spacing w:after="160" w:line="240" w:lineRule="exact"/>
      <w:jc w:val="left"/>
    </w:pPr>
    <w:rPr>
      <w:szCs w:val="20"/>
    </w:rPr>
  </w:style>
  <w:style w:type="paragraph" w:customStyle="1" w:styleId="593">
    <w:name w:val="Normal Indent1"/>
    <w:basedOn w:val="1"/>
    <w:qFormat/>
    <w:uiPriority w:val="0"/>
    <w:pPr>
      <w:ind w:firstLine="420" w:firstLineChars="200"/>
    </w:pPr>
  </w:style>
  <w:style w:type="paragraph" w:customStyle="1" w:styleId="594">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95">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96">
    <w:name w:val="内文正文"/>
    <w:basedOn w:val="31"/>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597">
    <w:name w:val="样式 四号 行距: 1.5 倍行距"/>
    <w:basedOn w:val="1"/>
    <w:qFormat/>
    <w:uiPriority w:val="0"/>
    <w:pPr>
      <w:spacing w:line="312" w:lineRule="auto"/>
      <w:ind w:firstLine="202" w:firstLineChars="202"/>
    </w:pPr>
    <w:rPr>
      <w:rFonts w:cs="宋体"/>
      <w:sz w:val="24"/>
      <w:szCs w:val="20"/>
    </w:rPr>
  </w:style>
  <w:style w:type="paragraph" w:customStyle="1" w:styleId="598">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599">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00">
    <w:name w:val="缩正文"/>
    <w:basedOn w:val="55"/>
    <w:qFormat/>
    <w:uiPriority w:val="0"/>
    <w:pPr>
      <w:spacing w:line="240" w:lineRule="auto"/>
      <w:ind w:left="2268" w:leftChars="0" w:firstLine="0" w:firstLineChars="0"/>
    </w:pPr>
    <w:rPr>
      <w:rFonts w:ascii="Times New Roman" w:hAnsi="Times New Roman"/>
      <w:sz w:val="21"/>
      <w:szCs w:val="20"/>
    </w:rPr>
  </w:style>
  <w:style w:type="paragraph" w:customStyle="1" w:styleId="601">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602">
    <w:name w:val="Char Char1 Char"/>
    <w:basedOn w:val="1"/>
    <w:qFormat/>
    <w:uiPriority w:val="0"/>
    <w:pPr>
      <w:spacing w:line="360" w:lineRule="auto"/>
    </w:pPr>
    <w:rPr>
      <w:sz w:val="24"/>
    </w:rPr>
  </w:style>
  <w:style w:type="paragraph" w:customStyle="1" w:styleId="603">
    <w:name w:val="纯文本1"/>
    <w:basedOn w:val="1"/>
    <w:qFormat/>
    <w:uiPriority w:val="0"/>
    <w:pPr>
      <w:adjustRightInd w:val="0"/>
      <w:textAlignment w:val="baseline"/>
    </w:pPr>
    <w:rPr>
      <w:rFonts w:ascii="宋体" w:hAnsi="Courier New" w:eastAsia="楷体_GB2312"/>
      <w:sz w:val="26"/>
      <w:szCs w:val="20"/>
    </w:rPr>
  </w:style>
  <w:style w:type="paragraph" w:customStyle="1" w:styleId="604">
    <w:name w:val="标题 2P"/>
    <w:basedOn w:val="5"/>
    <w:next w:val="2"/>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60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0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07">
    <w:name w:val="五级条标题"/>
    <w:basedOn w:val="608"/>
    <w:next w:val="1"/>
    <w:qFormat/>
    <w:uiPriority w:val="0"/>
    <w:pPr>
      <w:numPr>
        <w:ilvl w:val="6"/>
      </w:numPr>
      <w:tabs>
        <w:tab w:val="left" w:pos="360"/>
      </w:tabs>
      <w:outlineLvl w:val="6"/>
    </w:pPr>
  </w:style>
  <w:style w:type="paragraph" w:customStyle="1" w:styleId="608">
    <w:name w:val="四级条标题"/>
    <w:basedOn w:val="609"/>
    <w:next w:val="1"/>
    <w:qFormat/>
    <w:uiPriority w:val="0"/>
    <w:pPr>
      <w:numPr>
        <w:ilvl w:val="5"/>
      </w:numPr>
      <w:tabs>
        <w:tab w:val="left" w:pos="360"/>
      </w:tabs>
      <w:outlineLvl w:val="5"/>
    </w:pPr>
  </w:style>
  <w:style w:type="paragraph" w:customStyle="1" w:styleId="609">
    <w:name w:val="三级条标题"/>
    <w:basedOn w:val="578"/>
    <w:next w:val="1"/>
    <w:qFormat/>
    <w:uiPriority w:val="0"/>
    <w:pPr>
      <w:numPr>
        <w:ilvl w:val="4"/>
      </w:numPr>
      <w:outlineLvl w:val="4"/>
    </w:pPr>
  </w:style>
  <w:style w:type="paragraph" w:customStyle="1" w:styleId="61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1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612">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13">
    <w:name w:val="Table of contents|1"/>
    <w:basedOn w:val="1"/>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614">
    <w:name w:val="正文段"/>
    <w:basedOn w:val="1"/>
    <w:qFormat/>
    <w:uiPriority w:val="0"/>
    <w:pPr>
      <w:widowControl/>
      <w:snapToGrid w:val="0"/>
      <w:spacing w:after="156" w:afterLines="50"/>
      <w:ind w:firstLine="200" w:firstLineChars="200"/>
    </w:pPr>
    <w:rPr>
      <w:kern w:val="0"/>
      <w:sz w:val="24"/>
      <w:szCs w:val="20"/>
    </w:rPr>
  </w:style>
  <w:style w:type="paragraph" w:customStyle="1" w:styleId="615">
    <w:name w:val="简单回函地址"/>
    <w:basedOn w:val="1"/>
    <w:qFormat/>
    <w:uiPriority w:val="0"/>
  </w:style>
  <w:style w:type="paragraph" w:customStyle="1" w:styleId="61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17">
    <w:name w:val="Char Char Char Char Char Char Char"/>
    <w:basedOn w:val="1"/>
    <w:next w:val="1"/>
    <w:qFormat/>
    <w:uiPriority w:val="0"/>
    <w:pPr>
      <w:tabs>
        <w:tab w:val="left" w:pos="425"/>
      </w:tabs>
      <w:spacing w:before="156" w:beforeLines="50" w:after="312" w:afterLines="100" w:line="360" w:lineRule="auto"/>
      <w:ind w:left="1105" w:hanging="748"/>
      <w:jc w:val="center"/>
    </w:pPr>
    <w:rPr>
      <w:szCs w:val="20"/>
    </w:rPr>
  </w:style>
  <w:style w:type="paragraph" w:customStyle="1" w:styleId="618">
    <w:name w:val="样式 首行缩进:  2 字符"/>
    <w:basedOn w:val="1"/>
    <w:qFormat/>
    <w:uiPriority w:val="0"/>
    <w:pPr>
      <w:widowControl/>
      <w:numPr>
        <w:ilvl w:val="0"/>
        <w:numId w:val="13"/>
      </w:numPr>
    </w:pPr>
    <w:rPr>
      <w:rFonts w:ascii="宋体" w:hAnsi="宋体" w:cs="宋体"/>
      <w:bCs/>
      <w:color w:val="000000"/>
      <w:kern w:val="0"/>
      <w:sz w:val="24"/>
    </w:rPr>
  </w:style>
  <w:style w:type="paragraph" w:customStyle="1" w:styleId="619">
    <w:name w:val="编号，小四"/>
    <w:basedOn w:val="1"/>
    <w:qFormat/>
    <w:uiPriority w:val="0"/>
    <w:pPr>
      <w:numPr>
        <w:ilvl w:val="0"/>
        <w:numId w:val="14"/>
      </w:numPr>
      <w:spacing w:line="360" w:lineRule="auto"/>
    </w:pPr>
    <w:rPr>
      <w:rFonts w:ascii="Arial" w:hAnsi="Arial" w:cs="宋体"/>
      <w:sz w:val="24"/>
      <w:szCs w:val="20"/>
    </w:rPr>
  </w:style>
  <w:style w:type="paragraph" w:customStyle="1" w:styleId="620">
    <w:name w:val="Char11"/>
    <w:basedOn w:val="1"/>
    <w:qFormat/>
    <w:uiPriority w:val="0"/>
    <w:rPr>
      <w:rFonts w:ascii="Tahoma" w:hAnsi="Tahoma"/>
      <w:sz w:val="24"/>
      <w:szCs w:val="20"/>
    </w:rPr>
  </w:style>
  <w:style w:type="paragraph" w:customStyle="1" w:styleId="621">
    <w:name w:val="表格正文"/>
    <w:basedOn w:val="2"/>
    <w:qFormat/>
    <w:uiPriority w:val="0"/>
    <w:pPr>
      <w:adjustRightInd/>
      <w:spacing w:before="30" w:beforeLines="30" w:after="20" w:afterLines="20" w:line="360" w:lineRule="auto"/>
      <w:ind w:firstLine="0"/>
      <w:textAlignment w:val="auto"/>
    </w:pPr>
    <w:rPr>
      <w:rFonts w:ascii="Arial" w:hAnsi="Arial"/>
      <w:kern w:val="2"/>
      <w:szCs w:val="21"/>
    </w:rPr>
  </w:style>
  <w:style w:type="paragraph" w:customStyle="1" w:styleId="622">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23">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2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27">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628">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629">
    <w:name w:val="默认段落字体 Para Char"/>
    <w:basedOn w:val="1"/>
    <w:qFormat/>
    <w:uiPriority w:val="0"/>
    <w:pPr>
      <w:spacing w:before="156" w:beforeLines="50" w:after="156" w:afterLines="50"/>
    </w:pPr>
    <w:rPr>
      <w:rFonts w:ascii="Tahoma" w:hAnsi="Tahoma"/>
      <w:sz w:val="24"/>
      <w:szCs w:val="20"/>
    </w:rPr>
  </w:style>
  <w:style w:type="paragraph" w:customStyle="1" w:styleId="630">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31">
    <w:name w:val="Char1 Char Char Char Char1"/>
    <w:basedOn w:val="18"/>
    <w:qFormat/>
    <w:uiPriority w:val="0"/>
    <w:rPr>
      <w:rFonts w:ascii="Tahoma" w:hAnsi="Tahoma" w:cs="Tahoma"/>
      <w:kern w:val="0"/>
      <w:sz w:val="18"/>
    </w:rPr>
  </w:style>
  <w:style w:type="paragraph" w:customStyle="1" w:styleId="63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33">
    <w:name w:val="Table Paragraph"/>
    <w:basedOn w:val="1"/>
    <w:qFormat/>
    <w:uiPriority w:val="1"/>
    <w:pPr>
      <w:autoSpaceDE w:val="0"/>
      <w:autoSpaceDN w:val="0"/>
      <w:adjustRightInd w:val="0"/>
      <w:jc w:val="left"/>
    </w:pPr>
    <w:rPr>
      <w:kern w:val="0"/>
      <w:sz w:val="24"/>
    </w:rPr>
  </w:style>
  <w:style w:type="paragraph" w:customStyle="1" w:styleId="634">
    <w:name w:val="样式 标题 3h33rd level3Heading 3 - old + 居中 左侧:  9.8 毫米 首行缩进: ...1"/>
    <w:basedOn w:val="6"/>
    <w:qFormat/>
    <w:uiPriority w:val="0"/>
    <w:pPr>
      <w:keepLines w:val="0"/>
      <w:tabs>
        <w:tab w:val="left" w:pos="1275"/>
      </w:tabs>
      <w:spacing w:before="156" w:beforeLines="50" w:after="156" w:afterLines="50" w:line="240" w:lineRule="auto"/>
      <w:ind w:left="1275" w:hanging="720"/>
      <w:jc w:val="center"/>
    </w:pPr>
    <w:rPr>
      <w:rFonts w:ascii="宋体" w:cs="宋体"/>
      <w:sz w:val="28"/>
      <w:szCs w:val="20"/>
    </w:rPr>
  </w:style>
  <w:style w:type="paragraph" w:customStyle="1" w:styleId="63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636">
    <w:name w:val="正文缩进2"/>
    <w:basedOn w:val="1"/>
    <w:qFormat/>
    <w:uiPriority w:val="0"/>
    <w:pPr>
      <w:ind w:firstLine="420"/>
    </w:pPr>
    <w:rPr>
      <w:szCs w:val="20"/>
    </w:rPr>
  </w:style>
  <w:style w:type="paragraph" w:customStyle="1" w:styleId="637">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6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9">
    <w:name w:val="样式3"/>
    <w:basedOn w:val="7"/>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640">
    <w:name w:val="Char Char Char Char Char Char Char Char Char Char Char Char Char1"/>
    <w:basedOn w:val="1"/>
    <w:qFormat/>
    <w:uiPriority w:val="0"/>
    <w:rPr>
      <w:rFonts w:ascii="Tahoma" w:hAnsi="Tahoma"/>
      <w:sz w:val="24"/>
      <w:szCs w:val="20"/>
    </w:rPr>
  </w:style>
  <w:style w:type="paragraph" w:customStyle="1" w:styleId="641">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42">
    <w:name w:val="样式6"/>
    <w:basedOn w:val="16"/>
    <w:qFormat/>
    <w:uiPriority w:val="0"/>
    <w:pPr>
      <w:keepNext/>
      <w:autoSpaceDE/>
      <w:autoSpaceDN/>
      <w:adjustRightInd/>
      <w:jc w:val="center"/>
    </w:pPr>
    <w:rPr>
      <w:rFonts w:ascii="宋体" w:hAnsi="宋体" w:eastAsia="宋体"/>
      <w:kern w:val="2"/>
    </w:rPr>
  </w:style>
  <w:style w:type="paragraph" w:customStyle="1" w:styleId="643">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44">
    <w:name w:val="修订1"/>
    <w:qFormat/>
    <w:uiPriority w:val="0"/>
    <w:rPr>
      <w:rFonts w:ascii="Times New Roman" w:hAnsi="Times New Roman" w:eastAsia="宋体" w:cs="Times New Roman"/>
      <w:kern w:val="2"/>
      <w:sz w:val="21"/>
      <w:szCs w:val="24"/>
      <w:lang w:val="en-US" w:eastAsia="zh-CN" w:bidi="ar-SA"/>
    </w:rPr>
  </w:style>
  <w:style w:type="paragraph" w:customStyle="1" w:styleId="645">
    <w:name w:val="T4"/>
    <w:basedOn w:val="1"/>
    <w:qFormat/>
    <w:uiPriority w:val="0"/>
    <w:pPr>
      <w:adjustRightInd w:val="0"/>
      <w:spacing w:line="360" w:lineRule="atLeast"/>
    </w:pPr>
    <w:rPr>
      <w:rFonts w:ascii="宋体"/>
      <w:kern w:val="0"/>
      <w:sz w:val="22"/>
      <w:szCs w:val="20"/>
    </w:rPr>
  </w:style>
  <w:style w:type="paragraph" w:customStyle="1" w:styleId="646">
    <w:name w:val="Char1 Char Char Char Char"/>
    <w:basedOn w:val="18"/>
    <w:qFormat/>
    <w:uiPriority w:val="0"/>
    <w:rPr>
      <w:rFonts w:ascii="Tahoma" w:hAnsi="Tahoma" w:cs="Tahoma"/>
      <w:kern w:val="0"/>
      <w:sz w:val="18"/>
    </w:rPr>
  </w:style>
  <w:style w:type="paragraph" w:customStyle="1" w:styleId="647">
    <w:name w:val="默认段落字体 Para Char Char Char Char"/>
    <w:basedOn w:val="1"/>
    <w:qFormat/>
    <w:uiPriority w:val="0"/>
    <w:rPr>
      <w:sz w:val="20"/>
    </w:rPr>
  </w:style>
  <w:style w:type="paragraph" w:customStyle="1" w:styleId="648">
    <w:name w:val="1级编号"/>
    <w:basedOn w:val="1"/>
    <w:qFormat/>
    <w:uiPriority w:val="0"/>
    <w:pPr>
      <w:numPr>
        <w:ilvl w:val="0"/>
        <w:numId w:val="15"/>
      </w:numPr>
      <w:spacing w:line="276" w:lineRule="auto"/>
      <w:ind w:left="993" w:hanging="573"/>
      <w:jc w:val="left"/>
    </w:pPr>
    <w:rPr>
      <w:rFonts w:ascii="Calibri" w:hAnsi="宋体"/>
      <w:szCs w:val="21"/>
    </w:rPr>
  </w:style>
  <w:style w:type="paragraph" w:customStyle="1" w:styleId="64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50">
    <w:name w:val="样式 标题 4正文四级标题 + 宋体 小五 行距: 固定值 12 磅1"/>
    <w:basedOn w:val="1"/>
    <w:qFormat/>
    <w:uiPriority w:val="0"/>
    <w:pPr>
      <w:tabs>
        <w:tab w:val="left" w:pos="2580"/>
      </w:tabs>
      <w:ind w:left="2580" w:hanging="420"/>
    </w:pPr>
    <w:rPr>
      <w:sz w:val="20"/>
    </w:rPr>
  </w:style>
  <w:style w:type="paragraph" w:customStyle="1" w:styleId="651">
    <w:name w:val="章标题"/>
    <w:next w:val="1"/>
    <w:qFormat/>
    <w:uiPriority w:val="0"/>
    <w:pPr>
      <w:numPr>
        <w:ilvl w:val="1"/>
        <w:numId w:val="1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53">
    <w:name w:val="Bulleted List"/>
    <w:basedOn w:val="1"/>
    <w:qFormat/>
    <w:uiPriority w:val="0"/>
    <w:pPr>
      <w:numPr>
        <w:ilvl w:val="1"/>
        <w:numId w:val="16"/>
      </w:numPr>
      <w:tabs>
        <w:tab w:val="left" w:pos="420"/>
      </w:tabs>
    </w:pPr>
  </w:style>
  <w:style w:type="paragraph" w:customStyle="1" w:styleId="654">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55">
    <w:name w:val="Char Char Char Char11"/>
    <w:basedOn w:val="18"/>
    <w:qFormat/>
    <w:uiPriority w:val="0"/>
    <w:rPr>
      <w:rFonts w:ascii="Tahoma" w:hAnsi="Tahoma"/>
      <w:sz w:val="24"/>
    </w:rPr>
  </w:style>
  <w:style w:type="paragraph" w:customStyle="1" w:styleId="656">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58">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6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660">
    <w:name w:val="编号1"/>
    <w:basedOn w:val="1"/>
    <w:qFormat/>
    <w:uiPriority w:val="0"/>
    <w:pPr>
      <w:spacing w:line="360" w:lineRule="auto"/>
      <w:jc w:val="left"/>
    </w:pPr>
    <w:rPr>
      <w:sz w:val="24"/>
    </w:rPr>
  </w:style>
  <w:style w:type="paragraph" w:customStyle="1" w:styleId="661">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6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63">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64">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65">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66">
    <w:name w:val="Test2"/>
    <w:basedOn w:val="5"/>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6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68">
    <w:name w:val="Char Char Char Char Char Char"/>
    <w:basedOn w:val="1"/>
    <w:qFormat/>
    <w:uiPriority w:val="0"/>
    <w:rPr>
      <w:rFonts w:ascii="Tahoma" w:hAnsi="Tahoma"/>
      <w:sz w:val="24"/>
      <w:szCs w:val="20"/>
    </w:rPr>
  </w:style>
  <w:style w:type="paragraph" w:customStyle="1" w:styleId="6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0">
    <w:name w:val="图表1"/>
    <w:basedOn w:val="1"/>
    <w:qFormat/>
    <w:uiPriority w:val="0"/>
    <w:pPr>
      <w:jc w:val="center"/>
    </w:pPr>
    <w:rPr>
      <w:sz w:val="20"/>
    </w:rPr>
  </w:style>
  <w:style w:type="paragraph" w:customStyle="1" w:styleId="671">
    <w:name w:val="blockquote"/>
    <w:basedOn w:val="1"/>
    <w:qFormat/>
    <w:uiPriority w:val="0"/>
    <w:pPr>
      <w:widowControl/>
      <w:spacing w:before="100" w:beforeAutospacing="1" w:after="100" w:afterAutospacing="1"/>
      <w:jc w:val="left"/>
    </w:pPr>
    <w:rPr>
      <w:rFonts w:ascii="宋体" w:hAnsi="宋体"/>
    </w:rPr>
  </w:style>
  <w:style w:type="paragraph" w:customStyle="1" w:styleId="672">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3">
    <w:name w:val="1 Char"/>
    <w:basedOn w:val="2"/>
    <w:qFormat/>
    <w:uiPriority w:val="0"/>
    <w:pPr>
      <w:adjustRightInd/>
      <w:spacing w:line="360" w:lineRule="auto"/>
      <w:ind w:firstLine="200" w:firstLineChars="200"/>
      <w:textAlignment w:val="auto"/>
    </w:pPr>
    <w:rPr>
      <w:rFonts w:ascii="仿宋_GB2312"/>
      <w:b/>
      <w:kern w:val="2"/>
      <w:szCs w:val="32"/>
    </w:rPr>
  </w:style>
  <w:style w:type="paragraph" w:customStyle="1" w:styleId="674">
    <w:name w:val="样式_5"/>
    <w:basedOn w:val="8"/>
    <w:qFormat/>
    <w:uiPriority w:val="0"/>
    <w:pPr>
      <w:keepNext w:val="0"/>
      <w:adjustRightInd w:val="0"/>
      <w:spacing w:line="376" w:lineRule="auto"/>
      <w:textAlignment w:val="baseline"/>
    </w:pPr>
    <w:rPr>
      <w:rFonts w:ascii="宋体" w:hAnsi="宋体"/>
      <w:kern w:val="0"/>
      <w:sz w:val="18"/>
      <w:szCs w:val="18"/>
    </w:rPr>
  </w:style>
  <w:style w:type="paragraph" w:customStyle="1" w:styleId="675">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676">
    <w:name w:val="百姓X"/>
    <w:basedOn w:val="1"/>
    <w:qFormat/>
    <w:uiPriority w:val="0"/>
    <w:pPr>
      <w:spacing w:before="120" w:after="120" w:line="360" w:lineRule="auto"/>
      <w:ind w:firstLine="540"/>
    </w:pPr>
    <w:rPr>
      <w:rFonts w:ascii="宋体" w:hAnsi="宋体"/>
      <w:sz w:val="24"/>
      <w:szCs w:val="28"/>
    </w:rPr>
  </w:style>
  <w:style w:type="paragraph" w:customStyle="1" w:styleId="67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78">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79">
    <w:name w:val="样式 标题 3 + 黑色 段前: 5 磅 段后: 5 磅 行距: 1.5 倍行距"/>
    <w:basedOn w:val="1"/>
    <w:qFormat/>
    <w:uiPriority w:val="0"/>
    <w:pPr>
      <w:ind w:left="855" w:hanging="855"/>
    </w:pPr>
    <w:rPr>
      <w:sz w:val="24"/>
      <w:szCs w:val="20"/>
    </w:rPr>
  </w:style>
  <w:style w:type="paragraph" w:customStyle="1" w:styleId="680">
    <w:name w:val="标题 4P"/>
    <w:basedOn w:val="7"/>
    <w:next w:val="2"/>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681">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682">
    <w:name w:val="正文字缩2字"/>
    <w:basedOn w:val="1"/>
    <w:qFormat/>
    <w:uiPriority w:val="0"/>
    <w:pPr>
      <w:spacing w:before="60" w:after="60" w:line="360" w:lineRule="auto"/>
      <w:ind w:left="200" w:leftChars="200" w:firstLine="200" w:firstLineChars="200"/>
    </w:pPr>
    <w:rPr>
      <w:sz w:val="24"/>
    </w:rPr>
  </w:style>
  <w:style w:type="paragraph" w:customStyle="1" w:styleId="683">
    <w:name w:val="Char Char Char Char3"/>
    <w:basedOn w:val="18"/>
    <w:qFormat/>
    <w:uiPriority w:val="0"/>
    <w:rPr>
      <w:rFonts w:ascii="Cambria" w:hAnsi="Cambria" w:eastAsia="仿宋_GB2312" w:cs="新宋体"/>
      <w:sz w:val="24"/>
    </w:rPr>
  </w:style>
  <w:style w:type="paragraph" w:customStyle="1" w:styleId="684">
    <w:name w:val="Char Char Char Char Char Char Char Char Char1 Char"/>
    <w:basedOn w:val="1"/>
    <w:qFormat/>
    <w:uiPriority w:val="0"/>
  </w:style>
  <w:style w:type="paragraph" w:customStyle="1" w:styleId="685">
    <w:name w:val="样式 标题 4正文四级标题 + 宋体 小五 行距: 固定值 12 磅"/>
    <w:basedOn w:val="7"/>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686">
    <w:name w:val="列出段落1"/>
    <w:basedOn w:val="1"/>
    <w:qFormat/>
    <w:uiPriority w:val="0"/>
    <w:pPr>
      <w:ind w:firstLine="420" w:firstLineChars="200"/>
    </w:pPr>
    <w:rPr>
      <w:szCs w:val="20"/>
    </w:rPr>
  </w:style>
  <w:style w:type="paragraph" w:customStyle="1" w:styleId="687">
    <w:name w:val="subtitle 2"/>
    <w:basedOn w:val="1"/>
    <w:qFormat/>
    <w:uiPriority w:val="0"/>
    <w:pPr>
      <w:spacing w:before="240" w:after="240" w:line="312" w:lineRule="atLeast"/>
    </w:pPr>
    <w:rPr>
      <w:rFonts w:eastAsia="黑体"/>
      <w:snapToGrid w:val="0"/>
      <w:kern w:val="0"/>
      <w:sz w:val="24"/>
      <w:szCs w:val="20"/>
    </w:rPr>
  </w:style>
  <w:style w:type="paragraph" w:customStyle="1" w:styleId="688">
    <w:name w:val="样式 标题 2 +"/>
    <w:basedOn w:val="5"/>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89">
    <w:name w:val="前言、引言标题"/>
    <w:next w:val="1"/>
    <w:qFormat/>
    <w:uiPriority w:val="0"/>
    <w:pPr>
      <w:numPr>
        <w:ilvl w:val="0"/>
        <w:numId w:val="1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90">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691">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9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styleId="693">
    <w:name w:val="List Paragraph"/>
    <w:basedOn w:val="1"/>
    <w:qFormat/>
    <w:uiPriority w:val="99"/>
    <w:pPr>
      <w:ind w:firstLine="420" w:firstLineChars="200"/>
    </w:pPr>
    <w:rPr>
      <w:rFonts w:ascii="Calibri" w:hAnsi="Calibri"/>
      <w:szCs w:val="22"/>
    </w:rPr>
  </w:style>
  <w:style w:type="paragraph" w:customStyle="1" w:styleId="694">
    <w:name w:val="Char Char Char Char12"/>
    <w:basedOn w:val="1"/>
    <w:qFormat/>
    <w:uiPriority w:val="0"/>
    <w:rPr>
      <w:rFonts w:ascii="Tahoma" w:hAnsi="Tahoma"/>
      <w:sz w:val="24"/>
      <w:szCs w:val="20"/>
    </w:rPr>
  </w:style>
  <w:style w:type="paragraph" w:customStyle="1" w:styleId="69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96">
    <w:name w:val="Char Char Char Char2"/>
    <w:basedOn w:val="18"/>
    <w:qFormat/>
    <w:uiPriority w:val="0"/>
    <w:pPr>
      <w:spacing w:line="360" w:lineRule="auto"/>
    </w:pPr>
    <w:rPr>
      <w:rFonts w:ascii="Tahoma" w:hAnsi="Tahoma"/>
      <w:sz w:val="24"/>
    </w:rPr>
  </w:style>
  <w:style w:type="paragraph" w:customStyle="1" w:styleId="69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69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99">
    <w:name w:val="Char12"/>
    <w:basedOn w:val="1"/>
    <w:qFormat/>
    <w:uiPriority w:val="0"/>
    <w:rPr>
      <w:rFonts w:ascii="Tahoma" w:hAnsi="Tahoma"/>
      <w:sz w:val="24"/>
      <w:szCs w:val="20"/>
    </w:rPr>
  </w:style>
  <w:style w:type="paragraph" w:customStyle="1" w:styleId="700">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701">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70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3">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4">
    <w:name w:val="正文内容"/>
    <w:basedOn w:val="1"/>
    <w:qFormat/>
    <w:uiPriority w:val="0"/>
    <w:pPr>
      <w:spacing w:line="360" w:lineRule="auto"/>
      <w:ind w:firstLine="480"/>
    </w:pPr>
    <w:rPr>
      <w:rFonts w:ascii="宋体" w:hAnsi="宋体"/>
      <w:sz w:val="24"/>
      <w:szCs w:val="20"/>
    </w:rPr>
  </w:style>
  <w:style w:type="paragraph" w:customStyle="1" w:styleId="705">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table" w:customStyle="1" w:styleId="706">
    <w:name w:val="网格表 4 - 着色 51"/>
    <w:basedOn w:val="56"/>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07">
    <w:name w:val="网格表 5 深色 - 着色 21"/>
    <w:basedOn w:val="56"/>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08">
    <w:name w:val="清单表 4 - 着色 11"/>
    <w:basedOn w:val="56"/>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09">
    <w:name w:val="网格表 4 - 着色 11"/>
    <w:basedOn w:val="56"/>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0">
    <w:name w:val="中等深浅底纹 2 - 强调文字颜色 11"/>
    <w:basedOn w:val="56"/>
    <w:qFormat/>
    <w:uiPriority w:val="64"/>
    <w:rPr>
      <w:rFonts w:ascii="Calibri" w:hAnsi="Calibri"/>
      <w:kern w:val="2"/>
      <w:sz w:val="21"/>
      <w:szCs w:val="22"/>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11">
    <w:name w:val="浅色网格 - 强调文字颜色 11"/>
    <w:basedOn w:val="56"/>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Arial Unicode MS"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Arial Unicode MS"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Arial Unicode MS" w:cs="Times New Roman"/>
        <w:b/>
        <w:bCs/>
      </w:rPr>
    </w:tblStylePr>
    <w:tblStylePr w:type="lastCol">
      <w:rPr>
        <w:rFonts w:eastAsia="Arial Unicode MS"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12">
    <w:name w:val="浅色列表 - 强调文字颜色 51"/>
    <w:basedOn w:val="56"/>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13">
    <w:name w:val="清单表 3 - 着色 31"/>
    <w:basedOn w:val="56"/>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14">
    <w:name w:val="清单表 3 - 着色 11"/>
    <w:basedOn w:val="56"/>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15">
    <w:name w:val="网格型浅色1"/>
    <w:basedOn w:val="56"/>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6">
    <w:name w:val="网格型浅色2"/>
    <w:basedOn w:val="56"/>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7">
    <w:name w:val="浅色底纹1"/>
    <w:basedOn w:val="56"/>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18">
    <w:name w:val="浅色列表 - 强调文字颜色 11"/>
    <w:basedOn w:val="56"/>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19">
    <w:name w:val="网格表 4 - 着色 31"/>
    <w:basedOn w:val="56"/>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paragraph" w:customStyle="1" w:styleId="720">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34114</Words>
  <Characters>35527</Characters>
  <Lines>290</Lines>
  <Paragraphs>81</Paragraphs>
  <TotalTime>5</TotalTime>
  <ScaleCrop>false</ScaleCrop>
  <LinksUpToDate>false</LinksUpToDate>
  <CharactersWithSpaces>38242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2022-03-29T11:42:00Z</dcterms:created>
  <dc:creator>can</dc:creator>
  <cp:lastModifiedBy>O0</cp:lastModifiedBy>
  <cp:lastPrinted>2020-03-31T06:13:00Z</cp:lastPrinted>
  <dcterms:modified xsi:type="dcterms:W3CDTF">2022-05-23T04:27:51Z</dcterms:modified>
  <dc:title>温州市政府集中采购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C898034750D142D5914B1A070E885569</vt:lpwstr>
  </property>
</Properties>
</file>