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bookmarkStart w:id="0" w:name="bookmark30"/>
      <w:bookmarkStart w:id="1" w:name="bookmark31"/>
      <w:bookmarkStart w:id="2" w:name="bookmark32"/>
      <w:r>
        <w:rPr>
          <w:rFonts w:hint="eastAsia" w:ascii="宋体" w:hAnsi="宋体" w:cs="宋体"/>
          <w:b/>
          <w:bCs/>
          <w:sz w:val="36"/>
          <w:szCs w:val="36"/>
        </w:rPr>
        <w:t>广西横县青年水库除险加固工程监理服务</w:t>
      </w:r>
    </w:p>
    <w:p>
      <w:pPr>
        <w:jc w:val="center"/>
        <w:rPr>
          <w:rFonts w:ascii="宋体"/>
          <w:b/>
          <w:bCs/>
          <w:sz w:val="36"/>
          <w:szCs w:val="36"/>
        </w:rPr>
      </w:pPr>
      <w:r>
        <w:rPr>
          <w:rFonts w:hint="eastAsia" w:ascii="宋体" w:hAnsi="宋体" w:cs="宋体"/>
          <w:b/>
          <w:bCs/>
          <w:sz w:val="36"/>
          <w:szCs w:val="36"/>
        </w:rPr>
        <w:t>招标文件</w:t>
      </w:r>
      <w:bookmarkEnd w:id="0"/>
      <w:bookmarkEnd w:id="1"/>
      <w:bookmarkEnd w:id="2"/>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b/>
          <w:bCs/>
          <w:sz w:val="36"/>
          <w:szCs w:val="36"/>
        </w:rPr>
      </w:pPr>
    </w:p>
    <w:p>
      <w:pPr>
        <w:pStyle w:val="263"/>
        <w:keepNext/>
        <w:keepLines/>
        <w:shd w:val="clear" w:color="auto" w:fill="auto"/>
        <w:spacing w:after="1120" w:line="240" w:lineRule="auto"/>
        <w:rPr>
          <w:rFonts w:ascii="宋体" w:hAnsi="宋体" w:eastAsia="宋体" w:cs="Times New Roman"/>
          <w:sz w:val="28"/>
          <w:szCs w:val="28"/>
          <w:highlight w:val="yellow"/>
        </w:rPr>
      </w:pPr>
      <w:bookmarkStart w:id="3" w:name="bookmark33"/>
      <w:bookmarkStart w:id="4" w:name="bookmark34"/>
      <w:bookmarkStart w:id="5" w:name="bookmark35"/>
      <w:r>
        <w:rPr>
          <w:rFonts w:hint="eastAsia" w:ascii="宋体" w:hAnsi="宋体" w:eastAsia="宋体" w:cs="宋体"/>
          <w:highlight w:val="none"/>
        </w:rPr>
        <w:t>（</w:t>
      </w:r>
      <w:r>
        <w:rPr>
          <w:rFonts w:hint="eastAsia" w:ascii="宋体" w:hAnsi="宋体" w:eastAsia="宋体" w:cs="宋体"/>
          <w:sz w:val="28"/>
          <w:szCs w:val="28"/>
          <w:highlight w:val="none"/>
        </w:rPr>
        <w:t>招标编号：NNZC2020-J3-270088-SHZH</w:t>
      </w:r>
      <w:r>
        <w:rPr>
          <w:rFonts w:hint="eastAsia" w:ascii="宋体" w:hAnsi="宋体" w:eastAsia="宋体" w:cs="宋体"/>
          <w:highlight w:val="none"/>
        </w:rPr>
        <w:t>）</w:t>
      </w:r>
      <w:bookmarkEnd w:id="3"/>
      <w:bookmarkEnd w:id="4"/>
      <w:bookmarkEnd w:id="5"/>
    </w:p>
    <w:p>
      <w:pPr>
        <w:pStyle w:val="264"/>
        <w:tabs>
          <w:tab w:val="left" w:pos="2910"/>
        </w:tabs>
        <w:spacing w:line="310" w:lineRule="exact"/>
        <w:rPr>
          <w:rFonts w:cs="Times New Roman"/>
        </w:rPr>
      </w:pPr>
    </w:p>
    <w:p>
      <w:pPr>
        <w:pStyle w:val="264"/>
        <w:tabs>
          <w:tab w:val="left" w:pos="2910"/>
        </w:tabs>
        <w:spacing w:line="310" w:lineRule="exact"/>
        <w:rPr>
          <w:rFonts w:cs="Times New Roman"/>
        </w:rPr>
      </w:pPr>
    </w:p>
    <w:p>
      <w:pPr>
        <w:pStyle w:val="264"/>
        <w:tabs>
          <w:tab w:val="left" w:pos="2910"/>
        </w:tabs>
        <w:spacing w:line="310" w:lineRule="exact"/>
        <w:rPr>
          <w:rFonts w:cs="Times New Roman"/>
        </w:rPr>
      </w:pPr>
    </w:p>
    <w:p>
      <w:pPr>
        <w:pStyle w:val="264"/>
        <w:tabs>
          <w:tab w:val="left" w:pos="2910"/>
        </w:tabs>
        <w:spacing w:line="310" w:lineRule="exact"/>
        <w:rPr>
          <w:rFonts w:cs="Times New Roman"/>
        </w:rPr>
      </w:pPr>
    </w:p>
    <w:p>
      <w:pPr>
        <w:pStyle w:val="264"/>
        <w:tabs>
          <w:tab w:val="left" w:pos="2910"/>
        </w:tabs>
        <w:spacing w:line="310" w:lineRule="exact"/>
        <w:rPr>
          <w:rFonts w:cs="Times New Roman"/>
        </w:rPr>
      </w:pPr>
    </w:p>
    <w:p>
      <w:pPr>
        <w:pStyle w:val="264"/>
        <w:tabs>
          <w:tab w:val="left" w:pos="2910"/>
        </w:tabs>
        <w:spacing w:line="310" w:lineRule="exact"/>
        <w:rPr>
          <w:rFonts w:cs="Times New Roman"/>
        </w:rPr>
      </w:pPr>
    </w:p>
    <w:p>
      <w:pPr>
        <w:pStyle w:val="264"/>
        <w:tabs>
          <w:tab w:val="left" w:pos="2910"/>
        </w:tabs>
        <w:spacing w:line="310" w:lineRule="exact"/>
        <w:rPr>
          <w:rFonts w:cs="Times New Roman"/>
        </w:rPr>
      </w:pPr>
    </w:p>
    <w:p>
      <w:pPr>
        <w:pStyle w:val="264"/>
        <w:tabs>
          <w:tab w:val="left" w:pos="2910"/>
        </w:tabs>
        <w:spacing w:line="310" w:lineRule="exact"/>
        <w:rPr>
          <w:rFonts w:cs="Times New Roman"/>
        </w:rPr>
      </w:pPr>
    </w:p>
    <w:p>
      <w:pPr>
        <w:pStyle w:val="264"/>
        <w:tabs>
          <w:tab w:val="left" w:pos="2910"/>
        </w:tabs>
        <w:spacing w:line="310" w:lineRule="exact"/>
        <w:rPr>
          <w:rFonts w:cs="Times New Roman"/>
        </w:rPr>
      </w:pPr>
    </w:p>
    <w:p>
      <w:pPr>
        <w:pStyle w:val="264"/>
        <w:tabs>
          <w:tab w:val="left" w:pos="2910"/>
        </w:tabs>
        <w:spacing w:line="310" w:lineRule="exact"/>
        <w:rPr>
          <w:rFonts w:cs="Times New Roman"/>
        </w:rPr>
      </w:pPr>
    </w:p>
    <w:p>
      <w:pPr>
        <w:pStyle w:val="265"/>
        <w:shd w:val="clear" w:color="auto" w:fill="auto"/>
        <w:tabs>
          <w:tab w:val="left" w:leader="underscore" w:pos="2583"/>
        </w:tabs>
        <w:ind w:firstLine="1680" w:firstLineChars="600"/>
        <w:jc w:val="both"/>
        <w:rPr>
          <w:rFonts w:cs="Times New Roman"/>
          <w:sz w:val="28"/>
          <w:szCs w:val="28"/>
        </w:rPr>
      </w:pPr>
      <w:r>
        <w:rPr>
          <w:rFonts w:hint="eastAsia"/>
          <w:sz w:val="28"/>
          <w:szCs w:val="28"/>
        </w:rPr>
        <w:t>招标人：</w:t>
      </w:r>
      <w:r>
        <w:rPr>
          <w:rFonts w:hint="eastAsia"/>
          <w:sz w:val="28"/>
          <w:szCs w:val="28"/>
          <w:u w:val="single"/>
          <w:lang w:eastAsia="zh-CN"/>
        </w:rPr>
        <w:t>横县水利工程规划建设站</w:t>
      </w:r>
      <w:r>
        <w:rPr>
          <w:rFonts w:hint="eastAsia"/>
          <w:sz w:val="28"/>
          <w:szCs w:val="28"/>
        </w:rPr>
        <w:t>（盖单位公章）</w:t>
      </w:r>
    </w:p>
    <w:p>
      <w:pPr>
        <w:pStyle w:val="265"/>
        <w:shd w:val="clear" w:color="auto" w:fill="auto"/>
        <w:tabs>
          <w:tab w:val="left" w:leader="underscore" w:pos="2583"/>
        </w:tabs>
        <w:rPr>
          <w:rFonts w:cs="Times New Roman"/>
          <w:sz w:val="28"/>
          <w:szCs w:val="28"/>
        </w:rPr>
      </w:pPr>
    </w:p>
    <w:p>
      <w:pPr>
        <w:pStyle w:val="265"/>
        <w:shd w:val="clear" w:color="auto" w:fill="auto"/>
        <w:tabs>
          <w:tab w:val="left" w:leader="underscore" w:pos="2583"/>
        </w:tabs>
        <w:rPr>
          <w:rFonts w:cs="Times New Roman"/>
          <w:sz w:val="28"/>
          <w:szCs w:val="28"/>
        </w:rPr>
      </w:pPr>
      <w:r>
        <w:rPr>
          <w:rFonts w:hint="eastAsia"/>
          <w:sz w:val="28"/>
          <w:szCs w:val="28"/>
        </w:rPr>
        <w:t>招标代理机构：</w:t>
      </w:r>
      <w:r>
        <w:rPr>
          <w:rFonts w:hint="eastAsia"/>
          <w:sz w:val="28"/>
          <w:szCs w:val="28"/>
          <w:u w:val="single"/>
        </w:rPr>
        <w:t>上海正弘建设工程顾问有限公司</w:t>
      </w:r>
      <w:r>
        <w:rPr>
          <w:rFonts w:hint="eastAsia"/>
          <w:sz w:val="28"/>
          <w:szCs w:val="28"/>
        </w:rPr>
        <w:t>（盖单位公章）</w:t>
      </w:r>
    </w:p>
    <w:p>
      <w:pPr>
        <w:pStyle w:val="265"/>
        <w:shd w:val="clear" w:color="auto" w:fill="auto"/>
        <w:tabs>
          <w:tab w:val="left" w:leader="underscore" w:pos="2583"/>
        </w:tabs>
        <w:rPr>
          <w:rFonts w:cs="Times New Roman"/>
          <w:sz w:val="28"/>
          <w:szCs w:val="28"/>
        </w:rPr>
      </w:pPr>
    </w:p>
    <w:p>
      <w:pPr>
        <w:pStyle w:val="264"/>
        <w:tabs>
          <w:tab w:val="left" w:pos="2818"/>
          <w:tab w:val="left" w:pos="3712"/>
          <w:tab w:val="left" w:pos="4608"/>
        </w:tabs>
        <w:spacing w:line="310" w:lineRule="exact"/>
        <w:ind w:left="1854" w:leftChars="883" w:firstLine="1937" w:firstLineChars="692"/>
        <w:jc w:val="left"/>
        <w:rPr>
          <w:rFonts w:cs="Times New Roman"/>
          <w:b w:val="0"/>
          <w:sz w:val="21"/>
          <w:szCs w:val="21"/>
        </w:rPr>
      </w:pPr>
      <w:r>
        <w:rPr>
          <w:b w:val="0"/>
          <w:sz w:val="28"/>
          <w:szCs w:val="28"/>
          <w:lang w:val="en-US"/>
        </w:rPr>
        <w:t>20</w:t>
      </w:r>
      <w:r>
        <w:rPr>
          <w:rFonts w:hint="eastAsia"/>
          <w:b w:val="0"/>
          <w:sz w:val="28"/>
          <w:szCs w:val="28"/>
          <w:lang w:val="en-US"/>
        </w:rPr>
        <w:t>20</w:t>
      </w:r>
      <w:r>
        <w:rPr>
          <w:rFonts w:hint="eastAsia"/>
          <w:b w:val="0"/>
          <w:sz w:val="28"/>
          <w:szCs w:val="28"/>
        </w:rPr>
        <w:t>年</w:t>
      </w:r>
      <w:r>
        <w:rPr>
          <w:rFonts w:hint="eastAsia"/>
          <w:b w:val="0"/>
          <w:sz w:val="28"/>
          <w:szCs w:val="28"/>
          <w:lang w:val="en-US"/>
        </w:rPr>
        <w:t>11</w:t>
      </w:r>
      <w:r>
        <w:rPr>
          <w:rFonts w:hint="eastAsia"/>
          <w:b w:val="0"/>
          <w:sz w:val="28"/>
          <w:szCs w:val="28"/>
        </w:rPr>
        <w:t>月</w:t>
      </w:r>
    </w:p>
    <w:p>
      <w:pPr>
        <w:rPr>
          <w:rFonts w:ascii="宋体" w:hAnsi="宋体" w:cs="宋体"/>
          <w:sz w:val="72"/>
          <w:szCs w:val="72"/>
        </w:rPr>
      </w:pPr>
      <w:r>
        <w:rPr>
          <w:rFonts w:hint="eastAsia" w:ascii="宋体" w:hAnsi="宋体" w:cs="宋体"/>
          <w:sz w:val="72"/>
          <w:szCs w:val="72"/>
        </w:rPr>
        <w:br w:type="page"/>
      </w:r>
    </w:p>
    <w:p>
      <w:pPr>
        <w:pStyle w:val="27"/>
        <w:ind w:firstLine="217" w:firstLineChars="45"/>
        <w:jc w:val="center"/>
        <w:rPr>
          <w:rFonts w:ascii="Times New Roman" w:hAnsi="Times New Roman"/>
          <w:b/>
          <w:sz w:val="48"/>
          <w:szCs w:val="48"/>
        </w:rPr>
      </w:pPr>
    </w:p>
    <w:p>
      <w:pPr>
        <w:pStyle w:val="27"/>
        <w:shd w:val="clear" w:color="auto" w:fill="FFFFFF"/>
        <w:snapToGrid w:val="0"/>
        <w:spacing w:before="120" w:after="120" w:line="360" w:lineRule="auto"/>
        <w:jc w:val="center"/>
        <w:rPr>
          <w:rFonts w:hAnsi="宋体" w:cs="宋体"/>
          <w:b/>
          <w:bCs/>
          <w:sz w:val="44"/>
          <w:szCs w:val="44"/>
        </w:rPr>
      </w:pPr>
      <w:r>
        <w:rPr>
          <w:rFonts w:hint="eastAsia" w:hAnsi="宋体" w:cs="宋体"/>
          <w:b/>
          <w:bCs/>
          <w:sz w:val="44"/>
          <w:szCs w:val="44"/>
        </w:rPr>
        <w:t>目    录</w:t>
      </w:r>
    </w:p>
    <w:p>
      <w:pPr>
        <w:pStyle w:val="33"/>
        <w:shd w:val="clear" w:color="auto" w:fill="FFFFFF"/>
        <w:tabs>
          <w:tab w:val="right" w:leader="dot" w:pos="9638"/>
          <w:tab w:val="clear" w:pos="8296"/>
          <w:tab w:val="clear" w:pos="8398"/>
        </w:tabs>
        <w:spacing w:line="800" w:lineRule="exact"/>
        <w:ind w:firstLine="0" w:firstLineChars="0"/>
        <w:rPr>
          <w:rFonts w:ascii="宋体" w:eastAsia="宋体" w:cs="宋体"/>
          <w:b/>
          <w:sz w:val="30"/>
          <w:szCs w:val="30"/>
        </w:rPr>
      </w:pPr>
      <w:bookmarkStart w:id="6" w:name="_Toc254970489"/>
      <w:bookmarkStart w:id="7" w:name="_Toc254970630"/>
      <w:r>
        <w:rPr>
          <w:rFonts w:hint="eastAsia" w:ascii="宋体" w:eastAsia="宋体" w:cs="宋体"/>
          <w:b/>
          <w:bCs w:val="0"/>
          <w:sz w:val="30"/>
          <w:szCs w:val="30"/>
        </w:rPr>
        <w:fldChar w:fldCharType="begin"/>
      </w:r>
      <w:r>
        <w:rPr>
          <w:rFonts w:hint="eastAsia" w:ascii="宋体" w:eastAsia="宋体" w:cs="宋体"/>
          <w:b/>
          <w:bCs w:val="0"/>
          <w:sz w:val="30"/>
          <w:szCs w:val="30"/>
        </w:rPr>
        <w:instrText xml:space="preserve">TOC \o "1-1" \h \u </w:instrText>
      </w:r>
      <w:r>
        <w:rPr>
          <w:rFonts w:hint="eastAsia" w:ascii="宋体" w:eastAsia="宋体" w:cs="宋体"/>
          <w:b/>
          <w:bCs w:val="0"/>
          <w:sz w:val="30"/>
          <w:szCs w:val="30"/>
        </w:rPr>
        <w:fldChar w:fldCharType="separate"/>
      </w:r>
      <w:r>
        <w:fldChar w:fldCharType="begin"/>
      </w:r>
      <w:r>
        <w:instrText xml:space="preserve"> HYPERLINK \l "_Toc23607" </w:instrText>
      </w:r>
      <w:r>
        <w:fldChar w:fldCharType="separate"/>
      </w:r>
      <w:r>
        <w:rPr>
          <w:rFonts w:hint="eastAsia" w:ascii="宋体" w:eastAsia="宋体" w:cs="宋体"/>
          <w:b/>
          <w:sz w:val="30"/>
          <w:szCs w:val="30"/>
        </w:rPr>
        <w:t>第一章 竞争性谈判公告</w:t>
      </w:r>
      <w:r>
        <w:rPr>
          <w:rFonts w:hint="eastAsia" w:ascii="宋体" w:eastAsia="宋体" w:cs="宋体"/>
          <w:b/>
          <w:sz w:val="30"/>
          <w:szCs w:val="30"/>
        </w:rPr>
        <w:tab/>
      </w:r>
      <w:r>
        <w:rPr>
          <w:rFonts w:hint="eastAsia" w:ascii="宋体" w:eastAsia="宋体" w:cs="宋体"/>
          <w:b/>
          <w:sz w:val="30"/>
          <w:szCs w:val="30"/>
        </w:rPr>
        <w:fldChar w:fldCharType="begin"/>
      </w:r>
      <w:r>
        <w:rPr>
          <w:rFonts w:hint="eastAsia" w:ascii="宋体" w:eastAsia="宋体" w:cs="宋体"/>
          <w:b/>
          <w:sz w:val="30"/>
          <w:szCs w:val="30"/>
        </w:rPr>
        <w:instrText xml:space="preserve"> PAGEREF _Toc23607 </w:instrText>
      </w:r>
      <w:r>
        <w:rPr>
          <w:rFonts w:hint="eastAsia" w:ascii="宋体" w:eastAsia="宋体" w:cs="宋体"/>
          <w:b/>
          <w:sz w:val="30"/>
          <w:szCs w:val="30"/>
        </w:rPr>
        <w:fldChar w:fldCharType="separate"/>
      </w:r>
      <w:r>
        <w:rPr>
          <w:rFonts w:hint="eastAsia" w:ascii="宋体" w:eastAsia="宋体" w:cs="宋体"/>
          <w:b/>
          <w:sz w:val="30"/>
          <w:szCs w:val="30"/>
        </w:rPr>
        <w:t>- 2 -</w:t>
      </w:r>
      <w:r>
        <w:rPr>
          <w:rFonts w:hint="eastAsia" w:ascii="宋体" w:eastAsia="宋体" w:cs="宋体"/>
          <w:b/>
          <w:sz w:val="30"/>
          <w:szCs w:val="30"/>
        </w:rPr>
        <w:fldChar w:fldCharType="end"/>
      </w:r>
      <w:r>
        <w:rPr>
          <w:rFonts w:hint="eastAsia" w:ascii="宋体" w:eastAsia="宋体" w:cs="宋体"/>
          <w:b/>
          <w:sz w:val="30"/>
          <w:szCs w:val="30"/>
        </w:rPr>
        <w:fldChar w:fldCharType="end"/>
      </w:r>
    </w:p>
    <w:p>
      <w:pPr>
        <w:pStyle w:val="33"/>
        <w:shd w:val="clear" w:color="auto" w:fill="FFFFFF"/>
        <w:tabs>
          <w:tab w:val="right" w:leader="dot" w:pos="9638"/>
          <w:tab w:val="clear" w:pos="8296"/>
          <w:tab w:val="clear" w:pos="8398"/>
        </w:tabs>
        <w:spacing w:line="800" w:lineRule="exact"/>
        <w:ind w:firstLine="0" w:firstLineChars="0"/>
        <w:rPr>
          <w:rFonts w:ascii="宋体" w:eastAsia="宋体" w:cs="宋体"/>
          <w:b/>
          <w:sz w:val="30"/>
          <w:szCs w:val="30"/>
        </w:rPr>
      </w:pPr>
      <w:r>
        <w:fldChar w:fldCharType="begin"/>
      </w:r>
      <w:r>
        <w:instrText xml:space="preserve"> HYPERLINK \l "_Toc7466" </w:instrText>
      </w:r>
      <w:r>
        <w:fldChar w:fldCharType="separate"/>
      </w:r>
      <w:r>
        <w:rPr>
          <w:rFonts w:hint="eastAsia" w:ascii="宋体" w:eastAsia="宋体" w:cs="宋体"/>
          <w:b/>
          <w:sz w:val="30"/>
          <w:szCs w:val="30"/>
        </w:rPr>
        <w:t>第二章 项目采购需求</w:t>
      </w:r>
      <w:r>
        <w:rPr>
          <w:rFonts w:hint="eastAsia" w:ascii="宋体" w:eastAsia="宋体" w:cs="宋体"/>
          <w:b/>
          <w:sz w:val="30"/>
          <w:szCs w:val="30"/>
        </w:rPr>
        <w:tab/>
      </w:r>
      <w:r>
        <w:rPr>
          <w:rFonts w:hint="eastAsia" w:ascii="宋体" w:eastAsia="宋体" w:cs="宋体"/>
          <w:b/>
          <w:sz w:val="30"/>
          <w:szCs w:val="30"/>
        </w:rPr>
        <w:fldChar w:fldCharType="begin"/>
      </w:r>
      <w:r>
        <w:rPr>
          <w:rFonts w:hint="eastAsia" w:ascii="宋体" w:eastAsia="宋体" w:cs="宋体"/>
          <w:b/>
          <w:sz w:val="30"/>
          <w:szCs w:val="30"/>
        </w:rPr>
        <w:instrText xml:space="preserve"> PAGEREF _Toc7466 </w:instrText>
      </w:r>
      <w:r>
        <w:rPr>
          <w:rFonts w:hint="eastAsia" w:ascii="宋体" w:eastAsia="宋体" w:cs="宋体"/>
          <w:b/>
          <w:sz w:val="30"/>
          <w:szCs w:val="30"/>
        </w:rPr>
        <w:fldChar w:fldCharType="separate"/>
      </w:r>
      <w:r>
        <w:rPr>
          <w:rFonts w:hint="eastAsia" w:ascii="宋体" w:eastAsia="宋体" w:cs="宋体"/>
          <w:b/>
          <w:sz w:val="30"/>
          <w:szCs w:val="30"/>
        </w:rPr>
        <w:t>- 4 -</w:t>
      </w:r>
      <w:r>
        <w:rPr>
          <w:rFonts w:hint="eastAsia" w:ascii="宋体" w:eastAsia="宋体" w:cs="宋体"/>
          <w:b/>
          <w:sz w:val="30"/>
          <w:szCs w:val="30"/>
        </w:rPr>
        <w:fldChar w:fldCharType="end"/>
      </w:r>
      <w:r>
        <w:rPr>
          <w:rFonts w:hint="eastAsia" w:ascii="宋体" w:eastAsia="宋体" w:cs="宋体"/>
          <w:b/>
          <w:sz w:val="30"/>
          <w:szCs w:val="30"/>
        </w:rPr>
        <w:fldChar w:fldCharType="end"/>
      </w:r>
    </w:p>
    <w:p>
      <w:pPr>
        <w:pStyle w:val="33"/>
        <w:shd w:val="clear" w:color="auto" w:fill="FFFFFF"/>
        <w:tabs>
          <w:tab w:val="right" w:leader="dot" w:pos="9638"/>
          <w:tab w:val="clear" w:pos="8296"/>
          <w:tab w:val="clear" w:pos="8398"/>
        </w:tabs>
        <w:spacing w:line="800" w:lineRule="exact"/>
        <w:ind w:firstLine="0" w:firstLineChars="0"/>
        <w:rPr>
          <w:rFonts w:ascii="宋体" w:eastAsia="宋体" w:cs="宋体"/>
          <w:b/>
          <w:sz w:val="30"/>
          <w:szCs w:val="30"/>
        </w:rPr>
      </w:pPr>
      <w:r>
        <w:fldChar w:fldCharType="begin"/>
      </w:r>
      <w:r>
        <w:instrText xml:space="preserve"> HYPERLINK \l "_Toc28443" </w:instrText>
      </w:r>
      <w:r>
        <w:fldChar w:fldCharType="separate"/>
      </w:r>
      <w:r>
        <w:rPr>
          <w:rFonts w:hint="eastAsia" w:ascii="宋体" w:eastAsia="宋体" w:cs="宋体"/>
          <w:b/>
          <w:sz w:val="30"/>
          <w:szCs w:val="30"/>
        </w:rPr>
        <w:t>第三章 供应商须知</w:t>
      </w:r>
      <w:r>
        <w:rPr>
          <w:rFonts w:hint="eastAsia" w:ascii="宋体" w:eastAsia="宋体" w:cs="宋体"/>
          <w:b/>
          <w:sz w:val="30"/>
          <w:szCs w:val="30"/>
        </w:rPr>
        <w:tab/>
      </w:r>
      <w:r>
        <w:rPr>
          <w:rFonts w:hint="eastAsia" w:ascii="宋体" w:eastAsia="宋体" w:cs="宋体"/>
          <w:b/>
          <w:sz w:val="30"/>
          <w:szCs w:val="30"/>
        </w:rPr>
        <w:fldChar w:fldCharType="begin"/>
      </w:r>
      <w:r>
        <w:rPr>
          <w:rFonts w:hint="eastAsia" w:ascii="宋体" w:eastAsia="宋体" w:cs="宋体"/>
          <w:b/>
          <w:sz w:val="30"/>
          <w:szCs w:val="30"/>
        </w:rPr>
        <w:instrText xml:space="preserve"> PAGEREF _Toc28443 </w:instrText>
      </w:r>
      <w:r>
        <w:rPr>
          <w:rFonts w:hint="eastAsia" w:ascii="宋体" w:eastAsia="宋体" w:cs="宋体"/>
          <w:b/>
          <w:sz w:val="30"/>
          <w:szCs w:val="30"/>
        </w:rPr>
        <w:fldChar w:fldCharType="separate"/>
      </w:r>
      <w:r>
        <w:rPr>
          <w:rFonts w:hint="eastAsia" w:ascii="宋体" w:eastAsia="宋体" w:cs="宋体"/>
          <w:b/>
          <w:sz w:val="30"/>
          <w:szCs w:val="30"/>
        </w:rPr>
        <w:t>- 6 -</w:t>
      </w:r>
      <w:r>
        <w:rPr>
          <w:rFonts w:hint="eastAsia" w:ascii="宋体" w:eastAsia="宋体" w:cs="宋体"/>
          <w:b/>
          <w:sz w:val="30"/>
          <w:szCs w:val="30"/>
        </w:rPr>
        <w:fldChar w:fldCharType="end"/>
      </w:r>
      <w:r>
        <w:rPr>
          <w:rFonts w:hint="eastAsia" w:ascii="宋体" w:eastAsia="宋体" w:cs="宋体"/>
          <w:b/>
          <w:sz w:val="30"/>
          <w:szCs w:val="30"/>
        </w:rPr>
        <w:fldChar w:fldCharType="end"/>
      </w:r>
    </w:p>
    <w:p>
      <w:pPr>
        <w:pStyle w:val="33"/>
        <w:shd w:val="clear" w:color="auto" w:fill="FFFFFF"/>
        <w:tabs>
          <w:tab w:val="right" w:leader="dot" w:pos="9638"/>
          <w:tab w:val="clear" w:pos="8296"/>
          <w:tab w:val="clear" w:pos="8398"/>
        </w:tabs>
        <w:spacing w:line="800" w:lineRule="exact"/>
        <w:ind w:firstLine="0" w:firstLineChars="0"/>
        <w:rPr>
          <w:rFonts w:ascii="宋体" w:eastAsia="宋体" w:cs="宋体"/>
          <w:b/>
          <w:sz w:val="30"/>
          <w:szCs w:val="30"/>
        </w:rPr>
      </w:pPr>
      <w:r>
        <w:fldChar w:fldCharType="begin"/>
      </w:r>
      <w:r>
        <w:instrText xml:space="preserve"> HYPERLINK \l "_Toc19202" </w:instrText>
      </w:r>
      <w:r>
        <w:fldChar w:fldCharType="separate"/>
      </w:r>
      <w:r>
        <w:rPr>
          <w:rFonts w:hint="eastAsia" w:ascii="宋体" w:eastAsia="宋体" w:cs="宋体"/>
          <w:b/>
          <w:sz w:val="30"/>
          <w:szCs w:val="30"/>
        </w:rPr>
        <w:t>第四章 评审办法及评分标准</w:t>
      </w:r>
      <w:r>
        <w:rPr>
          <w:rFonts w:hint="eastAsia" w:ascii="宋体" w:eastAsia="宋体" w:cs="宋体"/>
          <w:b/>
          <w:sz w:val="30"/>
          <w:szCs w:val="30"/>
        </w:rPr>
        <w:tab/>
      </w:r>
      <w:r>
        <w:rPr>
          <w:rFonts w:hint="eastAsia" w:ascii="宋体" w:eastAsia="宋体" w:cs="宋体"/>
          <w:b/>
          <w:sz w:val="30"/>
          <w:szCs w:val="30"/>
        </w:rPr>
        <w:fldChar w:fldCharType="begin"/>
      </w:r>
      <w:r>
        <w:rPr>
          <w:rFonts w:hint="eastAsia" w:ascii="宋体" w:eastAsia="宋体" w:cs="宋体"/>
          <w:b/>
          <w:sz w:val="30"/>
          <w:szCs w:val="30"/>
        </w:rPr>
        <w:instrText xml:space="preserve"> PAGEREF _Toc19202 </w:instrText>
      </w:r>
      <w:r>
        <w:rPr>
          <w:rFonts w:hint="eastAsia" w:ascii="宋体" w:eastAsia="宋体" w:cs="宋体"/>
          <w:b/>
          <w:sz w:val="30"/>
          <w:szCs w:val="30"/>
        </w:rPr>
        <w:fldChar w:fldCharType="separate"/>
      </w:r>
      <w:r>
        <w:rPr>
          <w:rFonts w:hint="eastAsia" w:ascii="宋体" w:eastAsia="宋体" w:cs="宋体"/>
          <w:b/>
          <w:sz w:val="30"/>
          <w:szCs w:val="30"/>
        </w:rPr>
        <w:t>- 20 -</w:t>
      </w:r>
      <w:r>
        <w:rPr>
          <w:rFonts w:hint="eastAsia" w:ascii="宋体" w:eastAsia="宋体" w:cs="宋体"/>
          <w:b/>
          <w:sz w:val="30"/>
          <w:szCs w:val="30"/>
        </w:rPr>
        <w:fldChar w:fldCharType="end"/>
      </w:r>
      <w:r>
        <w:rPr>
          <w:rFonts w:hint="eastAsia" w:ascii="宋体" w:eastAsia="宋体" w:cs="宋体"/>
          <w:b/>
          <w:sz w:val="30"/>
          <w:szCs w:val="30"/>
        </w:rPr>
        <w:fldChar w:fldCharType="end"/>
      </w:r>
    </w:p>
    <w:p>
      <w:pPr>
        <w:pStyle w:val="33"/>
        <w:shd w:val="clear" w:color="auto" w:fill="FFFFFF"/>
        <w:tabs>
          <w:tab w:val="right" w:leader="dot" w:pos="9638"/>
          <w:tab w:val="clear" w:pos="8296"/>
          <w:tab w:val="clear" w:pos="8398"/>
        </w:tabs>
        <w:spacing w:line="800" w:lineRule="exact"/>
        <w:ind w:firstLine="0" w:firstLineChars="0"/>
        <w:rPr>
          <w:rFonts w:ascii="宋体" w:eastAsia="宋体" w:cs="宋体"/>
          <w:b/>
          <w:sz w:val="30"/>
          <w:szCs w:val="30"/>
        </w:rPr>
      </w:pPr>
      <w:r>
        <w:fldChar w:fldCharType="begin"/>
      </w:r>
      <w:r>
        <w:instrText xml:space="preserve"> HYPERLINK \l "_Toc16529" </w:instrText>
      </w:r>
      <w:r>
        <w:fldChar w:fldCharType="separate"/>
      </w:r>
      <w:r>
        <w:rPr>
          <w:rFonts w:hint="eastAsia" w:ascii="宋体" w:eastAsia="宋体" w:cs="宋体"/>
          <w:b/>
          <w:sz w:val="30"/>
          <w:szCs w:val="30"/>
        </w:rPr>
        <w:t>第五章 监理合同</w:t>
      </w:r>
      <w:r>
        <w:rPr>
          <w:rFonts w:hint="eastAsia" w:ascii="宋体" w:eastAsia="宋体" w:cs="宋体"/>
          <w:b/>
          <w:sz w:val="30"/>
          <w:szCs w:val="30"/>
        </w:rPr>
        <w:tab/>
      </w:r>
      <w:r>
        <w:rPr>
          <w:rFonts w:hint="eastAsia" w:ascii="宋体" w:eastAsia="宋体" w:cs="宋体"/>
          <w:b/>
          <w:sz w:val="30"/>
          <w:szCs w:val="30"/>
        </w:rPr>
        <w:fldChar w:fldCharType="begin"/>
      </w:r>
      <w:r>
        <w:rPr>
          <w:rFonts w:hint="eastAsia" w:ascii="宋体" w:eastAsia="宋体" w:cs="宋体"/>
          <w:b/>
          <w:sz w:val="30"/>
          <w:szCs w:val="30"/>
        </w:rPr>
        <w:instrText xml:space="preserve"> PAGEREF _Toc16529 </w:instrText>
      </w:r>
      <w:r>
        <w:rPr>
          <w:rFonts w:hint="eastAsia" w:ascii="宋体" w:eastAsia="宋体" w:cs="宋体"/>
          <w:b/>
          <w:sz w:val="30"/>
          <w:szCs w:val="30"/>
        </w:rPr>
        <w:fldChar w:fldCharType="separate"/>
      </w:r>
      <w:r>
        <w:rPr>
          <w:rFonts w:hint="eastAsia" w:ascii="宋体" w:eastAsia="宋体" w:cs="宋体"/>
          <w:b/>
          <w:sz w:val="30"/>
          <w:szCs w:val="30"/>
        </w:rPr>
        <w:t>- 23 -</w:t>
      </w:r>
      <w:r>
        <w:rPr>
          <w:rFonts w:hint="eastAsia" w:ascii="宋体" w:eastAsia="宋体" w:cs="宋体"/>
          <w:b/>
          <w:sz w:val="30"/>
          <w:szCs w:val="30"/>
        </w:rPr>
        <w:fldChar w:fldCharType="end"/>
      </w:r>
      <w:r>
        <w:rPr>
          <w:rFonts w:hint="eastAsia" w:ascii="宋体" w:eastAsia="宋体" w:cs="宋体"/>
          <w:b/>
          <w:sz w:val="30"/>
          <w:szCs w:val="30"/>
        </w:rPr>
        <w:fldChar w:fldCharType="end"/>
      </w:r>
    </w:p>
    <w:p>
      <w:pPr>
        <w:pStyle w:val="33"/>
        <w:shd w:val="clear" w:color="auto" w:fill="FFFFFF"/>
        <w:tabs>
          <w:tab w:val="right" w:leader="dot" w:pos="9638"/>
          <w:tab w:val="clear" w:pos="8296"/>
          <w:tab w:val="clear" w:pos="8398"/>
        </w:tabs>
        <w:spacing w:line="800" w:lineRule="exact"/>
        <w:ind w:firstLine="0" w:firstLineChars="0"/>
        <w:rPr>
          <w:sz w:val="30"/>
          <w:szCs w:val="30"/>
        </w:rPr>
      </w:pPr>
      <w:r>
        <w:fldChar w:fldCharType="begin"/>
      </w:r>
      <w:r>
        <w:instrText xml:space="preserve"> HYPERLINK \l "_Toc4483" </w:instrText>
      </w:r>
      <w:r>
        <w:fldChar w:fldCharType="separate"/>
      </w:r>
      <w:r>
        <w:rPr>
          <w:rFonts w:hint="eastAsia" w:ascii="宋体" w:eastAsia="宋体" w:cs="宋体"/>
          <w:b/>
          <w:sz w:val="30"/>
          <w:szCs w:val="30"/>
        </w:rPr>
        <w:t>第六章 响应文件格式</w:t>
      </w:r>
      <w:r>
        <w:rPr>
          <w:rFonts w:hint="eastAsia" w:ascii="宋体" w:eastAsia="宋体" w:cs="宋体"/>
          <w:b/>
          <w:sz w:val="30"/>
          <w:szCs w:val="30"/>
        </w:rPr>
        <w:tab/>
      </w:r>
      <w:r>
        <w:rPr>
          <w:rFonts w:hint="eastAsia" w:ascii="宋体" w:eastAsia="宋体" w:cs="宋体"/>
          <w:b/>
          <w:sz w:val="30"/>
          <w:szCs w:val="30"/>
        </w:rPr>
        <w:fldChar w:fldCharType="begin"/>
      </w:r>
      <w:r>
        <w:rPr>
          <w:rFonts w:hint="eastAsia" w:ascii="宋体" w:eastAsia="宋体" w:cs="宋体"/>
          <w:b/>
          <w:sz w:val="30"/>
          <w:szCs w:val="30"/>
        </w:rPr>
        <w:instrText xml:space="preserve"> PAGEREF _Toc4483 </w:instrText>
      </w:r>
      <w:r>
        <w:rPr>
          <w:rFonts w:hint="eastAsia" w:ascii="宋体" w:eastAsia="宋体" w:cs="宋体"/>
          <w:b/>
          <w:sz w:val="30"/>
          <w:szCs w:val="30"/>
        </w:rPr>
        <w:fldChar w:fldCharType="separate"/>
      </w:r>
      <w:r>
        <w:rPr>
          <w:rFonts w:hint="eastAsia" w:ascii="宋体" w:eastAsia="宋体" w:cs="宋体"/>
          <w:b/>
          <w:sz w:val="30"/>
          <w:szCs w:val="30"/>
        </w:rPr>
        <w:t>- 40 -</w:t>
      </w:r>
      <w:r>
        <w:rPr>
          <w:rFonts w:hint="eastAsia" w:ascii="宋体" w:eastAsia="宋体" w:cs="宋体"/>
          <w:b/>
          <w:sz w:val="30"/>
          <w:szCs w:val="30"/>
        </w:rPr>
        <w:fldChar w:fldCharType="end"/>
      </w:r>
      <w:r>
        <w:rPr>
          <w:rFonts w:hint="eastAsia" w:ascii="宋体" w:eastAsia="宋体" w:cs="宋体"/>
          <w:b/>
          <w:sz w:val="30"/>
          <w:szCs w:val="30"/>
        </w:rPr>
        <w:fldChar w:fldCharType="end"/>
      </w:r>
    </w:p>
    <w:p>
      <w:pPr>
        <w:shd w:val="clear" w:color="auto" w:fill="FFFFFF"/>
        <w:spacing w:beforeLines="50" w:line="800" w:lineRule="exact"/>
        <w:jc w:val="center"/>
        <w:rPr>
          <w:rFonts w:ascii="宋体" w:hAnsi="宋体" w:cs="宋体"/>
          <w:sz w:val="30"/>
          <w:szCs w:val="30"/>
        </w:rPr>
      </w:pPr>
      <w:r>
        <w:rPr>
          <w:rFonts w:hint="eastAsia" w:ascii="宋体" w:hAnsi="宋体" w:cs="宋体"/>
          <w:sz w:val="30"/>
          <w:szCs w:val="30"/>
        </w:rPr>
        <w:fldChar w:fldCharType="end"/>
      </w:r>
    </w:p>
    <w:p>
      <w:pPr>
        <w:pStyle w:val="45"/>
        <w:shd w:val="clear" w:color="auto" w:fill="FFFFFF"/>
        <w:spacing w:line="360" w:lineRule="auto"/>
        <w:rPr>
          <w:rFonts w:hint="eastAsia" w:ascii="宋体" w:hAnsi="宋体" w:cs="宋体"/>
          <w:color w:val="FF0000"/>
        </w:rPr>
      </w:pPr>
      <w:r>
        <w:rPr>
          <w:rFonts w:hint="eastAsia" w:ascii="宋体" w:hAnsi="宋体" w:cs="宋体"/>
          <w:sz w:val="28"/>
          <w:szCs w:val="28"/>
        </w:rPr>
        <w:br w:type="page"/>
      </w:r>
      <w:r>
        <w:rPr>
          <w:rFonts w:hint="eastAsia" w:ascii="Arial" w:hAnsi="Arial" w:cs="Arial"/>
          <w:kern w:val="36"/>
          <w:sz w:val="28"/>
          <w:szCs w:val="28"/>
        </w:rPr>
        <w:t>上海正弘建设工程顾问有限公司广西横县青年水库除险加固工程监理服务竞争性谈判公告</w:t>
      </w:r>
    </w:p>
    <w:bookmarkEnd w:id="6"/>
    <w:bookmarkEnd w:id="7"/>
    <w:tbl>
      <w:tblPr>
        <w:tblStyle w:val="47"/>
        <w:tblW w:w="5000" w:type="pct"/>
        <w:tblInd w:w="0" w:type="dxa"/>
        <w:tblLayout w:type="autofit"/>
        <w:tblCellMar>
          <w:top w:w="15" w:type="dxa"/>
          <w:left w:w="15" w:type="dxa"/>
          <w:bottom w:w="15" w:type="dxa"/>
          <w:right w:w="15" w:type="dxa"/>
        </w:tblCellMar>
      </w:tblPr>
      <w:tblGrid>
        <w:gridCol w:w="9800"/>
      </w:tblGrid>
      <w:tr>
        <w:tblPrEx>
          <w:tblCellMar>
            <w:top w:w="15" w:type="dxa"/>
            <w:left w:w="15" w:type="dxa"/>
            <w:bottom w:w="15" w:type="dxa"/>
            <w:right w:w="15" w:type="dxa"/>
          </w:tblCellMar>
        </w:tblPrEx>
        <w:trPr>
          <w:cantSplit/>
        </w:trPr>
        <w:tc>
          <w:tcPr>
            <w:tcW w:w="9402" w:type="dxa"/>
            <w:tcBorders>
              <w:top w:val="single" w:color="auto" w:sz="4" w:space="0"/>
              <w:left w:val="single" w:color="auto" w:sz="4" w:space="0"/>
              <w:bottom w:val="single" w:color="auto" w:sz="4" w:space="0"/>
              <w:right w:val="single" w:color="auto" w:sz="4" w:space="0"/>
            </w:tcBorders>
            <w:tcMar>
              <w:top w:w="0" w:type="dxa"/>
              <w:left w:w="81" w:type="dxa"/>
              <w:bottom w:w="0" w:type="dxa"/>
              <w:right w:w="81" w:type="dxa"/>
            </w:tcMar>
          </w:tcPr>
          <w:p>
            <w:pPr>
              <w:widowControl/>
              <w:spacing w:line="357" w:lineRule="atLeast"/>
              <w:jc w:val="left"/>
              <w:rPr>
                <w:rFonts w:ascii="Arial" w:hAnsi="Arial" w:cs="Arial"/>
                <w:kern w:val="0"/>
                <w:szCs w:val="21"/>
              </w:rPr>
            </w:pPr>
            <w:bookmarkStart w:id="8" w:name="_Toc254970490"/>
            <w:bookmarkStart w:id="9" w:name="_Toc254970631"/>
            <w:r>
              <w:rPr>
                <w:rFonts w:hint="eastAsia" w:ascii="宋体" w:hAnsi="宋体" w:cs="Arial"/>
                <w:kern w:val="0"/>
                <w:szCs w:val="21"/>
              </w:rPr>
              <w:t>项目概况</w:t>
            </w:r>
          </w:p>
          <w:p>
            <w:pPr>
              <w:spacing w:line="360" w:lineRule="auto"/>
              <w:ind w:left="420" w:leftChars="200"/>
              <w:rPr>
                <w:rFonts w:ascii="Arial" w:hAnsi="Arial" w:cs="Arial"/>
                <w:kern w:val="0"/>
                <w:szCs w:val="21"/>
              </w:rPr>
            </w:pPr>
            <w:r>
              <w:rPr>
                <w:rFonts w:hint="eastAsia" w:ascii="宋体" w:hAnsi="宋体" w:cs="Arial"/>
                <w:kern w:val="0"/>
                <w:szCs w:val="21"/>
                <w:u w:val="single"/>
              </w:rPr>
              <w:t>广西横县青年水库除险加固工程监理服务（项目编号：NNZC2020-J3-270088-SHZH）</w:t>
            </w:r>
            <w:r>
              <w:rPr>
                <w:rFonts w:hint="eastAsia" w:ascii="宋体" w:hAnsi="宋体" w:cs="Arial"/>
                <w:kern w:val="0"/>
                <w:szCs w:val="21"/>
              </w:rPr>
              <w:t>采购项目的潜在供应商应在</w:t>
            </w:r>
            <w:r>
              <w:rPr>
                <w:rFonts w:hint="eastAsia" w:ascii="宋体" w:hAnsi="宋体" w:cs="Arial"/>
                <w:kern w:val="0"/>
                <w:szCs w:val="21"/>
                <w:u w:val="single"/>
              </w:rPr>
              <w:t>横县公共资源交易中心（横县横州镇茉莉花大道国泰综合大楼2号楼3楼）</w:t>
            </w:r>
            <w:r>
              <w:rPr>
                <w:rFonts w:hint="eastAsia" w:ascii="宋体" w:hAnsi="宋体" w:cs="Arial"/>
                <w:kern w:val="0"/>
                <w:szCs w:val="21"/>
              </w:rPr>
              <w:t>获取谈判文件，并</w:t>
            </w:r>
            <w:r>
              <w:rPr>
                <w:rFonts w:hint="eastAsia" w:ascii="宋体" w:hAnsi="宋体" w:cs="Arial"/>
                <w:color w:val="auto"/>
                <w:kern w:val="0"/>
                <w:szCs w:val="21"/>
              </w:rPr>
              <w:t>于2020年</w:t>
            </w:r>
            <w:r>
              <w:rPr>
                <w:rFonts w:hint="eastAsia" w:ascii="宋体" w:hAnsi="宋体" w:cs="Arial"/>
                <w:color w:val="auto"/>
                <w:kern w:val="0"/>
                <w:szCs w:val="21"/>
                <w:lang w:val="en-US" w:eastAsia="zh-CN"/>
              </w:rPr>
              <w:t>11</w:t>
            </w:r>
            <w:r>
              <w:rPr>
                <w:rFonts w:hint="eastAsia" w:ascii="宋体" w:hAnsi="宋体" w:cs="Arial"/>
                <w:color w:val="auto"/>
                <w:kern w:val="0"/>
                <w:szCs w:val="21"/>
              </w:rPr>
              <w:t>月</w:t>
            </w:r>
            <w:r>
              <w:rPr>
                <w:rFonts w:hint="eastAsia" w:ascii="宋体" w:hAnsi="宋体" w:cs="Arial"/>
                <w:color w:val="auto"/>
                <w:kern w:val="0"/>
                <w:szCs w:val="21"/>
                <w:lang w:val="en-US" w:eastAsia="zh-CN"/>
              </w:rPr>
              <w:t>13</w:t>
            </w:r>
            <w:r>
              <w:rPr>
                <w:rFonts w:hint="eastAsia" w:ascii="宋体" w:hAnsi="宋体" w:cs="Arial"/>
                <w:color w:val="auto"/>
                <w:kern w:val="0"/>
                <w:szCs w:val="21"/>
              </w:rPr>
              <w:t>日</w:t>
            </w:r>
            <w:r>
              <w:rPr>
                <w:rFonts w:hint="eastAsia" w:ascii="宋体" w:hAnsi="宋体" w:cs="Arial"/>
                <w:color w:val="auto"/>
                <w:kern w:val="0"/>
                <w:szCs w:val="21"/>
                <w:lang w:val="en-US" w:eastAsia="zh-CN"/>
              </w:rPr>
              <w:t>15</w:t>
            </w:r>
            <w:r>
              <w:rPr>
                <w:rFonts w:hint="eastAsia" w:ascii="宋体" w:hAnsi="宋体" w:cs="Arial"/>
                <w:color w:val="auto"/>
                <w:kern w:val="0"/>
                <w:szCs w:val="21"/>
              </w:rPr>
              <w:t>点</w:t>
            </w:r>
            <w:r>
              <w:rPr>
                <w:rFonts w:hint="eastAsia" w:ascii="宋体" w:hAnsi="宋体" w:cs="Arial"/>
                <w:color w:val="auto"/>
                <w:kern w:val="0"/>
                <w:szCs w:val="21"/>
                <w:lang w:val="en-US" w:eastAsia="zh-CN"/>
              </w:rPr>
              <w:t>00</w:t>
            </w:r>
            <w:r>
              <w:rPr>
                <w:rFonts w:hint="eastAsia" w:ascii="宋体" w:hAnsi="宋体" w:cs="Arial"/>
                <w:color w:val="auto"/>
                <w:kern w:val="0"/>
                <w:szCs w:val="21"/>
              </w:rPr>
              <w:t>分（北京时间）前提交</w:t>
            </w:r>
            <w:r>
              <w:rPr>
                <w:rFonts w:hint="eastAsia" w:ascii="宋体" w:hAnsi="宋体" w:cs="Arial"/>
                <w:kern w:val="0"/>
                <w:szCs w:val="21"/>
              </w:rPr>
              <w:t>响应文件。</w:t>
            </w:r>
          </w:p>
        </w:tc>
      </w:tr>
    </w:tbl>
    <w:p>
      <w:pPr>
        <w:spacing w:line="400" w:lineRule="exact"/>
        <w:ind w:firstLine="480" w:firstLineChars="200"/>
        <w:rPr>
          <w:rFonts w:ascii="宋体" w:hAnsi="宋体" w:cs="宋体"/>
          <w:kern w:val="0"/>
          <w:sz w:val="24"/>
        </w:rPr>
      </w:pPr>
    </w:p>
    <w:p>
      <w:pPr>
        <w:widowControl/>
        <w:numPr>
          <w:ilvl w:val="0"/>
          <w:numId w:val="2"/>
        </w:numPr>
        <w:spacing w:line="400" w:lineRule="exact"/>
        <w:jc w:val="left"/>
        <w:rPr>
          <w:rFonts w:hint="eastAsia" w:ascii="宋体" w:hAnsi="宋体" w:cs="宋体"/>
          <w:b/>
          <w:bCs/>
          <w:sz w:val="24"/>
        </w:rPr>
      </w:pPr>
      <w:r>
        <w:rPr>
          <w:rFonts w:hint="eastAsia" w:ascii="宋体" w:hAnsi="宋体" w:cs="宋体"/>
          <w:b/>
          <w:bCs/>
          <w:sz w:val="24"/>
          <w:lang w:val="en-US" w:eastAsia="zh-CN"/>
        </w:rPr>
        <w:t>项目基本情况</w:t>
      </w:r>
    </w:p>
    <w:p>
      <w:pPr>
        <w:widowControl/>
        <w:spacing w:line="400" w:lineRule="exact"/>
        <w:ind w:firstLine="480" w:firstLineChars="200"/>
        <w:jc w:val="left"/>
        <w:rPr>
          <w:rFonts w:hint="eastAsia" w:ascii="Times New Roman" w:hAnsi="Times New Roman" w:cs="Times New Roman"/>
          <w:sz w:val="24"/>
          <w:lang w:val="en-US" w:eastAsia="zh-CN"/>
        </w:rPr>
      </w:pPr>
      <w:r>
        <w:rPr>
          <w:rFonts w:hint="eastAsia"/>
          <w:sz w:val="24"/>
          <w:lang w:val="en-US" w:eastAsia="zh-CN"/>
        </w:rPr>
        <w:t>项目编号：</w:t>
      </w:r>
      <w:r>
        <w:rPr>
          <w:rFonts w:hint="eastAsia" w:ascii="Times New Roman" w:hAnsi="Times New Roman" w:cs="Times New Roman"/>
          <w:sz w:val="24"/>
          <w:lang w:val="en-US" w:eastAsia="zh-CN"/>
        </w:rPr>
        <w:t>NNZC2020-J3-270088-SHZH</w:t>
      </w:r>
    </w:p>
    <w:p>
      <w:pPr>
        <w:pStyle w:val="2"/>
        <w:ind w:firstLine="480" w:firstLineChars="200"/>
        <w:rPr>
          <w:rFonts w:hint="default"/>
          <w:lang w:val="en-US" w:eastAsia="zh-CN"/>
        </w:rPr>
      </w:pPr>
      <w:r>
        <w:rPr>
          <w:rFonts w:hint="eastAsia" w:ascii="Times New Roman" w:hAnsi="Times New Roman" w:cs="Times New Roman"/>
          <w:sz w:val="24"/>
          <w:lang w:val="en-US" w:eastAsia="zh-CN"/>
        </w:rPr>
        <w:t>项目名称：广西横县青年水库除险加固工程监理服务</w:t>
      </w:r>
    </w:p>
    <w:p>
      <w:pPr>
        <w:widowControl/>
        <w:spacing w:line="400" w:lineRule="exact"/>
        <w:ind w:firstLine="480" w:firstLineChars="200"/>
        <w:jc w:val="left"/>
        <w:rPr>
          <w:rFonts w:hint="eastAsia" w:ascii="Times New Roman" w:hAnsi="Times New Roman" w:eastAsia="宋体" w:cs="Times New Roman"/>
          <w:kern w:val="0"/>
          <w:sz w:val="24"/>
          <w:szCs w:val="18"/>
          <w:lang w:val="en-US" w:eastAsia="zh-CN" w:bidi="ar-SA"/>
        </w:rPr>
      </w:pPr>
      <w:r>
        <w:rPr>
          <w:rFonts w:hint="eastAsia" w:ascii="Times New Roman" w:hAnsi="Times New Roman" w:eastAsia="宋体" w:cs="Times New Roman"/>
          <w:kern w:val="0"/>
          <w:sz w:val="24"/>
          <w:szCs w:val="18"/>
          <w:lang w:val="en-US" w:eastAsia="zh-CN" w:bidi="ar-SA"/>
        </w:rPr>
        <w:t>采购方式：竞争性谈判</w:t>
      </w:r>
    </w:p>
    <w:p>
      <w:pPr>
        <w:widowControl/>
        <w:spacing w:line="400" w:lineRule="exact"/>
        <w:ind w:firstLine="480" w:firstLineChars="200"/>
        <w:jc w:val="left"/>
        <w:rPr>
          <w:rFonts w:hint="eastAsia" w:ascii="Times New Roman" w:hAnsi="Times New Roman" w:eastAsia="宋体" w:cs="Times New Roman"/>
          <w:kern w:val="0"/>
          <w:sz w:val="24"/>
          <w:szCs w:val="18"/>
          <w:lang w:val="en-US" w:eastAsia="zh-CN" w:bidi="ar-SA"/>
        </w:rPr>
      </w:pPr>
      <w:r>
        <w:rPr>
          <w:rFonts w:hint="eastAsia" w:ascii="Times New Roman" w:hAnsi="Times New Roman" w:eastAsia="宋体" w:cs="Times New Roman"/>
          <w:kern w:val="0"/>
          <w:sz w:val="24"/>
          <w:szCs w:val="18"/>
          <w:lang w:val="en-US" w:eastAsia="zh-CN" w:bidi="ar-SA"/>
        </w:rPr>
        <w:t>预算金额：63.9693万元</w:t>
      </w:r>
    </w:p>
    <w:p>
      <w:pPr>
        <w:widowControl/>
        <w:spacing w:line="400" w:lineRule="exact"/>
        <w:ind w:firstLine="480" w:firstLineChars="200"/>
        <w:jc w:val="left"/>
        <w:rPr>
          <w:rFonts w:hint="eastAsia" w:ascii="Times New Roman" w:hAnsi="Times New Roman" w:eastAsia="宋体" w:cs="Times New Roman"/>
          <w:kern w:val="0"/>
          <w:sz w:val="24"/>
          <w:szCs w:val="18"/>
          <w:lang w:val="en-US" w:eastAsia="zh-CN" w:bidi="ar-SA"/>
        </w:rPr>
      </w:pPr>
      <w:r>
        <w:rPr>
          <w:rFonts w:hint="eastAsia" w:ascii="Times New Roman" w:hAnsi="Times New Roman" w:eastAsia="宋体" w:cs="Times New Roman"/>
          <w:kern w:val="0"/>
          <w:sz w:val="24"/>
          <w:szCs w:val="18"/>
          <w:lang w:val="en-US" w:eastAsia="zh-CN" w:bidi="ar-SA"/>
        </w:rPr>
        <w:t>最高限价：63.9693万元</w:t>
      </w:r>
    </w:p>
    <w:p>
      <w:pPr>
        <w:widowControl/>
        <w:spacing w:line="400" w:lineRule="exact"/>
        <w:ind w:firstLine="480" w:firstLineChars="200"/>
        <w:jc w:val="left"/>
        <w:rPr>
          <w:rFonts w:hint="eastAsia" w:ascii="Times New Roman" w:hAnsi="Times New Roman" w:eastAsia="宋体" w:cs="Times New Roman"/>
          <w:kern w:val="0"/>
          <w:sz w:val="24"/>
          <w:szCs w:val="18"/>
          <w:lang w:val="en-US" w:eastAsia="zh-CN" w:bidi="ar-SA"/>
        </w:rPr>
      </w:pPr>
      <w:r>
        <w:rPr>
          <w:rFonts w:hint="eastAsia" w:ascii="Times New Roman" w:hAnsi="Times New Roman" w:eastAsia="宋体" w:cs="Times New Roman"/>
          <w:kern w:val="0"/>
          <w:sz w:val="24"/>
          <w:szCs w:val="18"/>
          <w:lang w:val="en-US" w:eastAsia="zh-CN" w:bidi="ar-SA"/>
        </w:rPr>
        <w:t>采购需求：广西横县青年水库除险加固工程监理服务1项，如需进一步了解详细内容，详见竞争性谈判文件。</w:t>
      </w:r>
    </w:p>
    <w:p>
      <w:pPr>
        <w:widowControl/>
        <w:spacing w:line="400" w:lineRule="exact"/>
        <w:ind w:firstLine="480" w:firstLineChars="200"/>
        <w:jc w:val="left"/>
        <w:rPr>
          <w:rFonts w:hint="eastAsia" w:ascii="Times New Roman" w:hAnsi="Times New Roman" w:eastAsia="宋体" w:cs="Times New Roman"/>
          <w:kern w:val="0"/>
          <w:sz w:val="24"/>
          <w:szCs w:val="18"/>
          <w:lang w:val="en-US" w:eastAsia="zh-CN" w:bidi="ar-SA"/>
        </w:rPr>
      </w:pPr>
      <w:r>
        <w:rPr>
          <w:rFonts w:hint="eastAsia" w:ascii="Times New Roman" w:hAnsi="Times New Roman" w:eastAsia="宋体" w:cs="Times New Roman"/>
          <w:kern w:val="0"/>
          <w:sz w:val="24"/>
          <w:szCs w:val="18"/>
          <w:lang w:val="en-US" w:eastAsia="zh-CN" w:bidi="ar-SA"/>
        </w:rPr>
        <w:t>合同履行期限（工期）：从签订委托监理合同之日始至工程质量保修期结束止。</w:t>
      </w:r>
    </w:p>
    <w:p>
      <w:pPr>
        <w:widowControl/>
        <w:spacing w:line="400" w:lineRule="exact"/>
        <w:ind w:firstLine="480" w:firstLineChars="200"/>
        <w:jc w:val="left"/>
        <w:rPr>
          <w:rFonts w:hint="eastAsia" w:ascii="Times New Roman" w:hAnsi="Times New Roman" w:eastAsia="宋体" w:cs="Times New Roman"/>
          <w:kern w:val="0"/>
          <w:sz w:val="24"/>
          <w:szCs w:val="18"/>
          <w:lang w:val="en-US" w:eastAsia="zh-CN" w:bidi="ar-SA"/>
        </w:rPr>
      </w:pPr>
      <w:r>
        <w:rPr>
          <w:rFonts w:hint="eastAsia" w:ascii="Times New Roman" w:hAnsi="Times New Roman" w:eastAsia="宋体" w:cs="Times New Roman"/>
          <w:kern w:val="0"/>
          <w:sz w:val="24"/>
          <w:szCs w:val="18"/>
          <w:lang w:val="en-US" w:eastAsia="zh-CN" w:bidi="ar-SA"/>
        </w:rPr>
        <w:t>工程质量要求：工程质量达到国家及行业现行施工验收规范合格标准。</w:t>
      </w:r>
    </w:p>
    <w:p>
      <w:pPr>
        <w:widowControl/>
        <w:spacing w:line="400" w:lineRule="exact"/>
        <w:ind w:firstLine="480" w:firstLineChars="200"/>
        <w:jc w:val="left"/>
      </w:pPr>
      <w:r>
        <w:rPr>
          <w:rFonts w:hint="eastAsia" w:ascii="Times New Roman" w:hAnsi="Times New Roman" w:eastAsia="宋体" w:cs="Times New Roman"/>
          <w:kern w:val="0"/>
          <w:sz w:val="24"/>
          <w:szCs w:val="18"/>
          <w:lang w:val="en-US" w:eastAsia="zh-CN" w:bidi="ar-SA"/>
        </w:rPr>
        <w:t>本项目不接受联合体。</w:t>
      </w:r>
    </w:p>
    <w:p>
      <w:pPr>
        <w:snapToGrid w:val="0"/>
        <w:spacing w:line="400" w:lineRule="exact"/>
        <w:rPr>
          <w:rFonts w:ascii="宋体" w:hAnsi="宋体" w:cs="宋体"/>
          <w:sz w:val="24"/>
        </w:rPr>
      </w:pPr>
      <w:r>
        <w:rPr>
          <w:rFonts w:hint="eastAsia" w:ascii="宋体" w:hAnsi="宋体" w:cs="宋体"/>
          <w:b/>
          <w:bCs/>
          <w:sz w:val="24"/>
          <w:lang w:val="en-US" w:eastAsia="zh-CN"/>
        </w:rPr>
        <w:t>二、申请人的资格要求</w:t>
      </w:r>
    </w:p>
    <w:p>
      <w:pPr>
        <w:pStyle w:val="2"/>
        <w:ind w:firstLine="482" w:firstLineChars="200"/>
        <w:rPr>
          <w:rFonts w:hint="eastAsia" w:ascii="Times New Roman" w:hAnsi="Times New Roman" w:cs="Times New Roman"/>
          <w:sz w:val="24"/>
          <w:lang w:val="en-US" w:eastAsia="zh-CN"/>
        </w:rPr>
      </w:pPr>
      <w:r>
        <w:rPr>
          <w:rFonts w:hint="eastAsia" w:ascii="宋体" w:hAnsi="宋体" w:cs="宋体"/>
          <w:b/>
          <w:sz w:val="24"/>
        </w:rPr>
        <w:t xml:space="preserve"> </w:t>
      </w:r>
      <w:r>
        <w:rPr>
          <w:rFonts w:hint="eastAsia" w:ascii="宋体" w:hAnsi="宋体" w:cs="宋体"/>
          <w:b/>
          <w:color w:val="auto"/>
          <w:sz w:val="24"/>
        </w:rPr>
        <w:t xml:space="preserve">  </w:t>
      </w:r>
      <w:r>
        <w:rPr>
          <w:rFonts w:hint="eastAsia" w:ascii="Times New Roman" w:hAnsi="Times New Roman" w:cs="Times New Roman"/>
          <w:sz w:val="24"/>
          <w:lang w:val="en-US" w:eastAsia="zh-CN"/>
        </w:rPr>
        <w:t xml:space="preserve"> 1.满足《中华人民共和国政府采购法》第二十二条规定；</w:t>
      </w:r>
    </w:p>
    <w:p>
      <w:pPr>
        <w:pStyle w:val="2"/>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2.落实政府采购政策需满足的资格要求：《政府采购促进中小企业发展暂行办法》（财库[2011]181号）、《关于我区政府采购支持监狱企业发展有关问题的通知》（桂财采[2015]24号）、《三部门联合发布关于促进残疾人就业政府采购政策的通知》（财库〔2017〕141号）。</w:t>
      </w:r>
    </w:p>
    <w:p>
      <w:pPr>
        <w:pStyle w:val="2"/>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4.单位负责人为同一人或者存在直接控股、管理关系的不同供应商，不得参加同一合同项下的政府采购活动。</w:t>
      </w:r>
    </w:p>
    <w:p>
      <w:pPr>
        <w:pStyle w:val="2"/>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5.本项目不接受联合体竞标。</w:t>
      </w:r>
    </w:p>
    <w:p>
      <w:pPr>
        <w:pStyle w:val="2"/>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 xml:space="preserve">6.本项目的特定资格要求： </w:t>
      </w:r>
    </w:p>
    <w:p>
      <w:pPr>
        <w:pStyle w:val="2"/>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具备水利部颁发的水利工程施工监理丙级以上（含丙级）资质，在人员、设备、资金等方面具备相应的施工监理能力。</w:t>
      </w:r>
    </w:p>
    <w:p>
      <w:pPr>
        <w:pStyle w:val="2"/>
        <w:ind w:firstLine="480" w:firstLineChars="200"/>
        <w:rPr>
          <w:rFonts w:hint="eastAsia" w:ascii="Times New Roman" w:hAnsi="Times New Roman" w:cs="Times New Roman"/>
          <w:sz w:val="24"/>
          <w:lang w:val="en-US" w:eastAsia="zh-CN"/>
        </w:rPr>
      </w:pPr>
    </w:p>
    <w:p>
      <w:pPr>
        <w:numPr>
          <w:ilvl w:val="0"/>
          <w:numId w:val="0"/>
        </w:numPr>
        <w:snapToGrid w:val="0"/>
        <w:spacing w:line="400" w:lineRule="exact"/>
        <w:ind w:leftChars="0"/>
        <w:rPr>
          <w:rFonts w:hint="eastAsia" w:ascii="宋体" w:hAnsi="宋体" w:cs="宋体"/>
          <w:sz w:val="24"/>
        </w:rPr>
      </w:pPr>
      <w:r>
        <w:rPr>
          <w:rFonts w:hint="eastAsia" w:ascii="宋体" w:hAnsi="宋体" w:cs="宋体"/>
          <w:b/>
          <w:bCs/>
          <w:sz w:val="24"/>
          <w:lang w:val="en-US" w:eastAsia="zh-CN"/>
        </w:rPr>
        <w:t>三、</w:t>
      </w:r>
      <w:r>
        <w:rPr>
          <w:rFonts w:hint="eastAsia" w:ascii="宋体" w:hAnsi="宋体" w:cs="宋体"/>
          <w:b/>
          <w:bCs/>
          <w:sz w:val="24"/>
        </w:rPr>
        <w:t>获取</w:t>
      </w:r>
      <w:r>
        <w:rPr>
          <w:rFonts w:hint="eastAsia" w:ascii="宋体" w:hAnsi="宋体" w:cs="宋体"/>
          <w:b/>
          <w:bCs/>
          <w:sz w:val="24"/>
          <w:lang w:val="en-US" w:eastAsia="zh-CN"/>
        </w:rPr>
        <w:t>采购文</w:t>
      </w:r>
      <w:bookmarkStart w:id="325" w:name="_GoBack"/>
      <w:bookmarkEnd w:id="325"/>
      <w:r>
        <w:rPr>
          <w:rFonts w:hint="eastAsia" w:ascii="宋体" w:hAnsi="宋体" w:cs="宋体"/>
          <w:b/>
          <w:bCs/>
          <w:sz w:val="24"/>
          <w:lang w:val="en-US" w:eastAsia="zh-CN"/>
        </w:rPr>
        <w:t>件</w:t>
      </w:r>
    </w:p>
    <w:p>
      <w:pPr>
        <w:snapToGrid w:val="0"/>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1.时间：2020年11月10日至 2020年11月12日，每天上午08：00至12:00，下午 15:00至18:00（法定节假日除外）</w:t>
      </w:r>
    </w:p>
    <w:p>
      <w:pPr>
        <w:snapToGrid w:val="0"/>
        <w:spacing w:line="400" w:lineRule="exact"/>
        <w:ind w:firstLine="480" w:firstLineChars="200"/>
        <w:jc w:val="left"/>
        <w:rPr>
          <w:rFonts w:ascii="宋体" w:hAnsi="宋体" w:cs="宋体"/>
          <w:bCs/>
          <w:sz w:val="24"/>
        </w:rPr>
      </w:pPr>
      <w:r>
        <w:rPr>
          <w:rFonts w:hint="eastAsia" w:ascii="宋体" w:hAnsi="宋体" w:cs="宋体"/>
          <w:sz w:val="24"/>
          <w:highlight w:val="none"/>
        </w:rPr>
        <w:t>2.地点：本项目采购文件为网上免费下载。潜在供应商可以登陆南宁市公共资源交易中心网站（网址：https://www.nnggzy.org.cn/gxnnzbw/），在对应的竞争性谈判公告正文下方下载竞争性谈判采购文件。</w:t>
      </w:r>
      <w:r>
        <w:rPr>
          <w:rFonts w:hint="eastAsia" w:ascii="宋体" w:hAnsi="宋体" w:cs="宋体"/>
          <w:bCs/>
          <w:sz w:val="24"/>
        </w:rPr>
        <w:t xml:space="preserve">  </w:t>
      </w:r>
    </w:p>
    <w:p>
      <w:pPr>
        <w:snapToGrid w:val="0"/>
        <w:spacing w:line="400" w:lineRule="exact"/>
        <w:jc w:val="left"/>
        <w:rPr>
          <w:rFonts w:ascii="宋体" w:hAnsi="宋体" w:cs="宋体"/>
          <w:sz w:val="24"/>
        </w:rPr>
      </w:pPr>
      <w:r>
        <w:rPr>
          <w:rFonts w:hint="eastAsia" w:ascii="宋体" w:hAnsi="宋体" w:cs="宋体"/>
          <w:b/>
          <w:bCs/>
          <w:sz w:val="24"/>
          <w:lang w:val="en-US" w:eastAsia="zh-CN"/>
        </w:rPr>
        <w:t>四</w:t>
      </w:r>
      <w:r>
        <w:rPr>
          <w:rFonts w:hint="eastAsia" w:ascii="宋体" w:hAnsi="宋体" w:cs="宋体"/>
          <w:b/>
          <w:bCs/>
          <w:sz w:val="24"/>
        </w:rPr>
        <w:t>、</w:t>
      </w:r>
      <w:r>
        <w:rPr>
          <w:rFonts w:hint="eastAsia" w:ascii="宋体" w:hAnsi="宋体" w:cs="宋体"/>
          <w:b/>
          <w:bCs/>
          <w:sz w:val="24"/>
          <w:lang w:val="en-US" w:eastAsia="zh-CN"/>
        </w:rPr>
        <w:t>响应文件提交</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截止时间：2020年1</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w:t>
      </w:r>
      <w:r>
        <w:rPr>
          <w:rFonts w:hint="eastAsia" w:ascii="宋体" w:hAnsi="宋体" w:cs="宋体"/>
          <w:sz w:val="24"/>
          <w:lang w:val="en-US" w:eastAsia="zh-CN"/>
        </w:rPr>
        <w:t>15</w:t>
      </w:r>
      <w:r>
        <w:rPr>
          <w:rFonts w:hint="eastAsia" w:ascii="宋体" w:hAnsi="宋体" w:cs="宋体"/>
          <w:sz w:val="24"/>
        </w:rPr>
        <w:t>点</w:t>
      </w:r>
      <w:r>
        <w:rPr>
          <w:rFonts w:hint="eastAsia" w:ascii="宋体" w:hAnsi="宋体" w:cs="宋体"/>
          <w:sz w:val="24"/>
          <w:lang w:val="en-US" w:eastAsia="zh-CN"/>
        </w:rPr>
        <w:t>0</w:t>
      </w:r>
      <w:r>
        <w:rPr>
          <w:rFonts w:hint="eastAsia" w:ascii="宋体" w:hAnsi="宋体" w:cs="宋体"/>
          <w:sz w:val="24"/>
        </w:rPr>
        <w:t>0分（北京时间）</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地点：横县公共资源交易中心（横县横州镇茉莉花大道国泰综合大楼2号楼3楼），逾期送达或未按竞争性谈判文件要求密封的响应文件将予以拒收。</w:t>
      </w:r>
    </w:p>
    <w:p>
      <w:pPr>
        <w:numPr>
          <w:ilvl w:val="0"/>
          <w:numId w:val="3"/>
        </w:numPr>
        <w:snapToGrid w:val="0"/>
        <w:spacing w:line="400" w:lineRule="exact"/>
        <w:jc w:val="left"/>
        <w:rPr>
          <w:rFonts w:hint="eastAsia" w:ascii="宋体" w:hAnsi="宋体" w:cs="宋体"/>
          <w:b/>
          <w:bCs/>
          <w:sz w:val="24"/>
          <w:lang w:val="en-US" w:eastAsia="zh-CN"/>
        </w:rPr>
      </w:pPr>
      <w:r>
        <w:rPr>
          <w:rFonts w:hint="eastAsia" w:ascii="宋体" w:hAnsi="宋体" w:cs="宋体"/>
          <w:b/>
          <w:bCs/>
          <w:sz w:val="24"/>
          <w:lang w:val="en-US" w:eastAsia="zh-CN"/>
        </w:rPr>
        <w:t>开启</w:t>
      </w:r>
    </w:p>
    <w:p>
      <w:pPr>
        <w:pStyle w:val="2"/>
        <w:numPr>
          <w:ilvl w:val="0"/>
          <w:numId w:val="0"/>
        </w:numPr>
        <w:ind w:firstLine="480" w:firstLineChars="200"/>
        <w:rPr>
          <w:rFonts w:hint="eastAsia" w:ascii="宋体" w:hAnsi="宋体" w:cs="Arial"/>
          <w:kern w:val="0"/>
          <w:szCs w:val="21"/>
          <w:u w:val="single"/>
        </w:rPr>
      </w:pPr>
      <w:r>
        <w:rPr>
          <w:rFonts w:hint="eastAsia" w:ascii="宋体" w:hAnsi="宋体" w:cs="宋体"/>
          <w:sz w:val="24"/>
        </w:rPr>
        <w:t>时间：响应文件提交截止时间后</w:t>
      </w:r>
    </w:p>
    <w:p>
      <w:pPr>
        <w:pStyle w:val="2"/>
        <w:numPr>
          <w:ilvl w:val="0"/>
          <w:numId w:val="0"/>
        </w:numPr>
        <w:ind w:firstLine="480" w:firstLineChars="200"/>
        <w:rPr>
          <w:rFonts w:hint="eastAsia" w:ascii="宋体" w:hAnsi="宋体" w:cs="宋体"/>
          <w:sz w:val="24"/>
        </w:rPr>
      </w:pPr>
      <w:r>
        <w:rPr>
          <w:rFonts w:hint="eastAsia" w:ascii="宋体" w:hAnsi="宋体" w:cs="宋体"/>
          <w:sz w:val="24"/>
        </w:rPr>
        <w:t>地点：横县公共资源交易中心（横县横州镇茉莉花大道国泰综合大楼2号楼3楼）</w:t>
      </w:r>
    </w:p>
    <w:p>
      <w:pPr>
        <w:pStyle w:val="2"/>
        <w:numPr>
          <w:ilvl w:val="0"/>
          <w:numId w:val="3"/>
        </w:numPr>
        <w:ind w:left="0" w:leftChars="0" w:firstLine="0"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公告期限</w:t>
      </w:r>
    </w:p>
    <w:p>
      <w:pPr>
        <w:pStyle w:val="2"/>
        <w:numPr>
          <w:ilvl w:val="0"/>
          <w:numId w:val="0"/>
        </w:numPr>
        <w:ind w:firstLine="480" w:firstLineChars="200"/>
        <w:rPr>
          <w:rFonts w:hint="eastAsia" w:ascii="宋体" w:hAnsi="宋体" w:cs="宋体"/>
          <w:sz w:val="24"/>
        </w:rPr>
      </w:pPr>
      <w:r>
        <w:rPr>
          <w:rFonts w:hint="eastAsia" w:ascii="宋体" w:hAnsi="宋体" w:cs="宋体"/>
          <w:sz w:val="24"/>
        </w:rPr>
        <w:t>自本公告发布之日起3个工作日。</w:t>
      </w:r>
    </w:p>
    <w:p>
      <w:pPr>
        <w:pStyle w:val="2"/>
        <w:numPr>
          <w:ilvl w:val="0"/>
          <w:numId w:val="3"/>
        </w:numPr>
        <w:ind w:left="0" w:leftChars="0" w:firstLine="0"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其他补充事宜</w:t>
      </w:r>
    </w:p>
    <w:p>
      <w:pPr>
        <w:pStyle w:val="2"/>
        <w:numPr>
          <w:ilvl w:val="0"/>
          <w:numId w:val="0"/>
        </w:numPr>
        <w:ind w:firstLine="480" w:firstLineChars="200"/>
        <w:rPr>
          <w:rFonts w:hint="eastAsia" w:ascii="宋体" w:hAnsi="宋体" w:cs="宋体"/>
          <w:sz w:val="24"/>
          <w:lang w:val="en-US" w:eastAsia="zh-CN"/>
        </w:rPr>
      </w:pPr>
      <w:r>
        <w:rPr>
          <w:rFonts w:hint="eastAsia" w:ascii="宋体" w:hAnsi="宋体" w:cs="宋体"/>
          <w:sz w:val="24"/>
        </w:rPr>
        <w:t>1.谈判保证金：</w:t>
      </w:r>
      <w:r>
        <w:rPr>
          <w:rFonts w:hint="eastAsia" w:ascii="宋体" w:hAnsi="宋体" w:cs="宋体"/>
          <w:sz w:val="24"/>
          <w:lang w:val="en-US" w:eastAsia="zh-CN"/>
        </w:rPr>
        <w:t>无</w:t>
      </w:r>
    </w:p>
    <w:p>
      <w:pPr>
        <w:widowControl/>
        <w:spacing w:line="357" w:lineRule="atLeast"/>
        <w:jc w:val="left"/>
        <w:rPr>
          <w:rFonts w:ascii="Arial" w:hAnsi="Arial" w:cs="Arial"/>
          <w:kern w:val="0"/>
          <w:szCs w:val="21"/>
        </w:rPr>
      </w:pPr>
      <w:r>
        <w:rPr>
          <w:rFonts w:hint="eastAsia" w:ascii="宋体" w:hAnsi="宋体" w:eastAsia="宋体" w:cs="宋体"/>
          <w:b/>
          <w:bCs/>
          <w:kern w:val="2"/>
          <w:sz w:val="24"/>
          <w:szCs w:val="24"/>
          <w:lang w:val="en-US" w:eastAsia="zh-CN" w:bidi="ar-SA"/>
        </w:rPr>
        <w:t>八、凡对本次采购提出询问，请按以下方式联系</w:t>
      </w:r>
      <w:r>
        <w:rPr>
          <w:rFonts w:hint="eastAsia" w:ascii="宋体" w:hAnsi="宋体" w:cs="Arial"/>
          <w:b/>
          <w:bCs/>
          <w:kern w:val="0"/>
          <w:szCs w:val="21"/>
        </w:rPr>
        <w:t>。</w:t>
      </w:r>
    </w:p>
    <w:p>
      <w:pPr>
        <w:pStyle w:val="2"/>
        <w:numPr>
          <w:ilvl w:val="0"/>
          <w:numId w:val="0"/>
        </w:numPr>
        <w:ind w:firstLine="480" w:firstLineChars="200"/>
        <w:rPr>
          <w:rFonts w:hint="eastAsia" w:ascii="宋体" w:hAnsi="宋体" w:cs="宋体"/>
          <w:sz w:val="24"/>
        </w:rPr>
      </w:pPr>
      <w:r>
        <w:rPr>
          <w:rFonts w:hint="eastAsia" w:ascii="宋体" w:hAnsi="宋体" w:cs="宋体"/>
          <w:sz w:val="24"/>
        </w:rPr>
        <w:t>1.采购人信息</w:t>
      </w:r>
    </w:p>
    <w:p>
      <w:pPr>
        <w:pStyle w:val="2"/>
        <w:numPr>
          <w:ilvl w:val="0"/>
          <w:numId w:val="0"/>
        </w:numPr>
        <w:ind w:firstLine="480" w:firstLineChars="200"/>
        <w:rPr>
          <w:rFonts w:hint="eastAsia" w:ascii="宋体" w:hAnsi="宋体" w:cs="宋体"/>
          <w:sz w:val="24"/>
        </w:rPr>
      </w:pPr>
      <w:r>
        <w:rPr>
          <w:rFonts w:hint="eastAsia" w:ascii="宋体" w:hAnsi="宋体" w:cs="宋体"/>
          <w:sz w:val="24"/>
        </w:rPr>
        <w:t>名称：</w:t>
      </w:r>
      <w:r>
        <w:rPr>
          <w:rFonts w:hint="eastAsia" w:ascii="宋体" w:hAnsi="宋体" w:cs="宋体"/>
          <w:sz w:val="24"/>
          <w:lang w:eastAsia="zh-CN"/>
        </w:rPr>
        <w:t>横县水利工程规划建设站</w:t>
      </w:r>
      <w:r>
        <w:rPr>
          <w:rFonts w:hint="eastAsia" w:ascii="宋体" w:hAnsi="宋体" w:cs="宋体"/>
          <w:sz w:val="24"/>
        </w:rPr>
        <w:t>；</w:t>
      </w:r>
    </w:p>
    <w:p>
      <w:pPr>
        <w:pStyle w:val="2"/>
        <w:numPr>
          <w:ilvl w:val="0"/>
          <w:numId w:val="0"/>
        </w:numPr>
        <w:ind w:firstLine="480" w:firstLineChars="200"/>
        <w:rPr>
          <w:rFonts w:hint="eastAsia" w:ascii="宋体" w:hAnsi="宋体" w:cs="宋体"/>
          <w:sz w:val="24"/>
        </w:rPr>
      </w:pPr>
      <w:r>
        <w:rPr>
          <w:rFonts w:hint="eastAsia" w:ascii="宋体" w:hAnsi="宋体" w:cs="宋体"/>
          <w:sz w:val="24"/>
        </w:rPr>
        <w:t xml:space="preserve">      地址：横县茉莉花大道国泰行政综合楼13层；</w:t>
      </w:r>
    </w:p>
    <w:p>
      <w:pPr>
        <w:pStyle w:val="2"/>
        <w:numPr>
          <w:ilvl w:val="0"/>
          <w:numId w:val="0"/>
        </w:numPr>
        <w:ind w:firstLine="480" w:firstLineChars="200"/>
        <w:rPr>
          <w:rFonts w:hint="eastAsia" w:ascii="宋体" w:hAnsi="宋体" w:cs="宋体"/>
          <w:sz w:val="24"/>
        </w:rPr>
      </w:pPr>
      <w:r>
        <w:rPr>
          <w:rFonts w:hint="eastAsia" w:ascii="宋体" w:hAnsi="宋体" w:cs="宋体"/>
          <w:sz w:val="24"/>
        </w:rPr>
        <w:t xml:space="preserve">      联系人: 禤工   联系电话： 0771-7217699 </w:t>
      </w:r>
    </w:p>
    <w:p>
      <w:pPr>
        <w:pStyle w:val="2"/>
        <w:numPr>
          <w:ilvl w:val="0"/>
          <w:numId w:val="0"/>
        </w:numPr>
        <w:ind w:firstLine="480" w:firstLineChars="200"/>
        <w:rPr>
          <w:rFonts w:hint="eastAsia" w:ascii="宋体" w:hAnsi="宋体" w:cs="宋体"/>
          <w:sz w:val="24"/>
        </w:rPr>
      </w:pPr>
      <w:r>
        <w:rPr>
          <w:rFonts w:hint="eastAsia" w:ascii="宋体" w:hAnsi="宋体" w:cs="宋体"/>
          <w:sz w:val="24"/>
        </w:rPr>
        <w:t>2.采购代理机构信息</w:t>
      </w:r>
    </w:p>
    <w:p>
      <w:pPr>
        <w:pStyle w:val="2"/>
        <w:numPr>
          <w:ilvl w:val="0"/>
          <w:numId w:val="0"/>
        </w:numPr>
        <w:ind w:firstLine="1200" w:firstLineChars="500"/>
        <w:rPr>
          <w:rFonts w:hint="eastAsia" w:ascii="宋体" w:hAnsi="宋体" w:cs="宋体"/>
          <w:sz w:val="24"/>
        </w:rPr>
      </w:pPr>
      <w:r>
        <w:rPr>
          <w:rFonts w:hint="eastAsia" w:ascii="宋体" w:hAnsi="宋体" w:cs="宋体"/>
          <w:sz w:val="24"/>
        </w:rPr>
        <w:t>名称：上海正弘建设工程顾问有限公司</w:t>
      </w:r>
    </w:p>
    <w:p>
      <w:pPr>
        <w:pStyle w:val="2"/>
        <w:numPr>
          <w:ilvl w:val="0"/>
          <w:numId w:val="0"/>
        </w:numPr>
        <w:ind w:firstLine="1200" w:firstLineChars="500"/>
        <w:rPr>
          <w:rFonts w:hint="eastAsia" w:ascii="宋体" w:hAnsi="宋体" w:cs="宋体"/>
          <w:sz w:val="24"/>
        </w:rPr>
      </w:pPr>
      <w:r>
        <w:rPr>
          <w:rFonts w:hint="eastAsia" w:ascii="宋体" w:hAnsi="宋体" w:cs="宋体"/>
          <w:sz w:val="24"/>
        </w:rPr>
        <w:t>地址：南宁市青秀区东葛路163号绿地中央广场B1栋9层</w:t>
      </w:r>
    </w:p>
    <w:p>
      <w:pPr>
        <w:pStyle w:val="2"/>
        <w:numPr>
          <w:ilvl w:val="0"/>
          <w:numId w:val="0"/>
        </w:numPr>
        <w:ind w:firstLine="1200" w:firstLineChars="500"/>
        <w:rPr>
          <w:rFonts w:hint="eastAsia" w:ascii="宋体" w:hAnsi="宋体" w:cs="宋体"/>
          <w:sz w:val="24"/>
          <w:lang w:val="en-US" w:eastAsia="zh-CN"/>
        </w:rPr>
      </w:pPr>
      <w:r>
        <w:rPr>
          <w:rFonts w:hint="eastAsia" w:ascii="宋体" w:hAnsi="宋体" w:cs="宋体"/>
          <w:sz w:val="24"/>
        </w:rPr>
        <w:t>联系方式：</w:t>
      </w:r>
      <w:r>
        <w:rPr>
          <w:rFonts w:hint="eastAsia" w:ascii="宋体" w:hAnsi="宋体" w:cs="宋体"/>
          <w:sz w:val="24"/>
          <w:lang w:val="en-US" w:eastAsia="zh-CN"/>
        </w:rPr>
        <w:t>莫祥霖</w:t>
      </w:r>
      <w:r>
        <w:rPr>
          <w:rFonts w:hint="eastAsia" w:ascii="宋体" w:hAnsi="宋体" w:cs="宋体"/>
          <w:sz w:val="24"/>
        </w:rPr>
        <w:t xml:space="preserve">， 联系电话: </w:t>
      </w:r>
      <w:r>
        <w:rPr>
          <w:rFonts w:hint="eastAsia" w:ascii="宋体" w:hAnsi="宋体" w:cs="宋体"/>
          <w:sz w:val="24"/>
          <w:lang w:val="en-US" w:eastAsia="zh-CN"/>
        </w:rPr>
        <w:t>18977099322</w:t>
      </w:r>
    </w:p>
    <w:p>
      <w:pPr>
        <w:snapToGrid w:val="0"/>
        <w:spacing w:line="400" w:lineRule="exact"/>
        <w:ind w:firstLine="480" w:firstLineChars="200"/>
        <w:rPr>
          <w:rFonts w:ascii="宋体" w:hAnsi="宋体" w:cs="宋体"/>
          <w:sz w:val="24"/>
        </w:rPr>
      </w:pPr>
      <w:r>
        <w:rPr>
          <w:rFonts w:hint="eastAsia" w:ascii="宋体" w:hAnsi="宋体" w:cs="宋体"/>
          <w:sz w:val="24"/>
        </w:rPr>
        <w:t>3.政府采购监督管理部门：横县政府采购监督办公室；联系电话：0771-7233567</w:t>
      </w:r>
    </w:p>
    <w:p>
      <w:pPr>
        <w:pStyle w:val="2"/>
        <w:numPr>
          <w:ilvl w:val="0"/>
          <w:numId w:val="0"/>
        </w:numPr>
        <w:ind w:firstLine="1200" w:firstLineChars="500"/>
        <w:rPr>
          <w:rFonts w:hint="default" w:ascii="宋体" w:hAnsi="宋体" w:cs="宋体"/>
          <w:sz w:val="24"/>
          <w:lang w:val="en-US" w:eastAsia="zh-CN"/>
        </w:rPr>
      </w:pPr>
    </w:p>
    <w:p>
      <w:pPr>
        <w:widowControl/>
        <w:spacing w:line="357" w:lineRule="atLeast"/>
        <w:ind w:firstLine="369"/>
        <w:jc w:val="right"/>
        <w:rPr>
          <w:rFonts w:ascii="宋体" w:hAnsi="宋体" w:cs="Arial"/>
          <w:kern w:val="0"/>
          <w:szCs w:val="21"/>
        </w:rPr>
      </w:pPr>
    </w:p>
    <w:p>
      <w:pPr>
        <w:snapToGrid w:val="0"/>
        <w:spacing w:line="400" w:lineRule="exact"/>
        <w:ind w:firstLine="480" w:firstLineChars="200"/>
        <w:jc w:val="right"/>
        <w:rPr>
          <w:rFonts w:hint="eastAsia" w:ascii="宋体" w:hAnsi="宋体" w:cs="宋体"/>
          <w:sz w:val="24"/>
        </w:rPr>
      </w:pPr>
      <w:r>
        <w:rPr>
          <w:rFonts w:hint="eastAsia" w:ascii="宋体" w:hAnsi="宋体" w:cs="宋体"/>
          <w:sz w:val="24"/>
        </w:rPr>
        <w:t>上海正弘建设工程顾问有限公司</w:t>
      </w:r>
    </w:p>
    <w:p>
      <w:pPr>
        <w:snapToGrid w:val="0"/>
        <w:spacing w:line="400" w:lineRule="exact"/>
        <w:ind w:firstLine="480" w:firstLineChars="200"/>
        <w:jc w:val="right"/>
        <w:rPr>
          <w:rFonts w:hint="eastAsia" w:ascii="宋体" w:hAnsi="宋体" w:cs="宋体"/>
          <w:sz w:val="24"/>
        </w:rPr>
      </w:pPr>
      <w:r>
        <w:rPr>
          <w:rFonts w:hint="eastAsia" w:ascii="宋体" w:hAnsi="宋体" w:cs="宋体"/>
          <w:sz w:val="24"/>
        </w:rPr>
        <w:t>2020年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w:t>
      </w:r>
    </w:p>
    <w:p>
      <w:pPr>
        <w:snapToGrid w:val="0"/>
        <w:spacing w:line="400" w:lineRule="exact"/>
        <w:ind w:firstLine="480" w:firstLineChars="200"/>
        <w:rPr>
          <w:rFonts w:ascii="宋体" w:hAnsi="宋体" w:cs="宋体"/>
          <w:sz w:val="24"/>
        </w:rPr>
      </w:pPr>
      <w:r>
        <w:rPr>
          <w:rFonts w:hint="eastAsia" w:ascii="宋体" w:hAnsi="宋体" w:cs="宋体"/>
          <w:sz w:val="24"/>
        </w:rPr>
        <w:t xml:space="preserve"> </w:t>
      </w:r>
    </w:p>
    <w:p>
      <w:pPr>
        <w:snapToGrid w:val="0"/>
        <w:spacing w:line="460" w:lineRule="exact"/>
        <w:ind w:left="238"/>
        <w:jc w:val="center"/>
        <w:rPr>
          <w:rFonts w:hint="eastAsia" w:ascii="宋体" w:hAnsi="宋体" w:cs="宋体"/>
          <w:sz w:val="24"/>
        </w:rPr>
      </w:pPr>
      <w:r>
        <w:rPr>
          <w:rFonts w:hint="eastAsia" w:ascii="宋体" w:hAnsi="宋体" w:cs="宋体"/>
          <w:b/>
          <w:sz w:val="24"/>
        </w:rPr>
        <w:t xml:space="preserve">   </w:t>
      </w:r>
    </w:p>
    <w:p>
      <w:pPr>
        <w:widowControl/>
        <w:jc w:val="left"/>
      </w:pPr>
      <w:r>
        <w:rPr>
          <w:rFonts w:ascii="Arial" w:hAnsi="Arial" w:cs="Arial"/>
          <w:kern w:val="36"/>
          <w:sz w:val="28"/>
          <w:szCs w:val="28"/>
        </w:rPr>
        <w:br w:type="page"/>
      </w:r>
    </w:p>
    <w:p>
      <w:pPr>
        <w:pStyle w:val="45"/>
        <w:shd w:val="clear" w:color="auto" w:fill="FFFFFF"/>
        <w:spacing w:line="360" w:lineRule="auto"/>
        <w:rPr>
          <w:rFonts w:ascii="宋体" w:hAnsi="宋体" w:cs="宋体"/>
        </w:rPr>
      </w:pPr>
      <w:bookmarkStart w:id="10" w:name="_Toc22877"/>
      <w:bookmarkStart w:id="11" w:name="_Toc23222"/>
      <w:bookmarkStart w:id="12" w:name="_Toc3610"/>
      <w:bookmarkStart w:id="13" w:name="_Toc2309"/>
      <w:bookmarkStart w:id="14" w:name="_Toc282"/>
      <w:bookmarkStart w:id="15" w:name="_Toc27306"/>
      <w:bookmarkStart w:id="16" w:name="_Toc7466"/>
      <w:bookmarkStart w:id="17" w:name="_Toc18416"/>
      <w:bookmarkStart w:id="18" w:name="_Toc11427"/>
      <w:bookmarkStart w:id="19" w:name="_Toc15366"/>
      <w:bookmarkStart w:id="20" w:name="_Toc12733"/>
      <w:bookmarkStart w:id="21" w:name="_Toc11600"/>
      <w:bookmarkStart w:id="22" w:name="_Toc24930"/>
      <w:r>
        <w:rPr>
          <w:rFonts w:hint="eastAsia" w:ascii="宋体" w:hAnsi="宋体" w:cs="宋体"/>
        </w:rPr>
        <w:t>第二章  项目采购需求</w:t>
      </w:r>
      <w:bookmarkEnd w:id="10"/>
      <w:bookmarkEnd w:id="11"/>
      <w:bookmarkEnd w:id="12"/>
      <w:bookmarkEnd w:id="13"/>
      <w:bookmarkEnd w:id="14"/>
      <w:bookmarkEnd w:id="15"/>
      <w:bookmarkEnd w:id="16"/>
      <w:bookmarkEnd w:id="17"/>
      <w:bookmarkEnd w:id="18"/>
      <w:bookmarkEnd w:id="19"/>
      <w:bookmarkEnd w:id="20"/>
      <w:bookmarkEnd w:id="21"/>
      <w:bookmarkEnd w:id="22"/>
    </w:p>
    <w:bookmarkEnd w:id="8"/>
    <w:bookmarkEnd w:id="9"/>
    <w:p>
      <w:pPr>
        <w:snapToGrid w:val="0"/>
        <w:spacing w:line="400" w:lineRule="exact"/>
        <w:rPr>
          <w:rFonts w:ascii="宋体" w:hAnsi="宋体" w:cs="宋体"/>
          <w:sz w:val="24"/>
        </w:rPr>
      </w:pPr>
      <w:bookmarkStart w:id="23" w:name="_Toc254970548"/>
      <w:bookmarkStart w:id="24" w:name="_Toc254970689"/>
      <w:r>
        <w:rPr>
          <w:rFonts w:hint="eastAsia" w:ascii="宋体" w:hAnsi="宋体" w:cs="宋体"/>
          <w:sz w:val="24"/>
        </w:rPr>
        <w:t>一、项目内容：</w:t>
      </w:r>
    </w:p>
    <w:p>
      <w:pPr>
        <w:snapToGrid w:val="0"/>
        <w:spacing w:line="400" w:lineRule="exact"/>
        <w:rPr>
          <w:rFonts w:ascii="宋体" w:hAnsi="宋体" w:cs="宋体"/>
          <w:sz w:val="24"/>
        </w:rPr>
      </w:pPr>
      <w:r>
        <w:rPr>
          <w:rFonts w:hint="eastAsia" w:ascii="宋体" w:hAnsi="宋体" w:cs="宋体"/>
          <w:sz w:val="24"/>
        </w:rPr>
        <w:t>（一）工程概况：</w:t>
      </w:r>
    </w:p>
    <w:p>
      <w:pPr>
        <w:snapToGrid w:val="0"/>
        <w:spacing w:line="400" w:lineRule="exact"/>
        <w:rPr>
          <w:rFonts w:ascii="宋体" w:hAnsi="宋体" w:cs="宋体"/>
          <w:sz w:val="24"/>
        </w:rPr>
      </w:pPr>
      <w:r>
        <w:rPr>
          <w:rFonts w:hint="eastAsia" w:ascii="宋体" w:hAnsi="宋体" w:cs="宋体"/>
          <w:sz w:val="24"/>
        </w:rPr>
        <w:t>1、建设地点：</w:t>
      </w:r>
    </w:p>
    <w:p>
      <w:pPr>
        <w:snapToGrid w:val="0"/>
        <w:spacing w:line="400" w:lineRule="exact"/>
        <w:ind w:firstLine="480" w:firstLineChars="200"/>
        <w:rPr>
          <w:rFonts w:ascii="宋体" w:hAnsi="宋体" w:cs="宋体"/>
          <w:sz w:val="24"/>
        </w:rPr>
      </w:pPr>
      <w:r>
        <w:rPr>
          <w:rFonts w:hint="eastAsia" w:ascii="宋体" w:hAnsi="宋体" w:cs="宋体"/>
          <w:sz w:val="24"/>
        </w:rPr>
        <w:t>南宁市横县陶圩镇泮林村境内。</w:t>
      </w:r>
    </w:p>
    <w:p>
      <w:pPr>
        <w:snapToGrid w:val="0"/>
        <w:spacing w:line="400" w:lineRule="exact"/>
        <w:ind w:firstLine="480" w:firstLineChars="200"/>
        <w:rPr>
          <w:rFonts w:ascii="宋体" w:hAnsi="宋体" w:cs="宋体"/>
          <w:sz w:val="24"/>
        </w:rPr>
      </w:pPr>
      <w:r>
        <w:rPr>
          <w:rFonts w:hint="eastAsia" w:ascii="宋体" w:hAnsi="宋体" w:cs="宋体"/>
          <w:sz w:val="24"/>
        </w:rPr>
        <w:t>2、建设规模及内容：</w:t>
      </w:r>
    </w:p>
    <w:p>
      <w:pPr>
        <w:snapToGrid w:val="0"/>
        <w:spacing w:line="400" w:lineRule="exact"/>
        <w:ind w:firstLine="480" w:firstLineChars="200"/>
        <w:rPr>
          <w:rFonts w:ascii="宋体" w:hAnsi="宋体" w:cs="宋体"/>
          <w:sz w:val="24"/>
        </w:rPr>
      </w:pPr>
      <w:r>
        <w:rPr>
          <w:rFonts w:hint="eastAsia" w:ascii="宋体" w:hAnsi="宋体" w:cs="宋体"/>
          <w:sz w:val="24"/>
        </w:rPr>
        <w:t>主坝、长坝、牛研坝、牛研副坝、榃利坝、长安一坝、长安二坝、排洪坝加固处理；益洪道加固处理；防水设施加固处理、大坝观测设施完善和更新；防汛道路除险加固；完善管理措施，施工图纸及工程量清单中包含的内容。</w:t>
      </w:r>
    </w:p>
    <w:p>
      <w:pPr>
        <w:snapToGrid w:val="0"/>
        <w:spacing w:line="400" w:lineRule="exact"/>
        <w:rPr>
          <w:rFonts w:ascii="宋体" w:hAnsi="宋体" w:cs="宋体"/>
          <w:sz w:val="24"/>
        </w:rPr>
      </w:pPr>
      <w:r>
        <w:rPr>
          <w:rFonts w:hint="eastAsia" w:ascii="宋体" w:hAnsi="宋体" w:cs="宋体"/>
          <w:sz w:val="24"/>
        </w:rPr>
        <w:t>3、本次招标监理服务期：从签订委托监理合同之日始至工程质量保修期结束止；</w:t>
      </w:r>
    </w:p>
    <w:p>
      <w:pPr>
        <w:snapToGrid w:val="0"/>
        <w:spacing w:line="400" w:lineRule="exact"/>
        <w:rPr>
          <w:rFonts w:ascii="宋体" w:hAnsi="宋体" w:cs="宋体"/>
          <w:sz w:val="24"/>
        </w:rPr>
      </w:pPr>
      <w:r>
        <w:rPr>
          <w:rFonts w:hint="eastAsia" w:ascii="宋体" w:hAnsi="宋体" w:cs="宋体"/>
          <w:sz w:val="24"/>
        </w:rPr>
        <w:t xml:space="preserve">   4、招标范围：本工程施工阶段全过程监理；</w:t>
      </w:r>
    </w:p>
    <w:p>
      <w:pPr>
        <w:snapToGrid w:val="0"/>
        <w:spacing w:line="400" w:lineRule="exact"/>
        <w:ind w:firstLine="480" w:firstLineChars="200"/>
        <w:rPr>
          <w:rFonts w:ascii="宋体" w:hAnsi="宋体" w:cs="宋体"/>
          <w:sz w:val="24"/>
        </w:rPr>
      </w:pPr>
      <w:r>
        <w:rPr>
          <w:rFonts w:hint="eastAsia" w:ascii="宋体" w:hAnsi="宋体" w:cs="宋体"/>
          <w:sz w:val="24"/>
        </w:rPr>
        <w:t>5、质量要求：工程质量达到国家及行业现行施工验收规范合格标准。</w:t>
      </w:r>
    </w:p>
    <w:p>
      <w:pPr>
        <w:snapToGrid w:val="0"/>
        <w:spacing w:line="400" w:lineRule="exact"/>
        <w:rPr>
          <w:rFonts w:ascii="宋体" w:hAnsi="宋体" w:cs="宋体"/>
          <w:sz w:val="24"/>
        </w:rPr>
      </w:pPr>
      <w:r>
        <w:rPr>
          <w:rFonts w:hint="eastAsia" w:ascii="宋体" w:hAnsi="宋体" w:cs="宋体"/>
          <w:sz w:val="24"/>
        </w:rPr>
        <w:t>（二）监理目标</w:t>
      </w:r>
    </w:p>
    <w:p>
      <w:pPr>
        <w:snapToGrid w:val="0"/>
        <w:spacing w:line="400" w:lineRule="exact"/>
        <w:rPr>
          <w:rFonts w:ascii="宋体" w:hAnsi="宋体" w:cs="宋体"/>
          <w:sz w:val="24"/>
        </w:rPr>
      </w:pPr>
      <w:r>
        <w:rPr>
          <w:rFonts w:hint="eastAsia" w:ascii="宋体" w:hAnsi="宋体" w:cs="宋体"/>
          <w:sz w:val="24"/>
        </w:rPr>
        <w:t xml:space="preserve">    1.本项目监理：行使施工阶段监理全部职能</w:t>
      </w:r>
    </w:p>
    <w:p>
      <w:pPr>
        <w:snapToGrid w:val="0"/>
        <w:spacing w:line="400" w:lineRule="exact"/>
        <w:rPr>
          <w:rFonts w:ascii="宋体" w:hAnsi="宋体" w:cs="宋体"/>
          <w:sz w:val="24"/>
        </w:rPr>
      </w:pPr>
      <w:r>
        <w:rPr>
          <w:rFonts w:hint="eastAsia" w:ascii="宋体" w:hAnsi="宋体" w:cs="宋体"/>
          <w:sz w:val="24"/>
        </w:rPr>
        <w:t xml:space="preserve">    2.监理工作目标：</w:t>
      </w:r>
    </w:p>
    <w:p>
      <w:pPr>
        <w:snapToGrid w:val="0"/>
        <w:spacing w:line="400" w:lineRule="exact"/>
        <w:rPr>
          <w:rFonts w:ascii="宋体" w:hAnsi="宋体" w:cs="宋体"/>
          <w:sz w:val="24"/>
        </w:rPr>
      </w:pPr>
      <w:r>
        <w:rPr>
          <w:rFonts w:hint="eastAsia" w:ascii="宋体" w:hAnsi="宋体" w:cs="宋体"/>
          <w:sz w:val="24"/>
        </w:rPr>
        <w:t xml:space="preserve">      质量控制目标：工程质量等级达到合格；工期控制目标：按施工承包合同要求；安全控制目标：无重大安全责任事故，在施工过程中不破坏原有生态坏境；文明施工目标：材料进场及施工过程不影响当地群众正常生活。</w:t>
      </w:r>
    </w:p>
    <w:p>
      <w:pPr>
        <w:snapToGrid w:val="0"/>
        <w:spacing w:line="400" w:lineRule="exact"/>
        <w:rPr>
          <w:rFonts w:ascii="宋体" w:hAnsi="宋体" w:cs="宋体"/>
          <w:sz w:val="24"/>
        </w:rPr>
      </w:pPr>
      <w:r>
        <w:rPr>
          <w:rFonts w:hint="eastAsia" w:ascii="宋体" w:hAnsi="宋体" w:cs="宋体"/>
          <w:sz w:val="24"/>
        </w:rPr>
        <w:t xml:space="preserve"> （三） 监理工作内容：</w:t>
      </w:r>
    </w:p>
    <w:p>
      <w:pPr>
        <w:snapToGrid w:val="0"/>
        <w:spacing w:line="400" w:lineRule="exact"/>
        <w:rPr>
          <w:rFonts w:ascii="宋体" w:hAnsi="宋体" w:cs="宋体"/>
          <w:sz w:val="24"/>
        </w:rPr>
      </w:pPr>
      <w:r>
        <w:rPr>
          <w:rFonts w:hint="eastAsia" w:ascii="宋体" w:hAnsi="宋体" w:cs="宋体"/>
          <w:sz w:val="24"/>
        </w:rPr>
        <w:t xml:space="preserve">    1.施工阶段质量控制：试验检测；测量定位；质检验收</w:t>
      </w:r>
    </w:p>
    <w:p>
      <w:pPr>
        <w:snapToGrid w:val="0"/>
        <w:spacing w:line="400" w:lineRule="exact"/>
        <w:rPr>
          <w:rFonts w:ascii="宋体" w:hAnsi="宋体" w:cs="宋体"/>
          <w:sz w:val="24"/>
        </w:rPr>
      </w:pPr>
      <w:r>
        <w:rPr>
          <w:rFonts w:hint="eastAsia" w:ascii="宋体" w:hAnsi="宋体" w:cs="宋体"/>
          <w:sz w:val="24"/>
        </w:rPr>
        <w:t xml:space="preserve">    2.施工阶段进度控制：进度计划及控制；材料设备计划；现场管理</w:t>
      </w:r>
    </w:p>
    <w:p>
      <w:pPr>
        <w:snapToGrid w:val="0"/>
        <w:spacing w:line="400" w:lineRule="exact"/>
        <w:rPr>
          <w:rFonts w:ascii="宋体" w:hAnsi="宋体" w:cs="宋体"/>
          <w:sz w:val="24"/>
        </w:rPr>
      </w:pPr>
      <w:r>
        <w:rPr>
          <w:rFonts w:hint="eastAsia" w:ascii="宋体" w:hAnsi="宋体" w:cs="宋体"/>
          <w:sz w:val="24"/>
        </w:rPr>
        <w:t xml:space="preserve">    3.施工阶段投资控制：成本分析财务管理</w:t>
      </w:r>
    </w:p>
    <w:p>
      <w:pPr>
        <w:snapToGrid w:val="0"/>
        <w:spacing w:line="400" w:lineRule="exact"/>
        <w:rPr>
          <w:rFonts w:ascii="宋体" w:hAnsi="宋体" w:cs="宋体"/>
          <w:sz w:val="24"/>
        </w:rPr>
      </w:pPr>
      <w:r>
        <w:rPr>
          <w:rFonts w:hint="eastAsia" w:ascii="宋体" w:hAnsi="宋体" w:cs="宋体"/>
          <w:sz w:val="24"/>
        </w:rPr>
        <w:t xml:space="preserve">    4.安全管理：安全监督；人力资源管理</w:t>
      </w:r>
    </w:p>
    <w:p>
      <w:pPr>
        <w:snapToGrid w:val="0"/>
        <w:spacing w:line="400" w:lineRule="exact"/>
        <w:rPr>
          <w:rFonts w:ascii="宋体" w:hAnsi="宋体" w:cs="宋体"/>
          <w:sz w:val="24"/>
        </w:rPr>
      </w:pPr>
      <w:r>
        <w:rPr>
          <w:rFonts w:hint="eastAsia" w:ascii="宋体" w:hAnsi="宋体" w:cs="宋体"/>
          <w:sz w:val="24"/>
        </w:rPr>
        <w:t xml:space="preserve">    5.合同管理：合同与预结算</w:t>
      </w:r>
    </w:p>
    <w:p>
      <w:pPr>
        <w:snapToGrid w:val="0"/>
        <w:spacing w:line="400" w:lineRule="exact"/>
        <w:rPr>
          <w:rFonts w:ascii="宋体" w:hAnsi="宋体" w:cs="宋体"/>
          <w:sz w:val="24"/>
        </w:rPr>
      </w:pPr>
      <w:r>
        <w:rPr>
          <w:rFonts w:hint="eastAsia" w:ascii="宋体" w:hAnsi="宋体" w:cs="宋体"/>
          <w:sz w:val="24"/>
        </w:rPr>
        <w:t>组织与协调：内部协调；外部协调</w:t>
      </w:r>
    </w:p>
    <w:p>
      <w:pPr>
        <w:snapToGrid w:val="0"/>
        <w:spacing w:line="400" w:lineRule="exact"/>
        <w:rPr>
          <w:rFonts w:ascii="宋体" w:hAnsi="宋体" w:cs="宋体"/>
          <w:sz w:val="24"/>
        </w:rPr>
      </w:pPr>
      <w:r>
        <w:rPr>
          <w:rFonts w:hint="eastAsia" w:ascii="宋体" w:hAnsi="宋体" w:cs="宋体"/>
          <w:sz w:val="24"/>
        </w:rPr>
        <w:t xml:space="preserve"> （四）监理单位职责：</w:t>
      </w:r>
    </w:p>
    <w:p>
      <w:pPr>
        <w:snapToGrid w:val="0"/>
        <w:spacing w:line="400" w:lineRule="exact"/>
        <w:rPr>
          <w:rFonts w:ascii="宋体" w:hAnsi="宋体" w:cs="宋体"/>
          <w:sz w:val="24"/>
        </w:rPr>
      </w:pPr>
      <w:r>
        <w:rPr>
          <w:rFonts w:hint="eastAsia" w:ascii="宋体" w:hAnsi="宋体" w:cs="宋体"/>
          <w:sz w:val="24"/>
        </w:rPr>
        <w:t xml:space="preserve">    1.全面贯彻“安全第一、预防为主、综合治理”的安全生产方针，对工程实施安全监控。</w:t>
      </w:r>
    </w:p>
    <w:p>
      <w:pPr>
        <w:snapToGrid w:val="0"/>
        <w:spacing w:line="400" w:lineRule="exact"/>
        <w:rPr>
          <w:rFonts w:ascii="宋体" w:hAnsi="宋体" w:cs="宋体"/>
          <w:sz w:val="24"/>
        </w:rPr>
      </w:pPr>
      <w:r>
        <w:rPr>
          <w:rFonts w:hint="eastAsia" w:ascii="宋体" w:hAnsi="宋体" w:cs="宋体"/>
          <w:sz w:val="24"/>
        </w:rPr>
        <w:t xml:space="preserve">    2.审查施工队伍的安全资质，审查安全管理及监督体系的建立及完善情况。</w:t>
      </w:r>
    </w:p>
    <w:p>
      <w:pPr>
        <w:snapToGrid w:val="0"/>
        <w:spacing w:line="400" w:lineRule="exact"/>
        <w:rPr>
          <w:rFonts w:ascii="宋体" w:hAnsi="宋体" w:cs="宋体"/>
          <w:sz w:val="24"/>
        </w:rPr>
      </w:pPr>
      <w:r>
        <w:rPr>
          <w:rFonts w:hint="eastAsia" w:ascii="宋体" w:hAnsi="宋体" w:cs="宋体"/>
          <w:sz w:val="24"/>
        </w:rPr>
        <w:t xml:space="preserve">    3.审查施工组织设计中的安全文明（环境保护）施工措施和专项安全措施并监督实施。</w:t>
      </w:r>
    </w:p>
    <w:p>
      <w:pPr>
        <w:snapToGrid w:val="0"/>
        <w:spacing w:line="400" w:lineRule="exact"/>
        <w:rPr>
          <w:rFonts w:ascii="宋体" w:hAnsi="宋体" w:cs="宋体"/>
          <w:sz w:val="24"/>
        </w:rPr>
      </w:pPr>
      <w:r>
        <w:rPr>
          <w:rFonts w:hint="eastAsia" w:ascii="宋体" w:hAnsi="宋体" w:cs="宋体"/>
          <w:sz w:val="24"/>
        </w:rPr>
        <w:t xml:space="preserve">    4.参加技术交底会，并提出监理意见；</w:t>
      </w:r>
    </w:p>
    <w:p>
      <w:pPr>
        <w:snapToGrid w:val="0"/>
        <w:spacing w:line="400" w:lineRule="exact"/>
        <w:rPr>
          <w:rFonts w:ascii="宋体" w:hAnsi="宋体" w:cs="宋体"/>
          <w:sz w:val="24"/>
        </w:rPr>
      </w:pPr>
      <w:r>
        <w:rPr>
          <w:rFonts w:hint="eastAsia" w:ascii="宋体" w:hAnsi="宋体" w:cs="宋体"/>
          <w:sz w:val="24"/>
        </w:rPr>
        <w:t xml:space="preserve">    5.检查安全文明施工设施、机具的完善情况，并督促完善；</w:t>
      </w:r>
    </w:p>
    <w:p>
      <w:pPr>
        <w:snapToGrid w:val="0"/>
        <w:spacing w:line="400" w:lineRule="exact"/>
        <w:rPr>
          <w:rFonts w:ascii="宋体" w:hAnsi="宋体" w:cs="宋体"/>
          <w:sz w:val="24"/>
        </w:rPr>
      </w:pPr>
      <w:r>
        <w:rPr>
          <w:rFonts w:hint="eastAsia" w:ascii="宋体" w:hAnsi="宋体" w:cs="宋体"/>
          <w:sz w:val="24"/>
        </w:rPr>
        <w:t xml:space="preserve">    6.对大型施工机械进行检查，无证者严禁使用；</w:t>
      </w:r>
    </w:p>
    <w:p>
      <w:pPr>
        <w:snapToGrid w:val="0"/>
        <w:spacing w:line="400" w:lineRule="exact"/>
        <w:rPr>
          <w:rFonts w:ascii="宋体" w:hAnsi="宋体" w:cs="宋体"/>
          <w:sz w:val="24"/>
        </w:rPr>
      </w:pPr>
      <w:r>
        <w:rPr>
          <w:rFonts w:hint="eastAsia" w:ascii="宋体" w:hAnsi="宋体" w:cs="宋体"/>
          <w:sz w:val="24"/>
        </w:rPr>
        <w:t xml:space="preserve">    7.做好日常巡视，对违章、违规行为及时制止，根据实际情况适时发出书面通知，并监督限时整改； </w:t>
      </w:r>
    </w:p>
    <w:p>
      <w:pPr>
        <w:snapToGrid w:val="0"/>
        <w:spacing w:line="400" w:lineRule="exact"/>
        <w:rPr>
          <w:rFonts w:ascii="宋体" w:hAnsi="宋体" w:cs="宋体"/>
          <w:sz w:val="24"/>
        </w:rPr>
      </w:pPr>
      <w:r>
        <w:rPr>
          <w:rFonts w:hint="eastAsia" w:ascii="宋体" w:hAnsi="宋体" w:cs="宋体"/>
          <w:sz w:val="24"/>
        </w:rPr>
        <w:t xml:space="preserve">    8.对重要工序和重大吊装作业及主要施工机械的拆、装进行跟踪监视或旁站；</w:t>
      </w:r>
    </w:p>
    <w:p>
      <w:pPr>
        <w:snapToGrid w:val="0"/>
        <w:spacing w:line="400" w:lineRule="exact"/>
        <w:rPr>
          <w:rFonts w:ascii="宋体" w:hAnsi="宋体" w:cs="宋体"/>
          <w:sz w:val="24"/>
        </w:rPr>
      </w:pPr>
      <w:r>
        <w:rPr>
          <w:rFonts w:hint="eastAsia" w:ascii="宋体" w:hAnsi="宋体" w:cs="宋体"/>
          <w:sz w:val="24"/>
        </w:rPr>
        <w:t xml:space="preserve">    9.组织或参加安全文明施工纠察活动，现场安全大检查等工作；</w:t>
      </w:r>
    </w:p>
    <w:p>
      <w:pPr>
        <w:snapToGrid w:val="0"/>
        <w:spacing w:line="400" w:lineRule="exact"/>
        <w:rPr>
          <w:rFonts w:ascii="宋体" w:hAnsi="宋体" w:cs="宋体"/>
          <w:sz w:val="24"/>
        </w:rPr>
      </w:pPr>
      <w:r>
        <w:rPr>
          <w:rFonts w:hint="eastAsia" w:ascii="宋体" w:hAnsi="宋体" w:cs="宋体"/>
          <w:sz w:val="24"/>
        </w:rPr>
        <w:t xml:space="preserve">    10. 项目监理部例会上，组织学习安全文明施工方面有关文件、规定，提出监理工作中应当重点监控的安全工作意见； </w:t>
      </w:r>
    </w:p>
    <w:p>
      <w:pPr>
        <w:snapToGrid w:val="0"/>
        <w:spacing w:line="400" w:lineRule="exact"/>
        <w:rPr>
          <w:rFonts w:ascii="宋体" w:hAnsi="宋体" w:cs="宋体"/>
          <w:sz w:val="24"/>
        </w:rPr>
      </w:pPr>
      <w:r>
        <w:rPr>
          <w:rFonts w:hint="eastAsia" w:ascii="宋体" w:hAnsi="宋体" w:cs="宋体"/>
          <w:sz w:val="24"/>
        </w:rPr>
        <w:t xml:space="preserve">    11. 负责收集、汇总及整理安全监理方面的资料，参与编写监理月报； </w:t>
      </w:r>
    </w:p>
    <w:p>
      <w:pPr>
        <w:snapToGrid w:val="0"/>
        <w:spacing w:line="400" w:lineRule="exact"/>
        <w:rPr>
          <w:rFonts w:ascii="宋体" w:hAnsi="宋体" w:cs="宋体"/>
          <w:sz w:val="24"/>
        </w:rPr>
      </w:pPr>
      <w:r>
        <w:rPr>
          <w:rFonts w:hint="eastAsia" w:ascii="宋体" w:hAnsi="宋体" w:cs="宋体"/>
          <w:sz w:val="24"/>
        </w:rPr>
        <w:t xml:space="preserve">    12. 负责审定施工单位提交的开工报告、施工组织设计、技术方案、进度计划；审核签署施工单位的申请、支付证书和竣工结算；审查施工单位的竣工申请，组织监理人员对待验收的工程项目进行质量检查，参与工程项目的竣工验收等监理职责。 </w:t>
      </w:r>
    </w:p>
    <w:p>
      <w:pPr>
        <w:snapToGrid w:val="0"/>
        <w:spacing w:line="400" w:lineRule="exact"/>
        <w:rPr>
          <w:rFonts w:ascii="宋体" w:hAnsi="宋体" w:cs="宋体"/>
          <w:sz w:val="24"/>
        </w:rPr>
      </w:pPr>
      <w:r>
        <w:rPr>
          <w:rFonts w:hint="eastAsia" w:ascii="宋体" w:hAnsi="宋体" w:cs="宋体"/>
          <w:sz w:val="24"/>
        </w:rPr>
        <w:t>二、工程建设地点的现场条件：</w:t>
      </w:r>
    </w:p>
    <w:p>
      <w:pPr>
        <w:snapToGrid w:val="0"/>
        <w:spacing w:line="400" w:lineRule="exact"/>
        <w:rPr>
          <w:rFonts w:ascii="宋体" w:hAnsi="宋体" w:cs="宋体"/>
          <w:sz w:val="24"/>
        </w:rPr>
      </w:pPr>
      <w:r>
        <w:rPr>
          <w:rFonts w:hint="eastAsia" w:ascii="宋体" w:hAnsi="宋体" w:cs="宋体"/>
          <w:sz w:val="24"/>
        </w:rPr>
        <w:t>（一）现场自然条件</w:t>
      </w:r>
    </w:p>
    <w:p>
      <w:pPr>
        <w:snapToGrid w:val="0"/>
        <w:spacing w:line="400" w:lineRule="exact"/>
        <w:rPr>
          <w:rFonts w:ascii="宋体" w:hAnsi="宋体" w:cs="宋体"/>
          <w:sz w:val="24"/>
        </w:rPr>
      </w:pPr>
      <w:r>
        <w:rPr>
          <w:rFonts w:hint="eastAsia" w:ascii="宋体" w:hAnsi="宋体" w:cs="宋体"/>
          <w:sz w:val="24"/>
        </w:rPr>
        <w:t xml:space="preserve">    满足施工要求。</w:t>
      </w:r>
    </w:p>
    <w:p>
      <w:pPr>
        <w:snapToGrid w:val="0"/>
        <w:spacing w:line="400" w:lineRule="exact"/>
        <w:rPr>
          <w:rFonts w:ascii="宋体" w:hAnsi="宋体" w:cs="宋体"/>
          <w:sz w:val="24"/>
        </w:rPr>
      </w:pPr>
      <w:r>
        <w:rPr>
          <w:rFonts w:hint="eastAsia" w:ascii="宋体" w:hAnsi="宋体" w:cs="宋体"/>
          <w:sz w:val="24"/>
        </w:rPr>
        <w:t xml:space="preserve">    （包括：现场环境、地形、地貌、地质、水文、地震烈度及气温、雨雪量、风向、风力等）</w:t>
      </w:r>
    </w:p>
    <w:p>
      <w:pPr>
        <w:snapToGrid w:val="0"/>
        <w:spacing w:line="400" w:lineRule="exact"/>
        <w:rPr>
          <w:rFonts w:ascii="宋体" w:hAnsi="宋体" w:cs="宋体"/>
          <w:sz w:val="24"/>
        </w:rPr>
      </w:pPr>
      <w:r>
        <w:rPr>
          <w:rFonts w:hint="eastAsia" w:ascii="宋体" w:hAnsi="宋体" w:cs="宋体"/>
          <w:sz w:val="24"/>
        </w:rPr>
        <w:t xml:space="preserve"> （二）现场施工条件</w:t>
      </w:r>
    </w:p>
    <w:p>
      <w:pPr>
        <w:snapToGrid w:val="0"/>
        <w:spacing w:line="400" w:lineRule="exact"/>
        <w:rPr>
          <w:rFonts w:ascii="宋体" w:hAnsi="宋体" w:cs="宋体"/>
          <w:sz w:val="24"/>
        </w:rPr>
      </w:pPr>
      <w:r>
        <w:rPr>
          <w:rFonts w:hint="eastAsia" w:ascii="宋体" w:hAnsi="宋体" w:cs="宋体"/>
          <w:sz w:val="24"/>
        </w:rPr>
        <w:t xml:space="preserve">    符合施工要求。</w:t>
      </w:r>
    </w:p>
    <w:p>
      <w:pPr>
        <w:snapToGrid w:val="0"/>
        <w:spacing w:line="400" w:lineRule="exact"/>
        <w:rPr>
          <w:rFonts w:ascii="宋体" w:hAnsi="宋体" w:cs="宋体"/>
          <w:sz w:val="24"/>
        </w:rPr>
      </w:pPr>
      <w:r>
        <w:rPr>
          <w:rFonts w:hint="eastAsia" w:ascii="宋体" w:hAnsi="宋体" w:cs="宋体"/>
          <w:sz w:val="24"/>
        </w:rPr>
        <w:t>（包括：建设用地面积、建筑物占地面积、场地拆迁及平整情况、施工用水、电及有关勘探资料等）</w:t>
      </w:r>
    </w:p>
    <w:p>
      <w:pPr>
        <w:snapToGrid w:val="0"/>
        <w:spacing w:line="400" w:lineRule="exact"/>
        <w:rPr>
          <w:rFonts w:ascii="宋体" w:hAnsi="宋体" w:cs="宋体"/>
          <w:sz w:val="24"/>
        </w:rPr>
      </w:pPr>
      <w:r>
        <w:rPr>
          <w:rFonts w:hint="eastAsia" w:ascii="宋体" w:hAnsi="宋体" w:cs="宋体"/>
          <w:sz w:val="24"/>
        </w:rPr>
        <w:t>三、技术规范：</w:t>
      </w:r>
    </w:p>
    <w:p>
      <w:pPr>
        <w:snapToGrid w:val="0"/>
        <w:spacing w:line="400" w:lineRule="exact"/>
        <w:rPr>
          <w:rFonts w:ascii="宋体" w:hAnsi="宋体" w:cs="宋体"/>
          <w:sz w:val="24"/>
        </w:rPr>
      </w:pPr>
      <w:r>
        <w:rPr>
          <w:rFonts w:hint="eastAsia" w:ascii="宋体" w:hAnsi="宋体" w:cs="宋体"/>
          <w:sz w:val="24"/>
        </w:rPr>
        <w:t xml:space="preserve">    本工程应该认真按照设计施工图纸的要求进行施工，同时也要严格执行专业相关的现行标准和技术规范。</w:t>
      </w:r>
    </w:p>
    <w:p>
      <w:pPr>
        <w:snapToGrid w:val="0"/>
        <w:spacing w:line="400" w:lineRule="exact"/>
        <w:rPr>
          <w:rFonts w:ascii="宋体" w:hAnsi="宋体" w:cs="宋体"/>
          <w:sz w:val="24"/>
        </w:rPr>
      </w:pPr>
      <w:r>
        <w:rPr>
          <w:rFonts w:hint="eastAsia" w:ascii="宋体" w:hAnsi="宋体" w:cs="宋体"/>
          <w:sz w:val="24"/>
        </w:rPr>
        <w:t>四、有关规划、文件：</w:t>
      </w:r>
    </w:p>
    <w:p>
      <w:pPr>
        <w:snapToGrid w:val="0"/>
        <w:spacing w:line="400" w:lineRule="exact"/>
        <w:rPr>
          <w:rFonts w:ascii="宋体" w:hAnsi="宋体" w:cs="宋体"/>
          <w:sz w:val="24"/>
        </w:rPr>
      </w:pPr>
      <w:r>
        <w:rPr>
          <w:rFonts w:hint="eastAsia" w:ascii="宋体" w:hAnsi="宋体" w:cs="宋体"/>
          <w:sz w:val="24"/>
        </w:rPr>
        <w:t xml:space="preserve">    采购人提供的其他资料。</w:t>
      </w:r>
    </w:p>
    <w:p>
      <w:pPr>
        <w:pStyle w:val="45"/>
        <w:shd w:val="clear" w:color="auto" w:fill="FFFFFF"/>
        <w:rPr>
          <w:rFonts w:ascii="宋体" w:hAnsi="宋体" w:cs="宋体"/>
        </w:rPr>
      </w:pPr>
      <w:r>
        <w:rPr>
          <w:rFonts w:hint="eastAsia" w:ascii="宋体" w:hAnsi="宋体" w:cs="宋体"/>
          <w:b w:val="0"/>
        </w:rPr>
        <w:br w:type="page"/>
      </w:r>
      <w:bookmarkStart w:id="25" w:name="_Toc28443"/>
      <w:bookmarkStart w:id="26" w:name="_Toc27712"/>
      <w:bookmarkStart w:id="27" w:name="_Toc28416"/>
      <w:r>
        <w:rPr>
          <w:rFonts w:hint="eastAsia" w:ascii="宋体" w:hAnsi="宋体" w:cs="宋体"/>
        </w:rPr>
        <w:t>第三章  供应商须知</w:t>
      </w:r>
      <w:bookmarkEnd w:id="25"/>
      <w:bookmarkEnd w:id="26"/>
      <w:bookmarkEnd w:id="27"/>
      <w:bookmarkStart w:id="28" w:name="_Toc254970526"/>
      <w:bookmarkStart w:id="29" w:name="_Toc254970667"/>
    </w:p>
    <w:p>
      <w:pPr>
        <w:shd w:val="clear" w:color="auto" w:fill="FFFFFF"/>
        <w:snapToGrid w:val="0"/>
        <w:spacing w:line="360" w:lineRule="auto"/>
        <w:ind w:left="238"/>
        <w:jc w:val="center"/>
        <w:outlineLvl w:val="1"/>
        <w:rPr>
          <w:rFonts w:ascii="宋体" w:hAnsi="宋体" w:cs="宋体"/>
          <w:b/>
          <w:sz w:val="24"/>
        </w:rPr>
      </w:pPr>
      <w:bookmarkStart w:id="30" w:name="_Toc293863302"/>
      <w:bookmarkStart w:id="31" w:name="_Toc326217529"/>
      <w:bookmarkStart w:id="32" w:name="_Toc12106"/>
      <w:bookmarkStart w:id="33" w:name="_Toc293863035"/>
      <w:bookmarkStart w:id="34" w:name="_Toc301424910"/>
      <w:r>
        <w:rPr>
          <w:rFonts w:hint="eastAsia" w:ascii="宋体" w:hAnsi="宋体" w:cs="宋体"/>
          <w:b/>
          <w:sz w:val="24"/>
        </w:rPr>
        <w:t>前  附  表</w:t>
      </w:r>
      <w:bookmarkEnd w:id="28"/>
      <w:bookmarkEnd w:id="29"/>
      <w:bookmarkEnd w:id="30"/>
      <w:bookmarkEnd w:id="31"/>
      <w:bookmarkEnd w:id="32"/>
      <w:bookmarkEnd w:id="33"/>
      <w:bookmarkEnd w:id="34"/>
    </w:p>
    <w:tbl>
      <w:tblPr>
        <w:tblStyle w:val="47"/>
        <w:tblW w:w="96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
        <w:gridCol w:w="8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序号</w:t>
            </w:r>
          </w:p>
        </w:tc>
        <w:tc>
          <w:tcPr>
            <w:tcW w:w="87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w:t>
            </w:r>
          </w:p>
        </w:tc>
        <w:tc>
          <w:tcPr>
            <w:tcW w:w="87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 w:val="24"/>
              </w:rPr>
            </w:pPr>
            <w:r>
              <w:rPr>
                <w:rFonts w:hint="eastAsia" w:ascii="宋体" w:hAnsi="宋体" w:cs="宋体"/>
                <w:color w:val="auto"/>
                <w:sz w:val="24"/>
              </w:rPr>
              <w:t>项目名称：广西横县青年水库除险加固工程监理服务</w:t>
            </w:r>
          </w:p>
          <w:p>
            <w:pPr>
              <w:snapToGrid w:val="0"/>
              <w:spacing w:line="400" w:lineRule="exact"/>
              <w:rPr>
                <w:rFonts w:ascii="宋体" w:hAnsi="宋体" w:cs="宋体"/>
                <w:color w:val="auto"/>
                <w:sz w:val="24"/>
              </w:rPr>
            </w:pPr>
            <w:r>
              <w:rPr>
                <w:rFonts w:hint="eastAsia" w:ascii="宋体" w:hAnsi="宋体" w:cs="宋体"/>
                <w:color w:val="auto"/>
                <w:sz w:val="24"/>
              </w:rPr>
              <w:t>项目编号：NNZC2019-C3-20003-GXJT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6"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2</w:t>
            </w:r>
          </w:p>
        </w:tc>
        <w:tc>
          <w:tcPr>
            <w:tcW w:w="8767" w:type="dxa"/>
            <w:tcBorders>
              <w:top w:val="single" w:color="auto" w:sz="4" w:space="0"/>
              <w:left w:val="single" w:color="auto" w:sz="4" w:space="0"/>
              <w:bottom w:val="single" w:color="auto" w:sz="4" w:space="0"/>
              <w:right w:val="single" w:color="auto" w:sz="4" w:space="0"/>
            </w:tcBorders>
            <w:vAlign w:val="center"/>
          </w:tcPr>
          <w:p>
            <w:pPr>
              <w:widowControl/>
              <w:spacing w:line="346" w:lineRule="atLeast"/>
              <w:ind w:firstLine="369"/>
              <w:jc w:val="left"/>
              <w:rPr>
                <w:rFonts w:ascii="宋体" w:hAnsi="宋体" w:cs="Arial"/>
                <w:b/>
                <w:bCs/>
                <w:color w:val="auto"/>
                <w:kern w:val="0"/>
                <w:sz w:val="24"/>
              </w:rPr>
            </w:pPr>
            <w:r>
              <w:rPr>
                <w:rFonts w:hint="eastAsia" w:ascii="宋体" w:hAnsi="宋体" w:cs="Arial"/>
                <w:b/>
                <w:bCs/>
                <w:color w:val="auto"/>
                <w:kern w:val="0"/>
                <w:sz w:val="24"/>
              </w:rPr>
              <w:t>一、谈判供应商资格要求：</w:t>
            </w:r>
          </w:p>
          <w:p>
            <w:pPr>
              <w:widowControl/>
              <w:spacing w:line="346" w:lineRule="atLeast"/>
              <w:ind w:firstLine="315" w:firstLineChars="150"/>
              <w:jc w:val="left"/>
              <w:rPr>
                <w:rFonts w:ascii="Arial" w:hAnsi="Arial" w:cs="Arial"/>
                <w:color w:val="auto"/>
                <w:kern w:val="0"/>
                <w:szCs w:val="21"/>
              </w:rPr>
            </w:pPr>
            <w:r>
              <w:rPr>
                <w:rFonts w:hint="eastAsia" w:ascii="宋体" w:hAnsi="宋体" w:cs="Arial"/>
                <w:color w:val="auto"/>
                <w:kern w:val="0"/>
                <w:szCs w:val="21"/>
              </w:rPr>
              <w:t>1.满足《中华人民共和国政府采购法》第二十二条规定；</w:t>
            </w:r>
          </w:p>
          <w:p>
            <w:pPr>
              <w:widowControl/>
              <w:spacing w:line="346" w:lineRule="atLeast"/>
              <w:ind w:firstLine="323"/>
              <w:jc w:val="left"/>
              <w:rPr>
                <w:rFonts w:ascii="Arial" w:hAnsi="Arial" w:cs="Arial"/>
                <w:color w:val="auto"/>
                <w:kern w:val="0"/>
                <w:szCs w:val="21"/>
              </w:rPr>
            </w:pPr>
            <w:r>
              <w:rPr>
                <w:rFonts w:hint="eastAsia" w:ascii="宋体" w:hAnsi="宋体" w:cs="Arial"/>
                <w:color w:val="auto"/>
                <w:kern w:val="0"/>
                <w:szCs w:val="21"/>
              </w:rPr>
              <w:t>2.落实政府采购政策需满足的资格要求：《政府采购促进中小企业发展暂行办法》（财库[2011]181号）、《关于我区政府采购支持监狱企业发展有关问题的通知》（桂财采[2015]24号）、《三部门联合发布关于促进残疾人就业政府采购政策的通知》（财库〔2017〕141号）。</w:t>
            </w:r>
          </w:p>
          <w:p>
            <w:pPr>
              <w:widowControl/>
              <w:spacing w:line="346" w:lineRule="atLeast"/>
              <w:ind w:firstLine="323"/>
              <w:jc w:val="left"/>
              <w:rPr>
                <w:rFonts w:ascii="Arial" w:hAnsi="Arial" w:cs="Arial"/>
                <w:color w:val="auto"/>
                <w:kern w:val="0"/>
                <w:szCs w:val="21"/>
              </w:rPr>
            </w:pPr>
            <w:r>
              <w:rPr>
                <w:rFonts w:hint="eastAsia" w:ascii="宋体" w:hAnsi="宋体" w:cs="Arial"/>
                <w:color w:val="auto"/>
                <w:kern w:val="0"/>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widowControl/>
              <w:spacing w:line="346" w:lineRule="atLeast"/>
              <w:ind w:firstLine="323"/>
              <w:jc w:val="left"/>
              <w:rPr>
                <w:rFonts w:ascii="Arial" w:hAnsi="Arial" w:cs="Arial"/>
                <w:color w:val="auto"/>
                <w:kern w:val="0"/>
                <w:szCs w:val="21"/>
              </w:rPr>
            </w:pPr>
            <w:r>
              <w:rPr>
                <w:rFonts w:hint="eastAsia" w:ascii="宋体" w:hAnsi="宋体" w:cs="Arial"/>
                <w:color w:val="auto"/>
                <w:kern w:val="0"/>
                <w:szCs w:val="21"/>
              </w:rPr>
              <w:t>4.单位负责人为同一人或者存在直接控股、管理关系的不同供应商，不得参加同一合同项下的政府采购活动。</w:t>
            </w:r>
          </w:p>
          <w:p>
            <w:pPr>
              <w:widowControl/>
              <w:spacing w:line="346" w:lineRule="atLeast"/>
              <w:ind w:firstLine="323"/>
              <w:jc w:val="left"/>
              <w:rPr>
                <w:rFonts w:hint="eastAsia" w:ascii="宋体" w:hAnsi="宋体" w:cs="Arial"/>
                <w:color w:val="auto"/>
                <w:kern w:val="0"/>
                <w:szCs w:val="21"/>
              </w:rPr>
            </w:pPr>
            <w:r>
              <w:rPr>
                <w:rFonts w:hint="eastAsia" w:ascii="宋体" w:hAnsi="宋体" w:cs="Arial"/>
                <w:color w:val="auto"/>
                <w:kern w:val="0"/>
                <w:szCs w:val="21"/>
              </w:rPr>
              <w:t>5.本项目不接受联合体竞标。</w:t>
            </w:r>
          </w:p>
          <w:p>
            <w:pPr>
              <w:widowControl/>
              <w:spacing w:line="346" w:lineRule="atLeast"/>
              <w:ind w:firstLine="369"/>
              <w:jc w:val="left"/>
              <w:rPr>
                <w:rFonts w:ascii="Arial" w:hAnsi="Arial" w:cs="Arial"/>
                <w:color w:val="auto"/>
                <w:kern w:val="0"/>
                <w:szCs w:val="21"/>
              </w:rPr>
            </w:pPr>
            <w:r>
              <w:rPr>
                <w:rFonts w:hint="eastAsia" w:ascii="宋体" w:hAnsi="宋体" w:cs="Arial"/>
                <w:b/>
                <w:bCs/>
                <w:color w:val="auto"/>
                <w:kern w:val="0"/>
                <w:szCs w:val="21"/>
              </w:rPr>
              <w:t xml:space="preserve">6.本项目的特定资格要求： </w:t>
            </w:r>
          </w:p>
          <w:p>
            <w:pPr>
              <w:widowControl/>
              <w:spacing w:line="346" w:lineRule="atLeast"/>
              <w:ind w:firstLine="323"/>
              <w:jc w:val="left"/>
              <w:rPr>
                <w:rFonts w:ascii="宋体" w:hAnsi="宋体" w:cs="Arial"/>
                <w:color w:val="auto"/>
                <w:kern w:val="0"/>
                <w:szCs w:val="21"/>
              </w:rPr>
            </w:pPr>
            <w:r>
              <w:rPr>
                <w:rFonts w:hint="eastAsia" w:ascii="宋体" w:hAnsi="宋体" w:cs="Arial"/>
                <w:color w:val="auto"/>
                <w:kern w:val="0"/>
                <w:szCs w:val="21"/>
              </w:rPr>
              <w:t>具备水利部颁发的水利工程施工监理丙级以上（含丙级）资质，在人员、设备、资金等方面具备相应的施工监理能力。</w:t>
            </w:r>
          </w:p>
          <w:p>
            <w:pPr>
              <w:widowControl/>
              <w:spacing w:line="346" w:lineRule="atLeast"/>
              <w:ind w:firstLine="323"/>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35"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3</w:t>
            </w:r>
          </w:p>
        </w:tc>
        <w:tc>
          <w:tcPr>
            <w:tcW w:w="87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 w:val="24"/>
              </w:rPr>
            </w:pPr>
            <w:r>
              <w:rPr>
                <w:rFonts w:hint="eastAsia" w:ascii="宋体" w:hAnsi="宋体" w:cs="宋体"/>
                <w:color w:val="auto"/>
                <w:sz w:val="24"/>
              </w:rPr>
              <w:t>谈判报价及费用：</w:t>
            </w:r>
          </w:p>
          <w:p>
            <w:pPr>
              <w:snapToGrid w:val="0"/>
              <w:spacing w:line="400" w:lineRule="exact"/>
              <w:rPr>
                <w:rFonts w:ascii="宋体" w:hAnsi="宋体" w:cs="宋体"/>
                <w:color w:val="auto"/>
                <w:sz w:val="24"/>
              </w:rPr>
            </w:pPr>
            <w:r>
              <w:rPr>
                <w:rFonts w:hint="eastAsia" w:ascii="宋体" w:hAnsi="宋体" w:cs="宋体"/>
                <w:color w:val="auto"/>
                <w:sz w:val="24"/>
              </w:rPr>
              <w:t>1、谈判报价</w:t>
            </w:r>
          </w:p>
          <w:p>
            <w:pPr>
              <w:snapToGrid w:val="0"/>
              <w:spacing w:line="400" w:lineRule="exact"/>
              <w:rPr>
                <w:rFonts w:ascii="宋体" w:hAnsi="宋体" w:cs="宋体"/>
                <w:color w:val="auto"/>
                <w:sz w:val="24"/>
              </w:rPr>
            </w:pPr>
            <w:r>
              <w:rPr>
                <w:rFonts w:hint="eastAsia" w:ascii="宋体" w:hAnsi="宋体" w:cs="宋体"/>
                <w:color w:val="auto"/>
                <w:sz w:val="24"/>
              </w:rPr>
              <w:t>（1）招标上限控制价：</w:t>
            </w:r>
            <w:r>
              <w:rPr>
                <w:rFonts w:hint="eastAsia" w:ascii="宋体" w:hAnsi="宋体" w:cs="宋体"/>
                <w:b/>
                <w:bCs/>
                <w:color w:val="auto"/>
                <w:sz w:val="24"/>
              </w:rPr>
              <w:t>63.9693</w:t>
            </w:r>
            <w:r>
              <w:rPr>
                <w:rFonts w:hint="eastAsia" w:ascii="宋体" w:hAnsi="宋体" w:cs="宋体"/>
                <w:color w:val="auto"/>
                <w:sz w:val="24"/>
              </w:rPr>
              <w:t>万元。</w:t>
            </w:r>
          </w:p>
          <w:p>
            <w:pPr>
              <w:snapToGrid w:val="0"/>
              <w:spacing w:line="400" w:lineRule="exact"/>
              <w:rPr>
                <w:rFonts w:ascii="宋体" w:hAnsi="宋体" w:cs="宋体"/>
                <w:color w:val="auto"/>
                <w:sz w:val="24"/>
              </w:rPr>
            </w:pPr>
            <w:r>
              <w:rPr>
                <w:rFonts w:hint="eastAsia" w:ascii="宋体" w:hAnsi="宋体" w:cs="宋体"/>
                <w:color w:val="auto"/>
                <w:sz w:val="24"/>
              </w:rPr>
              <w:t>（2）本项目投标报价方式选择：</w:t>
            </w:r>
          </w:p>
          <w:p>
            <w:pPr>
              <w:snapToGrid w:val="0"/>
              <w:spacing w:line="400" w:lineRule="exact"/>
              <w:rPr>
                <w:rFonts w:ascii="宋体" w:hAnsi="宋体" w:cs="宋体"/>
                <w:color w:val="auto"/>
                <w:sz w:val="24"/>
              </w:rPr>
            </w:pPr>
            <w:r>
              <w:rPr>
                <w:rFonts w:hint="eastAsia" w:ascii="宋体" w:hAnsi="宋体" w:cs="宋体"/>
                <w:color w:val="auto"/>
                <w:sz w:val="24"/>
              </w:rPr>
              <w:t>固定数报价方式，即固定总价方式，监理费=成交价</w:t>
            </w:r>
          </w:p>
          <w:p>
            <w:pPr>
              <w:snapToGrid w:val="0"/>
              <w:spacing w:line="400" w:lineRule="exact"/>
              <w:rPr>
                <w:rFonts w:ascii="宋体" w:hAnsi="宋体" w:cs="宋体"/>
                <w:color w:val="auto"/>
                <w:sz w:val="24"/>
              </w:rPr>
            </w:pPr>
            <w:r>
              <w:rPr>
                <w:rFonts w:hint="eastAsia" w:ascii="宋体" w:hAnsi="宋体" w:cs="宋体"/>
                <w:color w:val="auto"/>
                <w:sz w:val="24"/>
              </w:rPr>
              <w:t>（3）供应商应结合自身因素进行竞争性报价，但不得超出招标控制价范围，否则报价无效，做否决投标处理。</w:t>
            </w:r>
          </w:p>
          <w:p>
            <w:pPr>
              <w:snapToGrid w:val="0"/>
              <w:spacing w:line="400" w:lineRule="exact"/>
              <w:rPr>
                <w:rFonts w:ascii="宋体" w:hAnsi="宋体" w:cs="宋体"/>
                <w:color w:val="auto"/>
                <w:sz w:val="24"/>
              </w:rPr>
            </w:pPr>
            <w:r>
              <w:rPr>
                <w:rFonts w:hint="eastAsia" w:ascii="宋体" w:hAnsi="宋体" w:cs="宋体"/>
                <w:color w:val="auto"/>
                <w:sz w:val="24"/>
              </w:rPr>
              <w:t>2、不论谈判结果如何，供应商均应自行承担所有与谈判有关的全部费用。</w:t>
            </w:r>
          </w:p>
          <w:p>
            <w:pPr>
              <w:snapToGrid w:val="0"/>
              <w:spacing w:line="400" w:lineRule="exact"/>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本项目代理服务费参照国家《招标代理服务收费管理暂行办法》（计价格［2002］1980号）和发改价格【2011】534号、《桂价费字【2011】55号》文及《转发国家计委关于印发〈招标代理服务收费管理暂行办法〉的通知》（桂价费字〔2003〕7号）规定的服务类收费标准执行，由成交方在领成交通知书时一次性支付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4</w:t>
            </w:r>
          </w:p>
        </w:tc>
        <w:tc>
          <w:tcPr>
            <w:tcW w:w="87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 w:val="24"/>
              </w:rPr>
            </w:pPr>
            <w:r>
              <w:rPr>
                <w:rFonts w:hint="eastAsia" w:ascii="宋体" w:hAnsi="宋体" w:cs="宋体"/>
                <w:color w:val="auto"/>
                <w:sz w:val="24"/>
              </w:rPr>
              <w:t>谈判保证金（人民币）：无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5</w:t>
            </w:r>
          </w:p>
        </w:tc>
        <w:tc>
          <w:tcPr>
            <w:tcW w:w="87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 w:val="24"/>
              </w:rPr>
            </w:pPr>
            <w:r>
              <w:rPr>
                <w:rFonts w:hint="eastAsia" w:ascii="宋体" w:hAnsi="宋体" w:cs="宋体"/>
                <w:color w:val="auto"/>
                <w:sz w:val="24"/>
              </w:rPr>
              <w:t>答疑与澄清：供应商如认为采购文件表述不清晰、存在歧视性、排他性或者其他违法内容的，应当于谈判截止日期3日前，以书面形式要求招标采购单位作出书面解释、澄清或者向招标采购单位提出书面质疑；答疑内容是采购文件的组成部份，并将以书面形式送达所有已报名的供应商；招标采购单位可以视采购具体情况，延长递交响应文件截止时间和谈判时间，但至少应当在采购文件要求提交响应文件的截止时间3日前，将变更时间书面通知所有采购文件的收受人，并在信息发布媒体上发布变更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6</w:t>
            </w:r>
          </w:p>
        </w:tc>
        <w:tc>
          <w:tcPr>
            <w:tcW w:w="87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 w:val="24"/>
              </w:rPr>
            </w:pPr>
            <w:r>
              <w:rPr>
                <w:rFonts w:hint="eastAsia" w:ascii="宋体" w:hAnsi="宋体" w:cs="宋体"/>
                <w:color w:val="auto"/>
                <w:sz w:val="24"/>
              </w:rPr>
              <w:t>监理服务期：从签订委托监理合同之日始至工程质量保修期结束止。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4"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7</w:t>
            </w:r>
          </w:p>
        </w:tc>
        <w:tc>
          <w:tcPr>
            <w:tcW w:w="87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 w:val="24"/>
              </w:rPr>
            </w:pPr>
            <w:r>
              <w:rPr>
                <w:rFonts w:hint="eastAsia" w:ascii="宋体" w:hAnsi="宋体" w:cs="宋体"/>
                <w:color w:val="auto"/>
                <w:sz w:val="24"/>
              </w:rPr>
              <w:t>响应文件组成：正本 壹 份；副本各 叁 份</w:t>
            </w:r>
          </w:p>
          <w:p>
            <w:pPr>
              <w:snapToGrid w:val="0"/>
              <w:spacing w:line="400" w:lineRule="exact"/>
              <w:rPr>
                <w:rFonts w:ascii="宋体" w:hAnsi="宋体" w:cs="宋体"/>
                <w:color w:val="auto"/>
                <w:sz w:val="24"/>
              </w:rPr>
            </w:pPr>
            <w:r>
              <w:rPr>
                <w:rFonts w:hint="eastAsia" w:ascii="宋体" w:hAnsi="宋体" w:cs="宋体"/>
                <w:color w:val="auto"/>
                <w:sz w:val="24"/>
              </w:rPr>
              <w:t>响应文件电子版：壹 份。供应商在递交响应文件时，应同时递交响应文件电子版。</w:t>
            </w:r>
          </w:p>
          <w:p>
            <w:pPr>
              <w:snapToGrid w:val="0"/>
              <w:spacing w:line="400" w:lineRule="exact"/>
              <w:rPr>
                <w:rFonts w:ascii="宋体" w:hAnsi="宋体" w:cs="宋体"/>
                <w:color w:val="auto"/>
                <w:sz w:val="24"/>
              </w:rPr>
            </w:pPr>
            <w:r>
              <w:rPr>
                <w:rFonts w:hint="eastAsia" w:ascii="宋体" w:hAnsi="宋体" w:cs="宋体"/>
                <w:color w:val="auto"/>
                <w:sz w:val="24"/>
              </w:rPr>
              <w:t>1、响应文件电子版形式：可查看文档格式。</w:t>
            </w:r>
          </w:p>
          <w:p>
            <w:pPr>
              <w:snapToGrid w:val="0"/>
              <w:spacing w:line="400" w:lineRule="exact"/>
              <w:rPr>
                <w:rFonts w:ascii="宋体" w:hAnsi="宋体" w:cs="宋体"/>
                <w:color w:val="auto"/>
                <w:sz w:val="24"/>
              </w:rPr>
            </w:pPr>
            <w:r>
              <w:rPr>
                <w:rFonts w:hint="eastAsia" w:ascii="宋体" w:hAnsi="宋体" w:cs="宋体"/>
                <w:color w:val="auto"/>
                <w:sz w:val="24"/>
              </w:rPr>
              <w:t>2、响应文件电子版密封方式：响应文件电子版与纸质版响应文件一并装入密封袋中。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8</w:t>
            </w:r>
          </w:p>
        </w:tc>
        <w:tc>
          <w:tcPr>
            <w:tcW w:w="87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 w:val="24"/>
                <w:highlight w:val="none"/>
              </w:rPr>
            </w:pPr>
            <w:r>
              <w:rPr>
                <w:rFonts w:hint="eastAsia" w:ascii="宋体" w:hAnsi="宋体" w:cs="宋体"/>
                <w:color w:val="auto"/>
                <w:sz w:val="24"/>
              </w:rPr>
              <w:t>递交响应文件时间：</w:t>
            </w:r>
            <w:r>
              <w:rPr>
                <w:rFonts w:hint="eastAsia" w:ascii="宋体" w:hAnsi="宋体" w:cs="宋体"/>
                <w:color w:val="auto"/>
                <w:sz w:val="24"/>
                <w:highlight w:val="none"/>
              </w:rPr>
              <w:t>2020年11月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日下午15时00分截止</w:t>
            </w:r>
          </w:p>
          <w:p>
            <w:pPr>
              <w:snapToGrid w:val="0"/>
              <w:spacing w:line="400" w:lineRule="exact"/>
              <w:rPr>
                <w:rFonts w:ascii="宋体" w:hAnsi="宋体" w:cs="宋体"/>
                <w:color w:val="auto"/>
                <w:sz w:val="24"/>
              </w:rPr>
            </w:pPr>
            <w:r>
              <w:rPr>
                <w:rFonts w:hint="eastAsia" w:ascii="宋体" w:hAnsi="宋体" w:cs="宋体"/>
                <w:color w:val="auto"/>
                <w:sz w:val="24"/>
              </w:rPr>
              <w:t>递交响应文件地点：横县公共资源交易中心（横县横州镇茉莉花大道国泰综合大楼2号楼3楼）。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10</w:t>
            </w:r>
          </w:p>
        </w:tc>
        <w:tc>
          <w:tcPr>
            <w:tcW w:w="87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 w:val="24"/>
              </w:rPr>
            </w:pPr>
            <w:r>
              <w:rPr>
                <w:rFonts w:hint="eastAsia" w:ascii="宋体" w:hAnsi="宋体" w:cs="宋体"/>
                <w:color w:val="auto"/>
                <w:sz w:val="24"/>
              </w:rPr>
              <w:t>谈判地点：横县公共资源交易中心（横县横州镇茉莉花大道国泰综合大楼2号楼3楼）。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11</w:t>
            </w:r>
          </w:p>
        </w:tc>
        <w:tc>
          <w:tcPr>
            <w:tcW w:w="87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评审办法及评分标准：综合评分法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12</w:t>
            </w:r>
          </w:p>
        </w:tc>
        <w:tc>
          <w:tcPr>
            <w:tcW w:w="87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公告发布媒体：中国政府采购网（www.ccgp.gov.cn）、广西壮族自治区政府采购网（http://zfcg.gxzf.gov.cn/）、南宁市公共资源交易中心网（www.nnggzy.org.cn）。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13</w:t>
            </w:r>
          </w:p>
        </w:tc>
        <w:tc>
          <w:tcPr>
            <w:tcW w:w="87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履约保证金:无。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14</w:t>
            </w:r>
          </w:p>
        </w:tc>
        <w:tc>
          <w:tcPr>
            <w:tcW w:w="87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签订合同时间：成交通知书发出后7个工作日内。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15</w:t>
            </w:r>
          </w:p>
        </w:tc>
        <w:tc>
          <w:tcPr>
            <w:tcW w:w="87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16</w:t>
            </w:r>
          </w:p>
        </w:tc>
        <w:tc>
          <w:tcPr>
            <w:tcW w:w="87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付款方式：详见“第五章  合同主要条款格式”。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17</w:t>
            </w:r>
          </w:p>
        </w:tc>
        <w:tc>
          <w:tcPr>
            <w:tcW w:w="87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18</w:t>
            </w:r>
          </w:p>
        </w:tc>
        <w:tc>
          <w:tcPr>
            <w:tcW w:w="87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解释：本采购文件的解释权属于招标采购单位。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19</w:t>
            </w:r>
          </w:p>
        </w:tc>
        <w:tc>
          <w:tcPr>
            <w:tcW w:w="87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1、本采购文件中描述供应商的“公章”是指根据我国对公章的管理规定，用供应商法定主体行为名称制作的印章，除本采购文件有特殊规定外，供应商的财务章、部门章、分公司章、工会章、合同章、谈判专用章、业务专用章等其它形式印章均不能代替公章。</w:t>
            </w:r>
          </w:p>
          <w:p>
            <w:pPr>
              <w:snapToGrid w:val="0"/>
              <w:spacing w:line="400" w:lineRule="exact"/>
              <w:rPr>
                <w:rFonts w:ascii="宋体" w:hAnsi="宋体" w:cs="宋体"/>
                <w:sz w:val="24"/>
              </w:rPr>
            </w:pPr>
            <w:r>
              <w:rPr>
                <w:rFonts w:hint="eastAsia" w:ascii="宋体" w:hAnsi="宋体" w:cs="宋体"/>
                <w:sz w:val="24"/>
              </w:rPr>
              <w:t>2、本采购文件中描述供应商的“签字”是指供应商的法定代表人或被授权人亲自在采购文件规定签署处亲笔写上个人的名字的行为，私章、签字章、印鉴、影印等其它形式均不能代替亲笔签字。</w:t>
            </w:r>
          </w:p>
        </w:tc>
      </w:tr>
    </w:tbl>
    <w:p>
      <w:pPr>
        <w:snapToGrid w:val="0"/>
        <w:spacing w:line="400" w:lineRule="exact"/>
        <w:rPr>
          <w:rFonts w:hAnsi="宋体" w:cs="宋体"/>
          <w:b/>
          <w:sz w:val="24"/>
        </w:rPr>
      </w:pPr>
      <w:r>
        <w:rPr>
          <w:rFonts w:hint="eastAsia" w:ascii="宋体" w:hAnsi="宋体" w:cs="宋体"/>
          <w:sz w:val="24"/>
        </w:rPr>
        <w:br w:type="page"/>
      </w:r>
      <w:bookmarkStart w:id="35" w:name="_Toc9685"/>
      <w:bookmarkStart w:id="36" w:name="_Toc12575"/>
      <w:bookmarkStart w:id="37" w:name="_Toc11793"/>
      <w:r>
        <w:rPr>
          <w:rFonts w:hint="eastAsia" w:hAnsi="宋体" w:cs="宋体"/>
          <w:b/>
          <w:sz w:val="24"/>
        </w:rPr>
        <w:t>一、总  则</w:t>
      </w:r>
      <w:bookmarkEnd w:id="35"/>
      <w:bookmarkEnd w:id="36"/>
      <w:bookmarkEnd w:id="37"/>
    </w:p>
    <w:p>
      <w:pPr>
        <w:shd w:val="clear" w:color="auto" w:fill="FFFFFF"/>
        <w:snapToGrid w:val="0"/>
        <w:spacing w:line="360" w:lineRule="auto"/>
        <w:ind w:firstLine="472" w:firstLineChars="196"/>
        <w:jc w:val="left"/>
        <w:outlineLvl w:val="1"/>
        <w:rPr>
          <w:rFonts w:ascii="宋体" w:hAnsi="宋体" w:cs="宋体"/>
          <w:b/>
          <w:sz w:val="24"/>
        </w:rPr>
      </w:pPr>
      <w:bookmarkStart w:id="38" w:name="_Toc301424911"/>
      <w:bookmarkStart w:id="39" w:name="_Toc293863303"/>
      <w:bookmarkStart w:id="40" w:name="_Toc254970527"/>
      <w:bookmarkStart w:id="41" w:name="_Toc326217530"/>
      <w:bookmarkStart w:id="42" w:name="_Toc12365"/>
      <w:bookmarkStart w:id="43" w:name="_Toc293863036"/>
      <w:bookmarkStart w:id="44" w:name="_Toc254970668"/>
      <w:r>
        <w:rPr>
          <w:rFonts w:hint="eastAsia" w:ascii="宋体" w:hAnsi="宋体" w:cs="宋体"/>
          <w:b/>
          <w:sz w:val="24"/>
        </w:rPr>
        <w:t>（一） 适用范围</w:t>
      </w:r>
      <w:bookmarkEnd w:id="38"/>
      <w:bookmarkEnd w:id="39"/>
      <w:bookmarkEnd w:id="40"/>
      <w:bookmarkEnd w:id="41"/>
      <w:bookmarkEnd w:id="42"/>
      <w:bookmarkEnd w:id="43"/>
      <w:bookmarkEnd w:id="44"/>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w:t>
      </w:r>
      <w:r>
        <w:rPr>
          <w:rFonts w:hint="eastAsia" w:ascii="宋体" w:hAnsi="宋体" w:cs="宋体"/>
          <w:sz w:val="24"/>
          <w:u w:val="single"/>
          <w:lang w:eastAsia="zh-CN"/>
        </w:rPr>
        <w:t>横县水利工程规划建设站</w:t>
      </w:r>
      <w:r>
        <w:rPr>
          <w:rFonts w:hint="eastAsia" w:ascii="宋体" w:hAnsi="宋体" w:cs="宋体"/>
          <w:sz w:val="24"/>
        </w:rPr>
        <w:t>的</w:t>
      </w:r>
      <w:r>
        <w:rPr>
          <w:rFonts w:hint="eastAsia" w:ascii="宋体" w:hAnsi="宋体" w:cs="宋体"/>
          <w:bCs/>
          <w:sz w:val="24"/>
          <w:u w:val="single"/>
        </w:rPr>
        <w:t>广西横县青年水库除险加固工程监理服务</w:t>
      </w:r>
      <w:r>
        <w:rPr>
          <w:rFonts w:hint="eastAsia" w:ascii="宋体" w:hAnsi="宋体" w:cs="宋体"/>
          <w:sz w:val="24"/>
        </w:rPr>
        <w:t>项目的谈判、评审、定标、验收、合同履约、付款等行为（法律、法规另有规定的，从其规定）。</w:t>
      </w:r>
    </w:p>
    <w:p>
      <w:pPr>
        <w:shd w:val="clear" w:color="auto" w:fill="FFFFFF"/>
        <w:snapToGrid w:val="0"/>
        <w:spacing w:line="360" w:lineRule="auto"/>
        <w:ind w:firstLine="354" w:firstLineChars="147"/>
        <w:jc w:val="left"/>
        <w:outlineLvl w:val="1"/>
        <w:rPr>
          <w:rFonts w:ascii="宋体" w:hAnsi="宋体" w:cs="宋体"/>
          <w:b/>
          <w:sz w:val="24"/>
        </w:rPr>
      </w:pPr>
      <w:bookmarkStart w:id="45" w:name="_Toc254970528"/>
      <w:bookmarkStart w:id="46" w:name="_Toc326217531"/>
      <w:bookmarkStart w:id="47" w:name="_Toc27526"/>
      <w:bookmarkStart w:id="48" w:name="_Toc301424912"/>
      <w:bookmarkStart w:id="49" w:name="_Toc293863037"/>
      <w:bookmarkStart w:id="50" w:name="_Toc254970669"/>
      <w:bookmarkStart w:id="51" w:name="_Toc293863304"/>
      <w:r>
        <w:rPr>
          <w:rFonts w:hint="eastAsia" w:ascii="宋体" w:hAnsi="宋体" w:cs="宋体"/>
          <w:b/>
          <w:sz w:val="24"/>
        </w:rPr>
        <w:t>（二）定义</w:t>
      </w:r>
      <w:bookmarkEnd w:id="45"/>
      <w:bookmarkEnd w:id="46"/>
      <w:bookmarkEnd w:id="47"/>
      <w:bookmarkEnd w:id="48"/>
      <w:bookmarkEnd w:id="49"/>
      <w:bookmarkEnd w:id="50"/>
      <w:bookmarkEnd w:id="51"/>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1.“采购人”是指：</w:t>
      </w:r>
      <w:r>
        <w:rPr>
          <w:rFonts w:hint="eastAsia" w:ascii="宋体" w:hAnsi="宋体" w:cs="宋体"/>
          <w:sz w:val="24"/>
          <w:lang w:eastAsia="zh-CN"/>
        </w:rPr>
        <w:t>横县水利工程规划建设站</w:t>
      </w:r>
      <w:r>
        <w:rPr>
          <w:rFonts w:hint="eastAsia" w:ascii="宋体" w:hAnsi="宋体" w:cs="宋体"/>
          <w:sz w:val="24"/>
        </w:rPr>
        <w:t>。</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2.“采购代理机构”是指：上海正弘建设工程顾问有限公司。</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3.“谈判人”是指响应本文件要求，参加谈判的法人或者其他组织。如果该谈判人在本次谈判中成交,即成为“成交人”。</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4.“服务”系指竞标项目采购内容的所有服务以及其他相关的义务。</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5.“竞争性谈判响应文件”是指：谈判人根据本采购文件要求，编制包含报价、技术和服务等所有内容的文件，也称响应文件或竞标文件。</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6.信息发布媒体：</w:t>
      </w:r>
      <w:r>
        <w:rPr>
          <w:rFonts w:hint="eastAsia" w:ascii="宋体" w:hAnsi="宋体"/>
          <w:kern w:val="0"/>
          <w:sz w:val="24"/>
        </w:rPr>
        <w:t xml:space="preserve"> 中国政府采购网（www.ccgp.gov.cn）、广西壮族自治区政府采购网（http://zfcg.gxzf.gov.cn/）、南宁市公共资源交易中心网（www.nnggzy.org.cn）</w:t>
      </w:r>
      <w:r>
        <w:rPr>
          <w:rFonts w:hint="eastAsia" w:ascii="宋体" w:hAnsi="宋体" w:cs="宋体"/>
          <w:sz w:val="24"/>
        </w:rPr>
        <w:t>。</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7.“书面形式”包括信函、传真、电报等。</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8.“▲”系指实质性要求条款。</w:t>
      </w:r>
    </w:p>
    <w:p>
      <w:pPr>
        <w:shd w:val="clear" w:color="auto" w:fill="FFFFFF"/>
        <w:snapToGrid w:val="0"/>
        <w:spacing w:line="360" w:lineRule="auto"/>
        <w:ind w:firstLine="472" w:firstLineChars="196"/>
        <w:jc w:val="left"/>
        <w:outlineLvl w:val="1"/>
        <w:rPr>
          <w:rFonts w:ascii="宋体" w:hAnsi="宋体" w:cs="宋体"/>
          <w:b/>
          <w:sz w:val="24"/>
        </w:rPr>
      </w:pPr>
      <w:bookmarkStart w:id="52" w:name="_Toc326217532"/>
      <w:bookmarkStart w:id="53" w:name="_Toc293863305"/>
      <w:bookmarkStart w:id="54" w:name="_Toc301424913"/>
      <w:bookmarkStart w:id="55" w:name="_Toc293863038"/>
      <w:bookmarkStart w:id="56" w:name="_Toc2496"/>
      <w:bookmarkStart w:id="57" w:name="_Toc254970670"/>
      <w:bookmarkStart w:id="58" w:name="_Toc254970529"/>
      <w:r>
        <w:rPr>
          <w:rFonts w:hint="eastAsia" w:ascii="宋体" w:hAnsi="宋体" w:cs="宋体"/>
          <w:b/>
          <w:sz w:val="24"/>
        </w:rPr>
        <w:t>（三）采购方式</w:t>
      </w:r>
      <w:bookmarkEnd w:id="52"/>
      <w:bookmarkEnd w:id="53"/>
      <w:bookmarkEnd w:id="54"/>
      <w:bookmarkEnd w:id="55"/>
      <w:bookmarkEnd w:id="56"/>
      <w:bookmarkEnd w:id="57"/>
      <w:bookmarkEnd w:id="58"/>
    </w:p>
    <w:p>
      <w:pPr>
        <w:shd w:val="clear" w:color="auto" w:fill="FFFFFF"/>
        <w:snapToGrid w:val="0"/>
        <w:spacing w:line="360" w:lineRule="auto"/>
        <w:ind w:firstLine="720" w:firstLineChars="300"/>
        <w:jc w:val="left"/>
        <w:rPr>
          <w:rFonts w:ascii="宋体" w:hAnsi="宋体" w:cs="宋体"/>
          <w:sz w:val="24"/>
        </w:rPr>
      </w:pPr>
      <w:r>
        <w:rPr>
          <w:rFonts w:hint="eastAsia" w:ascii="宋体" w:hAnsi="宋体" w:cs="宋体"/>
          <w:sz w:val="24"/>
        </w:rPr>
        <w:t>竞争性谈判方式。</w:t>
      </w:r>
    </w:p>
    <w:p>
      <w:pPr>
        <w:shd w:val="clear" w:color="auto" w:fill="FFFFFF"/>
        <w:snapToGrid w:val="0"/>
        <w:spacing w:line="360" w:lineRule="auto"/>
        <w:ind w:firstLine="472" w:firstLineChars="196"/>
        <w:jc w:val="left"/>
        <w:outlineLvl w:val="1"/>
        <w:rPr>
          <w:rFonts w:ascii="宋体" w:hAnsi="宋体" w:cs="宋体"/>
          <w:b/>
          <w:sz w:val="24"/>
        </w:rPr>
      </w:pPr>
      <w:bookmarkStart w:id="59" w:name="_Toc301424914"/>
      <w:bookmarkStart w:id="60" w:name="_Toc254970530"/>
      <w:bookmarkStart w:id="61" w:name="_Toc254970671"/>
      <w:bookmarkStart w:id="62" w:name="_Toc326217533"/>
      <w:bookmarkStart w:id="63" w:name="_Toc293863039"/>
      <w:bookmarkStart w:id="64" w:name="_Toc293863306"/>
      <w:bookmarkStart w:id="65" w:name="_Toc24398"/>
      <w:r>
        <w:rPr>
          <w:rFonts w:hint="eastAsia" w:ascii="宋体" w:hAnsi="宋体" w:cs="宋体"/>
          <w:b/>
          <w:sz w:val="24"/>
        </w:rPr>
        <w:t>（四）谈判委托</w:t>
      </w:r>
      <w:bookmarkEnd w:id="59"/>
      <w:bookmarkEnd w:id="60"/>
      <w:bookmarkEnd w:id="61"/>
      <w:bookmarkEnd w:id="62"/>
      <w:bookmarkEnd w:id="63"/>
      <w:bookmarkEnd w:id="64"/>
      <w:bookmarkEnd w:id="65"/>
    </w:p>
    <w:p>
      <w:pPr>
        <w:pStyle w:val="21"/>
        <w:shd w:val="clear" w:color="auto" w:fill="FFFFFF"/>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供应商代表须携带有效身份证件。如供应商代表不是法定代表人，须有法定代表人出具的授权委托书（正本用原件，副本用复印件，格式见第六章）。</w:t>
      </w:r>
    </w:p>
    <w:p>
      <w:pPr>
        <w:shd w:val="clear" w:color="auto" w:fill="FFFFFF"/>
        <w:snapToGrid w:val="0"/>
        <w:spacing w:line="360" w:lineRule="auto"/>
        <w:ind w:firstLine="472" w:firstLineChars="196"/>
        <w:jc w:val="left"/>
        <w:outlineLvl w:val="1"/>
        <w:rPr>
          <w:rFonts w:ascii="宋体" w:hAnsi="宋体" w:cs="宋体"/>
          <w:b/>
          <w:sz w:val="24"/>
        </w:rPr>
      </w:pPr>
      <w:bookmarkStart w:id="66" w:name="_Toc326217534"/>
      <w:bookmarkStart w:id="67" w:name="_Toc293863307"/>
      <w:bookmarkStart w:id="68" w:name="_Toc254970672"/>
      <w:bookmarkStart w:id="69" w:name="_Toc293863040"/>
      <w:bookmarkStart w:id="70" w:name="_Toc301424915"/>
      <w:bookmarkStart w:id="71" w:name="_Toc254970531"/>
      <w:bookmarkStart w:id="72" w:name="_Toc11812"/>
      <w:r>
        <w:rPr>
          <w:rFonts w:hint="eastAsia" w:ascii="宋体" w:hAnsi="宋体" w:cs="宋体"/>
          <w:b/>
          <w:sz w:val="24"/>
        </w:rPr>
        <w:t>（五）谈判费用</w:t>
      </w:r>
      <w:bookmarkEnd w:id="66"/>
      <w:bookmarkEnd w:id="67"/>
      <w:bookmarkEnd w:id="68"/>
      <w:bookmarkEnd w:id="69"/>
      <w:bookmarkEnd w:id="70"/>
      <w:bookmarkEnd w:id="71"/>
      <w:bookmarkEnd w:id="72"/>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供应商均应自行承担所有与谈判有关的全部费用（采购文件有相关规定的除外）。</w:t>
      </w:r>
    </w:p>
    <w:p>
      <w:pPr>
        <w:shd w:val="clear" w:color="auto" w:fill="FFFFFF"/>
        <w:snapToGrid w:val="0"/>
        <w:spacing w:line="360" w:lineRule="auto"/>
        <w:ind w:firstLine="472" w:firstLineChars="196"/>
        <w:jc w:val="left"/>
        <w:rPr>
          <w:rFonts w:ascii="宋体" w:hAnsi="宋体" w:cs="宋体"/>
          <w:b/>
          <w:sz w:val="24"/>
        </w:rPr>
      </w:pPr>
      <w:r>
        <w:rPr>
          <w:rFonts w:hint="eastAsia" w:ascii="宋体" w:hAnsi="宋体" w:cs="宋体"/>
          <w:b/>
          <w:sz w:val="24"/>
        </w:rPr>
        <w:t>（六）联合体谈判</w:t>
      </w:r>
    </w:p>
    <w:p>
      <w:pPr>
        <w:shd w:val="clear" w:color="auto" w:fill="FFFFFF"/>
        <w:snapToGrid w:val="0"/>
        <w:spacing w:line="360" w:lineRule="auto"/>
        <w:ind w:firstLine="470" w:firstLineChars="196"/>
        <w:rPr>
          <w:rFonts w:ascii="宋体" w:hAnsi="宋体" w:cs="宋体"/>
          <w:b/>
          <w:sz w:val="24"/>
        </w:rPr>
      </w:pPr>
      <w:r>
        <w:rPr>
          <w:rFonts w:hint="eastAsia" w:ascii="宋体" w:hAnsi="宋体" w:cs="宋体"/>
          <w:sz w:val="24"/>
        </w:rPr>
        <w:t>本项目</w:t>
      </w:r>
      <w:r>
        <w:rPr>
          <w:rFonts w:hint="eastAsia" w:ascii="宋体" w:hAnsi="宋体" w:cs="宋体"/>
          <w:sz w:val="24"/>
          <w:u w:val="single"/>
        </w:rPr>
        <w:t>不接受</w:t>
      </w:r>
      <w:r>
        <w:rPr>
          <w:rFonts w:hint="eastAsia" w:ascii="宋体" w:hAnsi="宋体" w:cs="宋体"/>
          <w:sz w:val="24"/>
        </w:rPr>
        <w:t>联合体投标。</w:t>
      </w:r>
    </w:p>
    <w:p>
      <w:pPr>
        <w:shd w:val="clear" w:color="auto" w:fill="FFFFFF"/>
        <w:snapToGrid w:val="0"/>
        <w:spacing w:line="360" w:lineRule="auto"/>
        <w:ind w:firstLine="472" w:firstLineChars="196"/>
        <w:jc w:val="left"/>
        <w:outlineLvl w:val="1"/>
        <w:rPr>
          <w:rFonts w:ascii="宋体" w:hAnsi="宋体" w:cs="宋体"/>
          <w:b/>
          <w:sz w:val="24"/>
        </w:rPr>
      </w:pPr>
      <w:bookmarkStart w:id="73" w:name="_Toc293863041"/>
      <w:bookmarkStart w:id="74" w:name="_Toc326217535"/>
      <w:bookmarkStart w:id="75" w:name="_Toc254970673"/>
      <w:bookmarkStart w:id="76" w:name="_Toc29327"/>
      <w:bookmarkStart w:id="77" w:name="_Toc254970532"/>
      <w:bookmarkStart w:id="78" w:name="_Toc293863308"/>
      <w:bookmarkStart w:id="79" w:name="_Toc301424916"/>
      <w:r>
        <w:rPr>
          <w:rFonts w:hint="eastAsia" w:ascii="宋体" w:hAnsi="宋体" w:cs="宋体"/>
          <w:b/>
          <w:sz w:val="24"/>
        </w:rPr>
        <w:t>（七）特别说明：</w:t>
      </w:r>
      <w:bookmarkEnd w:id="73"/>
      <w:bookmarkEnd w:id="74"/>
      <w:bookmarkEnd w:id="75"/>
      <w:bookmarkEnd w:id="76"/>
      <w:bookmarkEnd w:id="77"/>
      <w:bookmarkEnd w:id="78"/>
      <w:bookmarkEnd w:id="79"/>
    </w:p>
    <w:p>
      <w:pPr>
        <w:shd w:val="clear" w:color="auto" w:fill="FFFFFF"/>
        <w:snapToGrid w:val="0"/>
        <w:spacing w:line="440" w:lineRule="exact"/>
        <w:ind w:firstLine="480" w:firstLineChars="200"/>
        <w:rPr>
          <w:rFonts w:ascii="宋体" w:hAnsi="宋体" w:cs="宋体"/>
          <w:kern w:val="0"/>
          <w:sz w:val="24"/>
        </w:rPr>
      </w:pPr>
      <w:r>
        <w:rPr>
          <w:rFonts w:hint="eastAsia" w:ascii="宋体" w:hAnsi="宋体" w:cs="宋体"/>
          <w:kern w:val="0"/>
          <w:sz w:val="24"/>
        </w:rPr>
        <w:t>▲1.单位负责人为同一人或者存在直接控股、管理关系的不同供应商，不得参加同一合同项下的采购活动。</w:t>
      </w:r>
    </w:p>
    <w:p>
      <w:pPr>
        <w:shd w:val="clear" w:color="auto" w:fill="FFFFFF"/>
        <w:snapToGrid w:val="0"/>
        <w:spacing w:line="440" w:lineRule="exact"/>
        <w:ind w:firstLine="480" w:firstLineChars="200"/>
        <w:rPr>
          <w:rFonts w:ascii="宋体" w:hAnsi="宋体" w:cs="宋体"/>
          <w:kern w:val="0"/>
          <w:sz w:val="24"/>
        </w:rPr>
      </w:pPr>
      <w:r>
        <w:rPr>
          <w:rFonts w:hint="eastAsia" w:ascii="宋体" w:hAnsi="宋体" w:cs="宋体"/>
          <w:kern w:val="0"/>
          <w:sz w:val="24"/>
        </w:rPr>
        <w:t xml:space="preserve"> ▲2.投标人投标所使用的资格、信誉、荣誉、业绩与企业认证必须为本法人所拥有。投标人投标所使用的采购项目实施（指项目合同的履行）人员必须为本法人员工（或必须为本法人或控股公司正式员工）。</w:t>
      </w:r>
    </w:p>
    <w:p>
      <w:pPr>
        <w:shd w:val="clear" w:color="auto" w:fill="FFFFFF"/>
        <w:snapToGrid w:val="0"/>
        <w:spacing w:line="440" w:lineRule="exact"/>
        <w:ind w:firstLine="480" w:firstLineChars="200"/>
        <w:rPr>
          <w:rFonts w:ascii="宋体" w:hAnsi="宋体" w:cs="宋体"/>
          <w:kern w:val="0"/>
          <w:sz w:val="24"/>
        </w:rPr>
      </w:pPr>
      <w:r>
        <w:rPr>
          <w:rFonts w:hint="eastAsia" w:ascii="宋体" w:hAnsi="宋体" w:cs="宋体"/>
          <w:kern w:val="0"/>
          <w:sz w:val="24"/>
        </w:rPr>
        <w:t>▲3.投标人应仔细阅读招标文件的所有内容，按照招标文件的要求提交投标文件，并对所提供的全部资料的真实性承担法律责任。</w:t>
      </w:r>
    </w:p>
    <w:p>
      <w:pPr>
        <w:shd w:val="clear" w:color="auto" w:fill="FFFFFF"/>
        <w:snapToGrid w:val="0"/>
        <w:spacing w:line="440" w:lineRule="exact"/>
        <w:ind w:firstLine="480" w:firstLineChars="200"/>
        <w:rPr>
          <w:rFonts w:ascii="宋体" w:hAnsi="宋体" w:cs="宋体"/>
          <w:kern w:val="0"/>
          <w:sz w:val="24"/>
        </w:rPr>
      </w:pPr>
      <w:r>
        <w:rPr>
          <w:rFonts w:hint="eastAsia" w:ascii="宋体" w:hAnsi="宋体" w:cs="宋体"/>
          <w:kern w:val="0"/>
          <w:sz w:val="24"/>
        </w:rPr>
        <w:t>▲4.投标人在投标活动中提供任何虚假材料、互相串通投标，其投标无效，并报监管部门查处。</w:t>
      </w:r>
    </w:p>
    <w:p>
      <w:pPr>
        <w:pStyle w:val="27"/>
        <w:shd w:val="clear" w:color="auto" w:fill="FFFFFF"/>
        <w:snapToGrid w:val="0"/>
        <w:spacing w:line="360" w:lineRule="auto"/>
        <w:ind w:firstLine="472" w:firstLineChars="196"/>
        <w:outlineLvl w:val="1"/>
        <w:rPr>
          <w:rFonts w:hAnsi="宋体" w:cs="宋体"/>
          <w:b/>
          <w:bCs/>
          <w:sz w:val="24"/>
          <w:szCs w:val="24"/>
        </w:rPr>
      </w:pPr>
      <w:bookmarkStart w:id="80" w:name="_Toc326217536"/>
      <w:bookmarkStart w:id="81" w:name="_Toc293863309"/>
      <w:bookmarkStart w:id="82" w:name="_Toc29754"/>
      <w:bookmarkStart w:id="83" w:name="_Toc254970674"/>
      <w:bookmarkStart w:id="84" w:name="_Toc254970533"/>
      <w:bookmarkStart w:id="85" w:name="_Toc293863042"/>
      <w:bookmarkStart w:id="86" w:name="_Toc301424917"/>
      <w:r>
        <w:rPr>
          <w:rFonts w:hint="eastAsia" w:hAnsi="宋体" w:cs="宋体"/>
          <w:b/>
          <w:bCs/>
          <w:sz w:val="24"/>
          <w:szCs w:val="24"/>
        </w:rPr>
        <w:t>（八）质疑和投诉</w:t>
      </w:r>
      <w:bookmarkEnd w:id="80"/>
      <w:bookmarkEnd w:id="81"/>
      <w:bookmarkEnd w:id="82"/>
      <w:bookmarkEnd w:id="83"/>
      <w:bookmarkEnd w:id="84"/>
      <w:bookmarkEnd w:id="85"/>
      <w:bookmarkEnd w:id="86"/>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1. 供应商对采购活动事项有疑问的，可以向采购人、采购代理机构提出询问。</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2. 供应商认为采购文件、招标过程或成交结果使自己的合法权益受到损害的，应当在知道或者应知其权益受到损害之日起七个工作日内，以书面形式向采购人、采购代理机构提出质疑。具体计算时间如下：</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（1）对可以质疑的招标采购文件提出质疑的，为收到采购文件之日；</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（2）对招标采购过程提出质疑的，为各采购程序环节结束之日；</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（3）对成交结果提出质疑的，为成交结果公告期限届满之日。</w:t>
      </w:r>
    </w:p>
    <w:p>
      <w:pPr>
        <w:pStyle w:val="27"/>
        <w:shd w:val="clear" w:color="auto" w:fill="FFFFFF"/>
        <w:snapToGrid w:val="0"/>
        <w:spacing w:line="360" w:lineRule="auto"/>
        <w:ind w:firstLine="480" w:firstLineChars="200"/>
        <w:rPr>
          <w:rFonts w:hAnsi="宋体" w:cs="宋体"/>
          <w:bCs/>
          <w:color w:val="auto"/>
          <w:sz w:val="24"/>
          <w:szCs w:val="24"/>
        </w:rPr>
      </w:pPr>
      <w:r>
        <w:rPr>
          <w:rFonts w:hint="eastAsia" w:hAnsi="宋体" w:cs="宋体"/>
          <w:sz w:val="24"/>
          <w:szCs w:val="24"/>
        </w:rPr>
        <w:t>3. 供应商对招标采购单位的质疑答复不满意或者招标采购单位未在规定时间内作出答复的，</w:t>
      </w:r>
      <w:r>
        <w:rPr>
          <w:rFonts w:hint="eastAsia" w:hAnsi="宋体" w:cs="宋体"/>
          <w:color w:val="auto"/>
          <w:sz w:val="24"/>
          <w:szCs w:val="24"/>
        </w:rPr>
        <w:t>可以在答复期满后十五个工作日内向监督管理部门投诉。</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4. 质疑、投诉应当采用书面形式，质疑书、投诉书均应明确阐述采购文件、招标过程或成交结果中使自己合法权益受到损害的实质性内容，提供相关事实、依据和证据及其来源或线索，便于有关单位调查、答复和处理。</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5. 联系方式：</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联系部门及电话为：上海正弘建设工程顾问有限公司  电话：18977099322</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投诉联系部门及电话为：横县政府采购监督办公室  电话：0771-7233567</w:t>
      </w:r>
    </w:p>
    <w:p>
      <w:pPr>
        <w:pStyle w:val="27"/>
        <w:shd w:val="clear" w:color="auto" w:fill="FFFFFF"/>
        <w:snapToGrid w:val="0"/>
        <w:spacing w:line="360" w:lineRule="auto"/>
        <w:ind w:firstLine="472" w:firstLineChars="196"/>
        <w:outlineLvl w:val="0"/>
        <w:rPr>
          <w:rFonts w:hAnsi="宋体" w:cs="宋体"/>
          <w:b/>
          <w:sz w:val="24"/>
          <w:szCs w:val="24"/>
        </w:rPr>
      </w:pPr>
      <w:bookmarkStart w:id="87" w:name="_Toc7531"/>
      <w:bookmarkStart w:id="88" w:name="_Toc254970675"/>
      <w:bookmarkStart w:id="89" w:name="_Toc254970534"/>
      <w:bookmarkStart w:id="90" w:name="_Toc301424918"/>
      <w:bookmarkStart w:id="91" w:name="_Toc293863043"/>
      <w:bookmarkStart w:id="92" w:name="_Toc326217537"/>
      <w:bookmarkStart w:id="93" w:name="_Toc293863310"/>
    </w:p>
    <w:p>
      <w:pPr>
        <w:pStyle w:val="27"/>
        <w:shd w:val="clear" w:color="auto" w:fill="FFFFFF"/>
        <w:snapToGrid w:val="0"/>
        <w:spacing w:line="360" w:lineRule="auto"/>
        <w:ind w:firstLine="472" w:firstLineChars="196"/>
        <w:jc w:val="center"/>
        <w:outlineLvl w:val="0"/>
        <w:rPr>
          <w:rFonts w:hAnsi="宋体" w:cs="宋体"/>
          <w:b/>
          <w:sz w:val="24"/>
          <w:szCs w:val="24"/>
        </w:rPr>
      </w:pPr>
      <w:bookmarkStart w:id="94" w:name="_Toc8441"/>
      <w:bookmarkStart w:id="95" w:name="_Toc8151"/>
      <w:bookmarkStart w:id="96" w:name="_Toc3209"/>
      <w:bookmarkStart w:id="97" w:name="_Toc30780"/>
      <w:bookmarkStart w:id="98" w:name="_Toc26083"/>
      <w:bookmarkStart w:id="99" w:name="_Toc29516"/>
      <w:bookmarkStart w:id="100" w:name="_Toc14334"/>
      <w:bookmarkStart w:id="101" w:name="_Toc4176"/>
      <w:bookmarkStart w:id="102" w:name="_Toc13808"/>
      <w:bookmarkStart w:id="103" w:name="_Toc19827"/>
      <w:bookmarkStart w:id="104" w:name="_Toc7843"/>
      <w:r>
        <w:rPr>
          <w:rFonts w:hint="eastAsia" w:hAnsi="宋体" w:cs="宋体"/>
          <w:b/>
          <w:sz w:val="24"/>
          <w:szCs w:val="24"/>
        </w:rPr>
        <w:t>二、采购文件</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shd w:val="clear" w:color="auto" w:fill="FFFFFF"/>
        <w:snapToGrid w:val="0"/>
        <w:spacing w:line="360" w:lineRule="auto"/>
        <w:ind w:firstLine="472" w:firstLineChars="196"/>
        <w:jc w:val="left"/>
        <w:rPr>
          <w:rFonts w:ascii="宋体" w:hAnsi="宋体" w:cs="宋体"/>
          <w:b/>
          <w:sz w:val="24"/>
        </w:rPr>
      </w:pPr>
      <w:r>
        <w:rPr>
          <w:rFonts w:hint="eastAsia" w:ascii="宋体" w:hAnsi="宋体" w:cs="宋体"/>
          <w:b/>
          <w:sz w:val="24"/>
        </w:rPr>
        <w:t>（一）采购文件的构成</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1. 竞争性谈判公告；</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2. 项目采购需求；</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3. 供应商须知；</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4. 评审办法及标准；</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5. 合同主要条款；</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6. 响应文件格式。</w:t>
      </w:r>
    </w:p>
    <w:p>
      <w:pPr>
        <w:shd w:val="clear" w:color="auto" w:fill="FFFFFF"/>
        <w:snapToGrid w:val="0"/>
        <w:spacing w:line="360" w:lineRule="auto"/>
        <w:ind w:firstLine="472" w:firstLineChars="196"/>
        <w:jc w:val="left"/>
        <w:rPr>
          <w:rFonts w:ascii="宋体" w:hAnsi="宋体" w:cs="宋体"/>
          <w:b/>
          <w:sz w:val="24"/>
        </w:rPr>
      </w:pPr>
      <w:r>
        <w:rPr>
          <w:rFonts w:hint="eastAsia" w:ascii="宋体" w:hAnsi="宋体" w:cs="宋体"/>
          <w:b/>
          <w:sz w:val="24"/>
        </w:rPr>
        <w:t>（二）供应商的风险</w:t>
      </w:r>
    </w:p>
    <w:p>
      <w:pPr>
        <w:pStyle w:val="27"/>
        <w:shd w:val="clear" w:color="auto" w:fill="FFFFFF"/>
        <w:snapToGrid w:val="0"/>
        <w:spacing w:line="360" w:lineRule="auto"/>
        <w:ind w:firstLine="480" w:firstLineChars="200"/>
        <w:rPr>
          <w:rFonts w:hAnsi="宋体" w:cs="宋体"/>
          <w:sz w:val="24"/>
          <w:szCs w:val="24"/>
        </w:rPr>
      </w:pPr>
      <w:r>
        <w:rPr>
          <w:rFonts w:hint="eastAsia" w:hAnsi="宋体" w:cs="宋体"/>
          <w:sz w:val="24"/>
          <w:szCs w:val="24"/>
        </w:rPr>
        <w:t>供应商没有按照采购文件要求提供全部资料，或者供应商没有对采购文件在各方面作出实质性响应是供应商的风险，并可能导致其响应文件被拒绝。</w:t>
      </w:r>
    </w:p>
    <w:p>
      <w:pPr>
        <w:pStyle w:val="14"/>
        <w:widowControl w:val="0"/>
        <w:shd w:val="clear" w:color="auto" w:fill="FFFFFF"/>
        <w:tabs>
          <w:tab w:val="clear" w:pos="454"/>
        </w:tabs>
        <w:snapToGrid w:val="0"/>
        <w:spacing w:afterLines="0" w:line="360" w:lineRule="auto"/>
        <w:ind w:left="0" w:firstLine="472" w:firstLineChars="196"/>
        <w:rPr>
          <w:rFonts w:ascii="宋体" w:hAnsi="宋体" w:cs="宋体"/>
          <w:b/>
          <w:szCs w:val="24"/>
        </w:rPr>
      </w:pPr>
      <w:r>
        <w:rPr>
          <w:rFonts w:hint="eastAsia" w:ascii="宋体" w:hAnsi="宋体" w:cs="宋体"/>
          <w:b/>
          <w:szCs w:val="24"/>
        </w:rPr>
        <w:t xml:space="preserve">（三）采购文件的澄清与修改 </w:t>
      </w:r>
    </w:p>
    <w:p>
      <w:pPr>
        <w:pStyle w:val="27"/>
        <w:shd w:val="clear" w:color="auto" w:fill="FFFFFF"/>
        <w:snapToGrid w:val="0"/>
        <w:spacing w:line="360" w:lineRule="auto"/>
        <w:ind w:firstLine="480" w:firstLineChars="200"/>
        <w:rPr>
          <w:rFonts w:hAnsi="宋体" w:cs="宋体"/>
          <w:sz w:val="24"/>
          <w:szCs w:val="24"/>
        </w:rPr>
      </w:pPr>
      <w:bookmarkStart w:id="105" w:name="_Toc254970676"/>
      <w:bookmarkStart w:id="106" w:name="_Toc254970535"/>
      <w:bookmarkStart w:id="107" w:name="_Toc1649"/>
      <w:bookmarkStart w:id="108" w:name="_Toc293863044"/>
      <w:bookmarkStart w:id="109" w:name="_Toc326217538"/>
      <w:bookmarkStart w:id="110" w:name="_Toc293863311"/>
      <w:bookmarkStart w:id="111" w:name="_Toc301424919"/>
      <w:r>
        <w:rPr>
          <w:rFonts w:hint="eastAsia" w:hAnsi="宋体" w:cs="宋体"/>
          <w:sz w:val="24"/>
          <w:szCs w:val="24"/>
        </w:rPr>
        <w:t>1.投标人应认真阅读本招标文件，发现其中有误或有不合理要求</w:t>
      </w:r>
      <w:r>
        <w:rPr>
          <w:rFonts w:hint="eastAsia" w:hAnsi="宋体" w:cs="宋体"/>
          <w:color w:val="auto"/>
          <w:sz w:val="24"/>
          <w:szCs w:val="24"/>
        </w:rPr>
        <w:t>的，投标人必须在截标前3日前以书面形式要求招标采购单位澄清。采购代理机构对已发出的</w:t>
      </w:r>
      <w:r>
        <w:rPr>
          <w:rFonts w:hint="eastAsia" w:hAnsi="宋体" w:cs="宋体"/>
          <w:sz w:val="24"/>
          <w:szCs w:val="24"/>
        </w:rPr>
        <w:t>招标文件进行必要澄清、答复、修改或补充的，应当在招标文件要求提交投标文件截止时间3日前，</w:t>
      </w:r>
      <w:r>
        <w:rPr>
          <w:rFonts w:hint="eastAsia" w:hAnsi="宋体" w:cs="宋体"/>
          <w:b/>
          <w:bCs/>
          <w:sz w:val="24"/>
          <w:szCs w:val="24"/>
        </w:rPr>
        <w:t>在信息发布媒体（详见前附表）上发布更正公告，不再以书面形式一一通知所有招标文件收受人</w:t>
      </w:r>
      <w:r>
        <w:rPr>
          <w:rFonts w:hint="eastAsia" w:hAnsi="宋体" w:cs="宋体"/>
          <w:sz w:val="24"/>
          <w:szCs w:val="24"/>
        </w:rPr>
        <w:t>。该澄清或者修改的内容为招标文件的组成部分。</w:t>
      </w:r>
    </w:p>
    <w:p>
      <w:pPr>
        <w:pStyle w:val="27"/>
        <w:shd w:val="clear" w:color="auto" w:fill="FFFFFF"/>
        <w:snapToGrid w:val="0"/>
        <w:spacing w:line="360" w:lineRule="auto"/>
        <w:ind w:firstLine="480" w:firstLineChars="200"/>
        <w:rPr>
          <w:rFonts w:hAnsi="宋体" w:cs="宋体"/>
          <w:sz w:val="24"/>
          <w:szCs w:val="24"/>
        </w:rPr>
      </w:pPr>
      <w:r>
        <w:rPr>
          <w:rFonts w:hint="eastAsia" w:hAnsi="宋体" w:cs="宋体"/>
          <w:sz w:val="24"/>
          <w:szCs w:val="24"/>
        </w:rPr>
        <w:t>2.采购代理机构必须以书面形式答复投标人要求澄清的问题，并将不包含问题来源的答复书面通知所有购买招标文件的投标人；除书面答复以外的其他澄清方式及澄清内容均无效。</w:t>
      </w:r>
    </w:p>
    <w:p>
      <w:pPr>
        <w:pStyle w:val="27"/>
        <w:shd w:val="clear" w:color="auto" w:fill="FFFFFF"/>
        <w:snapToGrid w:val="0"/>
        <w:spacing w:line="360" w:lineRule="auto"/>
        <w:ind w:firstLine="480" w:firstLineChars="200"/>
        <w:rPr>
          <w:rFonts w:hAnsi="宋体" w:cs="宋体"/>
          <w:sz w:val="24"/>
          <w:szCs w:val="24"/>
        </w:rPr>
      </w:pPr>
      <w:r>
        <w:rPr>
          <w:rFonts w:hint="eastAsia" w:hAnsi="宋体" w:cs="宋体"/>
          <w:sz w:val="24"/>
          <w:szCs w:val="24"/>
        </w:rPr>
        <w:t>3.招标文件澄清、答复、修改、补充的内容为招标文件的组成部分。当招标文件与招标文件的答复、澄清、修改、补充通知就同一内容的表述不一致时，以最后发出的通知文件为准。</w:t>
      </w:r>
    </w:p>
    <w:p>
      <w:pPr>
        <w:pStyle w:val="27"/>
        <w:shd w:val="clear" w:color="auto" w:fill="FFFFFF"/>
        <w:snapToGrid w:val="0"/>
        <w:spacing w:line="360" w:lineRule="auto"/>
        <w:ind w:firstLine="480" w:firstLineChars="200"/>
        <w:rPr>
          <w:rFonts w:hAnsi="宋体" w:cs="宋体"/>
          <w:sz w:val="24"/>
          <w:szCs w:val="24"/>
        </w:rPr>
      </w:pPr>
      <w:r>
        <w:rPr>
          <w:rFonts w:hint="eastAsia" w:hAnsi="宋体" w:cs="宋体"/>
          <w:sz w:val="24"/>
          <w:szCs w:val="24"/>
        </w:rPr>
        <w:t>4.招标文件的澄清、答复、修改或补充都应该通过本采购代理机构以法定形式发布，采购人非通过本机构，不得擅自澄清、答复、修改或补充招标文件。</w:t>
      </w:r>
    </w:p>
    <w:p>
      <w:pPr>
        <w:pStyle w:val="27"/>
        <w:shd w:val="clear" w:color="auto" w:fill="FFFFFF"/>
        <w:snapToGrid w:val="0"/>
        <w:spacing w:line="360" w:lineRule="auto"/>
        <w:ind w:firstLine="480" w:firstLineChars="200"/>
        <w:rPr>
          <w:rFonts w:hAnsi="宋体" w:cs="宋体"/>
          <w:sz w:val="24"/>
          <w:szCs w:val="24"/>
        </w:rPr>
      </w:pPr>
      <w:r>
        <w:rPr>
          <w:rFonts w:hint="eastAsia" w:hAnsi="宋体" w:cs="宋体"/>
          <w:sz w:val="24"/>
          <w:szCs w:val="24"/>
        </w:rPr>
        <w:t>5、采购人可以视采购具体情况，延长投标截止时间和开标时间，但至少应当在招标文件要求提交投标文件的截止时间三日前将变更时间书面通知所有招标文件收受人，并在信息发布媒体</w:t>
      </w:r>
      <w:r>
        <w:rPr>
          <w:rFonts w:hint="eastAsia" w:hAnsi="宋体" w:cs="宋体"/>
          <w:b/>
          <w:bCs/>
          <w:sz w:val="24"/>
          <w:szCs w:val="24"/>
        </w:rPr>
        <w:t>（详见前附表）上发布更正公告，不再以书面形式一一通知所有招标文件收受人。</w:t>
      </w:r>
    </w:p>
    <w:p>
      <w:pPr>
        <w:pStyle w:val="27"/>
        <w:shd w:val="clear" w:color="auto" w:fill="FFFFFF"/>
        <w:snapToGrid w:val="0"/>
        <w:spacing w:line="360" w:lineRule="auto"/>
        <w:ind w:firstLine="472" w:firstLineChars="196"/>
        <w:outlineLvl w:val="1"/>
        <w:rPr>
          <w:rFonts w:hAnsi="宋体" w:cs="宋体"/>
          <w:b/>
          <w:sz w:val="24"/>
          <w:szCs w:val="24"/>
        </w:rPr>
      </w:pPr>
    </w:p>
    <w:p>
      <w:pPr>
        <w:pStyle w:val="27"/>
        <w:shd w:val="clear" w:color="auto" w:fill="FFFFFF"/>
        <w:snapToGrid w:val="0"/>
        <w:spacing w:line="360" w:lineRule="auto"/>
        <w:ind w:firstLine="472" w:firstLineChars="196"/>
        <w:jc w:val="center"/>
        <w:outlineLvl w:val="0"/>
        <w:rPr>
          <w:rFonts w:hAnsi="宋体" w:cs="宋体"/>
          <w:b/>
          <w:sz w:val="24"/>
          <w:szCs w:val="24"/>
        </w:rPr>
      </w:pPr>
      <w:bookmarkStart w:id="112" w:name="_Toc16522"/>
      <w:bookmarkStart w:id="113" w:name="_Toc22377"/>
      <w:bookmarkStart w:id="114" w:name="_Toc15051"/>
      <w:r>
        <w:rPr>
          <w:rFonts w:hint="eastAsia" w:hAnsi="宋体" w:cs="宋体"/>
          <w:b/>
          <w:sz w:val="24"/>
          <w:szCs w:val="24"/>
        </w:rPr>
        <w:t>三、响应文件的编制</w:t>
      </w:r>
      <w:bookmarkEnd w:id="105"/>
      <w:bookmarkEnd w:id="106"/>
      <w:bookmarkEnd w:id="107"/>
      <w:bookmarkEnd w:id="108"/>
      <w:bookmarkEnd w:id="109"/>
      <w:bookmarkEnd w:id="110"/>
      <w:bookmarkEnd w:id="111"/>
      <w:bookmarkEnd w:id="112"/>
      <w:bookmarkEnd w:id="113"/>
      <w:bookmarkEnd w:id="114"/>
    </w:p>
    <w:p>
      <w:pPr>
        <w:shd w:val="clear" w:color="auto" w:fill="FFFFFF"/>
        <w:snapToGrid w:val="0"/>
        <w:spacing w:line="360" w:lineRule="auto"/>
        <w:ind w:firstLine="472" w:firstLineChars="196"/>
        <w:jc w:val="left"/>
        <w:rPr>
          <w:rFonts w:ascii="宋体" w:hAnsi="宋体" w:cs="宋体"/>
          <w:b/>
          <w:sz w:val="24"/>
        </w:rPr>
      </w:pPr>
      <w:bookmarkStart w:id="115" w:name="_Toc2619"/>
      <w:bookmarkStart w:id="116" w:name="_Toc3459"/>
      <w:bookmarkStart w:id="117" w:name="_Toc254970536"/>
      <w:bookmarkStart w:id="118" w:name="_Toc254970677"/>
      <w:bookmarkStart w:id="119" w:name="_Toc301424920"/>
      <w:bookmarkStart w:id="120" w:name="_Toc293863045"/>
      <w:bookmarkStart w:id="121" w:name="_Toc293863312"/>
      <w:bookmarkStart w:id="122" w:name="_Toc326217539"/>
      <w:bookmarkStart w:id="123" w:name="_Toc4097"/>
      <w:r>
        <w:rPr>
          <w:rFonts w:hint="eastAsia" w:ascii="宋体" w:hAnsi="宋体" w:cs="宋体"/>
          <w:b/>
          <w:sz w:val="24"/>
        </w:rPr>
        <w:t>（一）响应文件的组成</w:t>
      </w:r>
      <w:bookmarkEnd w:id="115"/>
      <w:bookmarkEnd w:id="116"/>
      <w:bookmarkEnd w:id="117"/>
      <w:bookmarkEnd w:id="118"/>
      <w:bookmarkEnd w:id="119"/>
      <w:bookmarkEnd w:id="120"/>
      <w:bookmarkEnd w:id="121"/>
      <w:bookmarkEnd w:id="122"/>
      <w:bookmarkEnd w:id="123"/>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▲响应文件由谈判报价文件、商务及技术文件二部份组成，装订成一册。其中，第六章“响应文件格式”中规定了响应文件格式的（有特殊要求除外），应按相应格式要求编写、签字、盖章。</w:t>
      </w:r>
    </w:p>
    <w:p>
      <w:pPr>
        <w:shd w:val="clear" w:color="auto" w:fill="FFFFFF"/>
        <w:snapToGrid w:val="0"/>
        <w:spacing w:line="360" w:lineRule="auto"/>
        <w:ind w:firstLine="472" w:firstLineChars="196"/>
        <w:jc w:val="left"/>
        <w:rPr>
          <w:rFonts w:ascii="宋体" w:hAnsi="宋体" w:cs="宋体"/>
          <w:b/>
          <w:sz w:val="24"/>
        </w:rPr>
      </w:pPr>
      <w:r>
        <w:rPr>
          <w:rFonts w:hint="eastAsia" w:ascii="宋体" w:hAnsi="宋体" w:cs="宋体"/>
          <w:b/>
          <w:sz w:val="24"/>
        </w:rPr>
        <w:t>1.报价文件：</w:t>
      </w:r>
    </w:p>
    <w:p>
      <w:pPr>
        <w:shd w:val="clear" w:color="auto" w:fill="FFFFFF"/>
        <w:tabs>
          <w:tab w:val="left" w:pos="3870"/>
          <w:tab w:val="left" w:pos="4085"/>
        </w:tabs>
        <w:snapToGrid w:val="0"/>
        <w:spacing w:line="400" w:lineRule="exact"/>
        <w:ind w:firstLine="480" w:firstLineChars="200"/>
        <w:jc w:val="left"/>
        <w:rPr>
          <w:rFonts w:ascii="宋体" w:hAnsi="宋体" w:cs="宋体"/>
          <w:sz w:val="24"/>
        </w:rPr>
      </w:pPr>
      <w:r>
        <w:rPr>
          <w:rFonts w:hint="eastAsia" w:ascii="宋体" w:hAnsi="宋体" w:cs="宋体"/>
          <w:sz w:val="24"/>
        </w:rPr>
        <w:t xml:space="preserve">▲（1）谈判函（格式见第六章）； </w:t>
      </w:r>
    </w:p>
    <w:p>
      <w:pPr>
        <w:shd w:val="clear" w:color="auto" w:fill="FFFFFF"/>
        <w:tabs>
          <w:tab w:val="left" w:pos="3870"/>
          <w:tab w:val="left" w:pos="4085"/>
        </w:tabs>
        <w:snapToGrid w:val="0"/>
        <w:spacing w:line="400" w:lineRule="exact"/>
        <w:ind w:firstLine="480" w:firstLineChars="200"/>
        <w:jc w:val="left"/>
        <w:rPr>
          <w:rFonts w:ascii="宋体" w:hAnsi="宋体" w:cs="宋体"/>
          <w:sz w:val="24"/>
        </w:rPr>
      </w:pPr>
      <w:r>
        <w:rPr>
          <w:rFonts w:hint="eastAsia" w:ascii="宋体" w:hAnsi="宋体" w:cs="宋体"/>
          <w:sz w:val="24"/>
        </w:rPr>
        <w:t>▲（2）谈判函附录（格式见第六章）；</w:t>
      </w:r>
    </w:p>
    <w:p>
      <w:pPr>
        <w:pStyle w:val="2"/>
        <w:spacing w:line="400" w:lineRule="exact"/>
      </w:pPr>
      <w:r>
        <w:rPr>
          <w:rFonts w:hint="eastAsia" w:ascii="宋体" w:hAnsi="宋体" w:cs="宋体"/>
          <w:sz w:val="24"/>
        </w:rPr>
        <w:t>▲（3）监理费用报价分析表（格式见第六章）；</w:t>
      </w:r>
    </w:p>
    <w:p>
      <w:pPr>
        <w:shd w:val="clear" w:color="auto" w:fill="FFFFFF"/>
        <w:tabs>
          <w:tab w:val="left" w:pos="3870"/>
          <w:tab w:val="left" w:pos="4085"/>
        </w:tabs>
        <w:snapToGrid w:val="0"/>
        <w:spacing w:line="400" w:lineRule="exact"/>
        <w:ind w:firstLine="720" w:firstLineChars="300"/>
        <w:jc w:val="left"/>
        <w:rPr>
          <w:rFonts w:ascii="宋体" w:hAnsi="宋体" w:cs="宋体"/>
          <w:sz w:val="24"/>
        </w:rPr>
      </w:pPr>
      <w:r>
        <w:rPr>
          <w:rFonts w:hint="eastAsia" w:ascii="宋体" w:hAnsi="宋体" w:cs="宋体"/>
          <w:sz w:val="24"/>
        </w:rPr>
        <w:t>（4）供应商针对报价需要说明的其他文件和说明（格式自拟）。</w:t>
      </w:r>
    </w:p>
    <w:p>
      <w:pPr>
        <w:shd w:val="clear" w:color="auto" w:fill="FFFFFF"/>
        <w:snapToGrid w:val="0"/>
        <w:spacing w:line="360" w:lineRule="auto"/>
        <w:ind w:firstLine="472" w:firstLineChars="196"/>
        <w:jc w:val="left"/>
        <w:rPr>
          <w:rFonts w:ascii="宋体" w:hAnsi="宋体" w:cs="宋体"/>
          <w:b/>
          <w:sz w:val="24"/>
        </w:rPr>
      </w:pPr>
      <w:r>
        <w:rPr>
          <w:rFonts w:hint="eastAsia" w:ascii="宋体" w:hAnsi="宋体" w:cs="宋体"/>
          <w:b/>
          <w:sz w:val="24"/>
        </w:rPr>
        <w:t>2.商务及技术文件：</w:t>
      </w:r>
    </w:p>
    <w:p>
      <w:pPr>
        <w:shd w:val="clear" w:color="auto" w:fill="FFFFFF"/>
        <w:snapToGrid w:val="0"/>
        <w:spacing w:line="360" w:lineRule="auto"/>
        <w:ind w:firstLine="472" w:firstLineChars="196"/>
        <w:jc w:val="left"/>
        <w:rPr>
          <w:rFonts w:ascii="宋体" w:hAnsi="宋体" w:cs="宋体"/>
          <w:b/>
          <w:sz w:val="24"/>
        </w:rPr>
      </w:pPr>
      <w:r>
        <w:rPr>
          <w:rFonts w:hint="eastAsia" w:ascii="宋体" w:hAnsi="宋体" w:cs="宋体"/>
          <w:b/>
          <w:sz w:val="24"/>
        </w:rPr>
        <w:t>商务部分是证明供应商有资格参加谈判和成交后有能力履行合同的文件，这些文件应能满足采购的要求，包括但不限于下列文件，其中加</w:t>
      </w:r>
      <w:r>
        <w:rPr>
          <w:rFonts w:hint="eastAsia" w:ascii="宋体" w:hAnsi="宋体" w:cs="宋体"/>
          <w:sz w:val="24"/>
        </w:rPr>
        <w:t>“</w:t>
      </w:r>
      <w:r>
        <w:rPr>
          <w:rFonts w:hint="eastAsia" w:ascii="宋体" w:hAnsi="宋体" w:cs="宋体"/>
          <w:b/>
          <w:sz w:val="24"/>
        </w:rPr>
        <w:t>▲”项目不得有缺失或无效且不允许截标后补正。</w:t>
      </w:r>
    </w:p>
    <w:p>
      <w:pPr>
        <w:shd w:val="clear" w:color="auto" w:fill="FFFFFF"/>
        <w:snapToGrid w:val="0"/>
        <w:spacing w:line="360" w:lineRule="auto"/>
        <w:ind w:firstLine="482" w:firstLineChars="200"/>
        <w:jc w:val="left"/>
        <w:rPr>
          <w:rFonts w:ascii="宋体" w:hAnsi="宋体" w:cs="宋体"/>
          <w:b/>
          <w:sz w:val="24"/>
        </w:rPr>
      </w:pPr>
      <w:r>
        <w:rPr>
          <w:rFonts w:hint="eastAsia" w:ascii="宋体" w:hAnsi="宋体" w:cs="宋体"/>
          <w:b/>
          <w:sz w:val="24"/>
        </w:rPr>
        <w:t>▲</w:t>
      </w:r>
      <w:r>
        <w:rPr>
          <w:rFonts w:hint="eastAsia" w:ascii="宋体" w:hAnsi="宋体" w:cs="宋体"/>
          <w:sz w:val="24"/>
        </w:rPr>
        <w:t>（1）银行基本账户开户许可证明材料复印件；</w:t>
      </w:r>
    </w:p>
    <w:p>
      <w:pPr>
        <w:shd w:val="clear" w:color="auto" w:fill="FFFFFF"/>
        <w:snapToGrid w:val="0"/>
        <w:spacing w:line="360" w:lineRule="auto"/>
        <w:ind w:firstLine="482" w:firstLineChars="200"/>
        <w:jc w:val="left"/>
        <w:rPr>
          <w:rFonts w:ascii="宋体" w:hAnsi="宋体" w:cs="宋体"/>
          <w:sz w:val="24"/>
        </w:rPr>
      </w:pPr>
      <w:r>
        <w:rPr>
          <w:rFonts w:hint="eastAsia" w:ascii="宋体" w:hAnsi="宋体" w:cs="宋体"/>
          <w:b/>
          <w:sz w:val="24"/>
        </w:rPr>
        <w:t>▲</w:t>
      </w:r>
      <w:r>
        <w:rPr>
          <w:rFonts w:hint="eastAsia" w:ascii="宋体" w:hAnsi="宋体" w:cs="宋体"/>
          <w:sz w:val="24"/>
        </w:rPr>
        <w:t>（2）谈判声明书（格式见第六章）；</w:t>
      </w:r>
    </w:p>
    <w:p>
      <w:pPr>
        <w:shd w:val="clear" w:color="auto" w:fill="FFFFFF"/>
        <w:snapToGrid w:val="0"/>
        <w:spacing w:line="360" w:lineRule="auto"/>
        <w:ind w:firstLine="482" w:firstLineChars="200"/>
        <w:jc w:val="left"/>
        <w:rPr>
          <w:rFonts w:ascii="宋体" w:hAnsi="宋体" w:cs="宋体"/>
          <w:kern w:val="0"/>
          <w:sz w:val="24"/>
        </w:rPr>
      </w:pPr>
      <w:r>
        <w:rPr>
          <w:rFonts w:hint="eastAsia" w:ascii="宋体" w:hAnsi="宋体" w:cs="宋体"/>
          <w:b/>
          <w:sz w:val="24"/>
        </w:rPr>
        <w:t>▲</w:t>
      </w:r>
      <w:r>
        <w:rPr>
          <w:rFonts w:hint="eastAsia" w:ascii="宋体" w:hAnsi="宋体" w:cs="宋体"/>
          <w:kern w:val="0"/>
          <w:sz w:val="24"/>
        </w:rPr>
        <w:t>（3）有效的营业执照等证明文件复印件：</w:t>
      </w:r>
    </w:p>
    <w:p>
      <w:pPr>
        <w:shd w:val="clear" w:color="auto" w:fill="FFFFFF"/>
        <w:snapToGrid w:val="0"/>
        <w:spacing w:line="360" w:lineRule="auto"/>
        <w:ind w:firstLine="840" w:firstLineChars="350"/>
        <w:jc w:val="left"/>
        <w:rPr>
          <w:rFonts w:ascii="宋体" w:hAnsi="宋体" w:cs="宋体"/>
          <w:kern w:val="0"/>
          <w:sz w:val="24"/>
        </w:rPr>
      </w:pPr>
      <w:r>
        <w:rPr>
          <w:rFonts w:hint="eastAsia" w:ascii="宋体" w:hAnsi="宋体" w:cs="宋体"/>
          <w:kern w:val="0"/>
          <w:sz w:val="24"/>
        </w:rPr>
        <w:t>①有效的营业执照副本复印件；</w:t>
      </w:r>
    </w:p>
    <w:p>
      <w:pPr>
        <w:shd w:val="clear" w:color="auto" w:fill="FFFFFF"/>
        <w:snapToGrid w:val="0"/>
        <w:spacing w:line="360" w:lineRule="auto"/>
        <w:ind w:firstLine="840" w:firstLineChars="350"/>
        <w:jc w:val="left"/>
        <w:rPr>
          <w:rFonts w:ascii="宋体" w:hAnsi="宋体" w:cs="宋体"/>
          <w:kern w:val="0"/>
          <w:sz w:val="24"/>
        </w:rPr>
      </w:pPr>
      <w:r>
        <w:rPr>
          <w:rFonts w:hint="eastAsia" w:ascii="宋体" w:hAnsi="宋体" w:cs="宋体"/>
          <w:kern w:val="0"/>
          <w:sz w:val="24"/>
        </w:rPr>
        <w:t>②有效的</w:t>
      </w:r>
      <w:r>
        <w:rPr>
          <w:rFonts w:hint="eastAsia" w:ascii="宋体" w:hAnsi="宋体" w:cs="宋体"/>
          <w:sz w:val="24"/>
        </w:rPr>
        <w:t>资质证书</w:t>
      </w:r>
      <w:r>
        <w:rPr>
          <w:rFonts w:hint="eastAsia" w:ascii="宋体" w:hAnsi="宋体" w:cs="宋体"/>
          <w:kern w:val="0"/>
          <w:sz w:val="24"/>
        </w:rPr>
        <w:t>复印件；</w:t>
      </w:r>
    </w:p>
    <w:p>
      <w:pPr>
        <w:shd w:val="clear" w:color="auto" w:fill="FFFFFF"/>
        <w:snapToGrid w:val="0"/>
        <w:spacing w:line="360" w:lineRule="auto"/>
        <w:ind w:firstLine="482" w:firstLineChars="200"/>
        <w:jc w:val="left"/>
        <w:rPr>
          <w:rFonts w:ascii="宋体" w:hAnsi="宋体" w:cs="宋体"/>
          <w:color w:val="auto"/>
          <w:sz w:val="24"/>
        </w:rPr>
      </w:pPr>
      <w:r>
        <w:rPr>
          <w:rFonts w:hint="eastAsia" w:ascii="宋体" w:hAnsi="宋体" w:cs="宋体"/>
          <w:b/>
          <w:sz w:val="24"/>
        </w:rPr>
        <w:t>▲</w:t>
      </w:r>
      <w:r>
        <w:rPr>
          <w:rFonts w:hint="eastAsia" w:ascii="宋体" w:hAnsi="宋体" w:cs="宋体"/>
          <w:sz w:val="24"/>
        </w:rPr>
        <w:t>（4）拟投入本项目项目总监理工程师简历表；</w:t>
      </w:r>
    </w:p>
    <w:p>
      <w:pPr>
        <w:shd w:val="clear" w:color="auto" w:fill="FFFFFF"/>
        <w:snapToGrid w:val="0"/>
        <w:spacing w:line="360" w:lineRule="auto"/>
        <w:ind w:firstLine="482" w:firstLineChars="200"/>
        <w:jc w:val="left"/>
        <w:rPr>
          <w:color w:val="auto"/>
        </w:rPr>
      </w:pPr>
      <w:r>
        <w:rPr>
          <w:rFonts w:hint="eastAsia" w:ascii="宋体" w:hAnsi="宋体" w:cs="宋体"/>
          <w:b/>
          <w:color w:val="auto"/>
          <w:sz w:val="24"/>
        </w:rPr>
        <w:t>▲</w:t>
      </w:r>
      <w:r>
        <w:rPr>
          <w:rFonts w:hint="eastAsia" w:ascii="宋体" w:hAnsi="宋体" w:cs="宋体"/>
          <w:color w:val="auto"/>
          <w:sz w:val="24"/>
        </w:rPr>
        <w:t>（5）拟投入本项目人员情况汇总表[附项目总监、监理工程师、监理员近3个月（2020年7-2020年9月）依法缴纳社会保险证明材料复印件）；</w:t>
      </w:r>
    </w:p>
    <w:p>
      <w:pPr>
        <w:shd w:val="clear" w:color="auto" w:fill="FFFFFF"/>
        <w:snapToGrid w:val="0"/>
        <w:spacing w:line="360" w:lineRule="auto"/>
        <w:ind w:firstLine="482" w:firstLineChars="200"/>
        <w:jc w:val="left"/>
        <w:rPr>
          <w:rFonts w:ascii="宋体" w:hAnsi="宋体" w:cs="宋体"/>
          <w:sz w:val="24"/>
        </w:rPr>
      </w:pPr>
      <w:r>
        <w:rPr>
          <w:rFonts w:hint="eastAsia" w:ascii="宋体" w:hAnsi="宋体" w:cs="宋体"/>
          <w:b/>
          <w:sz w:val="24"/>
        </w:rPr>
        <w:t>▲</w:t>
      </w:r>
      <w:r>
        <w:rPr>
          <w:rFonts w:hint="eastAsia" w:ascii="宋体" w:hAnsi="宋体" w:cs="宋体"/>
          <w:sz w:val="24"/>
        </w:rPr>
        <w:t>（6）有效的法定代表人身份证正反面复印件（如法定代表人非中国国籍应提交护照复印件，要求证件有效并与营业执照中的法定代表人相符）；</w:t>
      </w:r>
    </w:p>
    <w:p>
      <w:pPr>
        <w:shd w:val="clear" w:color="auto" w:fill="FFFFFF"/>
        <w:snapToGrid w:val="0"/>
        <w:spacing w:line="360" w:lineRule="auto"/>
        <w:ind w:firstLine="482" w:firstLineChars="200"/>
        <w:jc w:val="left"/>
        <w:rPr>
          <w:rFonts w:ascii="宋体" w:hAnsi="宋体" w:cs="宋体"/>
          <w:sz w:val="24"/>
        </w:rPr>
      </w:pPr>
      <w:r>
        <w:rPr>
          <w:rFonts w:hint="eastAsia" w:ascii="宋体" w:hAnsi="宋体" w:cs="宋体"/>
          <w:b/>
          <w:sz w:val="24"/>
        </w:rPr>
        <w:t>▲</w:t>
      </w:r>
      <w:r>
        <w:rPr>
          <w:rFonts w:hint="eastAsia" w:ascii="宋体" w:hAnsi="宋体" w:cs="宋体"/>
          <w:sz w:val="24"/>
        </w:rPr>
        <w:t>（7）法定代表人授权委托书（委托代理时提供，格式见第六章）；</w:t>
      </w:r>
    </w:p>
    <w:p>
      <w:pPr>
        <w:shd w:val="clear" w:color="auto" w:fill="FFFFFF"/>
        <w:snapToGrid w:val="0"/>
        <w:spacing w:line="360" w:lineRule="auto"/>
        <w:ind w:firstLine="482" w:firstLineChars="200"/>
        <w:jc w:val="left"/>
        <w:rPr>
          <w:rFonts w:ascii="宋体" w:hAnsi="宋体" w:cs="宋体"/>
          <w:sz w:val="24"/>
        </w:rPr>
      </w:pPr>
      <w:r>
        <w:rPr>
          <w:rFonts w:hint="eastAsia" w:ascii="宋体" w:hAnsi="宋体" w:cs="宋体"/>
          <w:b/>
          <w:sz w:val="24"/>
        </w:rPr>
        <w:t>▲</w:t>
      </w:r>
      <w:r>
        <w:rPr>
          <w:rFonts w:hint="eastAsia" w:ascii="宋体" w:hAnsi="宋体" w:cs="宋体"/>
          <w:sz w:val="24"/>
        </w:rPr>
        <w:t>（8）有效的委托代理人身份证正反面复印件（委托代理时提供，如委托代理人非中国国籍应提交护照复印件，要求证件有效并与法定代表人授权委托书中的授权人相符）；</w:t>
      </w:r>
    </w:p>
    <w:p>
      <w:pPr>
        <w:shd w:val="clear" w:color="auto" w:fill="FFFFFF"/>
        <w:snapToGrid w:val="0"/>
        <w:spacing w:before="38" w:line="360" w:lineRule="auto"/>
        <w:ind w:firstLine="480" w:firstLineChars="200"/>
        <w:jc w:val="left"/>
        <w:rPr>
          <w:rFonts w:ascii="宋体" w:hAnsi="宋体" w:cs="宋体"/>
          <w:sz w:val="24"/>
        </w:rPr>
      </w:pPr>
      <w:r>
        <w:rPr>
          <w:rFonts w:hint="eastAsia" w:ascii="宋体" w:hAnsi="宋体" w:cs="宋体"/>
          <w:sz w:val="24"/>
        </w:rPr>
        <w:t>▲（9）谈判人在“信用中国”网站(www.creditchina.gov.cn)、中国政府采购网 (www.ccgp.gov.cn) 查询主体信用记录，并截图查询结果（其中，“信用中国”查询内容包括：</w:t>
      </w:r>
      <w:r>
        <w:rPr>
          <w:rFonts w:hint="eastAsia" w:ascii="宋体" w:hAnsi="宋体" w:cs="宋体"/>
          <w:sz w:val="24"/>
          <w:u w:color="000000"/>
        </w:rPr>
        <w:t>失信被执行人、重大税收违法案件当事人名单、政府采购严重违法失信行为记录名单共三个网页页面</w:t>
      </w:r>
      <w:r>
        <w:rPr>
          <w:rFonts w:hint="eastAsia" w:ascii="宋体" w:hAnsi="宋体" w:cs="宋体"/>
          <w:sz w:val="24"/>
        </w:rPr>
        <w:t>，网页页面须显示供应商名称以及查询结果。“中国政府采购网”的查询内容包括：</w:t>
      </w:r>
      <w:r>
        <w:rPr>
          <w:rFonts w:hint="eastAsia" w:ascii="宋体" w:hAnsi="宋体" w:cs="宋体"/>
          <w:sz w:val="24"/>
          <w:u w:color="000000"/>
        </w:rPr>
        <w:t>政府采购严重违法失信行为信息记录网页，网页须显示供应商名称以及查询结果。网页中的处罚日期不允许设置起始时间，只能设置截止时间，截止时间为本项目竞争性谈判公告发布之日起至谈判截止时间中任意一天</w:t>
      </w:r>
      <w:r>
        <w:rPr>
          <w:rFonts w:hint="eastAsia" w:ascii="宋体" w:hAnsi="宋体" w:cs="宋体"/>
          <w:sz w:val="24"/>
        </w:rPr>
        <w:t>）；</w:t>
      </w:r>
    </w:p>
    <w:p>
      <w:pPr>
        <w:shd w:val="clear" w:color="auto" w:fill="FFFFFF"/>
        <w:snapToGrid w:val="0"/>
        <w:spacing w:line="360" w:lineRule="auto"/>
        <w:ind w:firstLine="482" w:firstLineChars="200"/>
        <w:jc w:val="left"/>
        <w:rPr>
          <w:rFonts w:ascii="宋体" w:hAnsi="宋体" w:cs="宋体"/>
          <w:sz w:val="24"/>
        </w:rPr>
      </w:pPr>
      <w:r>
        <w:rPr>
          <w:rFonts w:hint="eastAsia" w:ascii="宋体" w:hAnsi="宋体" w:cs="宋体"/>
          <w:b/>
          <w:sz w:val="24"/>
        </w:rPr>
        <w:t>▲</w:t>
      </w:r>
      <w:r>
        <w:rPr>
          <w:rFonts w:hint="eastAsia" w:ascii="宋体" w:hAnsi="宋体" w:cs="宋体"/>
          <w:sz w:val="24"/>
        </w:rPr>
        <w:t>（10）谈判截止时间前半年内连续三个月的依法缴纳税费或依法免缴税费的证明（复印件，格式自拟），无纳税记录的，应提供由谈判人所在地主管国税或地税部门出具的《依法纳税或依法免税证明》；</w:t>
      </w:r>
    </w:p>
    <w:p>
      <w:pPr>
        <w:shd w:val="clear" w:color="auto" w:fill="FFFFFF"/>
        <w:snapToGrid w:val="0"/>
        <w:spacing w:line="360" w:lineRule="auto"/>
        <w:ind w:firstLine="482" w:firstLineChars="200"/>
        <w:jc w:val="left"/>
        <w:rPr>
          <w:rFonts w:ascii="宋体" w:hAnsi="宋体" w:cs="宋体"/>
          <w:sz w:val="24"/>
        </w:rPr>
      </w:pPr>
      <w:r>
        <w:rPr>
          <w:rFonts w:hint="eastAsia" w:ascii="宋体" w:hAnsi="宋体" w:cs="宋体"/>
          <w:b/>
          <w:sz w:val="24"/>
        </w:rPr>
        <w:t>▲</w:t>
      </w:r>
      <w:r>
        <w:rPr>
          <w:rFonts w:hint="eastAsia" w:ascii="宋体" w:hAnsi="宋体" w:cs="宋体"/>
          <w:sz w:val="24"/>
        </w:rPr>
        <w:t>（11）供应商针对本项目的服务承诺书；（格式自拟）</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▲（12）供应商针对本项目的技术方案；（如监理大纲，仪器设备配置等，格式自拟）</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（13）可作为</w:t>
      </w:r>
      <w:r>
        <w:rPr>
          <w:rFonts w:hint="eastAsia" w:ascii="宋体" w:hAnsi="宋体" w:cs="宋体"/>
          <w:bCs/>
          <w:sz w:val="24"/>
        </w:rPr>
        <w:t>供应商资信评分的资质证明材料</w:t>
      </w:r>
      <w:r>
        <w:rPr>
          <w:rFonts w:hint="eastAsia" w:ascii="宋体" w:hAnsi="宋体" w:cs="宋体"/>
          <w:sz w:val="24"/>
        </w:rPr>
        <w:t>（如有）；</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14）供应商的类似成功案例的业绩证明文件（供应商同类项目实施情况一览表、中标（成交）通知书复印件（如有）或合同关键页（要点包括项目名称、签约时间、合同金额/项目规模、项目主要内容和双方盖章页），加盖公章）；</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（15）企业信用等级证书复印件；</w:t>
      </w:r>
    </w:p>
    <w:p>
      <w:pPr>
        <w:shd w:val="clear" w:color="auto" w:fill="FFFFFF"/>
        <w:snapToGrid w:val="0"/>
        <w:spacing w:line="360" w:lineRule="auto"/>
        <w:ind w:firstLine="470" w:firstLineChars="196"/>
        <w:jc w:val="left"/>
        <w:rPr>
          <w:rFonts w:ascii="宋体" w:hAnsi="宋体" w:cs="宋体"/>
          <w:sz w:val="24"/>
        </w:rPr>
      </w:pPr>
      <w:r>
        <w:rPr>
          <w:rFonts w:hint="eastAsia" w:ascii="宋体" w:hAnsi="宋体" w:cs="宋体"/>
          <w:sz w:val="24"/>
        </w:rPr>
        <w:t>（16）供应商管理体系认证证书复印件；</w:t>
      </w:r>
    </w:p>
    <w:p>
      <w:pPr>
        <w:shd w:val="clear" w:color="auto" w:fill="FFFFFF"/>
        <w:snapToGrid w:val="0"/>
        <w:spacing w:before="50" w:afterLines="50"/>
        <w:ind w:firstLine="480" w:firstLineChars="200"/>
        <w:jc w:val="left"/>
        <w:rPr>
          <w:rFonts w:ascii="宋体" w:hAnsi="宋体" w:cs="宋体"/>
          <w:sz w:val="24"/>
        </w:rPr>
      </w:pPr>
      <w:r>
        <w:rPr>
          <w:rFonts w:hint="eastAsia" w:ascii="宋体" w:hAnsi="宋体" w:cs="宋体"/>
          <w:sz w:val="24"/>
        </w:rPr>
        <w:t>（17）供应商认为可以证明其能力或业绩的其它材料；</w:t>
      </w:r>
    </w:p>
    <w:p>
      <w:pPr>
        <w:pStyle w:val="41"/>
        <w:shd w:val="clear" w:color="auto" w:fill="FFFFFF"/>
        <w:spacing w:line="240" w:lineRule="auto"/>
        <w:ind w:firstLine="480" w:firstLineChars="200"/>
        <w:rPr>
          <w:rFonts w:ascii="宋体" w:hAnsi="宋体" w:cs="宋体"/>
          <w:kern w:val="2"/>
          <w:sz w:val="24"/>
        </w:rPr>
      </w:pPr>
      <w:r>
        <w:rPr>
          <w:rFonts w:hint="eastAsia" w:ascii="宋体" w:hAnsi="宋体" w:cs="宋体"/>
          <w:kern w:val="2"/>
          <w:sz w:val="24"/>
        </w:rPr>
        <w:t>（18）谈判供应商可结合本项目的评审办法视自身情况自行提交相关证明材料。</w:t>
      </w:r>
    </w:p>
    <w:p>
      <w:pPr>
        <w:pStyle w:val="41"/>
        <w:shd w:val="clear" w:color="auto" w:fill="FFFFFF"/>
        <w:spacing w:line="360" w:lineRule="auto"/>
        <w:ind w:firstLine="482" w:firstLineChars="200"/>
        <w:rPr>
          <w:rFonts w:ascii="宋体" w:hAnsi="宋体" w:cs="宋体"/>
          <w:b/>
          <w:bCs/>
          <w:sz w:val="24"/>
        </w:rPr>
      </w:pPr>
      <w:r>
        <w:rPr>
          <w:rFonts w:hint="eastAsia" w:ascii="宋体" w:hAnsi="宋体" w:cs="宋体"/>
          <w:b/>
          <w:bCs/>
          <w:sz w:val="24"/>
        </w:rPr>
        <w:t>3.响应文件的电子版</w:t>
      </w:r>
    </w:p>
    <w:p>
      <w:pPr>
        <w:pStyle w:val="41"/>
        <w:shd w:val="clear" w:color="auto" w:fill="FFFFFF"/>
        <w:spacing w:line="360" w:lineRule="auto"/>
        <w:ind w:firstLine="480" w:firstLineChars="200"/>
        <w:rPr>
          <w:rFonts w:ascii="宋体" w:hAnsi="宋体" w:cs="宋体"/>
          <w:b/>
          <w:bCs/>
          <w:sz w:val="24"/>
        </w:rPr>
      </w:pPr>
      <w:r>
        <w:rPr>
          <w:rFonts w:hint="eastAsia" w:ascii="宋体" w:hAnsi="宋体" w:cs="宋体"/>
          <w:sz w:val="24"/>
        </w:rPr>
        <w:t>供</w:t>
      </w:r>
      <w:r>
        <w:rPr>
          <w:rFonts w:hint="eastAsia" w:ascii="宋体" w:hAnsi="宋体" w:cs="宋体"/>
          <w:b/>
          <w:bCs/>
          <w:sz w:val="24"/>
        </w:rPr>
        <w:t>应商在递交响应文件时，同时递交响应文件电子版：</w:t>
      </w:r>
    </w:p>
    <w:p>
      <w:pPr>
        <w:pStyle w:val="41"/>
        <w:shd w:val="clear" w:color="auto" w:fill="FFFFFF"/>
        <w:spacing w:line="360" w:lineRule="auto"/>
        <w:ind w:firstLine="480" w:firstLineChars="200"/>
        <w:rPr>
          <w:rFonts w:ascii="宋体" w:hAnsi="宋体" w:cs="宋体"/>
          <w:bCs/>
          <w:sz w:val="24"/>
        </w:rPr>
      </w:pPr>
      <w:r>
        <w:rPr>
          <w:rFonts w:hint="eastAsia" w:ascii="宋体" w:hAnsi="宋体" w:cs="宋体"/>
          <w:bCs/>
          <w:sz w:val="24"/>
        </w:rPr>
        <w:t>（1）响应文件电子版内容：</w:t>
      </w:r>
      <w:r>
        <w:rPr>
          <w:rFonts w:hint="eastAsia" w:ascii="宋体" w:hAnsi="宋体" w:cs="宋体"/>
          <w:sz w:val="24"/>
        </w:rPr>
        <w:t>商务及技术文件、报价文件</w:t>
      </w:r>
      <w:r>
        <w:rPr>
          <w:rFonts w:hint="eastAsia" w:ascii="宋体" w:hAnsi="宋体" w:cs="宋体"/>
          <w:bCs/>
          <w:sz w:val="24"/>
        </w:rPr>
        <w:t>；</w:t>
      </w:r>
    </w:p>
    <w:p>
      <w:pPr>
        <w:pStyle w:val="41"/>
        <w:shd w:val="clear" w:color="auto" w:fill="FFFFFF"/>
        <w:spacing w:line="360" w:lineRule="auto"/>
        <w:ind w:firstLine="480" w:firstLineChars="200"/>
        <w:rPr>
          <w:rFonts w:ascii="宋体" w:hAnsi="宋体" w:cs="宋体"/>
          <w:bCs/>
          <w:sz w:val="24"/>
        </w:rPr>
      </w:pPr>
      <w:r>
        <w:rPr>
          <w:rFonts w:hint="eastAsia" w:ascii="宋体" w:hAnsi="宋体" w:cs="宋体"/>
          <w:bCs/>
          <w:sz w:val="24"/>
        </w:rPr>
        <w:t>（2）份数：1份；</w:t>
      </w:r>
    </w:p>
    <w:p>
      <w:pPr>
        <w:pStyle w:val="41"/>
        <w:shd w:val="clear" w:color="auto" w:fill="FFFFFF"/>
        <w:spacing w:line="360" w:lineRule="auto"/>
        <w:ind w:firstLine="480" w:firstLineChars="200"/>
        <w:rPr>
          <w:rFonts w:ascii="宋体" w:hAnsi="宋体" w:cs="宋体"/>
          <w:bCs/>
          <w:sz w:val="24"/>
        </w:rPr>
      </w:pPr>
      <w:r>
        <w:rPr>
          <w:rFonts w:hint="eastAsia" w:ascii="宋体" w:hAnsi="宋体" w:cs="宋体"/>
          <w:bCs/>
          <w:sz w:val="24"/>
        </w:rPr>
        <w:t>（3）电子版形式：</w:t>
      </w:r>
      <w:r>
        <w:rPr>
          <w:rFonts w:hint="eastAsia" w:ascii="宋体" w:hAnsi="宋体" w:cs="宋体"/>
          <w:sz w:val="24"/>
        </w:rPr>
        <w:t>可查看的文档格式</w:t>
      </w:r>
      <w:r>
        <w:rPr>
          <w:rFonts w:hint="eastAsia" w:ascii="宋体" w:hAnsi="宋体" w:cs="宋体"/>
          <w:bCs/>
          <w:sz w:val="24"/>
        </w:rPr>
        <w:t>；</w:t>
      </w:r>
    </w:p>
    <w:p>
      <w:pPr>
        <w:pStyle w:val="41"/>
        <w:shd w:val="clear" w:color="auto" w:fill="FFFFFF"/>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bCs/>
          <w:sz w:val="24"/>
        </w:rPr>
        <w:t>4）密封方式：装载响应文件电子版与纸质响应文件一同密封进响应文件袋中。</w:t>
      </w:r>
    </w:p>
    <w:p>
      <w:pPr>
        <w:shd w:val="clear" w:color="auto" w:fill="FFFFFF"/>
        <w:snapToGrid w:val="0"/>
        <w:spacing w:line="360" w:lineRule="auto"/>
        <w:ind w:firstLine="472" w:firstLineChars="196"/>
        <w:jc w:val="left"/>
        <w:rPr>
          <w:rFonts w:ascii="宋体" w:hAnsi="宋体" w:cs="宋体"/>
          <w:b/>
          <w:sz w:val="24"/>
        </w:rPr>
      </w:pPr>
      <w:bookmarkStart w:id="124" w:name="_Toc254970537"/>
      <w:bookmarkStart w:id="125" w:name="_Toc293863046"/>
      <w:bookmarkStart w:id="126" w:name="_Toc301424921"/>
      <w:bookmarkStart w:id="127" w:name="_Toc326217540"/>
      <w:bookmarkStart w:id="128" w:name="_Toc10727"/>
      <w:bookmarkStart w:id="129" w:name="_Toc3609"/>
      <w:bookmarkStart w:id="130" w:name="_Toc254970678"/>
      <w:bookmarkStart w:id="131" w:name="_Toc21574"/>
      <w:bookmarkStart w:id="132" w:name="_Toc293863313"/>
      <w:r>
        <w:rPr>
          <w:rFonts w:hint="eastAsia" w:ascii="宋体" w:hAnsi="宋体" w:cs="宋体"/>
          <w:b/>
          <w:sz w:val="24"/>
        </w:rPr>
        <w:t>（二）响应文件的语言及计量</w:t>
      </w:r>
      <w:bookmarkEnd w:id="124"/>
      <w:bookmarkEnd w:id="125"/>
      <w:bookmarkEnd w:id="126"/>
      <w:bookmarkEnd w:id="127"/>
      <w:bookmarkEnd w:id="128"/>
      <w:bookmarkEnd w:id="129"/>
      <w:bookmarkEnd w:id="130"/>
      <w:bookmarkEnd w:id="131"/>
      <w:bookmarkEnd w:id="132"/>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▲1. 响应文件以及谈判方与采购人就有关谈判事宜的所有来往函电，均应以中文汉语书写。除签名、盖章、专用名称等特殊情形外，以中文汉语以外的文字表述的响应文件视同未提供。</w:t>
      </w:r>
    </w:p>
    <w:p>
      <w:pPr>
        <w:shd w:val="clear" w:color="auto" w:fill="FFFFFF"/>
        <w:snapToGrid w:val="0"/>
        <w:spacing w:line="360" w:lineRule="auto"/>
        <w:ind w:firstLine="470" w:firstLineChars="196"/>
        <w:jc w:val="left"/>
        <w:rPr>
          <w:rFonts w:ascii="宋体" w:hAnsi="宋体" w:cs="宋体"/>
          <w:sz w:val="24"/>
        </w:rPr>
      </w:pPr>
      <w:r>
        <w:rPr>
          <w:rFonts w:hint="eastAsia" w:ascii="宋体" w:hAnsi="宋体" w:cs="宋体"/>
          <w:sz w:val="24"/>
        </w:rPr>
        <w:t>▲2. 谈判计量单位，采购文件已有明确规定的，使用采购文件规定的计量单位；采购文件没有规定的，应采用中华人民共和国法定计量单位（货币单位：人民币元），否则视同未响应。</w:t>
      </w:r>
    </w:p>
    <w:p>
      <w:pPr>
        <w:shd w:val="clear" w:color="auto" w:fill="FFFFFF"/>
        <w:snapToGrid w:val="0"/>
        <w:spacing w:line="360" w:lineRule="auto"/>
        <w:ind w:firstLine="472" w:firstLineChars="196"/>
        <w:jc w:val="left"/>
        <w:rPr>
          <w:rFonts w:ascii="宋体" w:hAnsi="宋体" w:cs="宋体"/>
          <w:b/>
          <w:sz w:val="24"/>
        </w:rPr>
      </w:pPr>
      <w:bookmarkStart w:id="133" w:name="_Toc28103"/>
      <w:bookmarkStart w:id="134" w:name="_Toc10074"/>
      <w:bookmarkStart w:id="135" w:name="_Toc326217541"/>
      <w:bookmarkStart w:id="136" w:name="_Toc301424922"/>
      <w:bookmarkStart w:id="137" w:name="_Toc293863047"/>
      <w:bookmarkStart w:id="138" w:name="_Toc254970538"/>
      <w:bookmarkStart w:id="139" w:name="_Toc293863314"/>
      <w:bookmarkStart w:id="140" w:name="_Toc18791"/>
      <w:bookmarkStart w:id="141" w:name="_Toc254970679"/>
      <w:r>
        <w:rPr>
          <w:rFonts w:hint="eastAsia" w:ascii="宋体" w:hAnsi="宋体" w:cs="宋体"/>
          <w:b/>
          <w:sz w:val="24"/>
        </w:rPr>
        <w:t>（三）谈判报价</w:t>
      </w:r>
      <w:bookmarkEnd w:id="133"/>
      <w:bookmarkEnd w:id="134"/>
      <w:bookmarkEnd w:id="135"/>
      <w:bookmarkEnd w:id="136"/>
      <w:bookmarkEnd w:id="137"/>
      <w:bookmarkEnd w:id="138"/>
      <w:bookmarkEnd w:id="139"/>
      <w:bookmarkEnd w:id="140"/>
      <w:bookmarkEnd w:id="141"/>
    </w:p>
    <w:p>
      <w:pPr>
        <w:pStyle w:val="27"/>
        <w:shd w:val="clear" w:color="auto" w:fill="FFFFFF"/>
        <w:snapToGrid w:val="0"/>
        <w:spacing w:line="360" w:lineRule="auto"/>
        <w:ind w:firstLine="600" w:firstLineChars="250"/>
        <w:jc w:val="left"/>
        <w:rPr>
          <w:rFonts w:hAnsi="宋体" w:cs="宋体"/>
          <w:sz w:val="24"/>
          <w:szCs w:val="24"/>
        </w:rPr>
      </w:pPr>
      <w:r>
        <w:rPr>
          <w:rFonts w:hint="eastAsia" w:hAnsi="宋体" w:cs="宋体"/>
          <w:sz w:val="24"/>
          <w:szCs w:val="24"/>
        </w:rPr>
        <w:t>1.谈判报价应按采购文件中相关附表格式填写。</w:t>
      </w:r>
    </w:p>
    <w:p>
      <w:pPr>
        <w:pStyle w:val="27"/>
        <w:shd w:val="clear" w:color="auto" w:fill="FFFFFF"/>
        <w:snapToGrid w:val="0"/>
        <w:spacing w:line="360" w:lineRule="auto"/>
        <w:ind w:firstLine="480" w:firstLineChars="200"/>
        <w:jc w:val="left"/>
        <w:rPr>
          <w:rFonts w:hAnsi="宋体" w:cs="宋体"/>
          <w:sz w:val="24"/>
          <w:szCs w:val="24"/>
        </w:rPr>
      </w:pPr>
      <w:r>
        <w:rPr>
          <w:rFonts w:hint="eastAsia" w:hAnsi="宋体" w:cs="宋体"/>
          <w:sz w:val="24"/>
          <w:szCs w:val="24"/>
        </w:rPr>
        <w:t>▲2.谈判报价是履行合同的最终价格。谈判报价应包括本次采购范围内的服务价款、服务所用耗材、人工费、差旅费（含出差补助、交通费、食宿费等）、管理费用、保险、报送、验收、维护、资料收集及数据处理费、实地调查费、资料打印及装订费、税费、合同实施过程中的应预见和不可预见费用等完成合同规定责任和义务的一切费用及企业利润（成交供应商成交总价为签订合同价格。在合同有效期内，合同价不受市场价格变化的影响）等全部费用供应商综合考虑在报价中。</w:t>
      </w:r>
    </w:p>
    <w:p>
      <w:pPr>
        <w:shd w:val="clear" w:color="auto" w:fill="FFFFFF"/>
        <w:tabs>
          <w:tab w:val="left" w:pos="525"/>
        </w:tabs>
        <w:snapToGrid w:val="0"/>
        <w:spacing w:line="360" w:lineRule="auto"/>
        <w:ind w:firstLine="480" w:firstLineChars="200"/>
        <w:jc w:val="left"/>
        <w:rPr>
          <w:rFonts w:ascii="宋体" w:hAnsi="宋体" w:cs="宋体"/>
          <w:sz w:val="24"/>
        </w:rPr>
      </w:pPr>
      <w:r>
        <w:rPr>
          <w:rFonts w:hint="eastAsia" w:ascii="宋体" w:hAnsi="宋体" w:cs="宋体"/>
          <w:sz w:val="24"/>
        </w:rPr>
        <w:t>▲3.响应文件只允许有一个报价，有选择的或有条件的报价将不予接受。</w:t>
      </w:r>
    </w:p>
    <w:p>
      <w:pPr>
        <w:shd w:val="clear" w:color="auto" w:fill="FFFFFF"/>
        <w:tabs>
          <w:tab w:val="left" w:pos="720"/>
          <w:tab w:val="left" w:pos="840"/>
        </w:tabs>
        <w:spacing w:after="120"/>
        <w:ind w:firstLine="472" w:firstLineChars="196"/>
        <w:jc w:val="left"/>
        <w:rPr>
          <w:rFonts w:ascii="宋体" w:hAnsi="宋体" w:cs="宋体"/>
          <w:b/>
          <w:sz w:val="24"/>
        </w:rPr>
      </w:pPr>
      <w:r>
        <w:rPr>
          <w:rFonts w:hint="eastAsia" w:ascii="宋体" w:hAnsi="宋体" w:cs="宋体"/>
          <w:b/>
          <w:sz w:val="24"/>
        </w:rPr>
        <w:t>（四）响应文件的有效期</w:t>
      </w:r>
    </w:p>
    <w:p>
      <w:pPr>
        <w:shd w:val="clear" w:color="auto" w:fill="FFFFFF"/>
        <w:snapToGrid w:val="0"/>
        <w:spacing w:line="360" w:lineRule="auto"/>
        <w:ind w:firstLine="480" w:firstLineChars="200"/>
        <w:jc w:val="left"/>
        <w:rPr>
          <w:rFonts w:ascii="宋体" w:hAnsi="宋体" w:cs="宋体"/>
          <w:sz w:val="24"/>
        </w:rPr>
      </w:pPr>
      <w:bookmarkStart w:id="142" w:name="_Toc4535"/>
      <w:bookmarkStart w:id="143" w:name="_Toc2734"/>
      <w:bookmarkStart w:id="144" w:name="_Toc29683"/>
      <w:bookmarkStart w:id="145" w:name="_Toc9452"/>
      <w:r>
        <w:rPr>
          <w:rFonts w:hint="eastAsia" w:ascii="宋体" w:hAnsi="宋体" w:cs="宋体"/>
          <w:sz w:val="24"/>
        </w:rPr>
        <w:t>▲1. 自谈判截止日起90天响应文件应保持有效。有效期不足的响应文件将被拒绝。</w:t>
      </w:r>
      <w:bookmarkEnd w:id="142"/>
      <w:bookmarkEnd w:id="143"/>
      <w:bookmarkEnd w:id="144"/>
      <w:bookmarkEnd w:id="145"/>
    </w:p>
    <w:p>
      <w:pPr>
        <w:shd w:val="clear" w:color="auto" w:fill="FFFFFF"/>
        <w:snapToGrid w:val="0"/>
        <w:spacing w:line="360" w:lineRule="auto"/>
        <w:ind w:firstLine="480" w:firstLineChars="200"/>
        <w:jc w:val="left"/>
        <w:rPr>
          <w:rFonts w:ascii="宋体" w:hAnsi="宋体" w:cs="宋体"/>
          <w:sz w:val="24"/>
        </w:rPr>
      </w:pPr>
      <w:bookmarkStart w:id="146" w:name="_Toc8999"/>
      <w:bookmarkStart w:id="147" w:name="_Toc8066"/>
      <w:bookmarkStart w:id="148" w:name="_Toc18128"/>
      <w:bookmarkStart w:id="149" w:name="_Toc18648"/>
      <w:r>
        <w:rPr>
          <w:rFonts w:hint="eastAsia" w:ascii="宋体" w:hAnsi="宋体" w:cs="宋体"/>
          <w:sz w:val="24"/>
        </w:rPr>
        <w:t>2. 在特殊情况下，采购人可与供应商协商延长响应的有效期，这种要求和答复均以书面形式进行。</w:t>
      </w:r>
      <w:bookmarkEnd w:id="146"/>
      <w:bookmarkEnd w:id="147"/>
      <w:bookmarkEnd w:id="148"/>
      <w:bookmarkEnd w:id="149"/>
    </w:p>
    <w:p>
      <w:pPr>
        <w:shd w:val="clear" w:color="auto" w:fill="FFFFFF"/>
        <w:snapToGrid w:val="0"/>
        <w:spacing w:line="360" w:lineRule="auto"/>
        <w:ind w:firstLine="480" w:firstLineChars="200"/>
        <w:jc w:val="left"/>
        <w:rPr>
          <w:rFonts w:ascii="宋体" w:hAnsi="宋体" w:cs="宋体"/>
          <w:sz w:val="24"/>
        </w:rPr>
      </w:pPr>
      <w:bookmarkStart w:id="150" w:name="_Toc1700"/>
      <w:bookmarkStart w:id="151" w:name="_Toc6914"/>
      <w:bookmarkStart w:id="152" w:name="_Toc13490"/>
      <w:bookmarkStart w:id="153" w:name="_Toc293863049"/>
      <w:bookmarkStart w:id="154" w:name="_Toc254970681"/>
      <w:bookmarkStart w:id="155" w:name="_Toc301424924"/>
      <w:bookmarkStart w:id="156" w:name="_Toc254970540"/>
      <w:bookmarkStart w:id="157" w:name="_Toc20708"/>
      <w:bookmarkStart w:id="158" w:name="_Toc326217543"/>
      <w:bookmarkStart w:id="159" w:name="_Toc293863316"/>
      <w:r>
        <w:rPr>
          <w:rFonts w:hint="eastAsia" w:ascii="宋体" w:hAnsi="宋体" w:cs="宋体"/>
          <w:sz w:val="24"/>
        </w:rPr>
        <w:t>3. 成交供应商的响应文件自开标之日起至合同履行完毕止均应保持有效。</w:t>
      </w:r>
      <w:bookmarkEnd w:id="150"/>
      <w:bookmarkEnd w:id="151"/>
      <w:bookmarkEnd w:id="152"/>
      <w:bookmarkEnd w:id="153"/>
      <w:bookmarkEnd w:id="154"/>
      <w:bookmarkEnd w:id="155"/>
      <w:bookmarkEnd w:id="156"/>
      <w:bookmarkEnd w:id="157"/>
      <w:bookmarkEnd w:id="158"/>
      <w:bookmarkEnd w:id="159"/>
    </w:p>
    <w:p>
      <w:pPr>
        <w:shd w:val="clear" w:color="auto" w:fill="FFFFFF"/>
        <w:snapToGrid w:val="0"/>
        <w:spacing w:line="360" w:lineRule="auto"/>
        <w:ind w:firstLine="472" w:firstLineChars="196"/>
        <w:jc w:val="left"/>
        <w:rPr>
          <w:rFonts w:ascii="宋体" w:hAnsi="宋体" w:cs="宋体"/>
          <w:b/>
          <w:sz w:val="24"/>
        </w:rPr>
      </w:pPr>
      <w:bookmarkStart w:id="160" w:name="_Toc4937"/>
      <w:bookmarkStart w:id="161" w:name="_Toc326217544"/>
      <w:bookmarkStart w:id="162" w:name="_Toc293863317"/>
      <w:bookmarkStart w:id="163" w:name="_Toc24282"/>
      <w:bookmarkStart w:id="164" w:name="_Toc8067"/>
      <w:bookmarkStart w:id="165" w:name="_Toc301424925"/>
      <w:bookmarkStart w:id="166" w:name="_Toc18617"/>
      <w:bookmarkStart w:id="167" w:name="_Toc2115"/>
      <w:bookmarkStart w:id="168" w:name="_Toc254970682"/>
      <w:bookmarkStart w:id="169" w:name="_Toc21189"/>
      <w:bookmarkStart w:id="170" w:name="_Toc293863050"/>
      <w:bookmarkStart w:id="171" w:name="_Toc15064"/>
      <w:bookmarkStart w:id="172" w:name="_Toc254970541"/>
      <w:r>
        <w:rPr>
          <w:rFonts w:hint="eastAsia" w:ascii="宋体" w:hAnsi="宋体" w:cs="宋体"/>
          <w:b/>
          <w:sz w:val="24"/>
        </w:rPr>
        <w:t>（五）谈判保证金</w:t>
      </w:r>
      <w:bookmarkEnd w:id="160"/>
      <w:bookmarkEnd w:id="161"/>
      <w:bookmarkEnd w:id="162"/>
      <w:bookmarkEnd w:id="163"/>
      <w:bookmarkEnd w:id="164"/>
      <w:bookmarkEnd w:id="165"/>
      <w:bookmarkEnd w:id="166"/>
      <w:bookmarkEnd w:id="167"/>
      <w:bookmarkEnd w:id="168"/>
      <w:bookmarkEnd w:id="169"/>
      <w:bookmarkEnd w:id="170"/>
      <w:bookmarkEnd w:id="171"/>
      <w:bookmarkEnd w:id="172"/>
    </w:p>
    <w:p>
      <w:pPr>
        <w:shd w:val="clear" w:color="auto" w:fill="FFFFFF"/>
        <w:spacing w:line="440" w:lineRule="exact"/>
        <w:ind w:firstLine="435"/>
        <w:rPr>
          <w:rFonts w:ascii="宋体" w:hAnsi="宋体" w:cs="宋体"/>
          <w:sz w:val="24"/>
        </w:rPr>
      </w:pPr>
      <w:r>
        <w:rPr>
          <w:rFonts w:hint="eastAsia" w:ascii="宋体" w:hAnsi="宋体" w:cs="宋体"/>
          <w:sz w:val="24"/>
        </w:rPr>
        <w:t>无</w:t>
      </w:r>
    </w:p>
    <w:p>
      <w:pPr>
        <w:shd w:val="clear" w:color="auto" w:fill="FFFFFF"/>
        <w:snapToGrid w:val="0"/>
        <w:spacing w:line="360" w:lineRule="auto"/>
        <w:ind w:firstLine="354" w:firstLineChars="147"/>
        <w:jc w:val="left"/>
        <w:rPr>
          <w:rFonts w:ascii="宋体" w:hAnsi="宋体" w:cs="宋体"/>
          <w:b/>
          <w:sz w:val="24"/>
        </w:rPr>
      </w:pPr>
      <w:bookmarkStart w:id="173" w:name="_Toc3629"/>
      <w:bookmarkStart w:id="174" w:name="_Toc16721"/>
      <w:bookmarkStart w:id="175" w:name="_Toc293863318"/>
      <w:bookmarkStart w:id="176" w:name="_Toc326217545"/>
      <w:bookmarkStart w:id="177" w:name="_Toc293863051"/>
      <w:bookmarkStart w:id="178" w:name="_Toc26900"/>
      <w:bookmarkStart w:id="179" w:name="_Toc4554"/>
      <w:bookmarkStart w:id="180" w:name="_Toc11515"/>
      <w:bookmarkStart w:id="181" w:name="_Toc254970542"/>
      <w:bookmarkStart w:id="182" w:name="_Toc7959"/>
      <w:bookmarkStart w:id="183" w:name="_Toc254970683"/>
      <w:bookmarkStart w:id="184" w:name="_Toc28365"/>
      <w:bookmarkStart w:id="185" w:name="_Toc10960"/>
      <w:bookmarkStart w:id="186" w:name="_Toc301424926"/>
      <w:r>
        <w:rPr>
          <w:rFonts w:hint="eastAsia" w:ascii="宋体" w:hAnsi="宋体" w:cs="宋体"/>
          <w:b/>
          <w:sz w:val="24"/>
        </w:rPr>
        <w:t>（六）响应文件的签署和份数</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1. 供应商应按本采购文件规定的格式和顺序编制、装订响应文件并标注页码，响应文件内容不完整、编排混乱导致响应文件被误读、漏读或者查找不到相关内容的，是供应商的责任。</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2. 供应商应按所投标段编制投标文件；应把谈判报价文件、商务及技术文件按要求装订成册，正本1份，副本3份，响应文件的封面应注明“正本”、“副本”字样。</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3. 响应文件的正本需打印或用不褪色的墨水填写，响应文件正本除本《供应商须知》中规定的可提供复印件外均须提供原件。副本可采用正本的复印件。</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pacing w:val="-2"/>
          <w:sz w:val="24"/>
        </w:rPr>
        <w:t>响应文件须由供应商在规定位置盖章并由法定代表人或法定代表人的授权委托人签署，供应商应写全称。</w:t>
      </w:r>
    </w:p>
    <w:p>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5. 响应文件不得涂改，若有修改错漏处，须加盖单位公章或者法定代表人或授权委托人签字或盖章。响应文件因字迹潦草或表达不清所引起的后果由供应商负责。</w:t>
      </w:r>
    </w:p>
    <w:p>
      <w:pPr>
        <w:shd w:val="clear" w:color="auto" w:fill="FFFFFF"/>
        <w:snapToGrid w:val="0"/>
        <w:spacing w:line="360" w:lineRule="auto"/>
        <w:ind w:firstLine="354" w:firstLineChars="147"/>
        <w:jc w:val="left"/>
        <w:rPr>
          <w:rFonts w:ascii="宋体" w:hAnsi="宋体" w:cs="宋体"/>
          <w:b/>
          <w:sz w:val="24"/>
        </w:rPr>
      </w:pPr>
      <w:r>
        <w:rPr>
          <w:rFonts w:hint="eastAsia" w:ascii="宋体" w:hAnsi="宋体" w:cs="宋体"/>
          <w:b/>
          <w:sz w:val="24"/>
        </w:rPr>
        <w:t>（七）响应文件的包装、递交、修改和撤回</w:t>
      </w:r>
    </w:p>
    <w:p>
      <w:pPr>
        <w:shd w:val="clear" w:color="auto" w:fill="FFFFFF"/>
        <w:snapToGrid w:val="0"/>
        <w:spacing w:line="360" w:lineRule="auto"/>
        <w:ind w:firstLine="420"/>
        <w:jc w:val="left"/>
        <w:rPr>
          <w:rFonts w:ascii="宋体" w:hAnsi="宋体" w:cs="宋体"/>
          <w:sz w:val="24"/>
        </w:rPr>
      </w:pPr>
      <w:r>
        <w:rPr>
          <w:rFonts w:hint="eastAsia" w:ascii="宋体" w:hAnsi="宋体" w:cs="宋体"/>
          <w:sz w:val="24"/>
        </w:rPr>
        <w:t>1. 响应文件的包封：</w:t>
      </w:r>
    </w:p>
    <w:p>
      <w:pPr>
        <w:shd w:val="clear" w:color="auto" w:fill="FFFFFF"/>
        <w:snapToGrid w:val="0"/>
        <w:spacing w:line="360" w:lineRule="auto"/>
        <w:ind w:firstLine="420"/>
        <w:jc w:val="left"/>
        <w:rPr>
          <w:rFonts w:ascii="宋体" w:hAnsi="宋体" w:cs="宋体"/>
          <w:sz w:val="24"/>
        </w:rPr>
      </w:pPr>
      <w:r>
        <w:rPr>
          <w:rFonts w:hint="eastAsia" w:ascii="宋体" w:hAnsi="宋体" w:cs="宋体"/>
          <w:sz w:val="24"/>
        </w:rPr>
        <w:t>（1）响应文件正副本全部密封在一个内包封的响应文件袋（盒、箱）。响应文件的包装封面上应注明供应商名称、供应商地址、谈判项目名称、项目编号、分标及“在×年×月×日×时×分前不得启封（开标时才能启封）”字样，并加盖供应商公章；</w:t>
      </w:r>
    </w:p>
    <w:p>
      <w:pPr>
        <w:shd w:val="clear" w:color="auto" w:fill="FFFFFF"/>
        <w:snapToGrid w:val="0"/>
        <w:spacing w:line="360" w:lineRule="auto"/>
        <w:ind w:firstLine="420"/>
        <w:jc w:val="left"/>
        <w:rPr>
          <w:rFonts w:ascii="宋体" w:hAnsi="宋体" w:cs="宋体"/>
          <w:sz w:val="24"/>
        </w:rPr>
      </w:pPr>
      <w:r>
        <w:rPr>
          <w:rFonts w:hint="eastAsia" w:ascii="宋体" w:hAnsi="宋体" w:cs="宋体"/>
          <w:sz w:val="24"/>
        </w:rPr>
        <w:t>（2）未按规定密封或标记的响应文件将被拒绝，由此造成响应文件被误投或提前拆封的风险由供应商承担。</w:t>
      </w:r>
    </w:p>
    <w:p>
      <w:pPr>
        <w:shd w:val="clear" w:color="auto" w:fill="FFFFFF"/>
        <w:snapToGrid w:val="0"/>
        <w:spacing w:line="360" w:lineRule="auto"/>
        <w:ind w:firstLine="420"/>
        <w:jc w:val="left"/>
        <w:rPr>
          <w:rFonts w:ascii="宋体" w:hAnsi="宋体" w:cs="宋体"/>
          <w:sz w:val="24"/>
        </w:rPr>
      </w:pPr>
      <w:r>
        <w:rPr>
          <w:rFonts w:hint="eastAsia" w:ascii="宋体" w:hAnsi="宋体" w:cs="宋体"/>
          <w:sz w:val="24"/>
        </w:rPr>
        <w:t>2. 响应文件的递交：</w:t>
      </w:r>
    </w:p>
    <w:p>
      <w:pPr>
        <w:shd w:val="clear" w:color="auto" w:fill="FFFFFF"/>
        <w:snapToGrid w:val="0"/>
        <w:spacing w:line="360" w:lineRule="auto"/>
        <w:ind w:firstLine="420"/>
        <w:jc w:val="left"/>
        <w:rPr>
          <w:rFonts w:ascii="宋体" w:hAnsi="宋体" w:cs="宋体"/>
          <w:sz w:val="24"/>
        </w:rPr>
      </w:pPr>
      <w:r>
        <w:rPr>
          <w:rFonts w:hint="eastAsia" w:ascii="宋体" w:hAnsi="宋体" w:cs="宋体"/>
          <w:sz w:val="24"/>
        </w:rPr>
        <w:t>（1）响应文件的递交不得迟于本须知前附表规定的截止时间；</w:t>
      </w:r>
    </w:p>
    <w:p>
      <w:pPr>
        <w:shd w:val="clear" w:color="auto" w:fill="FFFFFF"/>
        <w:snapToGrid w:val="0"/>
        <w:spacing w:line="360" w:lineRule="auto"/>
        <w:ind w:firstLine="420"/>
        <w:jc w:val="left"/>
        <w:rPr>
          <w:rFonts w:ascii="宋体" w:hAnsi="宋体" w:cs="宋体"/>
          <w:sz w:val="24"/>
        </w:rPr>
      </w:pPr>
      <w:r>
        <w:rPr>
          <w:rFonts w:hint="eastAsia" w:ascii="宋体" w:hAnsi="宋体" w:cs="宋体"/>
          <w:sz w:val="24"/>
        </w:rPr>
        <w:t>（2）供应商必须在规定时间内将响应文件送到本须知前附表规定地点，超过谈判截止时间送达的响应文件将不予受理；</w:t>
      </w:r>
    </w:p>
    <w:p>
      <w:pPr>
        <w:shd w:val="clear" w:color="auto" w:fill="FFFFFF"/>
        <w:snapToGrid w:val="0"/>
        <w:spacing w:line="360" w:lineRule="auto"/>
        <w:ind w:firstLine="420"/>
        <w:jc w:val="left"/>
        <w:rPr>
          <w:rFonts w:ascii="宋体" w:hAnsi="宋体" w:cs="宋体"/>
          <w:sz w:val="24"/>
        </w:rPr>
      </w:pPr>
      <w:r>
        <w:rPr>
          <w:rFonts w:hint="eastAsia" w:ascii="宋体" w:hAnsi="宋体" w:cs="宋体"/>
          <w:sz w:val="24"/>
        </w:rPr>
        <w:t>（3）响应文件的递交由供应商的法定代表人或被授权代表凭有效证明资料亲自递交，资料不齐或不合格的，该响应文件将被拒绝接收：</w:t>
      </w:r>
    </w:p>
    <w:p>
      <w:pPr>
        <w:shd w:val="clear" w:color="auto" w:fill="FFFFFF"/>
        <w:snapToGrid w:val="0"/>
        <w:spacing w:line="360" w:lineRule="auto"/>
        <w:ind w:firstLine="42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被授权代表为法定代表人的，须出示其有效身份证原件、法定代表人身份证明材料原件等有效证明资料；</w:t>
      </w:r>
    </w:p>
    <w:p>
      <w:pPr>
        <w:shd w:val="clear" w:color="auto" w:fill="FFFFFF"/>
        <w:snapToGrid w:val="0"/>
        <w:spacing w:line="360" w:lineRule="auto"/>
        <w:ind w:firstLine="42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被授权代表为非法定代表人的，须出示其有效身份证原件、法定代表人授权委托书原件等有效证明资料。</w:t>
      </w:r>
    </w:p>
    <w:p>
      <w:pPr>
        <w:shd w:val="clear" w:color="auto" w:fill="FFFFFF"/>
        <w:snapToGrid w:val="0"/>
        <w:spacing w:line="360" w:lineRule="auto"/>
        <w:ind w:firstLine="420"/>
        <w:jc w:val="left"/>
        <w:rPr>
          <w:rFonts w:ascii="宋体" w:hAnsi="宋体" w:cs="宋体"/>
          <w:sz w:val="24"/>
        </w:rPr>
      </w:pPr>
      <w:r>
        <w:rPr>
          <w:rFonts w:hint="eastAsia" w:ascii="宋体" w:hAnsi="宋体" w:cs="宋体"/>
          <w:sz w:val="24"/>
        </w:rPr>
        <w:t>3. 响应文件的修改或撤回：</w:t>
      </w:r>
    </w:p>
    <w:p>
      <w:pPr>
        <w:shd w:val="clear" w:color="auto" w:fill="FFFFFF"/>
        <w:snapToGrid w:val="0"/>
        <w:spacing w:line="360" w:lineRule="auto"/>
        <w:ind w:firstLine="420"/>
        <w:jc w:val="left"/>
        <w:rPr>
          <w:rFonts w:ascii="宋体" w:hAnsi="宋体" w:cs="宋体"/>
          <w:sz w:val="24"/>
        </w:rPr>
      </w:pPr>
      <w:r>
        <w:rPr>
          <w:rFonts w:hint="eastAsia" w:ascii="宋体" w:hAnsi="宋体" w:cs="宋体"/>
          <w:sz w:val="24"/>
        </w:rPr>
        <w:t>供应商在谈判截止时间之前，可以对已提交的响应文件进行修改或撤回，并书面通知招标采购单位；谈判截止时间后，供应商不得撤回、修改响应文件。修改后重新递交的响应文件应当按本采购文件的要求签署、盖章和密封。</w:t>
      </w:r>
    </w:p>
    <w:p>
      <w:pPr>
        <w:shd w:val="clear" w:color="auto" w:fill="FFFFFF"/>
        <w:snapToGrid w:val="0"/>
        <w:spacing w:line="360" w:lineRule="auto"/>
        <w:ind w:firstLine="472" w:firstLineChars="196"/>
        <w:outlineLvl w:val="2"/>
        <w:rPr>
          <w:rFonts w:ascii="宋体" w:hAnsi="宋体" w:cs="宋体"/>
          <w:b/>
          <w:sz w:val="24"/>
        </w:rPr>
      </w:pPr>
      <w:bookmarkStart w:id="187" w:name="_Toc301424927"/>
      <w:bookmarkStart w:id="188" w:name="_Toc293863052"/>
      <w:bookmarkStart w:id="189" w:name="_Toc326217546"/>
      <w:bookmarkStart w:id="190" w:name="_Toc293863319"/>
      <w:bookmarkStart w:id="191" w:name="_Toc254970543"/>
      <w:bookmarkStart w:id="192" w:name="_Toc18548"/>
      <w:bookmarkStart w:id="193" w:name="_Toc254970684"/>
      <w:r>
        <w:rPr>
          <w:rFonts w:hint="eastAsia" w:ascii="宋体" w:hAnsi="宋体" w:cs="宋体"/>
          <w:b/>
          <w:sz w:val="24"/>
        </w:rPr>
        <w:t>（八）谈判无效的情形</w:t>
      </w:r>
      <w:bookmarkEnd w:id="187"/>
      <w:bookmarkEnd w:id="188"/>
      <w:bookmarkEnd w:id="189"/>
      <w:bookmarkEnd w:id="190"/>
      <w:bookmarkEnd w:id="191"/>
      <w:bookmarkEnd w:id="192"/>
      <w:bookmarkEnd w:id="193"/>
    </w:p>
    <w:p>
      <w:pPr>
        <w:shd w:val="clear" w:color="auto" w:fill="FFFFFF"/>
        <w:snapToGrid w:val="0"/>
        <w:spacing w:line="360" w:lineRule="auto"/>
        <w:ind w:firstLine="480" w:firstLineChars="200"/>
        <w:rPr>
          <w:rFonts w:ascii="宋体" w:hAnsi="宋体" w:cs="宋体"/>
          <w:bCs/>
          <w:sz w:val="24"/>
        </w:rPr>
      </w:pPr>
      <w:r>
        <w:rPr>
          <w:rFonts w:hint="eastAsia" w:ascii="宋体" w:hAnsi="宋体" w:cs="宋体"/>
          <w:bCs/>
          <w:sz w:val="24"/>
        </w:rPr>
        <w:t>实质上没有响应采购文件要求的谈判将被视为无效谈判。供应商不得通过修正或撤销不合要求的偏离从而使其谈判成为实质上响应的谈判，但经评审委员会认定属于供应商疏忽、笔误所造成的差错，应当允许其在评审结束之前进行修改或者补正（可以是复印件、传真件等，原件必须加盖单位公章）。修改或者补正响应文件必须以书面形式进行，并应在成交结果公告之前查核原件。限期内不补正或经补正后仍不符合采购文件要求的，应认定其谈判无效。供应商修改、补正响应文件后，不影响评审委员会对其响应文件所作的评价和评分结果。</w:t>
      </w:r>
    </w:p>
    <w:p>
      <w:pPr>
        <w:shd w:val="clear" w:color="auto" w:fill="FFFFFF"/>
        <w:snapToGrid w:val="0"/>
        <w:spacing w:line="360" w:lineRule="auto"/>
        <w:ind w:firstLine="472" w:firstLineChars="196"/>
        <w:rPr>
          <w:rFonts w:ascii="宋体" w:hAnsi="宋体" w:cs="宋体"/>
          <w:b/>
          <w:bCs/>
          <w:sz w:val="24"/>
        </w:rPr>
      </w:pPr>
      <w:r>
        <w:rPr>
          <w:rFonts w:hint="eastAsia" w:ascii="宋体" w:hAnsi="宋体" w:cs="宋体"/>
          <w:b/>
          <w:bCs/>
          <w:sz w:val="24"/>
        </w:rPr>
        <w:t>1. 在符合性审查和资格性审查时，如发现下列情形之一的，响应文件将被视为无效：</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（1）超越了按照法律法规规定必须获得行政许可或者行政审批的经营范围的；</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（2）资格证明文件不全的，或者不符合采购文件标明的资格要求的；</w:t>
      </w:r>
    </w:p>
    <w:p>
      <w:pPr>
        <w:shd w:val="clear" w:color="auto" w:fill="FFFFFF"/>
        <w:snapToGrid w:val="0"/>
        <w:spacing w:line="360" w:lineRule="auto"/>
        <w:ind w:firstLine="470" w:firstLineChars="196"/>
        <w:rPr>
          <w:rFonts w:ascii="宋体" w:hAnsi="宋体" w:cs="宋体"/>
          <w:bCs/>
          <w:kern w:val="0"/>
          <w:sz w:val="24"/>
        </w:rPr>
      </w:pPr>
      <w:r>
        <w:rPr>
          <w:rFonts w:hint="eastAsia" w:ascii="宋体" w:hAnsi="宋体" w:cs="宋体"/>
          <w:sz w:val="24"/>
        </w:rPr>
        <w:t>（3）响应文件无法定代表人或委托代理人签字，或未</w:t>
      </w:r>
      <w:r>
        <w:rPr>
          <w:rFonts w:hint="eastAsia" w:ascii="宋体" w:hAnsi="宋体" w:cs="宋体"/>
          <w:bCs/>
          <w:kern w:val="0"/>
          <w:sz w:val="24"/>
        </w:rPr>
        <w:t>提供法定代表人授权委托书（</w:t>
      </w:r>
      <w:r>
        <w:rPr>
          <w:rFonts w:hint="eastAsia" w:ascii="宋体" w:hAnsi="宋体" w:cs="宋体"/>
          <w:sz w:val="24"/>
        </w:rPr>
        <w:t>委托代理时提供）</w:t>
      </w:r>
      <w:r>
        <w:rPr>
          <w:rFonts w:hint="eastAsia" w:ascii="宋体" w:hAnsi="宋体" w:cs="宋体"/>
          <w:bCs/>
          <w:kern w:val="0"/>
          <w:sz w:val="24"/>
        </w:rPr>
        <w:t>、谈判声明书或者填写项目不齐全的；</w:t>
      </w:r>
    </w:p>
    <w:p>
      <w:pPr>
        <w:shd w:val="clear" w:color="auto" w:fill="FFFFFF"/>
        <w:snapToGrid w:val="0"/>
        <w:spacing w:line="360" w:lineRule="auto"/>
        <w:ind w:firstLine="470" w:firstLineChars="196"/>
        <w:rPr>
          <w:rFonts w:ascii="宋体" w:hAnsi="宋体" w:cs="宋体"/>
          <w:bCs/>
          <w:kern w:val="0"/>
          <w:sz w:val="24"/>
        </w:rPr>
      </w:pPr>
      <w:r>
        <w:rPr>
          <w:rFonts w:hint="eastAsia" w:ascii="宋体" w:hAnsi="宋体" w:cs="宋体"/>
          <w:bCs/>
          <w:kern w:val="0"/>
          <w:sz w:val="24"/>
        </w:rPr>
        <w:t>（4）未按采购文件规定要求密封、签署、盖章的；</w:t>
      </w:r>
    </w:p>
    <w:p>
      <w:pPr>
        <w:shd w:val="clear" w:color="auto" w:fill="FFFFFF"/>
        <w:snapToGrid w:val="0"/>
        <w:spacing w:line="360" w:lineRule="auto"/>
        <w:ind w:firstLine="470" w:firstLineChars="196"/>
        <w:rPr>
          <w:rFonts w:ascii="宋体" w:hAnsi="宋体" w:cs="宋体"/>
          <w:bCs/>
          <w:kern w:val="0"/>
          <w:sz w:val="24"/>
        </w:rPr>
      </w:pPr>
      <w:r>
        <w:rPr>
          <w:rFonts w:hint="eastAsia" w:ascii="宋体" w:hAnsi="宋体" w:cs="宋体"/>
          <w:bCs/>
          <w:kern w:val="0"/>
          <w:sz w:val="24"/>
        </w:rPr>
        <w:t>（5）响应文件未按本章第三项第（一）点的规定编写和提供的（包括缺少应提供的文件或格式不符合第六章</w:t>
      </w:r>
      <w:r>
        <w:rPr>
          <w:rFonts w:hint="eastAsia" w:ascii="宋体" w:hAnsi="宋体" w:cs="宋体"/>
          <w:sz w:val="24"/>
        </w:rPr>
        <w:t>“</w:t>
      </w:r>
      <w:r>
        <w:rPr>
          <w:rFonts w:hint="eastAsia" w:ascii="宋体" w:hAnsi="宋体" w:cs="宋体"/>
          <w:bCs/>
          <w:kern w:val="0"/>
          <w:sz w:val="24"/>
        </w:rPr>
        <w:t>响应文件格式”的要求）</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 xml:space="preserve">（6）谈判代表人未能出具身份证明或与法定代表人授权委托人身份不符的； </w:t>
      </w:r>
    </w:p>
    <w:p>
      <w:pPr>
        <w:pStyle w:val="21"/>
        <w:shd w:val="clear" w:color="auto" w:fill="FFFFFF"/>
        <w:snapToGrid w:val="0"/>
        <w:spacing w:line="360" w:lineRule="auto"/>
        <w:ind w:firstLine="470" w:firstLineChars="196"/>
        <w:rPr>
          <w:rFonts w:ascii="宋体" w:hAnsi="宋体" w:eastAsia="宋体" w:cs="宋体"/>
          <w:snapToGrid w:val="0"/>
          <w:sz w:val="24"/>
          <w:szCs w:val="24"/>
        </w:rPr>
      </w:pPr>
      <w:r>
        <w:rPr>
          <w:rFonts w:hint="eastAsia" w:ascii="宋体" w:hAnsi="宋体" w:eastAsia="宋体" w:cs="宋体"/>
          <w:sz w:val="24"/>
          <w:szCs w:val="24"/>
        </w:rPr>
        <w:t>（</w:t>
      </w:r>
      <w:r>
        <w:rPr>
          <w:rFonts w:hint="eastAsia" w:ascii="宋体" w:hAnsi="宋体" w:eastAsia="宋体" w:cs="宋体"/>
          <w:snapToGrid w:val="0"/>
          <w:sz w:val="24"/>
          <w:szCs w:val="24"/>
        </w:rPr>
        <w:t>7）</w:t>
      </w:r>
      <w:r>
        <w:rPr>
          <w:rFonts w:hint="eastAsia" w:ascii="宋体" w:hAnsi="宋体" w:eastAsia="宋体" w:cs="宋体"/>
          <w:sz w:val="24"/>
          <w:szCs w:val="24"/>
        </w:rPr>
        <w:t>项目不齐全或者内容虚假的；</w:t>
      </w:r>
    </w:p>
    <w:p>
      <w:pPr>
        <w:pStyle w:val="21"/>
        <w:shd w:val="clear" w:color="auto" w:fill="FFFFFF"/>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（8）响应文件的实质性内容未使用中文表述、意思表述不明确、前后矛盾或者使用计量单位不符合采购文件要求的（经评审委员会认定并允许其当场更正的笔误除外）；</w:t>
      </w:r>
    </w:p>
    <w:p>
      <w:pPr>
        <w:pStyle w:val="21"/>
        <w:shd w:val="clear" w:color="auto" w:fill="FFFFFF"/>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（9）未实质性响应采购文件成交</w:t>
      </w:r>
      <w:r>
        <w:rPr>
          <w:rFonts w:hint="eastAsia" w:ascii="宋体" w:hAnsi="宋体" w:eastAsia="宋体" w:cs="宋体"/>
          <w:sz w:val="24"/>
        </w:rPr>
        <w:t>“</w:t>
      </w:r>
      <w:r>
        <w:rPr>
          <w:rFonts w:hint="eastAsia" w:ascii="宋体" w:hAnsi="宋体" w:eastAsia="宋体" w:cs="宋体"/>
          <w:sz w:val="24"/>
          <w:szCs w:val="24"/>
        </w:rPr>
        <w:t>▲”的商务条款要求的；</w:t>
      </w:r>
    </w:p>
    <w:p>
      <w:pPr>
        <w:pStyle w:val="21"/>
        <w:shd w:val="clear" w:color="auto" w:fill="FFFFFF"/>
        <w:snapToGrid w:val="0"/>
        <w:spacing w:line="360" w:lineRule="auto"/>
        <w:ind w:firstLine="470" w:firstLineChars="196"/>
        <w:rPr>
          <w:rFonts w:ascii="宋体" w:hAnsi="宋体" w:eastAsia="宋体" w:cs="宋体"/>
          <w:snapToGrid w:val="0"/>
          <w:sz w:val="24"/>
          <w:szCs w:val="24"/>
        </w:rPr>
      </w:pPr>
      <w:r>
        <w:rPr>
          <w:rFonts w:hint="eastAsia" w:ascii="宋体" w:hAnsi="宋体" w:eastAsia="宋体" w:cs="宋体"/>
          <w:sz w:val="24"/>
          <w:szCs w:val="24"/>
        </w:rPr>
        <w:t>（</w:t>
      </w:r>
      <w:r>
        <w:rPr>
          <w:rFonts w:hint="eastAsia" w:ascii="宋体" w:hAnsi="宋体" w:eastAsia="宋体" w:cs="宋体"/>
          <w:snapToGrid w:val="0"/>
          <w:sz w:val="24"/>
          <w:szCs w:val="24"/>
        </w:rPr>
        <w:t>10）谈判有效期、交货时间、质保期等商务条款不能满足采购文件要求的；</w:t>
      </w:r>
    </w:p>
    <w:p>
      <w:pPr>
        <w:pStyle w:val="21"/>
        <w:shd w:val="clear" w:color="auto" w:fill="FFFFFF"/>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（11）未实质性响应采购文件要求或者响应文件有采购人不能接受的附加条件的。</w:t>
      </w:r>
    </w:p>
    <w:p>
      <w:pPr>
        <w:pStyle w:val="21"/>
        <w:shd w:val="clear" w:color="auto" w:fill="FFFFFF"/>
        <w:snapToGrid w:val="0"/>
        <w:spacing w:line="360" w:lineRule="auto"/>
        <w:ind w:firstLine="472" w:firstLineChars="196"/>
        <w:rPr>
          <w:rFonts w:ascii="宋体" w:hAnsi="宋体" w:eastAsia="宋体" w:cs="宋体"/>
          <w:b/>
          <w:bCs/>
          <w:sz w:val="24"/>
          <w:szCs w:val="24"/>
        </w:rPr>
      </w:pPr>
      <w:r>
        <w:rPr>
          <w:rFonts w:hint="eastAsia" w:ascii="宋体" w:hAnsi="宋体" w:eastAsia="宋体" w:cs="宋体"/>
          <w:b/>
          <w:bCs/>
          <w:sz w:val="24"/>
          <w:szCs w:val="24"/>
        </w:rPr>
        <w:t>2. 在技术评审时，如发现下列情形之一的，响应文件将被视为无效：</w:t>
      </w:r>
    </w:p>
    <w:p>
      <w:pPr>
        <w:pStyle w:val="21"/>
        <w:shd w:val="clear" w:color="auto" w:fill="FFFFFF"/>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2"/>
          <w:sz w:val="24"/>
          <w:szCs w:val="24"/>
        </w:rPr>
        <w:t>响应文件标明的响应或偏离与事实不符或虚假响应的；</w:t>
      </w:r>
    </w:p>
    <w:p>
      <w:pPr>
        <w:pStyle w:val="21"/>
        <w:shd w:val="clear" w:color="auto" w:fill="FFFFFF"/>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（2）与其他参加本次谈判供应商的响应文件（技术文件）的差错相同二处以上的。</w:t>
      </w:r>
    </w:p>
    <w:p>
      <w:pPr>
        <w:pStyle w:val="21"/>
        <w:shd w:val="clear" w:color="auto" w:fill="FFFFFF"/>
        <w:snapToGrid w:val="0"/>
        <w:spacing w:line="360" w:lineRule="auto"/>
        <w:ind w:firstLine="472" w:firstLineChars="196"/>
        <w:rPr>
          <w:rFonts w:ascii="宋体" w:hAnsi="宋体" w:eastAsia="宋体" w:cs="宋体"/>
          <w:b/>
          <w:bCs/>
          <w:sz w:val="24"/>
          <w:szCs w:val="24"/>
        </w:rPr>
      </w:pPr>
      <w:r>
        <w:rPr>
          <w:rFonts w:hint="eastAsia" w:ascii="宋体" w:hAnsi="宋体" w:eastAsia="宋体" w:cs="宋体"/>
          <w:b/>
          <w:bCs/>
          <w:sz w:val="24"/>
          <w:szCs w:val="24"/>
        </w:rPr>
        <w:t>3. 在报价评审时，如发现下列情形之一的，响应文件将被视为无效：</w:t>
      </w:r>
    </w:p>
    <w:p>
      <w:pPr>
        <w:pStyle w:val="21"/>
        <w:shd w:val="clear" w:color="auto" w:fill="FFFFFF"/>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（1）未采用人民币报价或者未按照采购文件标明的币种报价的；</w:t>
      </w:r>
    </w:p>
    <w:p>
      <w:pPr>
        <w:pStyle w:val="21"/>
        <w:shd w:val="clear" w:color="auto" w:fill="FFFFFF"/>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（2）最终报价超出最高限价，或者超出采购预算金额，采购人不能支付的；</w:t>
      </w:r>
    </w:p>
    <w:p>
      <w:pPr>
        <w:pStyle w:val="21"/>
        <w:shd w:val="clear" w:color="auto" w:fill="FFFFFF"/>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（3）谈判报价具有选择性，或者开标价格与响应文件承诺的优惠（折扣）价格不一致的；</w:t>
      </w:r>
    </w:p>
    <w:p>
      <w:pPr>
        <w:pStyle w:val="21"/>
        <w:shd w:val="clear" w:color="auto" w:fill="FFFFFF"/>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（4）供应商未就所投分标（如有）的全部内容作完整唯一报价的，或有漏项报价的或有选择的或有条件的报价的。</w:t>
      </w:r>
    </w:p>
    <w:p>
      <w:pPr>
        <w:pStyle w:val="21"/>
        <w:shd w:val="clear" w:color="auto" w:fill="FFFFFF"/>
        <w:snapToGrid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4. 被拒绝的响应文件为无效。</w:t>
      </w:r>
    </w:p>
    <w:p>
      <w:pPr>
        <w:pStyle w:val="27"/>
        <w:shd w:val="clear" w:color="auto" w:fill="FFFFFF"/>
        <w:snapToGrid w:val="0"/>
        <w:spacing w:line="360" w:lineRule="auto"/>
        <w:ind w:left="802" w:leftChars="267" w:hanging="241" w:hangingChars="100"/>
        <w:outlineLvl w:val="1"/>
        <w:rPr>
          <w:rFonts w:hAnsi="宋体" w:cs="宋体"/>
          <w:b/>
          <w:sz w:val="24"/>
          <w:szCs w:val="24"/>
        </w:rPr>
      </w:pPr>
      <w:bookmarkStart w:id="194" w:name="_Toc32766"/>
      <w:bookmarkStart w:id="195" w:name="_Toc293863053"/>
      <w:bookmarkStart w:id="196" w:name="_Toc326217547"/>
      <w:bookmarkStart w:id="197" w:name="_Toc254970544"/>
      <w:bookmarkStart w:id="198" w:name="_Toc301424928"/>
      <w:bookmarkStart w:id="199" w:name="_Toc254970685"/>
      <w:bookmarkStart w:id="200" w:name="_Toc293863320"/>
    </w:p>
    <w:p>
      <w:pPr>
        <w:pStyle w:val="27"/>
        <w:shd w:val="clear" w:color="auto" w:fill="FFFFFF"/>
        <w:snapToGrid w:val="0"/>
        <w:spacing w:line="360" w:lineRule="auto"/>
        <w:ind w:firstLine="472" w:firstLineChars="196"/>
        <w:jc w:val="center"/>
        <w:outlineLvl w:val="0"/>
        <w:rPr>
          <w:rFonts w:hAnsi="宋体" w:cs="宋体"/>
          <w:b/>
          <w:sz w:val="24"/>
          <w:szCs w:val="24"/>
        </w:rPr>
      </w:pPr>
      <w:bookmarkStart w:id="201" w:name="_Toc18096"/>
      <w:bookmarkStart w:id="202" w:name="_Toc23799"/>
      <w:bookmarkStart w:id="203" w:name="_Toc27410"/>
      <w:r>
        <w:rPr>
          <w:rFonts w:hint="eastAsia" w:hAnsi="宋体" w:cs="宋体"/>
          <w:b/>
          <w:sz w:val="24"/>
          <w:szCs w:val="24"/>
        </w:rPr>
        <w:t>四、谈判小组组成及谈判时间、地点、人员</w:t>
      </w:r>
      <w:bookmarkEnd w:id="194"/>
      <w:bookmarkEnd w:id="201"/>
      <w:bookmarkEnd w:id="202"/>
      <w:bookmarkEnd w:id="203"/>
    </w:p>
    <w:p>
      <w:pPr>
        <w:pStyle w:val="27"/>
        <w:shd w:val="clear" w:color="auto" w:fill="FFFFFF"/>
        <w:snapToGrid w:val="0"/>
        <w:spacing w:line="360" w:lineRule="auto"/>
        <w:ind w:left="720" w:leftChars="228" w:hanging="241" w:hangingChars="100"/>
        <w:rPr>
          <w:rFonts w:hAnsi="宋体" w:cs="宋体"/>
          <w:b/>
          <w:sz w:val="24"/>
          <w:szCs w:val="24"/>
        </w:rPr>
      </w:pPr>
      <w:r>
        <w:rPr>
          <w:rFonts w:hint="eastAsia" w:hAnsi="宋体" w:cs="宋体"/>
          <w:b/>
          <w:sz w:val="24"/>
          <w:szCs w:val="24"/>
        </w:rPr>
        <w:t>（一）谈判小组组成</w:t>
      </w:r>
    </w:p>
    <w:p>
      <w:pPr>
        <w:pStyle w:val="27"/>
        <w:shd w:val="clear" w:color="auto" w:fill="FFFFFF"/>
        <w:snapToGrid w:val="0"/>
        <w:spacing w:line="360" w:lineRule="auto"/>
        <w:ind w:firstLine="480" w:firstLineChars="200"/>
        <w:rPr>
          <w:rFonts w:hAnsi="宋体" w:cs="宋体"/>
          <w:sz w:val="24"/>
          <w:szCs w:val="24"/>
        </w:rPr>
      </w:pPr>
      <w:r>
        <w:rPr>
          <w:rFonts w:hint="eastAsia" w:hAnsi="宋体" w:cs="宋体"/>
          <w:sz w:val="24"/>
          <w:szCs w:val="24"/>
        </w:rPr>
        <w:t>本项目的谈判小组的成员由采购人代表和有关专家组成，人数为三人（含三人）以上单数。</w:t>
      </w:r>
    </w:p>
    <w:p>
      <w:pPr>
        <w:pStyle w:val="27"/>
        <w:shd w:val="clear" w:color="auto" w:fill="FFFFFF"/>
        <w:snapToGrid w:val="0"/>
        <w:spacing w:line="360" w:lineRule="auto"/>
        <w:ind w:left="720" w:leftChars="228" w:hanging="241" w:hangingChars="100"/>
        <w:rPr>
          <w:rFonts w:hAnsi="宋体" w:cs="宋体"/>
          <w:b/>
          <w:sz w:val="24"/>
          <w:szCs w:val="24"/>
        </w:rPr>
      </w:pPr>
      <w:r>
        <w:rPr>
          <w:rFonts w:hint="eastAsia" w:hAnsi="宋体" w:cs="宋体"/>
          <w:b/>
          <w:sz w:val="24"/>
          <w:szCs w:val="24"/>
        </w:rPr>
        <w:t>（二）谈判时间、地点、人员</w:t>
      </w:r>
    </w:p>
    <w:p>
      <w:pPr>
        <w:pStyle w:val="27"/>
        <w:shd w:val="clear" w:color="auto" w:fill="FFFFFF"/>
        <w:snapToGrid w:val="0"/>
        <w:spacing w:line="360" w:lineRule="auto"/>
        <w:ind w:firstLine="480" w:firstLineChars="200"/>
        <w:rPr>
          <w:rFonts w:hAnsi="宋体" w:cs="宋体"/>
          <w:sz w:val="24"/>
          <w:szCs w:val="24"/>
        </w:rPr>
      </w:pPr>
      <w:r>
        <w:rPr>
          <w:rFonts w:hint="eastAsia" w:hAnsi="宋体" w:cs="宋体"/>
          <w:sz w:val="24"/>
          <w:szCs w:val="24"/>
        </w:rPr>
        <w:t>具体的谈判时间、地点、人员见谈判须知前附表，参加谈判的法定代表人或委托代理人必须持证件（法定代表人凭身份证或委托代理人凭法人授权委托书和身份证）依时到达指定地点等候当面谈判。</w:t>
      </w:r>
    </w:p>
    <w:p>
      <w:pPr>
        <w:pStyle w:val="27"/>
        <w:shd w:val="clear" w:color="auto" w:fill="FFFFFF"/>
        <w:snapToGrid w:val="0"/>
        <w:spacing w:line="360" w:lineRule="auto"/>
        <w:ind w:firstLine="482" w:firstLineChars="200"/>
        <w:rPr>
          <w:rFonts w:hAnsi="宋体" w:cs="宋体"/>
          <w:b/>
          <w:sz w:val="24"/>
          <w:szCs w:val="24"/>
        </w:rPr>
      </w:pPr>
      <w:r>
        <w:rPr>
          <w:rFonts w:hint="eastAsia" w:hAnsi="宋体" w:cs="宋体"/>
          <w:b/>
          <w:sz w:val="24"/>
          <w:szCs w:val="24"/>
        </w:rPr>
        <w:t>（四）评委表决</w:t>
      </w:r>
    </w:p>
    <w:p>
      <w:pPr>
        <w:pStyle w:val="27"/>
        <w:shd w:val="clear" w:color="auto" w:fill="FFFFFF"/>
        <w:snapToGrid w:val="0"/>
        <w:spacing w:line="360" w:lineRule="auto"/>
        <w:ind w:firstLine="482" w:firstLineChars="200"/>
        <w:rPr>
          <w:rFonts w:hAnsi="宋体" w:cs="宋体"/>
          <w:b/>
          <w:sz w:val="24"/>
          <w:szCs w:val="24"/>
        </w:rPr>
      </w:pPr>
      <w:r>
        <w:rPr>
          <w:rFonts w:hint="eastAsia" w:hAnsi="宋体" w:cs="宋体"/>
          <w:b/>
          <w:sz w:val="24"/>
          <w:szCs w:val="24"/>
        </w:rPr>
        <w:t>在评审过程中出现法律法规和采购文件均没有明确规定的情形时，由谈判小组现场协商解决，协商不一致的，由全体评委投票表决，以得票率二分之一以上专家的意见为准。</w:t>
      </w:r>
    </w:p>
    <w:p>
      <w:pPr>
        <w:pStyle w:val="27"/>
        <w:shd w:val="clear" w:color="auto" w:fill="FFFFFF"/>
        <w:tabs>
          <w:tab w:val="left" w:pos="630"/>
        </w:tabs>
        <w:snapToGrid w:val="0"/>
        <w:spacing w:line="360" w:lineRule="auto"/>
        <w:ind w:firstLine="472" w:firstLineChars="196"/>
        <w:rPr>
          <w:rFonts w:hAnsi="宋体" w:cs="宋体"/>
          <w:b/>
          <w:sz w:val="24"/>
          <w:szCs w:val="24"/>
        </w:rPr>
      </w:pPr>
    </w:p>
    <w:p>
      <w:pPr>
        <w:pStyle w:val="27"/>
        <w:shd w:val="clear" w:color="auto" w:fill="FFFFFF"/>
        <w:tabs>
          <w:tab w:val="left" w:pos="630"/>
        </w:tabs>
        <w:snapToGrid w:val="0"/>
        <w:spacing w:line="360" w:lineRule="auto"/>
        <w:ind w:firstLine="472" w:firstLineChars="196"/>
        <w:jc w:val="center"/>
        <w:outlineLvl w:val="0"/>
        <w:rPr>
          <w:rFonts w:hAnsi="宋体" w:cs="宋体"/>
          <w:b/>
          <w:sz w:val="24"/>
          <w:szCs w:val="24"/>
        </w:rPr>
      </w:pPr>
      <w:bookmarkStart w:id="204" w:name="_Toc23710"/>
      <w:bookmarkStart w:id="205" w:name="_Toc24331"/>
      <w:bookmarkStart w:id="206" w:name="_Toc28767"/>
      <w:r>
        <w:rPr>
          <w:rFonts w:hint="eastAsia" w:hAnsi="宋体" w:cs="宋体"/>
          <w:b/>
          <w:sz w:val="24"/>
          <w:szCs w:val="24"/>
        </w:rPr>
        <w:t>五、评审原则和评审办法</w:t>
      </w:r>
      <w:bookmarkEnd w:id="204"/>
      <w:bookmarkEnd w:id="205"/>
      <w:bookmarkEnd w:id="206"/>
    </w:p>
    <w:p>
      <w:pPr>
        <w:pStyle w:val="27"/>
        <w:shd w:val="clear" w:color="auto" w:fill="FFFFFF"/>
        <w:snapToGrid w:val="0"/>
        <w:spacing w:line="360" w:lineRule="auto"/>
        <w:ind w:firstLine="480" w:firstLineChars="200"/>
        <w:rPr>
          <w:rFonts w:hAnsi="宋体" w:cs="宋体"/>
          <w:sz w:val="24"/>
          <w:szCs w:val="24"/>
        </w:rPr>
      </w:pPr>
      <w:r>
        <w:rPr>
          <w:rFonts w:hint="eastAsia" w:hAnsi="宋体" w:cs="宋体"/>
          <w:sz w:val="24"/>
          <w:szCs w:val="24"/>
        </w:rPr>
        <w:t>1. 评审原则。谈判小组必须公平、公正、客观，不带任何倾向性和启发性；不得向外界透露任何与评审有关的内容；任何单位和个人不得干扰、影响评审的正常进行；谈判小组及有关工作人员不得私下与供应商接触。</w:t>
      </w:r>
    </w:p>
    <w:p>
      <w:pPr>
        <w:pStyle w:val="27"/>
        <w:shd w:val="clear" w:color="auto" w:fill="FFFFFF"/>
        <w:snapToGrid w:val="0"/>
        <w:spacing w:line="360" w:lineRule="auto"/>
        <w:ind w:firstLine="480" w:firstLineChars="200"/>
        <w:rPr>
          <w:rFonts w:hAnsi="宋体" w:cs="宋体"/>
          <w:sz w:val="24"/>
          <w:szCs w:val="24"/>
        </w:rPr>
      </w:pPr>
      <w:r>
        <w:rPr>
          <w:rFonts w:hint="eastAsia" w:hAnsi="宋体" w:cs="宋体"/>
          <w:sz w:val="24"/>
          <w:szCs w:val="24"/>
        </w:rPr>
        <w:t>2. 评审办法。本项目评审办法是综合评分法，具体评审内容及评分标准等详见第四章：评审办法及评分标准。</w:t>
      </w:r>
    </w:p>
    <w:p>
      <w:pPr>
        <w:pStyle w:val="27"/>
        <w:shd w:val="clear" w:color="auto" w:fill="FFFFFF"/>
        <w:snapToGrid w:val="0"/>
        <w:spacing w:line="360" w:lineRule="auto"/>
        <w:ind w:firstLine="480" w:firstLineChars="200"/>
        <w:rPr>
          <w:rFonts w:hAnsi="宋体" w:cs="宋体"/>
          <w:sz w:val="24"/>
          <w:szCs w:val="24"/>
        </w:rPr>
      </w:pPr>
    </w:p>
    <w:p>
      <w:pPr>
        <w:pStyle w:val="27"/>
        <w:shd w:val="clear" w:color="auto" w:fill="FFFFFF"/>
        <w:tabs>
          <w:tab w:val="left" w:pos="630"/>
        </w:tabs>
        <w:snapToGrid w:val="0"/>
        <w:spacing w:line="360" w:lineRule="auto"/>
        <w:ind w:firstLine="472" w:firstLineChars="196"/>
        <w:jc w:val="center"/>
        <w:outlineLvl w:val="0"/>
        <w:rPr>
          <w:rFonts w:hAnsi="宋体" w:cs="宋体"/>
          <w:b/>
          <w:sz w:val="24"/>
          <w:szCs w:val="24"/>
        </w:rPr>
      </w:pPr>
      <w:bookmarkStart w:id="207" w:name="_Toc31404"/>
      <w:bookmarkStart w:id="208" w:name="_Toc8614"/>
      <w:bookmarkStart w:id="209" w:name="_Toc19828"/>
      <w:bookmarkStart w:id="210" w:name="_Toc12300"/>
      <w:r>
        <w:rPr>
          <w:rFonts w:hint="eastAsia" w:hAnsi="宋体" w:cs="宋体"/>
          <w:b/>
          <w:sz w:val="24"/>
          <w:szCs w:val="24"/>
        </w:rPr>
        <w:t>六、</w:t>
      </w:r>
      <w:bookmarkEnd w:id="195"/>
      <w:bookmarkEnd w:id="196"/>
      <w:bookmarkEnd w:id="197"/>
      <w:bookmarkEnd w:id="198"/>
      <w:bookmarkEnd w:id="199"/>
      <w:bookmarkEnd w:id="200"/>
      <w:bookmarkEnd w:id="207"/>
      <w:r>
        <w:rPr>
          <w:rFonts w:hint="eastAsia" w:hAnsi="宋体" w:cs="宋体"/>
          <w:b/>
          <w:sz w:val="24"/>
          <w:szCs w:val="24"/>
        </w:rPr>
        <w:t>响应文件评审及谈判的步骤</w:t>
      </w:r>
      <w:bookmarkEnd w:id="208"/>
      <w:bookmarkEnd w:id="209"/>
      <w:bookmarkEnd w:id="210"/>
    </w:p>
    <w:p>
      <w:pPr>
        <w:pStyle w:val="27"/>
        <w:shd w:val="clear" w:color="auto" w:fill="FFFFFF"/>
        <w:snapToGrid w:val="0"/>
        <w:spacing w:line="360" w:lineRule="auto"/>
        <w:ind w:firstLine="482" w:firstLineChars="200"/>
        <w:rPr>
          <w:rFonts w:hAnsi="宋体" w:cs="宋体"/>
          <w:bCs/>
          <w:sz w:val="24"/>
          <w:szCs w:val="24"/>
        </w:rPr>
      </w:pPr>
      <w:r>
        <w:rPr>
          <w:rFonts w:hint="eastAsia" w:hAnsi="宋体" w:cs="宋体"/>
          <w:b/>
          <w:sz w:val="24"/>
          <w:szCs w:val="24"/>
        </w:rPr>
        <w:t>1.响应文件初审。初审分为资格性审查和符合性审查</w:t>
      </w:r>
      <w:r>
        <w:rPr>
          <w:rFonts w:hint="eastAsia" w:hAnsi="宋体" w:cs="宋体"/>
          <w:bCs/>
          <w:sz w:val="24"/>
          <w:szCs w:val="24"/>
        </w:rPr>
        <w:t>。</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1）资格性审查。依据法律法规和竞争性谈判文件的规定对响应文件的资质证明等进行审查，以确定供应商是否具备谈判资格。它所涉及到的主要文件和内容为谈判文件供应商资格证明文件内容和签章的合格性、 合法性等。如果供应商不具备谈判资格，不满足谈判文件所规定的资格标准或提供资 格证明文件不全的，其响应将被拒绝。</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(2)符合性审查。依据谈判文件的规定，从响应文件的有效性、完整性和对谈判文 件的响应程度进行审查，以确定是否符合对谈判文件的实质性要求作出响应（采购人可根据具体项目的情况对实质性要求作特别的规定）。实质性偏离是指：②实质性影响 合同的范围、质量和履行；②实质性违背谈判文件，限制了采购人的权利和成交人合同项下的义务；③不公正地影响了其它作出实质性响应的供应商的竞争地位。对没有 实质性响应的响应文件将不进行评审，其响应将被拒绝。</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2.谈判小组在对响应文件的资格性审查和符合性审查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谈判小组要求供应商澄清、说明或者更正响应文件应当以书面形式作出。供应商的澄清、说明或者更正应当由法定代表人或其授权代表签字或者加盖公章。由授权代表签字的，应当附法定代表人授权书。</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未实质性响应谈判文件的响应文件按无效响应处理，谈判小组应当告知有关供应商。</w:t>
      </w:r>
    </w:p>
    <w:p>
      <w:pPr>
        <w:pStyle w:val="27"/>
        <w:shd w:val="clear" w:color="auto" w:fill="FFFFFF"/>
        <w:snapToGrid w:val="0"/>
        <w:spacing w:line="360" w:lineRule="auto"/>
        <w:ind w:firstLine="482" w:firstLineChars="200"/>
        <w:rPr>
          <w:rFonts w:hAnsi="宋体" w:cs="宋体"/>
          <w:b/>
          <w:sz w:val="24"/>
          <w:szCs w:val="24"/>
        </w:rPr>
      </w:pPr>
      <w:r>
        <w:rPr>
          <w:rFonts w:hint="eastAsia" w:hAnsi="宋体" w:cs="宋体"/>
          <w:b/>
          <w:sz w:val="24"/>
          <w:szCs w:val="24"/>
        </w:rPr>
        <w:t>3.谈判</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（1）谈判顺序随机。谈判小组所有成员应当集中与单一供应商分别进行谈判，并给予所有参加谈判的供应商平等的谈判机会。</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2）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供应商应当按照谈判文件的变动情况和谈判小组的要求重新提交响应文件（或以谈判记录及 应答文件形式提交），并由其法定代表人或授权代表签字或者加盖公章。由授权代表签字的，应当附法定代表人授权书。谈判中，谈判的任何一方不得透露与谈判有关的其 他供应商的技术资料、价格和其他信息。采购代理机构对谈判过程和重要谈判内容进行记录，谈判双方在记录上签字确认。</w:t>
      </w:r>
    </w:p>
    <w:p>
      <w:pPr>
        <w:pStyle w:val="27"/>
        <w:shd w:val="clear" w:color="auto" w:fill="FFFFFF"/>
        <w:snapToGrid w:val="0"/>
        <w:spacing w:line="360" w:lineRule="auto"/>
        <w:ind w:firstLine="482" w:firstLineChars="200"/>
        <w:rPr>
          <w:rFonts w:hAnsi="宋体" w:cs="宋体"/>
          <w:b/>
          <w:sz w:val="24"/>
          <w:szCs w:val="24"/>
        </w:rPr>
      </w:pPr>
      <w:r>
        <w:rPr>
          <w:rFonts w:hint="eastAsia" w:hAnsi="宋体" w:cs="宋体"/>
          <w:b/>
          <w:sz w:val="24"/>
          <w:szCs w:val="24"/>
        </w:rPr>
        <w:t>4.谈判小组可与供应商进行多轮谈判。</w:t>
      </w:r>
    </w:p>
    <w:p>
      <w:pPr>
        <w:pStyle w:val="27"/>
        <w:shd w:val="clear" w:color="auto" w:fill="FFFFFF"/>
        <w:snapToGrid w:val="0"/>
        <w:spacing w:line="360" w:lineRule="auto"/>
        <w:ind w:firstLine="482" w:firstLineChars="200"/>
        <w:rPr>
          <w:rFonts w:hAnsi="宋体" w:cs="宋体"/>
          <w:b/>
          <w:sz w:val="24"/>
          <w:szCs w:val="24"/>
        </w:rPr>
      </w:pPr>
      <w:r>
        <w:rPr>
          <w:rFonts w:hint="eastAsia" w:hAnsi="宋体" w:cs="宋体"/>
          <w:b/>
          <w:sz w:val="24"/>
          <w:szCs w:val="24"/>
        </w:rPr>
        <w:t>5.最后报价</w:t>
      </w:r>
    </w:p>
    <w:p>
      <w:pPr>
        <w:pStyle w:val="27"/>
        <w:shd w:val="clear" w:color="auto" w:fill="FFFFFF"/>
        <w:snapToGrid w:val="0"/>
        <w:spacing w:line="360" w:lineRule="auto"/>
        <w:ind w:firstLine="480" w:firstLineChars="200"/>
        <w:rPr>
          <w:rFonts w:hAnsi="宋体" w:cs="宋体"/>
          <w:bCs/>
          <w:color w:val="auto"/>
          <w:sz w:val="24"/>
          <w:szCs w:val="24"/>
        </w:rPr>
      </w:pPr>
      <w:r>
        <w:rPr>
          <w:rFonts w:hint="eastAsia" w:hAnsi="宋体" w:cs="宋体"/>
          <w:bCs/>
          <w:sz w:val="24"/>
          <w:szCs w:val="24"/>
        </w:rPr>
        <w:t>（1）谈判文件能够详细列明采购标的的技术、服务要求的，最后一轮谈判结束后，谈判小组应当要求所有实质性响应的供应商在规定时间内密封提交最后报价</w:t>
      </w:r>
      <w:r>
        <w:rPr>
          <w:rFonts w:hint="eastAsia" w:hAnsi="宋体" w:cs="宋体"/>
          <w:bCs/>
          <w:color w:val="auto"/>
          <w:sz w:val="24"/>
          <w:szCs w:val="24"/>
        </w:rPr>
        <w:t>，提交最后报价的供应商不得少于3家。</w:t>
      </w:r>
    </w:p>
    <w:p>
      <w:pPr>
        <w:pStyle w:val="27"/>
        <w:shd w:val="clear" w:color="auto" w:fill="FFFFFF"/>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（2）谈判文件不能详细列明采购标的的技术、服务要求，需经谈判由供应商提供最终方案或解决方案的，最后一轮谈判结束后，谈判小组应当按照少数服从多数的原则投票推荐 3家以上供应商的方案或者解决方案，并要求其在规定时间内密封提交最后报价。</w:t>
      </w:r>
    </w:p>
    <w:p>
      <w:pPr>
        <w:pStyle w:val="27"/>
        <w:shd w:val="clear" w:color="auto" w:fill="FFFFFF"/>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（3）最后报价是供应商响应文件的有效组成部分。</w:t>
      </w:r>
    </w:p>
    <w:p>
      <w:pPr>
        <w:pStyle w:val="27"/>
        <w:shd w:val="clear" w:color="auto" w:fill="FFFFFF"/>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6.最后一轮谈判结束后，谈判小组不得再与供应商进行任何形式的商谈。</w:t>
      </w:r>
    </w:p>
    <w:p>
      <w:pPr>
        <w:pStyle w:val="27"/>
        <w:shd w:val="clear" w:color="auto" w:fill="FFFFFF"/>
        <w:snapToGrid w:val="0"/>
        <w:spacing w:line="360" w:lineRule="auto"/>
        <w:ind w:firstLine="480" w:firstLineChars="200"/>
        <w:rPr>
          <w:rFonts w:hint="eastAsia" w:hAnsi="宋体" w:cs="宋体"/>
          <w:bCs/>
          <w:color w:val="auto"/>
          <w:sz w:val="24"/>
          <w:szCs w:val="24"/>
        </w:rPr>
      </w:pPr>
      <w:r>
        <w:rPr>
          <w:rFonts w:hint="eastAsia" w:hAnsi="宋体" w:cs="宋体"/>
          <w:bCs/>
          <w:color w:val="auto"/>
          <w:sz w:val="24"/>
          <w:szCs w:val="24"/>
        </w:rPr>
        <w:t>7.谈判小组根据满足采购需求和质量服务相等的供应商，按提交最后报价由低到高顺序推荐</w:t>
      </w:r>
      <w:r>
        <w:rPr>
          <w:rFonts w:hint="eastAsia" w:hAnsi="宋体" w:cs="宋体"/>
          <w:bCs/>
          <w:color w:val="auto"/>
          <w:sz w:val="24"/>
          <w:szCs w:val="24"/>
          <w:u w:val="single"/>
        </w:rPr>
        <w:t>3</w:t>
      </w:r>
      <w:r>
        <w:rPr>
          <w:rFonts w:hint="eastAsia" w:hAnsi="宋体" w:cs="宋体"/>
          <w:bCs/>
          <w:color w:val="auto"/>
          <w:sz w:val="24"/>
          <w:szCs w:val="24"/>
        </w:rPr>
        <w:t>名成交候选供应商，并编写评审报告</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8.出现下列情形之一的，采购人或者采购代理机构应当终止竞争性谈判采购活动，发布公告并说明原因，重新开展采购活动：</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（1）因情况变化，不再符合规定的竞争性谈判采购方式适用情形的；</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（2）出现影响采购公正的违法、违规行为的；</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（3）在采购过程中符合要求的供应商或者最后报价未超过采购预算的供应商不足 2 家的。</w:t>
      </w:r>
    </w:p>
    <w:p>
      <w:pPr>
        <w:pStyle w:val="27"/>
        <w:shd w:val="clear" w:color="auto" w:fill="FFFFFF"/>
        <w:snapToGrid w:val="0"/>
        <w:spacing w:line="360" w:lineRule="auto"/>
        <w:ind w:firstLine="480" w:firstLineChars="200"/>
        <w:rPr>
          <w:rFonts w:hAnsi="宋体" w:cs="宋体"/>
          <w:sz w:val="24"/>
          <w:szCs w:val="24"/>
        </w:rPr>
      </w:pPr>
      <w:r>
        <w:rPr>
          <w:rFonts w:hint="eastAsia" w:hAnsi="宋体" w:cs="宋体"/>
          <w:bCs/>
          <w:sz w:val="24"/>
          <w:szCs w:val="24"/>
        </w:rPr>
        <w:t>9.</w:t>
      </w:r>
      <w:r>
        <w:rPr>
          <w:rFonts w:hint="eastAsia" w:hAnsi="宋体" w:cs="宋体"/>
          <w:b/>
          <w:sz w:val="24"/>
          <w:szCs w:val="24"/>
        </w:rPr>
        <w:t>错误修正：</w:t>
      </w:r>
      <w:r>
        <w:rPr>
          <w:rFonts w:hint="eastAsia" w:hAnsi="宋体" w:cs="宋体"/>
          <w:sz w:val="24"/>
          <w:szCs w:val="24"/>
        </w:rPr>
        <w:t>谈判报价表如果出现计算或表达上的错误，修正错误的原则如下：</w:t>
      </w:r>
    </w:p>
    <w:p>
      <w:pPr>
        <w:pStyle w:val="27"/>
        <w:shd w:val="clear" w:color="auto" w:fill="FFFFFF"/>
        <w:snapToGrid w:val="0"/>
        <w:spacing w:line="360" w:lineRule="auto"/>
        <w:ind w:firstLine="480" w:firstLineChars="200"/>
        <w:rPr>
          <w:rFonts w:hAnsi="宋体" w:cs="宋体"/>
          <w:sz w:val="24"/>
          <w:szCs w:val="24"/>
        </w:rPr>
      </w:pPr>
      <w:r>
        <w:rPr>
          <w:rFonts w:hint="eastAsia" w:hAnsi="宋体" w:cs="宋体"/>
          <w:sz w:val="24"/>
          <w:szCs w:val="24"/>
        </w:rPr>
        <w:t>（1）响应文件的大写金额和小写金额不一致的，以大写金额为准；</w:t>
      </w:r>
    </w:p>
    <w:p>
      <w:pPr>
        <w:pStyle w:val="27"/>
        <w:shd w:val="clear" w:color="auto" w:fill="FFFFFF"/>
        <w:snapToGrid w:val="0"/>
        <w:spacing w:line="360" w:lineRule="auto"/>
        <w:ind w:firstLine="480" w:firstLineChars="200"/>
        <w:rPr>
          <w:rFonts w:hAnsi="宋体" w:cs="宋体"/>
          <w:sz w:val="24"/>
          <w:szCs w:val="24"/>
        </w:rPr>
      </w:pPr>
      <w:r>
        <w:rPr>
          <w:rFonts w:hint="eastAsia" w:hAnsi="宋体" w:cs="宋体"/>
          <w:sz w:val="24"/>
          <w:szCs w:val="24"/>
        </w:rPr>
        <w:t>（2）总价金额与按单价汇总金额不一致的，以单价金额计算结果为准；</w:t>
      </w:r>
    </w:p>
    <w:p>
      <w:pPr>
        <w:pStyle w:val="27"/>
        <w:shd w:val="clear" w:color="auto" w:fill="FFFFFF"/>
        <w:snapToGrid w:val="0"/>
        <w:spacing w:line="360" w:lineRule="auto"/>
        <w:ind w:firstLine="480" w:firstLineChars="200"/>
        <w:rPr>
          <w:rFonts w:hAnsi="宋体" w:cs="宋体"/>
          <w:sz w:val="24"/>
          <w:szCs w:val="24"/>
        </w:rPr>
      </w:pPr>
      <w:r>
        <w:rPr>
          <w:rFonts w:hint="eastAsia" w:hAnsi="宋体" w:cs="宋体"/>
          <w:sz w:val="24"/>
          <w:szCs w:val="24"/>
        </w:rPr>
        <w:t>（3）对不同文字文本响应文件的解释发生异议的，以中文文本为准。</w:t>
      </w:r>
    </w:p>
    <w:p>
      <w:pPr>
        <w:pStyle w:val="27"/>
        <w:shd w:val="clear" w:color="auto" w:fill="FFFFFF"/>
        <w:snapToGrid w:val="0"/>
        <w:spacing w:line="360" w:lineRule="auto"/>
        <w:ind w:firstLine="482" w:firstLineChars="200"/>
        <w:rPr>
          <w:rFonts w:hAnsi="宋体" w:cs="宋体"/>
          <w:b/>
          <w:bCs/>
          <w:sz w:val="24"/>
          <w:szCs w:val="24"/>
        </w:rPr>
      </w:pPr>
      <w:r>
        <w:rPr>
          <w:rFonts w:hint="eastAsia" w:hAnsi="宋体" w:cs="宋体"/>
          <w:b/>
          <w:bCs/>
          <w:sz w:val="24"/>
          <w:szCs w:val="24"/>
        </w:rPr>
        <w:t>按上述修正错误的原则及方法调整或修正响应文件的谈判报价，供应商同意并签字确认后，调整后的谈判报价对供应商具有约束作用。如果供应商不接受修正后的报价，则其谈判将作为无效谈判处理。</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10.特别说明：</w:t>
      </w:r>
    </w:p>
    <w:p>
      <w:pPr>
        <w:pStyle w:val="27"/>
        <w:shd w:val="clear" w:color="auto" w:fill="FFFFFF"/>
        <w:snapToGrid w:val="0"/>
        <w:spacing w:line="360" w:lineRule="auto"/>
        <w:ind w:firstLine="480" w:firstLineChars="200"/>
        <w:rPr>
          <w:rFonts w:hAnsi="宋体" w:cs="宋体"/>
          <w:bCs/>
          <w:sz w:val="24"/>
          <w:szCs w:val="24"/>
        </w:rPr>
      </w:pPr>
      <w:r>
        <w:rPr>
          <w:rFonts w:hint="eastAsia" w:hAnsi="宋体" w:cs="宋体"/>
          <w:bCs/>
          <w:sz w:val="24"/>
          <w:szCs w:val="24"/>
        </w:rPr>
        <w:t>（1）供应商在谈判活动中提供任何虚假材料，其谈判无效，并报监管部门查处；成交后发现的，成交供应商须依照《中华人民共和国消费者权益保护法》第五十五条第一款之规定三倍赔偿采购人，且民事赔偿并不免除违法供应商的行政与刑事责任。</w:t>
      </w:r>
    </w:p>
    <w:p>
      <w:pPr>
        <w:pStyle w:val="27"/>
        <w:shd w:val="clear" w:color="auto" w:fill="FFFFFF"/>
        <w:snapToGrid w:val="0"/>
        <w:spacing w:line="360" w:lineRule="auto"/>
        <w:ind w:firstLine="480" w:firstLineChars="200"/>
        <w:rPr>
          <w:rFonts w:hAnsi="宋体" w:cs="宋体"/>
          <w:bCs/>
          <w:color w:val="auto"/>
          <w:sz w:val="24"/>
          <w:szCs w:val="24"/>
        </w:rPr>
      </w:pPr>
      <w:r>
        <w:rPr>
          <w:rFonts w:hint="eastAsia" w:hAnsi="宋体" w:cs="宋体"/>
          <w:bCs/>
          <w:sz w:val="24"/>
          <w:szCs w:val="24"/>
        </w:rPr>
        <w:t>（2）低于成本报价谈判小组在评审过程中发现供应商的总报价明显低于其他供应商的总报价或者明显低于采购预算价</w:t>
      </w:r>
      <w:r>
        <w:rPr>
          <w:rFonts w:hint="eastAsia" w:hAnsi="宋体" w:cs="宋体"/>
          <w:bCs/>
          <w:color w:val="auto"/>
          <w:sz w:val="24"/>
          <w:szCs w:val="24"/>
        </w:rPr>
        <w:t>，可能影响合同履约和服务质量的，应当要求该供应商做出书面说明并提供相关证明材料。供应商不能合理说明或者不能提供相关证明材料的，谈判小组可以认为该供应商报价谈判无效。</w:t>
      </w:r>
    </w:p>
    <w:p>
      <w:pPr>
        <w:shd w:val="clear" w:color="auto" w:fill="FFFFFF"/>
        <w:snapToGrid w:val="0"/>
        <w:spacing w:line="360" w:lineRule="auto"/>
        <w:ind w:firstLine="480" w:firstLineChars="200"/>
        <w:rPr>
          <w:rFonts w:ascii="宋体" w:hAnsi="宋体" w:cs="宋体"/>
          <w:sz w:val="24"/>
        </w:rPr>
      </w:pPr>
      <w:r>
        <w:rPr>
          <w:rFonts w:hint="eastAsia" w:ascii="宋体" w:hAnsi="宋体" w:cs="宋体"/>
          <w:color w:val="auto"/>
          <w:sz w:val="24"/>
        </w:rPr>
        <w:t>4.已提交响应文件的供应商，在提</w:t>
      </w:r>
      <w:r>
        <w:rPr>
          <w:rFonts w:hint="eastAsia" w:ascii="宋体" w:hAnsi="宋体" w:cs="宋体"/>
          <w:sz w:val="24"/>
        </w:rPr>
        <w:t>交最后报价之前，可以根据谈判情况书面退出谈判；</w:t>
      </w: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5.最后报价是供应商响应文件的有效组成部分。</w:t>
      </w:r>
    </w:p>
    <w:p>
      <w:pPr>
        <w:shd w:val="clear" w:color="auto" w:fill="FFFFFF"/>
        <w:snapToGrid w:val="0"/>
        <w:spacing w:line="360" w:lineRule="auto"/>
        <w:ind w:firstLine="480" w:firstLineChars="200"/>
        <w:rPr>
          <w:rFonts w:ascii="宋体" w:hAnsi="宋体" w:cs="宋体"/>
          <w:sz w:val="24"/>
        </w:rPr>
      </w:pPr>
    </w:p>
    <w:p>
      <w:pPr>
        <w:pStyle w:val="27"/>
        <w:shd w:val="clear" w:color="auto" w:fill="FFFFFF"/>
        <w:snapToGrid w:val="0"/>
        <w:spacing w:line="360" w:lineRule="auto"/>
        <w:ind w:firstLine="472" w:firstLineChars="196"/>
        <w:jc w:val="center"/>
        <w:outlineLvl w:val="0"/>
        <w:rPr>
          <w:rFonts w:hAnsi="宋体" w:cs="宋体"/>
          <w:b/>
          <w:sz w:val="24"/>
          <w:szCs w:val="24"/>
        </w:rPr>
      </w:pPr>
      <w:bookmarkStart w:id="211" w:name="_Toc4346"/>
      <w:bookmarkStart w:id="212" w:name="_Toc22777"/>
      <w:bookmarkStart w:id="213" w:name="_Toc32327"/>
      <w:r>
        <w:rPr>
          <w:rFonts w:hint="eastAsia" w:hAnsi="宋体" w:cs="宋体"/>
          <w:b/>
          <w:sz w:val="24"/>
          <w:szCs w:val="24"/>
        </w:rPr>
        <w:t>七、评审过程的监控</w:t>
      </w:r>
      <w:bookmarkEnd w:id="211"/>
      <w:bookmarkEnd w:id="212"/>
      <w:bookmarkEnd w:id="213"/>
    </w:p>
    <w:p>
      <w:pPr>
        <w:pStyle w:val="27"/>
        <w:shd w:val="clear" w:color="auto" w:fill="FFFFFF"/>
        <w:snapToGrid w:val="0"/>
        <w:spacing w:line="360" w:lineRule="auto"/>
        <w:ind w:firstLine="480" w:firstLineChars="200"/>
        <w:rPr>
          <w:rFonts w:hAnsi="宋体" w:cs="宋体"/>
          <w:sz w:val="24"/>
          <w:szCs w:val="24"/>
        </w:rPr>
      </w:pPr>
      <w:r>
        <w:rPr>
          <w:rFonts w:hint="eastAsia" w:hAnsi="宋体" w:cs="宋体"/>
          <w:sz w:val="24"/>
          <w:szCs w:val="24"/>
        </w:rPr>
        <w:t>本项目评审过程实行全程录音、录像监控，供应商在评审过程中所进行的试图影响评审结果的不公正活动，可能导致其响应文件被拒绝。</w:t>
      </w:r>
    </w:p>
    <w:p>
      <w:pPr>
        <w:pStyle w:val="27"/>
        <w:shd w:val="clear" w:color="auto" w:fill="FFFFFF"/>
        <w:snapToGrid w:val="0"/>
        <w:spacing w:line="360" w:lineRule="auto"/>
        <w:ind w:firstLine="480" w:firstLineChars="200"/>
        <w:rPr>
          <w:rFonts w:hAnsi="宋体" w:cs="宋体"/>
          <w:sz w:val="24"/>
          <w:szCs w:val="24"/>
        </w:rPr>
      </w:pPr>
    </w:p>
    <w:p>
      <w:pPr>
        <w:pStyle w:val="27"/>
        <w:shd w:val="clear" w:color="auto" w:fill="FFFFFF"/>
        <w:snapToGrid w:val="0"/>
        <w:spacing w:line="360" w:lineRule="auto"/>
        <w:ind w:firstLine="472" w:firstLineChars="196"/>
        <w:jc w:val="center"/>
        <w:outlineLvl w:val="0"/>
        <w:rPr>
          <w:rFonts w:hAnsi="宋体" w:cs="宋体"/>
          <w:b/>
          <w:sz w:val="24"/>
          <w:szCs w:val="24"/>
        </w:rPr>
      </w:pPr>
      <w:bookmarkStart w:id="214" w:name="_Toc254970546"/>
      <w:bookmarkStart w:id="215" w:name="_Toc254970687"/>
      <w:bookmarkStart w:id="216" w:name="_Toc12848"/>
      <w:bookmarkStart w:id="217" w:name="_Toc25768"/>
      <w:bookmarkStart w:id="218" w:name="_Toc8770"/>
      <w:bookmarkStart w:id="219" w:name="_Toc301424930"/>
      <w:bookmarkStart w:id="220" w:name="_Toc293863055"/>
      <w:bookmarkStart w:id="221" w:name="_Toc326217549"/>
      <w:bookmarkStart w:id="222" w:name="_Toc21530"/>
      <w:bookmarkStart w:id="223" w:name="_Toc293863322"/>
      <w:r>
        <w:rPr>
          <w:rFonts w:hint="eastAsia" w:hAnsi="宋体" w:cs="宋体"/>
          <w:b/>
          <w:sz w:val="24"/>
          <w:szCs w:val="24"/>
        </w:rPr>
        <w:t>八、</w:t>
      </w:r>
      <w:bookmarkEnd w:id="214"/>
      <w:bookmarkEnd w:id="215"/>
      <w:r>
        <w:rPr>
          <w:rFonts w:hint="eastAsia" w:hAnsi="宋体" w:cs="宋体"/>
          <w:b/>
          <w:sz w:val="24"/>
          <w:szCs w:val="24"/>
        </w:rPr>
        <w:t>评审结果</w:t>
      </w:r>
      <w:bookmarkEnd w:id="216"/>
      <w:bookmarkEnd w:id="217"/>
      <w:bookmarkEnd w:id="218"/>
      <w:bookmarkEnd w:id="219"/>
      <w:bookmarkEnd w:id="220"/>
      <w:bookmarkEnd w:id="221"/>
      <w:bookmarkEnd w:id="222"/>
      <w:bookmarkEnd w:id="223"/>
    </w:p>
    <w:p>
      <w:pPr>
        <w:pStyle w:val="27"/>
        <w:shd w:val="clear" w:color="auto" w:fill="FFFFFF"/>
        <w:snapToGrid w:val="0"/>
        <w:spacing w:line="360" w:lineRule="auto"/>
        <w:ind w:firstLine="470" w:firstLineChars="196"/>
        <w:rPr>
          <w:rFonts w:hAnsi="宋体" w:cs="宋体"/>
          <w:b/>
          <w:bCs/>
          <w:sz w:val="24"/>
          <w:szCs w:val="24"/>
        </w:rPr>
      </w:pPr>
      <w:r>
        <w:rPr>
          <w:rFonts w:hint="eastAsia" w:hAnsi="宋体" w:cs="宋体"/>
          <w:bCs/>
          <w:sz w:val="24"/>
          <w:szCs w:val="24"/>
        </w:rPr>
        <w:t>（一）</w:t>
      </w:r>
      <w:r>
        <w:rPr>
          <w:rFonts w:hint="eastAsia" w:hAnsi="宋体" w:cs="宋体"/>
          <w:sz w:val="24"/>
          <w:szCs w:val="24"/>
        </w:rPr>
        <w:t>采购代理机构在评审结束后两个工作日内将评审报告送采购人，采购人在五个工作日内按照评审报告中推荐的成交候选供应商顺序确定成交供应商。采购人也可以事先授权评审委员会直接确定成交供应商。</w:t>
      </w: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（二）成交供应商确定后，采购代理机构在发布招标公告的网址发布成交公告。</w:t>
      </w: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（三）在发布成交公告的同时，采购代理机构向成交供应商发出成交通知书。</w:t>
      </w: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（四）供应商认为采购文件、招标过程和成交结果使自己的权益受到损害的，可以在知道或者应知其权益受到损害之日起七个工作日内，以书面形式向采购代理机构提出质疑，并及时索要书面回执。</w:t>
      </w: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（五）采购代理机构应当按照有关规定就采购人委托授权范围内的事项在收到供应商的书面质疑后七个工作日内做出答复，但答复的内容不得涉及商业秘密。</w:t>
      </w:r>
    </w:p>
    <w:p>
      <w:pPr>
        <w:pStyle w:val="27"/>
        <w:shd w:val="clear" w:color="auto" w:fill="FFFFFF"/>
        <w:snapToGrid w:val="0"/>
        <w:spacing w:line="400" w:lineRule="exact"/>
        <w:ind w:firstLine="472" w:firstLineChars="196"/>
        <w:outlineLvl w:val="1"/>
        <w:rPr>
          <w:rFonts w:hAnsi="宋体" w:cs="宋体"/>
          <w:b/>
          <w:sz w:val="24"/>
          <w:szCs w:val="24"/>
        </w:rPr>
      </w:pPr>
      <w:bookmarkStart w:id="224" w:name="_Toc301424931"/>
      <w:bookmarkStart w:id="225" w:name="_Toc254970688"/>
      <w:bookmarkStart w:id="226" w:name="_Toc293863323"/>
      <w:bookmarkStart w:id="227" w:name="_Toc326217550"/>
      <w:bookmarkStart w:id="228" w:name="_Toc254970547"/>
      <w:bookmarkStart w:id="229" w:name="_Toc293863056"/>
      <w:bookmarkStart w:id="230" w:name="_Toc12977"/>
    </w:p>
    <w:bookmarkEnd w:id="224"/>
    <w:bookmarkEnd w:id="225"/>
    <w:bookmarkEnd w:id="226"/>
    <w:bookmarkEnd w:id="227"/>
    <w:bookmarkEnd w:id="228"/>
    <w:bookmarkEnd w:id="229"/>
    <w:bookmarkEnd w:id="230"/>
    <w:p>
      <w:pPr>
        <w:pStyle w:val="45"/>
        <w:spacing w:line="400" w:lineRule="exact"/>
        <w:rPr>
          <w:rFonts w:ascii="宋体" w:hAnsi="宋体" w:cs="宋体"/>
          <w:sz w:val="28"/>
          <w:szCs w:val="28"/>
        </w:rPr>
      </w:pPr>
      <w:bookmarkStart w:id="231" w:name="_Toc31076"/>
      <w:bookmarkStart w:id="232" w:name="_Toc11730"/>
      <w:bookmarkStart w:id="233" w:name="_Toc10588"/>
      <w:r>
        <w:rPr>
          <w:rFonts w:hint="eastAsia" w:ascii="宋体" w:hAnsi="宋体" w:cs="宋体"/>
          <w:sz w:val="28"/>
          <w:szCs w:val="28"/>
        </w:rPr>
        <w:t>九、合同签订</w:t>
      </w:r>
      <w:bookmarkEnd w:id="231"/>
      <w:bookmarkEnd w:id="232"/>
      <w:bookmarkEnd w:id="233"/>
    </w:p>
    <w:p>
      <w:pPr>
        <w:snapToGrid w:val="0"/>
        <w:spacing w:line="400" w:lineRule="exact"/>
        <w:ind w:firstLine="472" w:firstLineChars="196"/>
        <w:rPr>
          <w:rFonts w:ascii="宋体" w:hAnsi="宋体" w:cs="宋体"/>
          <w:b/>
          <w:bCs/>
          <w:sz w:val="24"/>
        </w:rPr>
      </w:pPr>
      <w:r>
        <w:rPr>
          <w:rFonts w:hint="eastAsia" w:ascii="宋体" w:hAnsi="宋体" w:cs="宋体"/>
          <w:b/>
          <w:bCs/>
          <w:sz w:val="24"/>
        </w:rPr>
        <w:t>（一）合同授予标准</w:t>
      </w:r>
    </w:p>
    <w:p>
      <w:pPr>
        <w:snapToGrid w:val="0"/>
        <w:spacing w:line="400" w:lineRule="exact"/>
        <w:ind w:firstLine="470" w:firstLineChars="196"/>
        <w:rPr>
          <w:rFonts w:ascii="宋体" w:hAnsi="宋体" w:cs="宋体"/>
          <w:bCs/>
          <w:color w:val="auto"/>
          <w:sz w:val="24"/>
        </w:rPr>
      </w:pPr>
      <w:r>
        <w:rPr>
          <w:rFonts w:hint="eastAsia" w:ascii="宋体" w:hAnsi="宋体" w:cs="宋体"/>
          <w:bCs/>
          <w:sz w:val="24"/>
        </w:rPr>
        <w:t>合同将授予被确定实质上响应采购文件要求，具备履行合同能力，</w:t>
      </w:r>
      <w:r>
        <w:rPr>
          <w:rFonts w:hint="eastAsia" w:ascii="宋体" w:hAnsi="宋体" w:cs="宋体"/>
          <w:bCs/>
          <w:color w:val="auto"/>
          <w:sz w:val="24"/>
        </w:rPr>
        <w:t>谈判小组推荐排名第一的供应商。</w:t>
      </w:r>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（二）履约保证金</w:t>
      </w:r>
    </w:p>
    <w:p>
      <w:pPr>
        <w:snapToGrid w:val="0"/>
        <w:spacing w:line="400" w:lineRule="exact"/>
        <w:ind w:firstLine="723" w:firstLineChars="300"/>
        <w:rPr>
          <w:rFonts w:ascii="宋体" w:hAnsi="宋体" w:cs="宋体"/>
          <w:b/>
          <w:bCs/>
          <w:color w:val="auto"/>
          <w:sz w:val="24"/>
        </w:rPr>
      </w:pPr>
      <w:r>
        <w:rPr>
          <w:rFonts w:hint="eastAsia" w:ascii="宋体" w:hAnsi="宋体" w:cs="宋体"/>
          <w:b/>
          <w:bCs/>
          <w:color w:val="auto"/>
          <w:sz w:val="24"/>
        </w:rPr>
        <w:t>无</w:t>
      </w:r>
    </w:p>
    <w:p>
      <w:pPr>
        <w:snapToGrid w:val="0"/>
        <w:spacing w:line="400" w:lineRule="exact"/>
        <w:ind w:firstLine="241" w:firstLineChars="100"/>
        <w:rPr>
          <w:rFonts w:ascii="宋体" w:hAnsi="宋体" w:cs="宋体"/>
          <w:b/>
          <w:bCs/>
          <w:color w:val="auto"/>
          <w:sz w:val="24"/>
        </w:rPr>
      </w:pPr>
      <w:r>
        <w:rPr>
          <w:rFonts w:hint="eastAsia" w:ascii="宋体" w:hAnsi="宋体" w:cs="宋体"/>
          <w:b/>
          <w:bCs/>
          <w:color w:val="auto"/>
          <w:sz w:val="24"/>
        </w:rPr>
        <w:t>（三）签订合同</w:t>
      </w:r>
    </w:p>
    <w:p>
      <w:pPr>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1. 供应商接到成交通知书后，应按成交通知书规定的时间、地点与采购人签订合同。</w:t>
      </w:r>
    </w:p>
    <w:p>
      <w:pPr>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2. 如成交供应商不按成交通知书的规定签订合同，则按成交供应商违约处理。</w:t>
      </w:r>
    </w:p>
    <w:p>
      <w:pPr>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3. 成交供应商拒绝与采购人签订政府采购合同的，采购人可以与成交供应商排名第一之后的成交候选供应商签订采购合同，以此类推。</w:t>
      </w:r>
    </w:p>
    <w:p>
      <w:pPr>
        <w:snapToGrid w:val="0"/>
        <w:spacing w:line="400" w:lineRule="exact"/>
        <w:ind w:firstLine="472" w:firstLineChars="196"/>
        <w:rPr>
          <w:rFonts w:ascii="宋体" w:hAnsi="宋体" w:cs="宋体"/>
          <w:b/>
          <w:bCs/>
          <w:color w:val="auto"/>
          <w:sz w:val="24"/>
        </w:rPr>
      </w:pPr>
      <w:r>
        <w:rPr>
          <w:rFonts w:hint="eastAsia" w:ascii="宋体" w:hAnsi="宋体" w:cs="宋体"/>
          <w:b/>
          <w:bCs/>
          <w:color w:val="auto"/>
          <w:sz w:val="24"/>
        </w:rPr>
        <w:t>（四）政府采购合同公告</w:t>
      </w:r>
    </w:p>
    <w:p>
      <w:pPr>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1. 根据《中华人民共和国政府采购法实施条例》第五十条和代理协议规定，</w:t>
      </w:r>
      <w:r>
        <w:rPr>
          <w:rFonts w:hint="eastAsia" w:ascii="宋体" w:hAnsi="宋体" w:cs="宋体"/>
          <w:color w:val="auto"/>
          <w:sz w:val="24"/>
        </w:rPr>
        <w:t>采购代理机构</w:t>
      </w:r>
      <w:r>
        <w:rPr>
          <w:rFonts w:hint="eastAsia" w:ascii="宋体" w:hAnsi="宋体" w:cs="宋体"/>
          <w:bCs/>
          <w:color w:val="auto"/>
          <w:sz w:val="24"/>
        </w:rPr>
        <w:t>应当自政府采购合同签订之日起2个工作日内，将政府采购合同在省级以上人民政府财政部门指定的媒体上公告，但政府采购合同中涉及国家秘密、商业秘密的内容除外。</w:t>
      </w:r>
    </w:p>
    <w:p>
      <w:pPr>
        <w:snapToGrid w:val="0"/>
        <w:spacing w:line="400" w:lineRule="exact"/>
        <w:ind w:firstLine="470" w:firstLineChars="196"/>
        <w:rPr>
          <w:rFonts w:ascii="宋体" w:hAnsi="宋体" w:cs="宋体"/>
          <w:bCs/>
          <w:sz w:val="24"/>
        </w:rPr>
      </w:pPr>
      <w:r>
        <w:rPr>
          <w:rFonts w:hint="eastAsia" w:ascii="宋体" w:hAnsi="宋体" w:cs="宋体"/>
          <w:bCs/>
          <w:color w:val="auto"/>
          <w:sz w:val="24"/>
        </w:rPr>
        <w:t>2. 各供应商应在响应文件中注明谈判内容中涉及商业秘密的部分，未注明</w:t>
      </w:r>
      <w:r>
        <w:rPr>
          <w:rFonts w:hint="eastAsia" w:ascii="宋体" w:hAnsi="宋体" w:cs="宋体"/>
          <w:bCs/>
          <w:sz w:val="24"/>
        </w:rPr>
        <w:t>的视为响应文件中不涉及商业秘密。</w:t>
      </w:r>
    </w:p>
    <w:p>
      <w:pPr>
        <w:snapToGrid w:val="0"/>
        <w:spacing w:line="400" w:lineRule="exact"/>
        <w:ind w:firstLine="470" w:firstLineChars="196"/>
        <w:rPr>
          <w:rFonts w:ascii="宋体" w:hAnsi="宋体" w:cs="宋体"/>
          <w:bCs/>
          <w:sz w:val="24"/>
        </w:rPr>
      </w:pPr>
    </w:p>
    <w:p>
      <w:pPr>
        <w:pStyle w:val="45"/>
        <w:spacing w:line="400" w:lineRule="exact"/>
        <w:rPr>
          <w:rFonts w:ascii="宋体" w:hAnsi="宋体" w:cs="宋体"/>
          <w:sz w:val="28"/>
          <w:szCs w:val="28"/>
        </w:rPr>
      </w:pPr>
      <w:bookmarkStart w:id="234" w:name="_Toc8951"/>
      <w:bookmarkStart w:id="235" w:name="_Toc22481"/>
      <w:bookmarkStart w:id="236" w:name="_Toc11899"/>
      <w:bookmarkStart w:id="237" w:name="_Toc17583"/>
      <w:r>
        <w:rPr>
          <w:rFonts w:hint="eastAsia" w:ascii="宋体" w:hAnsi="宋体" w:cs="宋体"/>
          <w:sz w:val="28"/>
          <w:szCs w:val="28"/>
        </w:rPr>
        <w:t>十、</w:t>
      </w:r>
      <w:bookmarkEnd w:id="234"/>
      <w:bookmarkStart w:id="238" w:name="_Toc301424932"/>
      <w:bookmarkStart w:id="239" w:name="_Toc293863324"/>
      <w:bookmarkStart w:id="240" w:name="_Toc326217551"/>
      <w:bookmarkStart w:id="241" w:name="_Toc293863057"/>
      <w:bookmarkStart w:id="242" w:name="_Toc2041"/>
      <w:r>
        <w:rPr>
          <w:rFonts w:hint="eastAsia" w:ascii="宋体" w:hAnsi="宋体" w:cs="宋体"/>
          <w:sz w:val="28"/>
          <w:szCs w:val="28"/>
        </w:rPr>
        <w:t>其它事项</w:t>
      </w:r>
      <w:bookmarkEnd w:id="235"/>
      <w:bookmarkEnd w:id="236"/>
      <w:bookmarkEnd w:id="237"/>
      <w:bookmarkEnd w:id="238"/>
      <w:bookmarkEnd w:id="239"/>
      <w:bookmarkEnd w:id="240"/>
      <w:bookmarkEnd w:id="241"/>
      <w:bookmarkEnd w:id="242"/>
    </w:p>
    <w:p>
      <w:pPr>
        <w:snapToGrid w:val="0"/>
        <w:spacing w:line="400" w:lineRule="exact"/>
        <w:ind w:firstLine="470" w:firstLineChars="196"/>
        <w:rPr>
          <w:rFonts w:ascii="宋体" w:hAnsi="宋体" w:cs="宋体"/>
          <w:bCs/>
          <w:sz w:val="24"/>
        </w:rPr>
      </w:pPr>
      <w:r>
        <w:rPr>
          <w:rFonts w:hint="eastAsia" w:ascii="宋体" w:hAnsi="宋体" w:cs="宋体"/>
          <w:bCs/>
          <w:sz w:val="24"/>
        </w:rPr>
        <w:t>1.本项目代理服务费参照国家《招标代理服务收费管理暂行办法》（计价格［2002］1980号）和发改价格【2011】534号、《桂价费字【2011】55号》文及《转发国家计委关于印发〈招标代理服务收费管理暂行办法〉的通知》（桂价费字〔2003〕7号）规定的服务类收费标准执行，由成交方在领成交通知书时一次性支付代理服务费。</w:t>
      </w:r>
    </w:p>
    <w:p>
      <w:pPr>
        <w:pStyle w:val="27"/>
        <w:snapToGrid w:val="0"/>
        <w:spacing w:line="400" w:lineRule="exact"/>
        <w:ind w:firstLine="360" w:firstLineChars="150"/>
        <w:outlineLvl w:val="1"/>
        <w:rPr>
          <w:rFonts w:hAnsi="宋体" w:cs="宋体"/>
          <w:bCs/>
          <w:sz w:val="24"/>
          <w:szCs w:val="24"/>
        </w:rPr>
      </w:pPr>
      <w:r>
        <w:rPr>
          <w:rFonts w:hint="eastAsia" w:hAnsi="宋体" w:cs="宋体"/>
          <w:bCs/>
          <w:sz w:val="24"/>
        </w:rPr>
        <w:t xml:space="preserve">2.解释权：本竞争性谈判采购文件是根据《中华人民共和国政府采购法》、《中华人民共和国政府采购法实施条例》、《政府采购竞争性谈判采购方式管理暂行办法》和政府采购管理有关规定编制，本竞争性谈判采购文件的解释权属于采购代理机构。 </w:t>
      </w:r>
    </w:p>
    <w:p>
      <w:pPr>
        <w:pStyle w:val="27"/>
        <w:numPr>
          <w:ilvl w:val="0"/>
          <w:numId w:val="4"/>
        </w:numPr>
        <w:shd w:val="clear" w:color="auto" w:fill="FFFFFF"/>
        <w:snapToGrid w:val="0"/>
        <w:jc w:val="center"/>
        <w:outlineLvl w:val="1"/>
        <w:rPr>
          <w:rFonts w:hAnsi="宋体" w:cs="宋体"/>
          <w:b/>
          <w:bCs/>
          <w:sz w:val="30"/>
          <w:szCs w:val="30"/>
        </w:rPr>
      </w:pPr>
      <w:r>
        <w:rPr>
          <w:rFonts w:hint="eastAsia" w:hAnsi="宋体" w:cs="宋体"/>
          <w:sz w:val="24"/>
          <w:szCs w:val="24"/>
        </w:rPr>
        <w:br w:type="page"/>
      </w:r>
      <w:bookmarkStart w:id="243" w:name="_Toc661"/>
      <w:bookmarkStart w:id="244" w:name="_Toc19202"/>
      <w:bookmarkStart w:id="245" w:name="_Toc4593"/>
      <w:r>
        <w:rPr>
          <w:rFonts w:hint="eastAsia" w:hAnsi="宋体" w:cs="宋体"/>
          <w:b/>
          <w:bCs/>
          <w:sz w:val="30"/>
          <w:szCs w:val="30"/>
        </w:rPr>
        <w:t xml:space="preserve"> 评审办法及评分标准</w:t>
      </w:r>
      <w:bookmarkEnd w:id="23"/>
      <w:bookmarkEnd w:id="24"/>
      <w:bookmarkEnd w:id="243"/>
      <w:bookmarkEnd w:id="244"/>
      <w:bookmarkEnd w:id="245"/>
    </w:p>
    <w:p>
      <w:pPr>
        <w:pStyle w:val="27"/>
        <w:shd w:val="clear" w:color="auto" w:fill="FFFFFF"/>
        <w:snapToGrid w:val="0"/>
        <w:spacing w:line="420" w:lineRule="exact"/>
        <w:outlineLvl w:val="1"/>
        <w:rPr>
          <w:rFonts w:hAnsi="宋体" w:cs="宋体"/>
          <w:b/>
          <w:bCs/>
          <w:sz w:val="30"/>
          <w:szCs w:val="30"/>
        </w:rPr>
      </w:pPr>
    </w:p>
    <w:p>
      <w:pPr>
        <w:pStyle w:val="27"/>
        <w:shd w:val="clear" w:color="auto" w:fill="FFFFFF"/>
        <w:spacing w:line="460" w:lineRule="exact"/>
        <w:ind w:firstLine="472" w:firstLineChars="196"/>
        <w:rPr>
          <w:rFonts w:hAnsi="宋体" w:cs="宋体"/>
          <w:b/>
          <w:bCs/>
          <w:color w:val="auto"/>
          <w:sz w:val="24"/>
          <w:szCs w:val="24"/>
        </w:rPr>
      </w:pPr>
      <w:r>
        <w:rPr>
          <w:rFonts w:hint="eastAsia" w:hAnsi="宋体" w:cs="宋体"/>
          <w:b/>
          <w:bCs/>
          <w:color w:val="auto"/>
          <w:sz w:val="24"/>
          <w:szCs w:val="24"/>
        </w:rPr>
        <w:t>一、谈判小组组成</w:t>
      </w:r>
    </w:p>
    <w:p>
      <w:pPr>
        <w:pStyle w:val="27"/>
        <w:shd w:val="clear" w:color="auto" w:fill="FFFFFF"/>
        <w:snapToGrid w:val="0"/>
        <w:spacing w:line="360" w:lineRule="auto"/>
        <w:ind w:firstLine="480" w:firstLineChars="200"/>
        <w:rPr>
          <w:rFonts w:hAnsi="宋体" w:cs="宋体"/>
          <w:color w:val="auto"/>
          <w:sz w:val="24"/>
          <w:szCs w:val="24"/>
        </w:rPr>
      </w:pPr>
      <w:r>
        <w:rPr>
          <w:rFonts w:hint="eastAsia" w:hAnsi="宋体" w:cs="宋体"/>
          <w:color w:val="auto"/>
          <w:sz w:val="24"/>
          <w:szCs w:val="24"/>
        </w:rPr>
        <w:t>本项目的谈判小组的成员由采购人代表和有关专家组成，人数为三人（含三人）以上单数。</w:t>
      </w:r>
    </w:p>
    <w:p>
      <w:pPr>
        <w:pStyle w:val="27"/>
        <w:shd w:val="clear" w:color="auto" w:fill="FFFFFF"/>
        <w:spacing w:line="460" w:lineRule="exact"/>
        <w:ind w:firstLine="482" w:firstLineChars="200"/>
        <w:rPr>
          <w:rFonts w:hAnsi="宋体" w:cs="宋体"/>
          <w:b/>
          <w:bCs/>
          <w:color w:val="auto"/>
          <w:sz w:val="24"/>
          <w:szCs w:val="24"/>
        </w:rPr>
      </w:pPr>
      <w:r>
        <w:rPr>
          <w:rFonts w:hint="eastAsia" w:hAnsi="宋体" w:cs="宋体"/>
          <w:b/>
          <w:bCs/>
          <w:color w:val="auto"/>
          <w:sz w:val="24"/>
          <w:szCs w:val="24"/>
        </w:rPr>
        <w:t>二、评审办法</w:t>
      </w:r>
    </w:p>
    <w:p>
      <w:pPr>
        <w:pStyle w:val="27"/>
        <w:shd w:val="clear" w:color="auto" w:fill="FFFFFF"/>
        <w:spacing w:line="460" w:lineRule="exact"/>
        <w:ind w:left="210" w:leftChars="100" w:firstLine="240" w:firstLineChars="100"/>
        <w:rPr>
          <w:rFonts w:hAnsi="宋体" w:cs="宋体"/>
          <w:color w:val="auto"/>
          <w:sz w:val="24"/>
          <w:szCs w:val="24"/>
        </w:rPr>
      </w:pPr>
      <w:r>
        <w:rPr>
          <w:rFonts w:hint="eastAsia" w:hAnsi="宋体" w:cs="宋体"/>
          <w:color w:val="auto"/>
          <w:sz w:val="24"/>
          <w:szCs w:val="24"/>
        </w:rPr>
        <w:t>说明：</w:t>
      </w:r>
    </w:p>
    <w:p>
      <w:pPr>
        <w:pStyle w:val="27"/>
        <w:shd w:val="clear" w:color="auto" w:fill="FFFFFF"/>
        <w:spacing w:line="460" w:lineRule="exact"/>
        <w:ind w:left="210" w:leftChars="100" w:firstLine="240" w:firstLineChars="100"/>
        <w:rPr>
          <w:rFonts w:hAnsi="宋体" w:cs="宋体"/>
          <w:color w:val="auto"/>
          <w:sz w:val="24"/>
          <w:szCs w:val="24"/>
        </w:rPr>
      </w:pPr>
      <w:r>
        <w:rPr>
          <w:rFonts w:hint="eastAsia" w:hAnsi="宋体" w:cs="宋体"/>
          <w:color w:val="auto"/>
          <w:sz w:val="24"/>
          <w:szCs w:val="24"/>
        </w:rPr>
        <w:t>（1）对于非专门面向中小企业的项目，对小型和微型企业产品的价格给予10%的价格扣除，扣除后的价格为评标价，即评标价＝竞标报价×（1-10%）；（以竞标人按第四章“响应文件格式”要求提供的《竞标函》和《中小企业声明函》为评审依据）</w:t>
      </w:r>
    </w:p>
    <w:p>
      <w:pPr>
        <w:pStyle w:val="27"/>
        <w:shd w:val="clear" w:color="auto" w:fill="FFFFFF"/>
        <w:spacing w:line="460" w:lineRule="exact"/>
        <w:ind w:left="210" w:leftChars="100" w:firstLine="240" w:firstLineChars="100"/>
        <w:rPr>
          <w:rFonts w:hAnsi="宋体" w:cs="宋体"/>
          <w:sz w:val="24"/>
          <w:szCs w:val="24"/>
        </w:rPr>
      </w:pPr>
      <w:r>
        <w:rPr>
          <w:rFonts w:hint="eastAsia" w:hAnsi="宋体" w:cs="宋体"/>
          <w:sz w:val="24"/>
          <w:szCs w:val="24"/>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竞标报价×（1-2%）；（以竞标人按第四章“响应文件格式”要求提供的《竞标函》、《中小企业声明函》和《联合体协议书》为评审依据）</w:t>
      </w:r>
    </w:p>
    <w:p>
      <w:pPr>
        <w:pStyle w:val="27"/>
        <w:shd w:val="clear" w:color="auto" w:fill="FFFFFF"/>
        <w:spacing w:line="460" w:lineRule="exact"/>
        <w:ind w:left="210" w:leftChars="100" w:firstLine="240" w:firstLineChars="100"/>
        <w:rPr>
          <w:rFonts w:hAnsi="宋体" w:cs="宋体"/>
          <w:sz w:val="24"/>
          <w:szCs w:val="24"/>
        </w:rPr>
      </w:pPr>
      <w:r>
        <w:rPr>
          <w:rFonts w:hint="eastAsia" w:hAnsi="宋体" w:cs="宋体"/>
          <w:sz w:val="24"/>
          <w:szCs w:val="24"/>
        </w:rPr>
        <w:t>（3）竞标产品提供企业按《关于政府采购支持监狱企业发展有关问题的通知》(财库[2014]68号)认定为监狱企业的，在政府采购活动中，监狱企业视同小型、微型企业。（以竞标人按第四章“响应文件格式”要求提供的《竞标函》和由省级以上监狱管理局、戒毒管理局(含新疆生产建设兵团)出具的属于监狱企业的证明文件为评分依据。</w:t>
      </w:r>
    </w:p>
    <w:p>
      <w:pPr>
        <w:pStyle w:val="27"/>
        <w:shd w:val="clear" w:color="auto" w:fill="FFFFFF"/>
        <w:spacing w:line="460" w:lineRule="exact"/>
        <w:ind w:left="210" w:leftChars="100" w:firstLine="240" w:firstLineChars="100"/>
        <w:rPr>
          <w:rFonts w:hAnsi="宋体" w:cs="宋体"/>
          <w:sz w:val="24"/>
          <w:szCs w:val="24"/>
        </w:rPr>
      </w:pPr>
      <w:r>
        <w:rPr>
          <w:rFonts w:hint="eastAsia" w:hAnsi="宋体" w:cs="宋体"/>
          <w:sz w:val="24"/>
          <w:szCs w:val="24"/>
        </w:rPr>
        <w:t>（4）竞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竞标人按第四章“响应文件格式”要求提供的《竞标函》和《残疾人福利性单位声明函》为评分依据）</w:t>
      </w:r>
    </w:p>
    <w:p>
      <w:pPr>
        <w:pStyle w:val="27"/>
        <w:shd w:val="clear" w:color="auto" w:fill="FFFFFF"/>
        <w:spacing w:line="460" w:lineRule="exact"/>
        <w:ind w:left="210" w:leftChars="100" w:firstLine="240" w:firstLineChars="100"/>
        <w:rPr>
          <w:rFonts w:hAnsi="宋体" w:cs="宋体"/>
          <w:sz w:val="24"/>
          <w:szCs w:val="24"/>
        </w:rPr>
      </w:pPr>
      <w:r>
        <w:rPr>
          <w:rFonts w:hint="eastAsia" w:hAnsi="宋体" w:cs="宋体"/>
          <w:sz w:val="24"/>
          <w:szCs w:val="24"/>
        </w:rPr>
        <w:t>（5）除上述情况外，评标价＝竞标报价；</w:t>
      </w:r>
    </w:p>
    <w:p>
      <w:pPr>
        <w:pStyle w:val="27"/>
        <w:shd w:val="clear" w:color="auto" w:fill="FFFFFF"/>
        <w:tabs>
          <w:tab w:val="left" w:pos="4214"/>
        </w:tabs>
        <w:spacing w:line="460" w:lineRule="exact"/>
        <w:ind w:firstLine="482" w:firstLineChars="200"/>
        <w:rPr>
          <w:rFonts w:hint="eastAsia" w:hAnsi="宋体" w:cs="宋体"/>
          <w:b/>
          <w:color w:val="auto"/>
          <w:sz w:val="24"/>
          <w:szCs w:val="24"/>
        </w:rPr>
      </w:pPr>
      <w:r>
        <w:rPr>
          <w:rFonts w:hint="eastAsia" w:hAnsi="宋体" w:cs="宋体"/>
          <w:b/>
          <w:color w:val="auto"/>
          <w:sz w:val="24"/>
          <w:szCs w:val="24"/>
        </w:rPr>
        <w:t>三、推荐成交候选供应商原则</w:t>
      </w:r>
    </w:p>
    <w:p>
      <w:pPr>
        <w:pStyle w:val="27"/>
        <w:shd w:val="clear" w:color="auto" w:fill="FFFFFF"/>
        <w:tabs>
          <w:tab w:val="left" w:pos="4214"/>
        </w:tabs>
        <w:spacing w:line="460" w:lineRule="exact"/>
        <w:ind w:firstLine="480" w:firstLineChars="200"/>
        <w:rPr>
          <w:rFonts w:hAnsi="宋体" w:cs="宋体"/>
          <w:b/>
          <w:color w:val="auto"/>
          <w:sz w:val="24"/>
          <w:szCs w:val="24"/>
        </w:rPr>
      </w:pPr>
      <w:r>
        <w:rPr>
          <w:rFonts w:hint="eastAsia" w:hAnsi="宋体" w:cs="宋体"/>
          <w:color w:val="auto"/>
          <w:sz w:val="24"/>
          <w:szCs w:val="24"/>
        </w:rPr>
        <w:t>谈判小组从质量和服务均能满足采购文件实质性响应要求的供应商中，按照评标报价由低到高的顺序（报价相同时，技术指标高优先、质量保证期长优先、故障响应时间短优先、业绩丰富优先的顺序排列；报价相同且前述指标均相同时，由谈判小组各成员对报价相同的供应商当场投票表决，得票多者优先；按前述程序仍无法确定供应商排名顺序的，由评审委员会抽签决定）提出3名以上成交候选人。</w:t>
      </w:r>
    </w:p>
    <w:p>
      <w:pPr>
        <w:pStyle w:val="45"/>
        <w:shd w:val="clear" w:color="auto" w:fill="FFFFFF"/>
        <w:spacing w:line="360" w:lineRule="auto"/>
        <w:rPr>
          <w:rFonts w:ascii="宋体" w:hAnsi="宋体" w:cs="宋体"/>
        </w:rPr>
      </w:pPr>
      <w:r>
        <w:rPr>
          <w:rFonts w:hint="eastAsia" w:ascii="宋体" w:hAnsi="宋体" w:cs="宋体"/>
          <w:color w:val="FF0000"/>
          <w:sz w:val="21"/>
          <w:szCs w:val="21"/>
        </w:rPr>
        <w:br w:type="page"/>
      </w:r>
      <w:bookmarkStart w:id="246" w:name="_Toc16529"/>
      <w:r>
        <w:rPr>
          <w:rFonts w:hint="eastAsia" w:ascii="宋体" w:hAnsi="宋体" w:cs="宋体"/>
        </w:rPr>
        <w:t>第五章 监理合同</w:t>
      </w:r>
      <w:bookmarkEnd w:id="246"/>
    </w:p>
    <w:p>
      <w:pPr>
        <w:spacing w:line="360" w:lineRule="auto"/>
        <w:rPr>
          <w:rFonts w:ascii="宋体" w:hAnsi="宋体"/>
          <w:b/>
          <w:kern w:val="0"/>
          <w:sz w:val="48"/>
          <w:szCs w:val="48"/>
        </w:rPr>
      </w:pPr>
    </w:p>
    <w:p>
      <w:pPr>
        <w:spacing w:line="360" w:lineRule="auto"/>
        <w:rPr>
          <w:rFonts w:ascii="宋体"/>
          <w:b/>
          <w:bCs/>
          <w:sz w:val="24"/>
        </w:rPr>
      </w:pPr>
      <w:r>
        <w:rPr>
          <w:rFonts w:ascii="宋体" w:hAnsi="宋体" w:cs="宋体"/>
          <w:b/>
          <w:bCs/>
          <w:sz w:val="24"/>
        </w:rPr>
        <w:t>(GF</w:t>
      </w:r>
      <w:r>
        <w:rPr>
          <w:rFonts w:hint="eastAsia" w:ascii="宋体" w:hAnsi="宋体" w:cs="宋体"/>
          <w:b/>
          <w:bCs/>
          <w:sz w:val="24"/>
        </w:rPr>
        <w:t>－</w:t>
      </w:r>
      <w:r>
        <w:rPr>
          <w:rFonts w:ascii="宋体" w:hAnsi="宋体" w:cs="宋体"/>
          <w:b/>
          <w:bCs/>
          <w:sz w:val="24"/>
        </w:rPr>
        <w:t>2012</w:t>
      </w:r>
      <w:r>
        <w:rPr>
          <w:rFonts w:hint="eastAsia" w:ascii="宋体" w:hAnsi="宋体" w:cs="宋体"/>
          <w:b/>
          <w:bCs/>
          <w:sz w:val="24"/>
        </w:rPr>
        <w:t>－</w:t>
      </w:r>
      <w:r>
        <w:rPr>
          <w:rFonts w:ascii="宋体" w:hAnsi="宋体" w:cs="宋体"/>
          <w:b/>
          <w:bCs/>
          <w:sz w:val="24"/>
        </w:rPr>
        <w:t>0202</w:t>
      </w:r>
      <w:r>
        <w:rPr>
          <w:rFonts w:hint="eastAsia" w:ascii="宋体" w:hAnsi="宋体" w:cs="宋体"/>
          <w:b/>
          <w:bCs/>
          <w:sz w:val="24"/>
        </w:rPr>
        <w:t>）</w:t>
      </w:r>
    </w:p>
    <w:p>
      <w:pPr>
        <w:spacing w:line="360" w:lineRule="auto"/>
        <w:jc w:val="center"/>
        <w:rPr>
          <w:b/>
          <w:bCs/>
          <w:sz w:val="52"/>
          <w:szCs w:val="52"/>
        </w:rPr>
      </w:pPr>
    </w:p>
    <w:p>
      <w:pPr>
        <w:spacing w:line="360" w:lineRule="auto"/>
        <w:jc w:val="center"/>
        <w:rPr>
          <w:b/>
          <w:bCs/>
          <w:sz w:val="48"/>
          <w:szCs w:val="48"/>
        </w:rPr>
      </w:pPr>
    </w:p>
    <w:p>
      <w:pPr>
        <w:spacing w:line="360" w:lineRule="auto"/>
        <w:jc w:val="center"/>
        <w:rPr>
          <w:b/>
          <w:bCs/>
          <w:sz w:val="48"/>
          <w:szCs w:val="48"/>
        </w:rPr>
      </w:pPr>
    </w:p>
    <w:p>
      <w:pPr>
        <w:spacing w:line="360" w:lineRule="auto"/>
        <w:jc w:val="center"/>
        <w:rPr>
          <w:b/>
          <w:bCs/>
          <w:sz w:val="52"/>
          <w:szCs w:val="52"/>
        </w:rPr>
      </w:pPr>
      <w:r>
        <w:rPr>
          <w:rFonts w:hint="eastAsia" w:hAnsi="宋体"/>
          <w:b/>
          <w:bCs/>
          <w:sz w:val="52"/>
          <w:szCs w:val="52"/>
        </w:rPr>
        <w:t>建设工程监理合同</w:t>
      </w:r>
    </w:p>
    <w:p>
      <w:pPr>
        <w:spacing w:line="360" w:lineRule="auto"/>
        <w:jc w:val="center"/>
        <w:rPr>
          <w:bCs/>
          <w:sz w:val="48"/>
          <w:szCs w:val="48"/>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rPr>
          <w:b/>
          <w:bCs/>
          <w:sz w:val="24"/>
        </w:rPr>
      </w:pPr>
    </w:p>
    <w:p>
      <w:pPr>
        <w:spacing w:line="360" w:lineRule="auto"/>
        <w:rPr>
          <w:b/>
          <w:bCs/>
          <w:sz w:val="24"/>
        </w:rPr>
      </w:pPr>
    </w:p>
    <w:p>
      <w:pPr>
        <w:spacing w:line="360" w:lineRule="auto"/>
        <w:rPr>
          <w:b/>
          <w:bCs/>
          <w:sz w:val="24"/>
        </w:rPr>
      </w:pPr>
    </w:p>
    <w:p>
      <w:pPr>
        <w:jc w:val="center"/>
        <w:rPr>
          <w:b/>
        </w:rPr>
      </w:pPr>
      <w:r>
        <w:rPr>
          <w:rFonts w:hint="eastAsia" w:hAnsi="宋体"/>
          <w:b/>
          <w:bCs/>
          <w:sz w:val="32"/>
          <w:szCs w:val="32"/>
        </w:rPr>
        <w:t>住房和城乡建设部</w:t>
      </w:r>
    </w:p>
    <w:p>
      <w:pPr>
        <w:jc w:val="center"/>
        <w:rPr>
          <w:b/>
          <w:sz w:val="32"/>
          <w:szCs w:val="32"/>
        </w:rPr>
      </w:pPr>
      <w:r>
        <w:rPr>
          <w:rFonts w:hint="eastAsia" w:hAnsi="宋体"/>
          <w:b/>
          <w:sz w:val="32"/>
          <w:szCs w:val="32"/>
        </w:rPr>
        <w:t>制定</w:t>
      </w:r>
    </w:p>
    <w:p>
      <w:pPr>
        <w:jc w:val="center"/>
        <w:rPr>
          <w:rFonts w:hAnsi="宋体"/>
          <w:b/>
          <w:bCs/>
          <w:sz w:val="32"/>
          <w:szCs w:val="32"/>
        </w:rPr>
      </w:pPr>
      <w:r>
        <w:rPr>
          <w:rFonts w:hint="eastAsia" w:hAnsi="宋体"/>
          <w:b/>
          <w:bCs/>
          <w:sz w:val="32"/>
          <w:szCs w:val="32"/>
        </w:rPr>
        <w:t>国家工商行政管理总局</w:t>
      </w:r>
    </w:p>
    <w:p/>
    <w:p>
      <w:pPr>
        <w:pStyle w:val="4"/>
      </w:pPr>
      <w:bookmarkStart w:id="247" w:name="_Toc373478199"/>
      <w:bookmarkStart w:id="248" w:name="_Toc410120842"/>
      <w:bookmarkStart w:id="249" w:name="_Toc373227552"/>
      <w:bookmarkStart w:id="250" w:name="_Toc296890982"/>
      <w:bookmarkStart w:id="251" w:name="_Toc296503025"/>
      <w:bookmarkStart w:id="252" w:name="_Toc351203480"/>
      <w:bookmarkStart w:id="253" w:name="_Toc8380"/>
      <w:bookmarkStart w:id="254" w:name="_Toc389065255"/>
      <w:bookmarkStart w:id="255" w:name="_Toc407135191"/>
    </w:p>
    <w:p>
      <w:pPr>
        <w:pStyle w:val="4"/>
        <w:jc w:val="center"/>
      </w:pPr>
      <w:r>
        <w:rPr>
          <w:rFonts w:hint="eastAsia"/>
        </w:rPr>
        <w:t>第一部分合同协议书</w:t>
      </w:r>
      <w:bookmarkEnd w:id="247"/>
      <w:bookmarkEnd w:id="248"/>
      <w:bookmarkEnd w:id="249"/>
      <w:bookmarkEnd w:id="250"/>
      <w:bookmarkEnd w:id="251"/>
      <w:bookmarkEnd w:id="252"/>
      <w:bookmarkEnd w:id="253"/>
      <w:bookmarkEnd w:id="254"/>
      <w:bookmarkEnd w:id="255"/>
    </w:p>
    <w:p>
      <w:pPr>
        <w:pStyle w:val="126"/>
        <w:adjustRightInd w:val="0"/>
        <w:snapToGrid w:val="0"/>
        <w:spacing w:line="360" w:lineRule="auto"/>
        <w:ind w:firstLine="422" w:firstLineChars="200"/>
        <w:rPr>
          <w:b/>
          <w:szCs w:val="21"/>
        </w:rPr>
      </w:pPr>
      <w:bookmarkStart w:id="256" w:name="EB959a0cec904a4675a610b8ff15efe337"/>
      <w:r>
        <w:rPr>
          <w:rFonts w:hAnsi="宋体"/>
          <w:b/>
          <w:szCs w:val="21"/>
        </w:rPr>
        <w:t>委托人（全称）：</w:t>
      </w:r>
    </w:p>
    <w:p>
      <w:pPr>
        <w:pStyle w:val="126"/>
        <w:adjustRightInd w:val="0"/>
        <w:snapToGrid w:val="0"/>
        <w:spacing w:line="360" w:lineRule="auto"/>
        <w:ind w:firstLine="422" w:firstLineChars="200"/>
        <w:rPr>
          <w:szCs w:val="21"/>
        </w:rPr>
      </w:pPr>
      <w:r>
        <w:rPr>
          <w:rFonts w:hAnsi="宋体"/>
          <w:b/>
          <w:szCs w:val="21"/>
        </w:rPr>
        <w:t>监理人（全称）：</w:t>
      </w:r>
    </w:p>
    <w:p>
      <w:pPr>
        <w:pStyle w:val="126"/>
        <w:adjustRightInd w:val="0"/>
        <w:snapToGrid w:val="0"/>
        <w:spacing w:line="360" w:lineRule="auto"/>
        <w:ind w:firstLine="420" w:firstLineChars="200"/>
        <w:rPr>
          <w:b/>
          <w:szCs w:val="21"/>
        </w:rPr>
      </w:pPr>
      <w:r>
        <w:rPr>
          <w:rFonts w:hAnsi="宋体"/>
          <w:szCs w:val="21"/>
        </w:rPr>
        <w:t>根据《中华人民共和国合同法》、《中华人民共和国建筑法》及其他有关法律、法规，遵循平等、自愿、公平和诚信的原则，双方就下述工程委托监理与相关服务事项协商一致，订立本合同</w:t>
      </w:r>
      <w:r>
        <w:rPr>
          <w:rFonts w:hAnsi="宋体"/>
          <w:b/>
          <w:szCs w:val="21"/>
        </w:rPr>
        <w:t>。</w:t>
      </w:r>
    </w:p>
    <w:p>
      <w:pPr>
        <w:pStyle w:val="126"/>
        <w:adjustRightInd w:val="0"/>
        <w:snapToGrid w:val="0"/>
        <w:spacing w:line="360" w:lineRule="auto"/>
        <w:ind w:firstLine="422" w:firstLineChars="200"/>
        <w:rPr>
          <w:b/>
          <w:szCs w:val="21"/>
        </w:rPr>
      </w:pPr>
      <w:bookmarkStart w:id="257" w:name="_Toc349554752"/>
      <w:r>
        <w:rPr>
          <w:rFonts w:hAnsi="宋体"/>
          <w:b/>
          <w:szCs w:val="21"/>
        </w:rPr>
        <w:t>一、工程概况</w:t>
      </w:r>
      <w:bookmarkEnd w:id="257"/>
    </w:p>
    <w:p>
      <w:pPr>
        <w:pStyle w:val="126"/>
        <w:adjustRightInd w:val="0"/>
        <w:snapToGrid w:val="0"/>
        <w:spacing w:line="360" w:lineRule="auto"/>
        <w:ind w:firstLine="420" w:firstLineChars="200"/>
        <w:rPr>
          <w:szCs w:val="21"/>
        </w:rPr>
      </w:pPr>
      <w:r>
        <w:rPr>
          <w:szCs w:val="21"/>
        </w:rPr>
        <w:t xml:space="preserve">1. </w:t>
      </w:r>
      <w:r>
        <w:rPr>
          <w:rFonts w:hAnsi="宋体"/>
          <w:szCs w:val="21"/>
        </w:rPr>
        <w:t>工程名称：；</w:t>
      </w:r>
    </w:p>
    <w:p>
      <w:pPr>
        <w:pStyle w:val="126"/>
        <w:adjustRightInd w:val="0"/>
        <w:snapToGrid w:val="0"/>
        <w:spacing w:line="360" w:lineRule="auto"/>
        <w:ind w:firstLine="420" w:firstLineChars="200"/>
        <w:rPr>
          <w:szCs w:val="21"/>
        </w:rPr>
      </w:pPr>
      <w:r>
        <w:rPr>
          <w:szCs w:val="21"/>
        </w:rPr>
        <w:t xml:space="preserve">2. </w:t>
      </w:r>
      <w:r>
        <w:rPr>
          <w:rFonts w:hAnsi="宋体"/>
          <w:szCs w:val="21"/>
        </w:rPr>
        <w:t>工程地点：；</w:t>
      </w:r>
    </w:p>
    <w:p>
      <w:pPr>
        <w:pStyle w:val="126"/>
        <w:adjustRightInd w:val="0"/>
        <w:snapToGrid w:val="0"/>
        <w:spacing w:line="360" w:lineRule="auto"/>
        <w:ind w:firstLine="420" w:firstLineChars="200"/>
        <w:rPr>
          <w:szCs w:val="21"/>
        </w:rPr>
      </w:pPr>
      <w:r>
        <w:rPr>
          <w:szCs w:val="21"/>
        </w:rPr>
        <w:t xml:space="preserve">3. </w:t>
      </w:r>
      <w:r>
        <w:rPr>
          <w:rFonts w:hAnsi="宋体"/>
          <w:szCs w:val="21"/>
        </w:rPr>
        <w:t>工程规模：；</w:t>
      </w:r>
    </w:p>
    <w:p>
      <w:pPr>
        <w:pStyle w:val="126"/>
        <w:adjustRightInd w:val="0"/>
        <w:snapToGrid w:val="0"/>
        <w:spacing w:line="360" w:lineRule="auto"/>
        <w:ind w:firstLine="420" w:firstLineChars="200"/>
        <w:jc w:val="left"/>
        <w:rPr>
          <w:szCs w:val="21"/>
        </w:rPr>
      </w:pPr>
      <w:r>
        <w:rPr>
          <w:szCs w:val="21"/>
        </w:rPr>
        <w:t xml:space="preserve">4. </w:t>
      </w:r>
      <w:r>
        <w:rPr>
          <w:rFonts w:hAnsi="宋体"/>
          <w:szCs w:val="21"/>
        </w:rPr>
        <w:t>工程</w:t>
      </w:r>
      <w:r>
        <w:rPr>
          <w:rFonts w:hAnsi="宋体"/>
          <w:kern w:val="0"/>
          <w:szCs w:val="21"/>
        </w:rPr>
        <w:t>概算投资额</w:t>
      </w:r>
      <w:r>
        <w:rPr>
          <w:rFonts w:hint="eastAsia" w:hAnsi="宋体"/>
          <w:kern w:val="0"/>
          <w:szCs w:val="21"/>
        </w:rPr>
        <w:t>（</w:t>
      </w:r>
      <w:r>
        <w:rPr>
          <w:rFonts w:hAnsi="宋体"/>
          <w:kern w:val="0"/>
          <w:szCs w:val="21"/>
        </w:rPr>
        <w:t>或建筑安装工程费</w:t>
      </w:r>
      <w:r>
        <w:rPr>
          <w:rFonts w:hint="eastAsia" w:hAnsi="宋体"/>
          <w:kern w:val="0"/>
          <w:szCs w:val="21"/>
        </w:rPr>
        <w:t>）</w:t>
      </w:r>
      <w:r>
        <w:rPr>
          <w:rFonts w:hAnsi="宋体"/>
          <w:szCs w:val="21"/>
        </w:rPr>
        <w:t>：。</w:t>
      </w:r>
    </w:p>
    <w:p>
      <w:pPr>
        <w:pStyle w:val="126"/>
        <w:adjustRightInd w:val="0"/>
        <w:snapToGrid w:val="0"/>
        <w:spacing w:line="360" w:lineRule="auto"/>
        <w:ind w:firstLine="422" w:firstLineChars="200"/>
        <w:rPr>
          <w:b/>
          <w:szCs w:val="21"/>
        </w:rPr>
      </w:pPr>
      <w:r>
        <w:rPr>
          <w:rFonts w:hAnsi="宋体"/>
          <w:b/>
          <w:szCs w:val="21"/>
        </w:rPr>
        <w:t>二、词语限定</w:t>
      </w:r>
    </w:p>
    <w:p>
      <w:pPr>
        <w:pStyle w:val="126"/>
        <w:adjustRightInd w:val="0"/>
        <w:snapToGrid w:val="0"/>
        <w:spacing w:line="360" w:lineRule="auto"/>
        <w:ind w:firstLine="420" w:firstLineChars="200"/>
        <w:rPr>
          <w:szCs w:val="21"/>
        </w:rPr>
      </w:pPr>
      <w:r>
        <w:rPr>
          <w:rFonts w:hAnsi="宋体"/>
          <w:szCs w:val="21"/>
        </w:rPr>
        <w:t>协议书中相关词语的含义与通用条件中的定义与解释相同。</w:t>
      </w:r>
    </w:p>
    <w:p>
      <w:pPr>
        <w:pStyle w:val="126"/>
        <w:adjustRightInd w:val="0"/>
        <w:snapToGrid w:val="0"/>
        <w:spacing w:line="360" w:lineRule="auto"/>
        <w:ind w:firstLine="422" w:firstLineChars="200"/>
        <w:rPr>
          <w:b/>
          <w:szCs w:val="21"/>
        </w:rPr>
      </w:pPr>
      <w:bookmarkStart w:id="258" w:name="_Toc349554753"/>
      <w:r>
        <w:rPr>
          <w:rFonts w:hAnsi="宋体"/>
          <w:b/>
          <w:szCs w:val="21"/>
        </w:rPr>
        <w:t>三、组成本合同的文件</w:t>
      </w:r>
      <w:bookmarkEnd w:id="258"/>
    </w:p>
    <w:p>
      <w:pPr>
        <w:pStyle w:val="126"/>
        <w:adjustRightInd w:val="0"/>
        <w:snapToGrid w:val="0"/>
        <w:spacing w:line="360" w:lineRule="auto"/>
        <w:ind w:firstLine="420" w:firstLineChars="200"/>
        <w:rPr>
          <w:rFonts w:hAnsi="宋体"/>
          <w:szCs w:val="21"/>
        </w:rPr>
      </w:pPr>
      <w:r>
        <w:rPr>
          <w:szCs w:val="21"/>
        </w:rPr>
        <w:t xml:space="preserve">1. </w:t>
      </w:r>
      <w:r>
        <w:rPr>
          <w:rFonts w:hAnsi="宋体"/>
          <w:szCs w:val="21"/>
        </w:rPr>
        <w:t>协议书；</w:t>
      </w:r>
    </w:p>
    <w:p>
      <w:pPr>
        <w:pStyle w:val="126"/>
        <w:adjustRightInd w:val="0"/>
        <w:snapToGrid w:val="0"/>
        <w:spacing w:line="360" w:lineRule="auto"/>
        <w:ind w:firstLine="420" w:firstLineChars="200"/>
        <w:rPr>
          <w:rFonts w:hAnsi="宋体"/>
          <w:szCs w:val="21"/>
        </w:rPr>
      </w:pPr>
      <w:r>
        <w:rPr>
          <w:szCs w:val="21"/>
        </w:rPr>
        <w:t xml:space="preserve">2. </w:t>
      </w:r>
      <w:r>
        <w:rPr>
          <w:rFonts w:hAnsi="宋体"/>
          <w:szCs w:val="21"/>
        </w:rPr>
        <w:t>中标通知书（适用于招标工程）或委托书（适用于非招标工程）；</w:t>
      </w:r>
    </w:p>
    <w:p>
      <w:pPr>
        <w:pStyle w:val="126"/>
        <w:adjustRightInd w:val="0"/>
        <w:snapToGrid w:val="0"/>
        <w:spacing w:line="360" w:lineRule="auto"/>
        <w:ind w:firstLine="420" w:firstLineChars="200"/>
        <w:rPr>
          <w:rFonts w:hAnsi="宋体"/>
          <w:szCs w:val="21"/>
        </w:rPr>
      </w:pPr>
      <w:r>
        <w:rPr>
          <w:szCs w:val="21"/>
        </w:rPr>
        <w:t xml:space="preserve">3. </w:t>
      </w:r>
      <w:r>
        <w:rPr>
          <w:rFonts w:hAnsi="宋体"/>
          <w:szCs w:val="21"/>
        </w:rPr>
        <w:t>投标文件（适用于招标工程）或监理与相关服务建议书（适用于非招标工程）；</w:t>
      </w:r>
    </w:p>
    <w:p>
      <w:pPr>
        <w:pStyle w:val="126"/>
        <w:adjustRightInd w:val="0"/>
        <w:snapToGrid w:val="0"/>
        <w:spacing w:line="360" w:lineRule="auto"/>
        <w:ind w:firstLine="420" w:firstLineChars="200"/>
        <w:rPr>
          <w:szCs w:val="21"/>
        </w:rPr>
      </w:pPr>
      <w:r>
        <w:rPr>
          <w:szCs w:val="21"/>
        </w:rPr>
        <w:t xml:space="preserve">4. </w:t>
      </w:r>
      <w:r>
        <w:rPr>
          <w:rFonts w:hAnsi="宋体"/>
          <w:szCs w:val="21"/>
        </w:rPr>
        <w:t>专用条件；</w:t>
      </w:r>
    </w:p>
    <w:p>
      <w:pPr>
        <w:pStyle w:val="126"/>
        <w:adjustRightInd w:val="0"/>
        <w:snapToGrid w:val="0"/>
        <w:spacing w:line="360" w:lineRule="auto"/>
        <w:ind w:firstLine="420" w:firstLineChars="200"/>
        <w:rPr>
          <w:rFonts w:hAnsi="宋体"/>
          <w:szCs w:val="21"/>
        </w:rPr>
      </w:pPr>
      <w:r>
        <w:rPr>
          <w:szCs w:val="21"/>
        </w:rPr>
        <w:t xml:space="preserve">5. </w:t>
      </w:r>
      <w:r>
        <w:rPr>
          <w:rFonts w:hAnsi="宋体"/>
          <w:szCs w:val="21"/>
        </w:rPr>
        <w:t>通用条件；</w:t>
      </w:r>
    </w:p>
    <w:p>
      <w:pPr>
        <w:pStyle w:val="126"/>
        <w:adjustRightInd w:val="0"/>
        <w:snapToGrid w:val="0"/>
        <w:spacing w:line="360" w:lineRule="auto"/>
        <w:ind w:firstLine="420" w:firstLineChars="200"/>
        <w:rPr>
          <w:szCs w:val="21"/>
        </w:rPr>
      </w:pPr>
      <w:r>
        <w:rPr>
          <w:szCs w:val="21"/>
        </w:rPr>
        <w:t xml:space="preserve">6. </w:t>
      </w:r>
      <w:r>
        <w:rPr>
          <w:rFonts w:hAnsi="宋体"/>
          <w:szCs w:val="21"/>
        </w:rPr>
        <w:t>附录，即：</w:t>
      </w:r>
    </w:p>
    <w:p>
      <w:pPr>
        <w:pStyle w:val="126"/>
        <w:adjustRightInd w:val="0"/>
        <w:snapToGrid w:val="0"/>
        <w:spacing w:line="360" w:lineRule="auto"/>
        <w:ind w:firstLine="420" w:firstLineChars="200"/>
        <w:rPr>
          <w:szCs w:val="21"/>
        </w:rPr>
      </w:pPr>
      <w:r>
        <w:rPr>
          <w:rFonts w:hAnsi="宋体"/>
          <w:szCs w:val="21"/>
        </w:rPr>
        <w:t>附录</w:t>
      </w:r>
      <w:r>
        <w:rPr>
          <w:szCs w:val="21"/>
        </w:rPr>
        <w:t xml:space="preserve">A  </w:t>
      </w:r>
      <w:r>
        <w:rPr>
          <w:rFonts w:hAnsi="宋体"/>
          <w:szCs w:val="21"/>
        </w:rPr>
        <w:t>相关服务的范围和内容</w:t>
      </w:r>
    </w:p>
    <w:p>
      <w:pPr>
        <w:pStyle w:val="126"/>
        <w:adjustRightInd w:val="0"/>
        <w:snapToGrid w:val="0"/>
        <w:spacing w:line="360" w:lineRule="auto"/>
        <w:ind w:firstLine="420" w:firstLineChars="200"/>
        <w:rPr>
          <w:szCs w:val="21"/>
        </w:rPr>
      </w:pPr>
      <w:r>
        <w:rPr>
          <w:rFonts w:hAnsi="宋体"/>
          <w:szCs w:val="21"/>
        </w:rPr>
        <w:t>附录</w:t>
      </w:r>
      <w:r>
        <w:rPr>
          <w:szCs w:val="21"/>
        </w:rPr>
        <w:t xml:space="preserve">B  </w:t>
      </w:r>
      <w:r>
        <w:rPr>
          <w:rFonts w:hAnsi="宋体"/>
          <w:szCs w:val="21"/>
        </w:rPr>
        <w:t>委托人派遣的人员和提供的</w:t>
      </w:r>
      <w:r>
        <w:rPr>
          <w:rFonts w:hAnsi="宋体"/>
          <w:bCs/>
          <w:szCs w:val="21"/>
        </w:rPr>
        <w:t>房屋、资料</w:t>
      </w:r>
      <w:r>
        <w:rPr>
          <w:rFonts w:hAnsi="宋体"/>
          <w:szCs w:val="21"/>
        </w:rPr>
        <w:t>、设备</w:t>
      </w:r>
    </w:p>
    <w:p>
      <w:pPr>
        <w:pStyle w:val="126"/>
        <w:adjustRightInd w:val="0"/>
        <w:snapToGrid w:val="0"/>
        <w:spacing w:line="360" w:lineRule="auto"/>
        <w:ind w:firstLine="420" w:firstLineChars="200"/>
        <w:rPr>
          <w:szCs w:val="21"/>
        </w:rPr>
      </w:pPr>
      <w:r>
        <w:rPr>
          <w:rFonts w:hAnsi="宋体"/>
          <w:szCs w:val="21"/>
        </w:rPr>
        <w:t>本合同签订后，双方依法签订的补充协议也是本合同文件的组成部分。</w:t>
      </w:r>
    </w:p>
    <w:p>
      <w:pPr>
        <w:pStyle w:val="126"/>
        <w:adjustRightInd w:val="0"/>
        <w:snapToGrid w:val="0"/>
        <w:spacing w:line="360" w:lineRule="auto"/>
        <w:ind w:firstLine="422" w:firstLineChars="200"/>
        <w:rPr>
          <w:b/>
          <w:szCs w:val="21"/>
        </w:rPr>
      </w:pPr>
      <w:bookmarkStart w:id="259" w:name="_Toc349554754"/>
      <w:r>
        <w:rPr>
          <w:rFonts w:hAnsi="宋体"/>
          <w:b/>
          <w:szCs w:val="21"/>
        </w:rPr>
        <w:t>四、总监理工程师</w:t>
      </w:r>
      <w:bookmarkEnd w:id="259"/>
    </w:p>
    <w:p>
      <w:pPr>
        <w:rPr>
          <w:kern w:val="0"/>
          <w:szCs w:val="21"/>
        </w:rPr>
      </w:pPr>
      <w:r>
        <w:rPr>
          <w:rFonts w:hAnsi="宋体"/>
          <w:kern w:val="0"/>
          <w:szCs w:val="21"/>
        </w:rPr>
        <w:t>总监理工程师姓名：，身份证号码：，注册号：。</w:t>
      </w:r>
    </w:p>
    <w:p>
      <w:pPr>
        <w:pStyle w:val="126"/>
        <w:adjustRightInd w:val="0"/>
        <w:snapToGrid w:val="0"/>
        <w:spacing w:line="360" w:lineRule="auto"/>
        <w:ind w:firstLine="422" w:firstLineChars="200"/>
        <w:rPr>
          <w:rFonts w:ascii="Times New Roman" w:hAnsi="宋体"/>
          <w:b/>
          <w:bCs/>
          <w:kern w:val="0"/>
          <w:szCs w:val="21"/>
        </w:rPr>
      </w:pPr>
      <w:bookmarkStart w:id="260" w:name="_Toc349554755"/>
      <w:r>
        <w:rPr>
          <w:rFonts w:ascii="Times New Roman" w:hAnsi="宋体"/>
          <w:b/>
          <w:bCs/>
          <w:kern w:val="0"/>
          <w:szCs w:val="21"/>
        </w:rPr>
        <w:t>五、签约酬金</w:t>
      </w:r>
      <w:bookmarkEnd w:id="260"/>
    </w:p>
    <w:p>
      <w:pPr>
        <w:pStyle w:val="126"/>
        <w:adjustRightInd w:val="0"/>
        <w:snapToGrid w:val="0"/>
        <w:spacing w:line="420" w:lineRule="exact"/>
        <w:ind w:firstLine="482" w:firstLineChars="200"/>
        <w:rPr>
          <w:rFonts w:ascii="Times New Roman" w:hAnsi="宋体"/>
          <w:b/>
          <w:bCs/>
          <w:kern w:val="0"/>
          <w:sz w:val="24"/>
          <w:szCs w:val="24"/>
        </w:rPr>
      </w:pPr>
      <w:r>
        <w:rPr>
          <w:rFonts w:hint="eastAsia" w:ascii="Times New Roman" w:hAnsi="宋体"/>
          <w:b/>
          <w:bCs/>
          <w:kern w:val="0"/>
          <w:sz w:val="24"/>
          <w:szCs w:val="24"/>
        </w:rPr>
        <w:t>签约酬金暂定价为人民币（大写）：    /   （¥    /   元）。</w:t>
      </w:r>
    </w:p>
    <w:p>
      <w:pPr>
        <w:pStyle w:val="126"/>
        <w:adjustRightInd w:val="0"/>
        <w:snapToGrid w:val="0"/>
        <w:spacing w:line="360" w:lineRule="auto"/>
        <w:ind w:firstLine="420" w:firstLineChars="200"/>
        <w:rPr>
          <w:szCs w:val="21"/>
        </w:rPr>
      </w:pPr>
      <w:r>
        <w:rPr>
          <w:szCs w:val="21"/>
        </w:rPr>
        <w:t xml:space="preserve">1. </w:t>
      </w:r>
      <w:r>
        <w:rPr>
          <w:rFonts w:hAnsi="宋体"/>
          <w:szCs w:val="21"/>
        </w:rPr>
        <w:t>施工阶段监理酬金：</w:t>
      </w:r>
      <w:r>
        <w:rPr>
          <w:rFonts w:hint="eastAsia" w:ascii="宋体" w:hAnsi="宋体" w:cs="宋体"/>
          <w:szCs w:val="21"/>
          <w:u w:val="single"/>
        </w:rPr>
        <w:t xml:space="preserve"> ¥           </w:t>
      </w:r>
      <w:r>
        <w:rPr>
          <w:rFonts w:hAnsi="宋体"/>
          <w:szCs w:val="21"/>
        </w:rPr>
        <w:t>。</w:t>
      </w:r>
    </w:p>
    <w:p>
      <w:pPr>
        <w:pStyle w:val="126"/>
        <w:adjustRightInd w:val="0"/>
        <w:snapToGrid w:val="0"/>
        <w:spacing w:line="360" w:lineRule="auto"/>
        <w:ind w:firstLine="420" w:firstLineChars="200"/>
        <w:rPr>
          <w:szCs w:val="21"/>
        </w:rPr>
      </w:pPr>
      <w:r>
        <w:rPr>
          <w:szCs w:val="21"/>
        </w:rPr>
        <w:t xml:space="preserve">2. </w:t>
      </w:r>
      <w:r>
        <w:rPr>
          <w:rFonts w:hAnsi="宋体"/>
          <w:szCs w:val="21"/>
        </w:rPr>
        <w:t>相关服务酬金：</w:t>
      </w:r>
      <w:r>
        <w:rPr>
          <w:rFonts w:hint="eastAsia"/>
          <w:szCs w:val="21"/>
          <w:u w:val="single"/>
        </w:rPr>
        <w:t>/</w:t>
      </w:r>
      <w:r>
        <w:rPr>
          <w:rFonts w:hAnsi="宋体"/>
          <w:szCs w:val="21"/>
        </w:rPr>
        <w:t>。</w:t>
      </w:r>
    </w:p>
    <w:p>
      <w:pPr>
        <w:pStyle w:val="126"/>
        <w:adjustRightInd w:val="0"/>
        <w:snapToGrid w:val="0"/>
        <w:spacing w:line="360" w:lineRule="auto"/>
        <w:ind w:firstLine="420" w:firstLineChars="200"/>
        <w:rPr>
          <w:szCs w:val="21"/>
        </w:rPr>
      </w:pPr>
      <w:r>
        <w:rPr>
          <w:rFonts w:hAnsi="宋体"/>
          <w:szCs w:val="21"/>
        </w:rPr>
        <w:t>其中：</w:t>
      </w:r>
    </w:p>
    <w:p>
      <w:pPr>
        <w:pStyle w:val="126"/>
        <w:adjustRightInd w:val="0"/>
        <w:snapToGrid w:val="0"/>
        <w:spacing w:line="360" w:lineRule="auto"/>
        <w:ind w:firstLine="840" w:firstLineChars="400"/>
        <w:rPr>
          <w:szCs w:val="21"/>
        </w:rPr>
      </w:pPr>
      <w:r>
        <w:rPr>
          <w:rFonts w:hAnsi="宋体"/>
          <w:kern w:val="0"/>
          <w:szCs w:val="21"/>
        </w:rPr>
        <w:t>（</w:t>
      </w:r>
      <w:r>
        <w:rPr>
          <w:kern w:val="0"/>
          <w:szCs w:val="21"/>
        </w:rPr>
        <w:t>1</w:t>
      </w:r>
      <w:r>
        <w:rPr>
          <w:rFonts w:hAnsi="宋体"/>
          <w:kern w:val="0"/>
          <w:szCs w:val="21"/>
        </w:rPr>
        <w:t>）勘察阶段服务</w:t>
      </w:r>
      <w:r>
        <w:rPr>
          <w:rFonts w:hAnsi="宋体"/>
          <w:szCs w:val="21"/>
        </w:rPr>
        <w:t>酬金：</w:t>
      </w:r>
      <w:r>
        <w:rPr>
          <w:rFonts w:hint="eastAsia"/>
          <w:szCs w:val="21"/>
          <w:u w:val="single"/>
        </w:rPr>
        <w:t>/</w:t>
      </w:r>
      <w:r>
        <w:rPr>
          <w:rFonts w:hAnsi="宋体"/>
          <w:szCs w:val="21"/>
        </w:rPr>
        <w:t>。</w:t>
      </w:r>
    </w:p>
    <w:p>
      <w:pPr>
        <w:pStyle w:val="126"/>
        <w:adjustRightInd w:val="0"/>
        <w:snapToGrid w:val="0"/>
        <w:spacing w:line="360" w:lineRule="auto"/>
        <w:ind w:firstLine="840" w:firstLineChars="400"/>
        <w:rPr>
          <w:szCs w:val="21"/>
        </w:rPr>
      </w:pPr>
      <w:r>
        <w:rPr>
          <w:rFonts w:hAnsi="宋体"/>
          <w:kern w:val="0"/>
          <w:szCs w:val="21"/>
        </w:rPr>
        <w:t>（</w:t>
      </w:r>
      <w:r>
        <w:rPr>
          <w:kern w:val="0"/>
          <w:szCs w:val="21"/>
        </w:rPr>
        <w:t>2</w:t>
      </w:r>
      <w:r>
        <w:rPr>
          <w:rFonts w:hAnsi="宋体"/>
          <w:kern w:val="0"/>
          <w:szCs w:val="21"/>
        </w:rPr>
        <w:t>）设计阶段服务</w:t>
      </w:r>
      <w:r>
        <w:rPr>
          <w:rFonts w:hAnsi="宋体"/>
          <w:szCs w:val="21"/>
        </w:rPr>
        <w:t>酬金：</w:t>
      </w:r>
      <w:r>
        <w:rPr>
          <w:rFonts w:hint="eastAsia"/>
          <w:szCs w:val="21"/>
          <w:u w:val="single"/>
        </w:rPr>
        <w:t>/</w:t>
      </w:r>
      <w:r>
        <w:rPr>
          <w:rFonts w:hAnsi="宋体"/>
          <w:szCs w:val="21"/>
        </w:rPr>
        <w:t>。</w:t>
      </w:r>
    </w:p>
    <w:p>
      <w:pPr>
        <w:pStyle w:val="126"/>
        <w:adjustRightInd w:val="0"/>
        <w:snapToGrid w:val="0"/>
        <w:spacing w:line="360" w:lineRule="auto"/>
        <w:ind w:firstLine="840" w:firstLineChars="400"/>
        <w:rPr>
          <w:szCs w:val="21"/>
        </w:rPr>
      </w:pPr>
      <w:r>
        <w:rPr>
          <w:rFonts w:hAnsi="宋体"/>
          <w:kern w:val="0"/>
          <w:szCs w:val="21"/>
        </w:rPr>
        <w:t>（</w:t>
      </w:r>
      <w:r>
        <w:rPr>
          <w:kern w:val="0"/>
          <w:szCs w:val="21"/>
        </w:rPr>
        <w:t>3</w:t>
      </w:r>
      <w:r>
        <w:rPr>
          <w:rFonts w:hAnsi="宋体"/>
          <w:kern w:val="0"/>
          <w:szCs w:val="21"/>
        </w:rPr>
        <w:t>）保修阶段服务</w:t>
      </w:r>
      <w:r>
        <w:rPr>
          <w:rFonts w:hAnsi="宋体"/>
          <w:szCs w:val="21"/>
        </w:rPr>
        <w:t>酬金：</w:t>
      </w:r>
      <w:r>
        <w:rPr>
          <w:rFonts w:hint="eastAsia"/>
          <w:szCs w:val="21"/>
          <w:u w:val="single"/>
        </w:rPr>
        <w:t>/</w:t>
      </w:r>
      <w:r>
        <w:rPr>
          <w:rFonts w:hAnsi="宋体"/>
          <w:szCs w:val="21"/>
        </w:rPr>
        <w:t>。</w:t>
      </w:r>
    </w:p>
    <w:p>
      <w:pPr>
        <w:pStyle w:val="126"/>
        <w:adjustRightInd w:val="0"/>
        <w:snapToGrid w:val="0"/>
        <w:spacing w:line="360" w:lineRule="auto"/>
        <w:ind w:firstLine="840" w:firstLineChars="400"/>
        <w:rPr>
          <w:szCs w:val="21"/>
        </w:rPr>
      </w:pPr>
      <w:r>
        <w:rPr>
          <w:rFonts w:hAnsi="宋体"/>
          <w:kern w:val="0"/>
          <w:szCs w:val="21"/>
        </w:rPr>
        <w:t>（</w:t>
      </w:r>
      <w:r>
        <w:rPr>
          <w:kern w:val="0"/>
          <w:szCs w:val="21"/>
        </w:rPr>
        <w:t>4</w:t>
      </w:r>
      <w:r>
        <w:rPr>
          <w:rFonts w:hAnsi="宋体"/>
          <w:kern w:val="0"/>
          <w:szCs w:val="21"/>
        </w:rPr>
        <w:t>）</w:t>
      </w:r>
      <w:r>
        <w:rPr>
          <w:rFonts w:hAnsi="宋体"/>
          <w:szCs w:val="21"/>
        </w:rPr>
        <w:t>其他相关服务酬金：</w:t>
      </w:r>
      <w:r>
        <w:rPr>
          <w:rFonts w:hint="eastAsia"/>
          <w:szCs w:val="21"/>
          <w:u w:val="single"/>
        </w:rPr>
        <w:t>/</w:t>
      </w:r>
      <w:r>
        <w:rPr>
          <w:rFonts w:hAnsi="宋体"/>
          <w:szCs w:val="21"/>
        </w:rPr>
        <w:t>。</w:t>
      </w:r>
    </w:p>
    <w:p>
      <w:pPr>
        <w:pStyle w:val="126"/>
        <w:adjustRightInd w:val="0"/>
        <w:snapToGrid w:val="0"/>
        <w:spacing w:line="360" w:lineRule="auto"/>
        <w:ind w:firstLine="422" w:firstLineChars="200"/>
        <w:rPr>
          <w:b/>
          <w:szCs w:val="21"/>
        </w:rPr>
      </w:pPr>
      <w:bookmarkStart w:id="261" w:name="_Toc349554756"/>
      <w:r>
        <w:rPr>
          <w:rFonts w:hAnsi="宋体"/>
          <w:b/>
          <w:szCs w:val="21"/>
        </w:rPr>
        <w:t>六、期限</w:t>
      </w:r>
      <w:bookmarkEnd w:id="261"/>
    </w:p>
    <w:p>
      <w:pPr>
        <w:pStyle w:val="126"/>
        <w:adjustRightInd w:val="0"/>
        <w:snapToGrid w:val="0"/>
        <w:spacing w:line="360" w:lineRule="auto"/>
        <w:ind w:firstLine="525" w:firstLineChars="250"/>
        <w:jc w:val="left"/>
        <w:rPr>
          <w:szCs w:val="21"/>
        </w:rPr>
      </w:pPr>
      <w:r>
        <w:rPr>
          <w:kern w:val="0"/>
          <w:szCs w:val="21"/>
        </w:rPr>
        <w:t xml:space="preserve">1. </w:t>
      </w:r>
      <w:r>
        <w:rPr>
          <w:rFonts w:hAnsi="宋体"/>
          <w:kern w:val="0"/>
          <w:szCs w:val="21"/>
        </w:rPr>
        <w:t>施工阶段</w:t>
      </w:r>
      <w:r>
        <w:rPr>
          <w:rFonts w:hAnsi="宋体"/>
          <w:szCs w:val="21"/>
        </w:rPr>
        <w:t>监理期限：</w:t>
      </w:r>
    </w:p>
    <w:p>
      <w:pPr>
        <w:pStyle w:val="126"/>
        <w:adjustRightInd w:val="0"/>
        <w:snapToGrid w:val="0"/>
        <w:spacing w:line="360" w:lineRule="auto"/>
        <w:ind w:firstLine="525" w:firstLineChars="250"/>
        <w:jc w:val="left"/>
        <w:rPr>
          <w:szCs w:val="21"/>
        </w:rPr>
      </w:pPr>
      <w:r>
        <w:rPr>
          <w:rFonts w:hAnsi="宋体"/>
          <w:szCs w:val="21"/>
        </w:rPr>
        <w:t>自年月日始，至年月日止。</w:t>
      </w:r>
    </w:p>
    <w:p>
      <w:pPr>
        <w:pStyle w:val="126"/>
        <w:adjustRightInd w:val="0"/>
        <w:snapToGrid w:val="0"/>
        <w:spacing w:line="360" w:lineRule="auto"/>
        <w:ind w:firstLine="525" w:firstLineChars="250"/>
        <w:rPr>
          <w:szCs w:val="21"/>
        </w:rPr>
      </w:pPr>
      <w:r>
        <w:rPr>
          <w:kern w:val="0"/>
          <w:szCs w:val="21"/>
        </w:rPr>
        <w:t xml:space="preserve">2. </w:t>
      </w:r>
      <w:r>
        <w:rPr>
          <w:rFonts w:hAnsi="宋体"/>
          <w:szCs w:val="21"/>
        </w:rPr>
        <w:t>相关服务期限：</w:t>
      </w:r>
    </w:p>
    <w:p>
      <w:pPr>
        <w:pStyle w:val="126"/>
        <w:adjustRightInd w:val="0"/>
        <w:snapToGrid w:val="0"/>
        <w:spacing w:line="360" w:lineRule="auto"/>
        <w:ind w:firstLine="525" w:firstLineChars="250"/>
        <w:rPr>
          <w:szCs w:val="21"/>
        </w:rPr>
      </w:pPr>
      <w:r>
        <w:rPr>
          <w:rFonts w:hAnsi="宋体"/>
          <w:kern w:val="0"/>
          <w:szCs w:val="21"/>
        </w:rPr>
        <w:t>（</w:t>
      </w:r>
      <w:r>
        <w:rPr>
          <w:kern w:val="0"/>
          <w:szCs w:val="21"/>
        </w:rPr>
        <w:t>1</w:t>
      </w:r>
      <w:r>
        <w:rPr>
          <w:rFonts w:hAnsi="宋体"/>
          <w:kern w:val="0"/>
          <w:szCs w:val="21"/>
        </w:rPr>
        <w:t>）勘察阶段</w:t>
      </w:r>
      <w:r>
        <w:rPr>
          <w:rFonts w:hAnsi="宋体"/>
          <w:szCs w:val="21"/>
        </w:rPr>
        <w:t>服务期限自</w:t>
      </w:r>
      <w:r>
        <w:rPr>
          <w:rFonts w:hint="eastAsia"/>
          <w:szCs w:val="21"/>
          <w:u w:val="single"/>
        </w:rPr>
        <w:t>/</w:t>
      </w:r>
      <w:r>
        <w:rPr>
          <w:rFonts w:hAnsi="宋体"/>
          <w:szCs w:val="21"/>
        </w:rPr>
        <w:t>年</w:t>
      </w:r>
      <w:r>
        <w:rPr>
          <w:rFonts w:hint="eastAsia"/>
          <w:szCs w:val="21"/>
          <w:u w:val="single"/>
        </w:rPr>
        <w:t>/</w:t>
      </w:r>
      <w:r>
        <w:rPr>
          <w:rFonts w:hAnsi="宋体"/>
          <w:szCs w:val="21"/>
        </w:rPr>
        <w:t>月</w:t>
      </w:r>
      <w:r>
        <w:rPr>
          <w:rFonts w:hint="eastAsia"/>
          <w:szCs w:val="21"/>
          <w:u w:val="single"/>
        </w:rPr>
        <w:t>/</w:t>
      </w:r>
      <w:r>
        <w:rPr>
          <w:rFonts w:hAnsi="宋体"/>
          <w:szCs w:val="21"/>
        </w:rPr>
        <w:t>日始，至</w:t>
      </w:r>
      <w:r>
        <w:rPr>
          <w:rFonts w:hint="eastAsia"/>
          <w:szCs w:val="21"/>
          <w:u w:val="single"/>
        </w:rPr>
        <w:t>/</w:t>
      </w:r>
      <w:r>
        <w:rPr>
          <w:rFonts w:hAnsi="宋体"/>
          <w:szCs w:val="21"/>
        </w:rPr>
        <w:t>年</w:t>
      </w:r>
      <w:r>
        <w:rPr>
          <w:rFonts w:hint="eastAsia"/>
          <w:szCs w:val="21"/>
          <w:u w:val="single"/>
        </w:rPr>
        <w:t>/</w:t>
      </w:r>
      <w:r>
        <w:rPr>
          <w:rFonts w:hAnsi="宋体"/>
          <w:szCs w:val="21"/>
        </w:rPr>
        <w:t>月</w:t>
      </w:r>
      <w:r>
        <w:rPr>
          <w:rFonts w:hint="eastAsia"/>
          <w:szCs w:val="21"/>
          <w:u w:val="single"/>
        </w:rPr>
        <w:t>/</w:t>
      </w:r>
      <w:r>
        <w:rPr>
          <w:rFonts w:hAnsi="宋体"/>
          <w:szCs w:val="21"/>
        </w:rPr>
        <w:t>日止。</w:t>
      </w:r>
    </w:p>
    <w:p>
      <w:pPr>
        <w:pStyle w:val="126"/>
        <w:adjustRightInd w:val="0"/>
        <w:snapToGrid w:val="0"/>
        <w:spacing w:line="360" w:lineRule="auto"/>
        <w:ind w:firstLine="525" w:firstLineChars="250"/>
        <w:rPr>
          <w:szCs w:val="21"/>
        </w:rPr>
      </w:pPr>
      <w:r>
        <w:rPr>
          <w:rFonts w:hAnsi="宋体"/>
          <w:kern w:val="0"/>
          <w:szCs w:val="21"/>
        </w:rPr>
        <w:t>（</w:t>
      </w:r>
      <w:r>
        <w:rPr>
          <w:kern w:val="0"/>
          <w:szCs w:val="21"/>
        </w:rPr>
        <w:t>2</w:t>
      </w:r>
      <w:r>
        <w:rPr>
          <w:rFonts w:hAnsi="宋体"/>
          <w:kern w:val="0"/>
          <w:szCs w:val="21"/>
        </w:rPr>
        <w:t>）设计阶段</w:t>
      </w:r>
      <w:r>
        <w:rPr>
          <w:rFonts w:hAnsi="宋体"/>
          <w:szCs w:val="21"/>
        </w:rPr>
        <w:t>服务期限自</w:t>
      </w:r>
      <w:r>
        <w:rPr>
          <w:rFonts w:hint="eastAsia"/>
          <w:szCs w:val="21"/>
          <w:u w:val="single"/>
        </w:rPr>
        <w:t>/</w:t>
      </w:r>
      <w:r>
        <w:rPr>
          <w:rFonts w:hAnsi="宋体"/>
          <w:szCs w:val="21"/>
        </w:rPr>
        <w:t>年</w:t>
      </w:r>
      <w:r>
        <w:rPr>
          <w:rFonts w:hint="eastAsia"/>
          <w:szCs w:val="21"/>
          <w:u w:val="single"/>
        </w:rPr>
        <w:t>/</w:t>
      </w:r>
      <w:r>
        <w:rPr>
          <w:rFonts w:hAnsi="宋体"/>
          <w:szCs w:val="21"/>
        </w:rPr>
        <w:t>月</w:t>
      </w:r>
      <w:r>
        <w:rPr>
          <w:rFonts w:hint="eastAsia"/>
          <w:szCs w:val="21"/>
          <w:u w:val="single"/>
        </w:rPr>
        <w:t>/</w:t>
      </w:r>
      <w:r>
        <w:rPr>
          <w:rFonts w:hAnsi="宋体"/>
          <w:szCs w:val="21"/>
        </w:rPr>
        <w:t>日始，至</w:t>
      </w:r>
      <w:r>
        <w:rPr>
          <w:rFonts w:hint="eastAsia"/>
          <w:szCs w:val="21"/>
          <w:u w:val="single"/>
        </w:rPr>
        <w:t>/</w:t>
      </w:r>
      <w:r>
        <w:rPr>
          <w:rFonts w:hAnsi="宋体"/>
          <w:szCs w:val="21"/>
        </w:rPr>
        <w:t>年</w:t>
      </w:r>
      <w:r>
        <w:rPr>
          <w:rFonts w:hint="eastAsia"/>
          <w:szCs w:val="21"/>
          <w:u w:val="single"/>
        </w:rPr>
        <w:t>/</w:t>
      </w:r>
      <w:r>
        <w:rPr>
          <w:rFonts w:hAnsi="宋体"/>
          <w:szCs w:val="21"/>
        </w:rPr>
        <w:t>月</w:t>
      </w:r>
      <w:r>
        <w:rPr>
          <w:rFonts w:hint="eastAsia"/>
          <w:szCs w:val="21"/>
          <w:u w:val="single"/>
        </w:rPr>
        <w:t>/</w:t>
      </w:r>
      <w:r>
        <w:rPr>
          <w:rFonts w:hAnsi="宋体"/>
          <w:szCs w:val="21"/>
        </w:rPr>
        <w:t>日止。</w:t>
      </w:r>
    </w:p>
    <w:p>
      <w:pPr>
        <w:pStyle w:val="126"/>
        <w:adjustRightInd w:val="0"/>
        <w:snapToGrid w:val="0"/>
        <w:spacing w:line="360" w:lineRule="auto"/>
        <w:ind w:firstLine="525" w:firstLineChars="250"/>
        <w:rPr>
          <w:szCs w:val="21"/>
        </w:rPr>
      </w:pPr>
      <w:r>
        <w:rPr>
          <w:rFonts w:hAnsi="宋体"/>
          <w:kern w:val="0"/>
          <w:szCs w:val="21"/>
        </w:rPr>
        <w:t>（</w:t>
      </w:r>
      <w:r>
        <w:rPr>
          <w:kern w:val="0"/>
          <w:szCs w:val="21"/>
        </w:rPr>
        <w:t>3</w:t>
      </w:r>
      <w:r>
        <w:rPr>
          <w:rFonts w:hAnsi="宋体"/>
          <w:kern w:val="0"/>
          <w:szCs w:val="21"/>
        </w:rPr>
        <w:t>）保修阶段</w:t>
      </w:r>
      <w:r>
        <w:rPr>
          <w:rFonts w:hAnsi="宋体"/>
          <w:szCs w:val="21"/>
        </w:rPr>
        <w:t>服务期限自</w:t>
      </w:r>
      <w:r>
        <w:rPr>
          <w:rFonts w:hint="eastAsia"/>
          <w:szCs w:val="21"/>
          <w:u w:val="single"/>
        </w:rPr>
        <w:t>/</w:t>
      </w:r>
      <w:r>
        <w:rPr>
          <w:rFonts w:hAnsi="宋体"/>
          <w:szCs w:val="21"/>
        </w:rPr>
        <w:t>年</w:t>
      </w:r>
      <w:r>
        <w:rPr>
          <w:rFonts w:hint="eastAsia"/>
          <w:szCs w:val="21"/>
          <w:u w:val="single"/>
        </w:rPr>
        <w:t>/</w:t>
      </w:r>
      <w:r>
        <w:rPr>
          <w:rFonts w:hAnsi="宋体"/>
          <w:szCs w:val="21"/>
        </w:rPr>
        <w:t>月</w:t>
      </w:r>
      <w:r>
        <w:rPr>
          <w:rFonts w:hint="eastAsia"/>
          <w:szCs w:val="21"/>
          <w:u w:val="single"/>
        </w:rPr>
        <w:t>/</w:t>
      </w:r>
      <w:r>
        <w:rPr>
          <w:rFonts w:hAnsi="宋体"/>
          <w:szCs w:val="21"/>
        </w:rPr>
        <w:t>日始，至</w:t>
      </w:r>
      <w:r>
        <w:rPr>
          <w:rFonts w:hint="eastAsia"/>
          <w:szCs w:val="21"/>
          <w:u w:val="single"/>
        </w:rPr>
        <w:t>/</w:t>
      </w:r>
      <w:r>
        <w:rPr>
          <w:rFonts w:hAnsi="宋体"/>
          <w:szCs w:val="21"/>
        </w:rPr>
        <w:t>年</w:t>
      </w:r>
      <w:r>
        <w:rPr>
          <w:rFonts w:hint="eastAsia"/>
          <w:szCs w:val="21"/>
          <w:u w:val="single"/>
        </w:rPr>
        <w:t>/</w:t>
      </w:r>
      <w:r>
        <w:rPr>
          <w:rFonts w:hAnsi="宋体"/>
          <w:szCs w:val="21"/>
        </w:rPr>
        <w:t>月</w:t>
      </w:r>
      <w:r>
        <w:rPr>
          <w:rFonts w:hint="eastAsia"/>
          <w:szCs w:val="21"/>
          <w:u w:val="single"/>
        </w:rPr>
        <w:t>/</w:t>
      </w:r>
      <w:r>
        <w:rPr>
          <w:rFonts w:hAnsi="宋体"/>
          <w:szCs w:val="21"/>
        </w:rPr>
        <w:t>日止。</w:t>
      </w:r>
    </w:p>
    <w:p>
      <w:pPr>
        <w:pStyle w:val="126"/>
        <w:adjustRightInd w:val="0"/>
        <w:snapToGrid w:val="0"/>
        <w:spacing w:line="360" w:lineRule="auto"/>
        <w:ind w:firstLine="525" w:firstLineChars="250"/>
        <w:rPr>
          <w:szCs w:val="21"/>
        </w:rPr>
      </w:pPr>
      <w:r>
        <w:rPr>
          <w:rFonts w:hAnsi="宋体"/>
          <w:kern w:val="0"/>
          <w:szCs w:val="21"/>
        </w:rPr>
        <w:t>（</w:t>
      </w:r>
      <w:r>
        <w:rPr>
          <w:kern w:val="0"/>
          <w:szCs w:val="21"/>
        </w:rPr>
        <w:t>4</w:t>
      </w:r>
      <w:r>
        <w:rPr>
          <w:rFonts w:hAnsi="宋体"/>
          <w:kern w:val="0"/>
          <w:szCs w:val="21"/>
        </w:rPr>
        <w:t>）</w:t>
      </w:r>
      <w:r>
        <w:rPr>
          <w:rFonts w:hAnsi="宋体"/>
          <w:szCs w:val="21"/>
        </w:rPr>
        <w:t>其他相关服务期限自</w:t>
      </w:r>
      <w:r>
        <w:rPr>
          <w:rFonts w:hint="eastAsia"/>
          <w:szCs w:val="21"/>
          <w:u w:val="single"/>
        </w:rPr>
        <w:t>/</w:t>
      </w:r>
      <w:r>
        <w:rPr>
          <w:rFonts w:hAnsi="宋体"/>
          <w:szCs w:val="21"/>
        </w:rPr>
        <w:t>年</w:t>
      </w:r>
      <w:r>
        <w:rPr>
          <w:rFonts w:hint="eastAsia"/>
          <w:szCs w:val="21"/>
          <w:u w:val="single"/>
        </w:rPr>
        <w:t>/</w:t>
      </w:r>
      <w:r>
        <w:rPr>
          <w:rFonts w:hAnsi="宋体"/>
          <w:szCs w:val="21"/>
        </w:rPr>
        <w:t>月</w:t>
      </w:r>
      <w:r>
        <w:rPr>
          <w:rFonts w:hint="eastAsia"/>
          <w:szCs w:val="21"/>
          <w:u w:val="single"/>
        </w:rPr>
        <w:t>/</w:t>
      </w:r>
      <w:r>
        <w:rPr>
          <w:rFonts w:hAnsi="宋体"/>
          <w:szCs w:val="21"/>
        </w:rPr>
        <w:t>日始，至</w:t>
      </w:r>
      <w:r>
        <w:rPr>
          <w:rFonts w:hint="eastAsia"/>
          <w:szCs w:val="21"/>
          <w:u w:val="single"/>
        </w:rPr>
        <w:t>/</w:t>
      </w:r>
      <w:r>
        <w:rPr>
          <w:rFonts w:hAnsi="宋体"/>
          <w:szCs w:val="21"/>
        </w:rPr>
        <w:t>年</w:t>
      </w:r>
      <w:r>
        <w:rPr>
          <w:rFonts w:hint="eastAsia"/>
          <w:szCs w:val="21"/>
          <w:u w:val="single"/>
        </w:rPr>
        <w:t>/</w:t>
      </w:r>
      <w:r>
        <w:rPr>
          <w:rFonts w:hAnsi="宋体"/>
          <w:szCs w:val="21"/>
        </w:rPr>
        <w:t>月</w:t>
      </w:r>
      <w:r>
        <w:rPr>
          <w:rFonts w:hint="eastAsia"/>
          <w:szCs w:val="21"/>
          <w:u w:val="single"/>
        </w:rPr>
        <w:t>/</w:t>
      </w:r>
      <w:r>
        <w:rPr>
          <w:rFonts w:hAnsi="宋体"/>
          <w:szCs w:val="21"/>
        </w:rPr>
        <w:t>日止。</w:t>
      </w:r>
    </w:p>
    <w:p>
      <w:pPr>
        <w:pStyle w:val="126"/>
        <w:adjustRightInd w:val="0"/>
        <w:snapToGrid w:val="0"/>
        <w:spacing w:line="360" w:lineRule="auto"/>
        <w:ind w:firstLine="422" w:firstLineChars="200"/>
        <w:rPr>
          <w:rFonts w:hAnsi="宋体"/>
          <w:b/>
          <w:szCs w:val="21"/>
        </w:rPr>
      </w:pPr>
      <w:bookmarkStart w:id="262" w:name="_Toc349554757"/>
      <w:r>
        <w:rPr>
          <w:rFonts w:hAnsi="宋体"/>
          <w:b/>
          <w:szCs w:val="21"/>
        </w:rPr>
        <w:t>七、双方承诺</w:t>
      </w:r>
      <w:bookmarkEnd w:id="262"/>
    </w:p>
    <w:p>
      <w:pPr>
        <w:pStyle w:val="126"/>
        <w:adjustRightInd w:val="0"/>
        <w:snapToGrid w:val="0"/>
        <w:spacing w:line="360" w:lineRule="auto"/>
        <w:ind w:firstLine="420" w:firstLineChars="200"/>
        <w:rPr>
          <w:szCs w:val="21"/>
        </w:rPr>
      </w:pPr>
      <w:bookmarkStart w:id="263" w:name="_Toc349554758"/>
      <w:r>
        <w:rPr>
          <w:szCs w:val="21"/>
        </w:rPr>
        <w:t xml:space="preserve">1. </w:t>
      </w:r>
      <w:r>
        <w:rPr>
          <w:rFonts w:hAnsi="宋体"/>
          <w:szCs w:val="21"/>
        </w:rPr>
        <w:t>监理人向委托人承诺，按照本合同约定提供监理与相关服务。</w:t>
      </w:r>
      <w:bookmarkEnd w:id="263"/>
    </w:p>
    <w:p>
      <w:pPr>
        <w:pStyle w:val="126"/>
        <w:adjustRightInd w:val="0"/>
        <w:snapToGrid w:val="0"/>
        <w:spacing w:line="360" w:lineRule="auto"/>
        <w:ind w:firstLine="420" w:firstLineChars="200"/>
        <w:rPr>
          <w:szCs w:val="21"/>
        </w:rPr>
      </w:pPr>
      <w:bookmarkStart w:id="264" w:name="_Toc349554759"/>
      <w:r>
        <w:rPr>
          <w:szCs w:val="21"/>
        </w:rPr>
        <w:t xml:space="preserve">2. </w:t>
      </w:r>
      <w:r>
        <w:rPr>
          <w:rFonts w:hAnsi="宋体"/>
          <w:szCs w:val="21"/>
        </w:rPr>
        <w:t>委托人向监理人承诺，按照本合同约定派遣相应的人员，提供房屋、资料、设备，并按本合同约定支付酬金。</w:t>
      </w:r>
      <w:bookmarkEnd w:id="264"/>
    </w:p>
    <w:p>
      <w:pPr>
        <w:pStyle w:val="126"/>
        <w:adjustRightInd w:val="0"/>
        <w:snapToGrid w:val="0"/>
        <w:spacing w:line="360" w:lineRule="auto"/>
        <w:ind w:firstLine="422" w:firstLineChars="200"/>
        <w:rPr>
          <w:b/>
          <w:szCs w:val="21"/>
        </w:rPr>
      </w:pPr>
      <w:bookmarkStart w:id="265" w:name="_Toc349554760"/>
      <w:r>
        <w:rPr>
          <w:rFonts w:hAnsi="宋体"/>
          <w:b/>
          <w:szCs w:val="21"/>
        </w:rPr>
        <w:t>八、合同订立</w:t>
      </w:r>
      <w:bookmarkEnd w:id="265"/>
    </w:p>
    <w:p>
      <w:pPr>
        <w:pStyle w:val="126"/>
        <w:adjustRightInd w:val="0"/>
        <w:snapToGrid w:val="0"/>
        <w:spacing w:line="360" w:lineRule="auto"/>
        <w:ind w:firstLine="420" w:firstLineChars="200"/>
        <w:rPr>
          <w:szCs w:val="21"/>
        </w:rPr>
      </w:pPr>
      <w:r>
        <w:rPr>
          <w:szCs w:val="21"/>
        </w:rPr>
        <w:t xml:space="preserve">1. </w:t>
      </w:r>
      <w:r>
        <w:rPr>
          <w:rFonts w:hAnsi="宋体"/>
          <w:szCs w:val="21"/>
        </w:rPr>
        <w:t>订立时间：年月日。</w:t>
      </w:r>
    </w:p>
    <w:p>
      <w:pPr>
        <w:pStyle w:val="126"/>
        <w:adjustRightInd w:val="0"/>
        <w:snapToGrid w:val="0"/>
        <w:spacing w:line="360" w:lineRule="auto"/>
        <w:ind w:firstLine="420" w:firstLineChars="200"/>
        <w:rPr>
          <w:szCs w:val="21"/>
        </w:rPr>
      </w:pPr>
      <w:r>
        <w:rPr>
          <w:szCs w:val="21"/>
        </w:rPr>
        <w:t xml:space="preserve">2. </w:t>
      </w:r>
      <w:r>
        <w:rPr>
          <w:rFonts w:hAnsi="宋体"/>
          <w:szCs w:val="21"/>
        </w:rPr>
        <w:t>订立地点：。</w:t>
      </w:r>
    </w:p>
    <w:p>
      <w:pPr>
        <w:pStyle w:val="126"/>
        <w:adjustRightInd w:val="0"/>
        <w:snapToGrid w:val="0"/>
        <w:spacing w:line="360" w:lineRule="auto"/>
        <w:ind w:firstLine="420" w:firstLineChars="200"/>
        <w:rPr>
          <w:szCs w:val="21"/>
        </w:rPr>
      </w:pPr>
      <w:r>
        <w:rPr>
          <w:szCs w:val="21"/>
        </w:rPr>
        <w:t xml:space="preserve">3. </w:t>
      </w:r>
      <w:r>
        <w:rPr>
          <w:rFonts w:hAnsi="宋体"/>
          <w:szCs w:val="21"/>
        </w:rPr>
        <w:t>本合同一式</w:t>
      </w:r>
      <w:r>
        <w:rPr>
          <w:rFonts w:hint="eastAsia"/>
          <w:b/>
          <w:bCs/>
          <w:szCs w:val="21"/>
          <w:u w:val="single"/>
        </w:rPr>
        <w:t>十二</w:t>
      </w:r>
      <w:r>
        <w:rPr>
          <w:rFonts w:hAnsi="宋体"/>
          <w:szCs w:val="21"/>
        </w:rPr>
        <w:t>份，具有同等法律效力，双方各执</w:t>
      </w:r>
      <w:r>
        <w:rPr>
          <w:rFonts w:hint="eastAsia"/>
          <w:szCs w:val="21"/>
          <w:u w:val="single"/>
        </w:rPr>
        <w:t>六</w:t>
      </w:r>
      <w:r>
        <w:rPr>
          <w:rFonts w:hAnsi="宋体"/>
          <w:szCs w:val="21"/>
        </w:rPr>
        <w:t>份。</w:t>
      </w:r>
    </w:p>
    <w:p>
      <w:pPr>
        <w:adjustRightInd w:val="0"/>
        <w:snapToGrid w:val="0"/>
        <w:spacing w:line="480" w:lineRule="auto"/>
        <w:ind w:firstLine="420" w:firstLineChars="200"/>
        <w:jc w:val="left"/>
        <w:rPr>
          <w:szCs w:val="21"/>
        </w:rPr>
      </w:pPr>
      <w:r>
        <w:rPr>
          <w:rFonts w:hAnsi="宋体"/>
          <w:szCs w:val="21"/>
        </w:rPr>
        <w:t>委托人：</w:t>
      </w:r>
      <w:r>
        <w:rPr>
          <w:rFonts w:hAnsi="宋体"/>
          <w:szCs w:val="21"/>
          <w:u w:val="single"/>
        </w:rPr>
        <w:t>（盖章）</w:t>
      </w:r>
      <w:r>
        <w:rPr>
          <w:rFonts w:hAnsi="宋体"/>
          <w:szCs w:val="21"/>
        </w:rPr>
        <w:t>监理人：</w:t>
      </w:r>
      <w:r>
        <w:rPr>
          <w:rFonts w:hAnsi="宋体"/>
          <w:szCs w:val="21"/>
          <w:u w:val="single"/>
        </w:rPr>
        <w:t>（盖章）</w:t>
      </w:r>
    </w:p>
    <w:p>
      <w:pPr>
        <w:pStyle w:val="126"/>
        <w:adjustRightInd w:val="0"/>
        <w:snapToGrid w:val="0"/>
        <w:spacing w:line="360" w:lineRule="auto"/>
        <w:ind w:right="-126" w:rightChars="-60" w:firstLine="415" w:firstLineChars="198"/>
        <w:rPr>
          <w:szCs w:val="21"/>
        </w:rPr>
      </w:pPr>
      <w:r>
        <w:rPr>
          <w:rFonts w:hAnsi="宋体"/>
          <w:szCs w:val="21"/>
        </w:rPr>
        <w:t>住所：住所：</w:t>
      </w:r>
    </w:p>
    <w:p>
      <w:pPr>
        <w:pStyle w:val="126"/>
        <w:adjustRightInd w:val="0"/>
        <w:snapToGrid w:val="0"/>
        <w:spacing w:line="360" w:lineRule="auto"/>
        <w:ind w:right="-126" w:rightChars="-60" w:firstLine="420" w:firstLineChars="200"/>
        <w:rPr>
          <w:szCs w:val="21"/>
        </w:rPr>
      </w:pPr>
      <w:r>
        <w:rPr>
          <w:rFonts w:hAnsi="宋体"/>
          <w:szCs w:val="21"/>
        </w:rPr>
        <w:t>邮政编码：邮政编码：</w:t>
      </w:r>
    </w:p>
    <w:p>
      <w:pPr>
        <w:pStyle w:val="126"/>
        <w:adjustRightInd w:val="0"/>
        <w:snapToGrid w:val="0"/>
        <w:spacing w:line="360" w:lineRule="auto"/>
        <w:ind w:right="-126" w:rightChars="-60" w:firstLine="415" w:firstLineChars="198"/>
        <w:rPr>
          <w:rFonts w:hAnsi="宋体"/>
          <w:szCs w:val="21"/>
        </w:rPr>
      </w:pPr>
      <w:r>
        <w:rPr>
          <w:rFonts w:hAnsi="宋体"/>
          <w:szCs w:val="21"/>
        </w:rPr>
        <w:t>法定代表人或其授权代理人：</w:t>
      </w:r>
      <w:r>
        <w:rPr>
          <w:rFonts w:hAnsi="宋体"/>
          <w:szCs w:val="21"/>
          <w:u w:val="single"/>
        </w:rPr>
        <w:t>（签字）</w:t>
      </w:r>
      <w:r>
        <w:rPr>
          <w:rFonts w:hAnsi="宋体"/>
          <w:szCs w:val="21"/>
        </w:rPr>
        <w:t>法定代表人或其</w:t>
      </w:r>
    </w:p>
    <w:p>
      <w:pPr>
        <w:pStyle w:val="126"/>
        <w:adjustRightInd w:val="0"/>
        <w:snapToGrid w:val="0"/>
        <w:spacing w:line="360" w:lineRule="auto"/>
        <w:ind w:right="-126" w:rightChars="-60" w:firstLine="415" w:firstLineChars="198"/>
        <w:rPr>
          <w:szCs w:val="21"/>
        </w:rPr>
      </w:pPr>
      <w:r>
        <w:rPr>
          <w:rFonts w:hAnsi="宋体"/>
          <w:szCs w:val="21"/>
        </w:rPr>
        <w:t>授权代理人：</w:t>
      </w:r>
      <w:r>
        <w:rPr>
          <w:rFonts w:hAnsi="宋体"/>
          <w:szCs w:val="21"/>
          <w:u w:val="single"/>
        </w:rPr>
        <w:t>（签字）</w:t>
      </w:r>
    </w:p>
    <w:p>
      <w:pPr>
        <w:adjustRightInd w:val="0"/>
        <w:snapToGrid w:val="0"/>
        <w:spacing w:line="480" w:lineRule="auto"/>
        <w:ind w:firstLine="415" w:firstLineChars="198"/>
        <w:rPr>
          <w:szCs w:val="21"/>
        </w:rPr>
      </w:pPr>
      <w:r>
        <w:rPr>
          <w:rFonts w:hAnsi="宋体"/>
          <w:szCs w:val="21"/>
        </w:rPr>
        <w:t>开户银行：开户银行：</w:t>
      </w:r>
    </w:p>
    <w:p>
      <w:pPr>
        <w:pStyle w:val="126"/>
        <w:adjustRightInd w:val="0"/>
        <w:snapToGrid w:val="0"/>
        <w:spacing w:line="360" w:lineRule="auto"/>
        <w:ind w:right="-126" w:rightChars="-60" w:firstLine="415" w:firstLineChars="198"/>
        <w:rPr>
          <w:szCs w:val="21"/>
        </w:rPr>
      </w:pPr>
      <w:r>
        <w:rPr>
          <w:rFonts w:hAnsi="宋体"/>
          <w:szCs w:val="21"/>
        </w:rPr>
        <w:t>账号：账号：</w:t>
      </w:r>
    </w:p>
    <w:p>
      <w:pPr>
        <w:pStyle w:val="126"/>
        <w:adjustRightInd w:val="0"/>
        <w:snapToGrid w:val="0"/>
        <w:spacing w:line="360" w:lineRule="auto"/>
        <w:ind w:right="-126" w:rightChars="-60" w:firstLine="415" w:firstLineChars="198"/>
        <w:rPr>
          <w:szCs w:val="21"/>
        </w:rPr>
      </w:pPr>
      <w:r>
        <w:rPr>
          <w:rFonts w:hAnsi="宋体"/>
          <w:szCs w:val="21"/>
        </w:rPr>
        <w:t>电话：电话：</w:t>
      </w:r>
    </w:p>
    <w:p>
      <w:pPr>
        <w:pStyle w:val="126"/>
        <w:adjustRightInd w:val="0"/>
        <w:snapToGrid w:val="0"/>
        <w:spacing w:line="360" w:lineRule="auto"/>
        <w:ind w:right="-126" w:rightChars="-60" w:firstLine="415" w:firstLineChars="198"/>
        <w:rPr>
          <w:szCs w:val="21"/>
        </w:rPr>
      </w:pPr>
      <w:r>
        <w:rPr>
          <w:rFonts w:hAnsi="宋体"/>
          <w:szCs w:val="21"/>
        </w:rPr>
        <w:t>传真：传真：</w:t>
      </w:r>
    </w:p>
    <w:p>
      <w:pPr>
        <w:pStyle w:val="126"/>
        <w:adjustRightInd w:val="0"/>
        <w:snapToGrid w:val="0"/>
        <w:spacing w:line="360" w:lineRule="auto"/>
        <w:ind w:right="-126" w:rightChars="-60" w:firstLine="415" w:firstLineChars="198"/>
        <w:rPr>
          <w:szCs w:val="21"/>
          <w:u w:val="single"/>
        </w:rPr>
      </w:pPr>
      <w:r>
        <w:rPr>
          <w:rFonts w:hAnsi="宋体"/>
          <w:szCs w:val="21"/>
        </w:rPr>
        <w:t>电子邮箱：电子邮箱：</w:t>
      </w:r>
    </w:p>
    <w:p>
      <w:pPr>
        <w:pStyle w:val="126"/>
        <w:adjustRightInd w:val="0"/>
        <w:snapToGrid w:val="0"/>
        <w:spacing w:line="360" w:lineRule="auto"/>
        <w:ind w:right="-126" w:rightChars="-60" w:firstLine="475" w:firstLineChars="198"/>
        <w:rPr>
          <w:sz w:val="24"/>
          <w:u w:val="single"/>
        </w:rPr>
      </w:pPr>
    </w:p>
    <w:bookmarkEnd w:id="256"/>
    <w:p>
      <w:pPr>
        <w:pStyle w:val="3"/>
        <w:rPr>
          <w:rFonts w:ascii="Arial" w:hAnsi="Arial" w:eastAsia="黑体"/>
          <w:kern w:val="0"/>
          <w:sz w:val="32"/>
          <w:szCs w:val="32"/>
        </w:rPr>
      </w:pPr>
      <w:bookmarkStart w:id="266" w:name="_Toc411526682"/>
      <w:bookmarkStart w:id="267" w:name="_Toc16589"/>
      <w:bookmarkStart w:id="268" w:name="_Toc392940991"/>
    </w:p>
    <w:p/>
    <w:p>
      <w:pPr>
        <w:pStyle w:val="2"/>
      </w:pPr>
    </w:p>
    <w:p>
      <w:pPr>
        <w:pStyle w:val="2"/>
      </w:pPr>
    </w:p>
    <w:p>
      <w:pPr>
        <w:pStyle w:val="2"/>
      </w:pPr>
    </w:p>
    <w:p>
      <w:pPr>
        <w:pStyle w:val="2"/>
      </w:pPr>
    </w:p>
    <w:p>
      <w:pPr>
        <w:pStyle w:val="2"/>
      </w:pPr>
    </w:p>
    <w:p>
      <w:pPr>
        <w:pStyle w:val="2"/>
      </w:pPr>
    </w:p>
    <w:p/>
    <w:p>
      <w:pPr>
        <w:pStyle w:val="3"/>
        <w:spacing w:line="400" w:lineRule="exact"/>
        <w:jc w:val="center"/>
        <w:rPr>
          <w:rFonts w:ascii="Arial" w:hAnsi="Arial" w:eastAsia="黑体"/>
          <w:kern w:val="0"/>
          <w:sz w:val="32"/>
          <w:szCs w:val="32"/>
        </w:rPr>
      </w:pPr>
      <w:r>
        <w:rPr>
          <w:rFonts w:hint="eastAsia" w:ascii="Arial" w:hAnsi="Arial" w:eastAsia="黑体"/>
          <w:kern w:val="0"/>
          <w:sz w:val="32"/>
          <w:szCs w:val="32"/>
        </w:rPr>
        <w:t>第二部分  通用条件</w:t>
      </w:r>
      <w:bookmarkEnd w:id="266"/>
      <w:bookmarkEnd w:id="267"/>
      <w:bookmarkEnd w:id="268"/>
    </w:p>
    <w:p>
      <w:pPr>
        <w:spacing w:line="400" w:lineRule="exact"/>
        <w:rPr>
          <w:b/>
          <w:szCs w:val="21"/>
        </w:rPr>
      </w:pPr>
      <w:r>
        <w:rPr>
          <w:b/>
          <w:szCs w:val="21"/>
        </w:rPr>
        <w:t xml:space="preserve">1. </w:t>
      </w:r>
      <w:r>
        <w:rPr>
          <w:rFonts w:hint="eastAsia" w:hAnsi="宋体"/>
          <w:b/>
          <w:szCs w:val="21"/>
        </w:rPr>
        <w:t>定义与解释</w:t>
      </w:r>
    </w:p>
    <w:p>
      <w:pPr>
        <w:spacing w:line="400" w:lineRule="exact"/>
        <w:rPr>
          <w:bCs/>
          <w:szCs w:val="21"/>
        </w:rPr>
      </w:pPr>
      <w:r>
        <w:rPr>
          <w:szCs w:val="21"/>
        </w:rPr>
        <w:t xml:space="preserve">1.1 </w:t>
      </w:r>
      <w:r>
        <w:rPr>
          <w:rFonts w:hint="eastAsia" w:hAnsi="宋体"/>
          <w:bCs/>
          <w:szCs w:val="21"/>
        </w:rPr>
        <w:t>定义</w:t>
      </w:r>
    </w:p>
    <w:p>
      <w:pPr>
        <w:adjustRightInd w:val="0"/>
        <w:snapToGrid w:val="0"/>
        <w:spacing w:line="400" w:lineRule="exact"/>
        <w:ind w:firstLine="420" w:firstLineChars="200"/>
        <w:rPr>
          <w:szCs w:val="21"/>
        </w:rPr>
      </w:pPr>
      <w:r>
        <w:rPr>
          <w:rFonts w:hint="eastAsia" w:hAnsi="宋体"/>
          <w:szCs w:val="21"/>
        </w:rPr>
        <w:t>除根据上下文另有其意义外，组成本合同的全部文件中的下列名词和用语应具有本款所赋予的含义：</w:t>
      </w:r>
    </w:p>
    <w:p>
      <w:pPr>
        <w:adjustRightInd w:val="0"/>
        <w:snapToGrid w:val="0"/>
        <w:spacing w:line="400" w:lineRule="exact"/>
        <w:ind w:firstLine="420" w:firstLineChars="200"/>
        <w:rPr>
          <w:szCs w:val="21"/>
        </w:rPr>
      </w:pPr>
      <w:r>
        <w:rPr>
          <w:szCs w:val="21"/>
        </w:rPr>
        <w:t xml:space="preserve">1.1.1 </w:t>
      </w:r>
      <w:r>
        <w:rPr>
          <w:rFonts w:hint="eastAsia"/>
          <w:szCs w:val="21"/>
        </w:rPr>
        <w:t>“</w:t>
      </w:r>
      <w:r>
        <w:rPr>
          <w:rFonts w:hint="eastAsia" w:hAnsi="宋体"/>
          <w:szCs w:val="21"/>
        </w:rPr>
        <w:t>工程</w:t>
      </w:r>
      <w:r>
        <w:rPr>
          <w:rFonts w:hint="eastAsia"/>
          <w:szCs w:val="21"/>
        </w:rPr>
        <w:t>”</w:t>
      </w:r>
      <w:r>
        <w:rPr>
          <w:rFonts w:hint="eastAsia" w:hAnsi="宋体"/>
          <w:szCs w:val="21"/>
        </w:rPr>
        <w:t>是指按照本合同约定实施监理与相关服务的建设工程。</w:t>
      </w:r>
    </w:p>
    <w:p>
      <w:pPr>
        <w:adjustRightInd w:val="0"/>
        <w:snapToGrid w:val="0"/>
        <w:spacing w:line="400" w:lineRule="exact"/>
        <w:ind w:firstLine="420" w:firstLineChars="200"/>
        <w:rPr>
          <w:szCs w:val="21"/>
        </w:rPr>
      </w:pPr>
      <w:r>
        <w:rPr>
          <w:szCs w:val="21"/>
        </w:rPr>
        <w:t xml:space="preserve">1.1.2 </w:t>
      </w:r>
      <w:r>
        <w:rPr>
          <w:rFonts w:hint="eastAsia"/>
          <w:szCs w:val="21"/>
        </w:rPr>
        <w:t>“</w:t>
      </w:r>
      <w:r>
        <w:rPr>
          <w:rFonts w:hint="eastAsia" w:hAnsi="宋体"/>
          <w:szCs w:val="21"/>
        </w:rPr>
        <w:t>委托人</w:t>
      </w:r>
      <w:r>
        <w:rPr>
          <w:rFonts w:hint="eastAsia"/>
          <w:szCs w:val="21"/>
        </w:rPr>
        <w:t>”</w:t>
      </w:r>
      <w:r>
        <w:rPr>
          <w:rFonts w:hint="eastAsia" w:hAnsi="宋体"/>
          <w:szCs w:val="21"/>
        </w:rPr>
        <w:t>是指本合同中委托监理与相关服务的一方，及其合法的继承人或受让人。</w:t>
      </w:r>
    </w:p>
    <w:p>
      <w:pPr>
        <w:adjustRightInd w:val="0"/>
        <w:snapToGrid w:val="0"/>
        <w:spacing w:line="400" w:lineRule="exact"/>
        <w:ind w:firstLine="420" w:firstLineChars="200"/>
        <w:rPr>
          <w:szCs w:val="21"/>
        </w:rPr>
      </w:pPr>
      <w:r>
        <w:rPr>
          <w:szCs w:val="21"/>
        </w:rPr>
        <w:t xml:space="preserve">1.1.3 </w:t>
      </w:r>
      <w:r>
        <w:rPr>
          <w:rFonts w:hint="eastAsia"/>
          <w:szCs w:val="21"/>
        </w:rPr>
        <w:t>“</w:t>
      </w:r>
      <w:r>
        <w:rPr>
          <w:rFonts w:hint="eastAsia" w:hAnsi="宋体"/>
          <w:szCs w:val="21"/>
        </w:rPr>
        <w:t>监理人</w:t>
      </w:r>
      <w:r>
        <w:rPr>
          <w:rFonts w:hint="eastAsia"/>
          <w:szCs w:val="21"/>
        </w:rPr>
        <w:t>”</w:t>
      </w:r>
      <w:r>
        <w:rPr>
          <w:rFonts w:hint="eastAsia" w:hAnsi="宋体"/>
          <w:szCs w:val="21"/>
        </w:rPr>
        <w:t>是指本合同中提供监理与相关服务的一方，及其合法的继承人。</w:t>
      </w:r>
    </w:p>
    <w:p>
      <w:pPr>
        <w:adjustRightInd w:val="0"/>
        <w:snapToGrid w:val="0"/>
        <w:spacing w:line="400" w:lineRule="exact"/>
        <w:ind w:firstLine="420" w:firstLineChars="200"/>
        <w:rPr>
          <w:szCs w:val="21"/>
        </w:rPr>
      </w:pPr>
      <w:r>
        <w:rPr>
          <w:szCs w:val="21"/>
        </w:rPr>
        <w:t xml:space="preserve">1.1.4 </w:t>
      </w:r>
      <w:r>
        <w:rPr>
          <w:rFonts w:hint="eastAsia"/>
          <w:szCs w:val="21"/>
        </w:rPr>
        <w:t>“</w:t>
      </w:r>
      <w:r>
        <w:rPr>
          <w:rFonts w:hint="eastAsia" w:hAnsi="宋体"/>
          <w:szCs w:val="21"/>
        </w:rPr>
        <w:t>承包人</w:t>
      </w:r>
      <w:r>
        <w:rPr>
          <w:rFonts w:hint="eastAsia"/>
          <w:szCs w:val="21"/>
        </w:rPr>
        <w:t>”</w:t>
      </w:r>
      <w:r>
        <w:rPr>
          <w:rFonts w:hint="eastAsia" w:hAnsi="宋体"/>
          <w:szCs w:val="21"/>
        </w:rPr>
        <w:t>是指在工程范围内与委托人签订勘察、设计、施工等有关合同的当事人，及其合法的继承人。</w:t>
      </w:r>
    </w:p>
    <w:p>
      <w:pPr>
        <w:pStyle w:val="27"/>
        <w:spacing w:line="400" w:lineRule="exact"/>
        <w:ind w:firstLine="400" w:firstLineChars="200"/>
        <w:rPr>
          <w:rFonts w:ascii="Times New Roman" w:hAnsi="Times New Roman"/>
        </w:rPr>
      </w:pPr>
      <w:r>
        <w:rPr>
          <w:rFonts w:ascii="Times New Roman" w:hAnsi="Times New Roman"/>
        </w:rPr>
        <w:t xml:space="preserve">1.1.5 </w:t>
      </w:r>
      <w:r>
        <w:rPr>
          <w:rFonts w:hint="eastAsia" w:ascii="Times New Roman" w:hAnsi="宋体"/>
          <w:kern w:val="2"/>
          <w:sz w:val="21"/>
        </w:rPr>
        <w:t>“监理”是指监理人受委托人的委托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400" w:lineRule="exact"/>
        <w:ind w:firstLine="420" w:firstLineChars="200"/>
        <w:rPr>
          <w:szCs w:val="21"/>
        </w:rPr>
      </w:pPr>
      <w:r>
        <w:rPr>
          <w:szCs w:val="21"/>
        </w:rPr>
        <w:t xml:space="preserve">1.1.6 </w:t>
      </w:r>
      <w:r>
        <w:rPr>
          <w:rFonts w:hint="eastAsia"/>
          <w:szCs w:val="21"/>
        </w:rPr>
        <w:t>“</w:t>
      </w:r>
      <w:r>
        <w:rPr>
          <w:rFonts w:hint="eastAsia" w:hAnsi="宋体"/>
          <w:szCs w:val="21"/>
        </w:rPr>
        <w:t>相关服务</w:t>
      </w:r>
      <w:r>
        <w:rPr>
          <w:rFonts w:hint="eastAsia"/>
          <w:szCs w:val="21"/>
        </w:rPr>
        <w:t>”</w:t>
      </w:r>
      <w:r>
        <w:rPr>
          <w:rFonts w:hint="eastAsia" w:hAnsi="宋体"/>
          <w:szCs w:val="21"/>
        </w:rPr>
        <w:t>是指监理人受委托人的委托，按照本合同约定，在勘察、设计、保修等阶段提供的服务活动。</w:t>
      </w:r>
    </w:p>
    <w:p>
      <w:pPr>
        <w:adjustRightInd w:val="0"/>
        <w:snapToGrid w:val="0"/>
        <w:spacing w:line="400" w:lineRule="exact"/>
        <w:ind w:firstLine="420" w:firstLineChars="200"/>
        <w:rPr>
          <w:szCs w:val="21"/>
        </w:rPr>
      </w:pPr>
      <w:r>
        <w:rPr>
          <w:szCs w:val="21"/>
        </w:rPr>
        <w:t xml:space="preserve">1.1.7 </w:t>
      </w:r>
      <w:r>
        <w:rPr>
          <w:rFonts w:hint="eastAsia"/>
          <w:szCs w:val="21"/>
        </w:rPr>
        <w:t>“</w:t>
      </w:r>
      <w:r>
        <w:rPr>
          <w:rFonts w:hint="eastAsia" w:hAnsi="宋体"/>
          <w:szCs w:val="21"/>
        </w:rPr>
        <w:t>正常工作</w:t>
      </w:r>
      <w:r>
        <w:rPr>
          <w:rFonts w:hint="eastAsia"/>
          <w:szCs w:val="21"/>
        </w:rPr>
        <w:t>”</w:t>
      </w:r>
      <w:r>
        <w:rPr>
          <w:rFonts w:hint="eastAsia" w:hAnsi="宋体"/>
          <w:szCs w:val="21"/>
        </w:rPr>
        <w:t>指本合同订立时通用条件和专用条件中约定的监理人的工作。</w:t>
      </w:r>
    </w:p>
    <w:p>
      <w:pPr>
        <w:adjustRightInd w:val="0"/>
        <w:snapToGrid w:val="0"/>
        <w:spacing w:line="400" w:lineRule="exact"/>
        <w:ind w:firstLine="420" w:firstLineChars="200"/>
        <w:rPr>
          <w:szCs w:val="21"/>
        </w:rPr>
      </w:pPr>
      <w:r>
        <w:rPr>
          <w:szCs w:val="21"/>
        </w:rPr>
        <w:t xml:space="preserve">1.1.8 </w:t>
      </w:r>
      <w:r>
        <w:rPr>
          <w:rFonts w:hint="eastAsia"/>
          <w:szCs w:val="21"/>
        </w:rPr>
        <w:t>“</w:t>
      </w:r>
      <w:r>
        <w:rPr>
          <w:rFonts w:hint="eastAsia" w:hAnsi="宋体"/>
          <w:szCs w:val="21"/>
        </w:rPr>
        <w:t>附加工作</w:t>
      </w:r>
      <w:r>
        <w:rPr>
          <w:rFonts w:hint="eastAsia"/>
          <w:szCs w:val="21"/>
        </w:rPr>
        <w:t>”</w:t>
      </w:r>
      <w:r>
        <w:rPr>
          <w:rFonts w:hint="eastAsia" w:hAnsi="宋体"/>
          <w:szCs w:val="21"/>
        </w:rPr>
        <w:t>是指本合同约定的正常工作以外监理人的工作。</w:t>
      </w:r>
    </w:p>
    <w:p>
      <w:pPr>
        <w:adjustRightInd w:val="0"/>
        <w:snapToGrid w:val="0"/>
        <w:spacing w:line="400" w:lineRule="exact"/>
        <w:ind w:firstLine="420" w:firstLineChars="200"/>
        <w:rPr>
          <w:szCs w:val="21"/>
        </w:rPr>
      </w:pPr>
      <w:r>
        <w:rPr>
          <w:szCs w:val="21"/>
        </w:rPr>
        <w:t xml:space="preserve">1.1.9 </w:t>
      </w:r>
      <w:r>
        <w:rPr>
          <w:rFonts w:hint="eastAsia"/>
          <w:szCs w:val="21"/>
        </w:rPr>
        <w:t>“</w:t>
      </w:r>
      <w:r>
        <w:rPr>
          <w:rFonts w:hint="eastAsia" w:hAnsi="宋体"/>
          <w:szCs w:val="21"/>
        </w:rPr>
        <w:t>项目监理机构</w:t>
      </w:r>
      <w:r>
        <w:rPr>
          <w:rFonts w:hint="eastAsia"/>
          <w:szCs w:val="21"/>
        </w:rPr>
        <w:t>”</w:t>
      </w:r>
      <w:r>
        <w:rPr>
          <w:rFonts w:hint="eastAsia" w:hAnsi="宋体"/>
          <w:szCs w:val="21"/>
        </w:rPr>
        <w:t>是指监理人派驻工程负责履行本合同的组织机构。</w:t>
      </w:r>
    </w:p>
    <w:p>
      <w:pPr>
        <w:adjustRightInd w:val="0"/>
        <w:snapToGrid w:val="0"/>
        <w:spacing w:line="400" w:lineRule="exact"/>
        <w:ind w:firstLine="420" w:firstLineChars="200"/>
        <w:rPr>
          <w:szCs w:val="21"/>
        </w:rPr>
      </w:pPr>
      <w:r>
        <w:rPr>
          <w:szCs w:val="21"/>
        </w:rPr>
        <w:t xml:space="preserve">1.1.10 </w:t>
      </w:r>
      <w:r>
        <w:rPr>
          <w:rFonts w:hint="eastAsia"/>
          <w:szCs w:val="21"/>
        </w:rPr>
        <w:t>“</w:t>
      </w:r>
      <w:r>
        <w:rPr>
          <w:rFonts w:hint="eastAsia" w:hAnsi="宋体"/>
          <w:szCs w:val="21"/>
        </w:rPr>
        <w:t>总监理工程师</w:t>
      </w:r>
      <w:r>
        <w:rPr>
          <w:rFonts w:hint="eastAsia"/>
          <w:szCs w:val="21"/>
        </w:rPr>
        <w:t>”</w:t>
      </w:r>
      <w:r>
        <w:rPr>
          <w:rFonts w:hint="eastAsia" w:hAnsi="宋体"/>
          <w:szCs w:val="21"/>
        </w:rPr>
        <w:t>是指由监理人的法定代表人书面授权，全面负责履行本合同、主持项目监理机构工作的注册监理工程师。</w:t>
      </w:r>
    </w:p>
    <w:p>
      <w:pPr>
        <w:adjustRightInd w:val="0"/>
        <w:snapToGrid w:val="0"/>
        <w:spacing w:line="400" w:lineRule="exact"/>
        <w:ind w:firstLine="415" w:firstLineChars="198"/>
        <w:rPr>
          <w:szCs w:val="21"/>
        </w:rPr>
      </w:pPr>
      <w:r>
        <w:rPr>
          <w:szCs w:val="21"/>
        </w:rPr>
        <w:t xml:space="preserve">1.1.11 </w:t>
      </w:r>
      <w:r>
        <w:rPr>
          <w:rFonts w:hint="eastAsia"/>
          <w:szCs w:val="21"/>
        </w:rPr>
        <w:t>“</w:t>
      </w:r>
      <w:r>
        <w:rPr>
          <w:rFonts w:hint="eastAsia" w:hAnsi="宋体"/>
          <w:szCs w:val="21"/>
        </w:rPr>
        <w:t>酬金</w:t>
      </w:r>
      <w:r>
        <w:rPr>
          <w:rFonts w:hint="eastAsia"/>
          <w:szCs w:val="21"/>
        </w:rPr>
        <w:t>”</w:t>
      </w:r>
      <w:r>
        <w:rPr>
          <w:rFonts w:hint="eastAsia" w:hAnsi="宋体"/>
          <w:szCs w:val="21"/>
        </w:rPr>
        <w:t>是指监理人履行本合同义务，委托人按照本合同约定给付监理人的金额。</w:t>
      </w:r>
    </w:p>
    <w:p>
      <w:pPr>
        <w:adjustRightInd w:val="0"/>
        <w:snapToGrid w:val="0"/>
        <w:spacing w:line="400" w:lineRule="exact"/>
        <w:ind w:firstLine="415" w:firstLineChars="198"/>
        <w:rPr>
          <w:szCs w:val="21"/>
        </w:rPr>
      </w:pPr>
      <w:r>
        <w:rPr>
          <w:szCs w:val="21"/>
        </w:rPr>
        <w:t xml:space="preserve">1.1.12 </w:t>
      </w:r>
      <w:r>
        <w:rPr>
          <w:rFonts w:hint="eastAsia"/>
          <w:szCs w:val="21"/>
        </w:rPr>
        <w:t>“</w:t>
      </w:r>
      <w:r>
        <w:rPr>
          <w:rFonts w:hint="eastAsia" w:hAnsi="宋体"/>
          <w:szCs w:val="21"/>
        </w:rPr>
        <w:t>正常工作</w:t>
      </w:r>
      <w:r>
        <w:rPr>
          <w:rFonts w:hint="eastAsia" w:hAnsi="宋体"/>
          <w:kern w:val="0"/>
          <w:szCs w:val="21"/>
        </w:rPr>
        <w:t>酬金</w:t>
      </w:r>
      <w:r>
        <w:rPr>
          <w:rFonts w:hint="eastAsia"/>
          <w:kern w:val="0"/>
          <w:szCs w:val="21"/>
        </w:rPr>
        <w:t>”</w:t>
      </w:r>
      <w:r>
        <w:rPr>
          <w:rFonts w:hint="eastAsia" w:hAnsi="宋体"/>
          <w:szCs w:val="21"/>
        </w:rPr>
        <w:t>是指监理人完成正常工作，委托人应给付监理人并在协议书中载明的签约</w:t>
      </w:r>
      <w:r>
        <w:rPr>
          <w:rFonts w:hint="eastAsia" w:hAnsi="宋体"/>
          <w:kern w:val="0"/>
          <w:szCs w:val="21"/>
        </w:rPr>
        <w:t>酬金额</w:t>
      </w:r>
      <w:r>
        <w:rPr>
          <w:rFonts w:hint="eastAsia" w:hAnsi="宋体"/>
          <w:szCs w:val="21"/>
        </w:rPr>
        <w:t>。</w:t>
      </w:r>
    </w:p>
    <w:p>
      <w:pPr>
        <w:adjustRightInd w:val="0"/>
        <w:snapToGrid w:val="0"/>
        <w:spacing w:line="400" w:lineRule="exact"/>
        <w:ind w:firstLine="415" w:firstLineChars="198"/>
        <w:rPr>
          <w:szCs w:val="21"/>
        </w:rPr>
      </w:pPr>
      <w:r>
        <w:rPr>
          <w:szCs w:val="21"/>
        </w:rPr>
        <w:t xml:space="preserve">1.1.13 </w:t>
      </w:r>
      <w:r>
        <w:rPr>
          <w:rFonts w:hint="eastAsia"/>
          <w:szCs w:val="21"/>
        </w:rPr>
        <w:t>“</w:t>
      </w:r>
      <w:r>
        <w:rPr>
          <w:rFonts w:hint="eastAsia" w:hAnsi="宋体"/>
          <w:szCs w:val="21"/>
        </w:rPr>
        <w:t>附加工作酬金</w:t>
      </w:r>
      <w:r>
        <w:rPr>
          <w:rFonts w:hint="eastAsia"/>
          <w:szCs w:val="21"/>
        </w:rPr>
        <w:t>”</w:t>
      </w:r>
      <w:r>
        <w:rPr>
          <w:rFonts w:hint="eastAsia" w:hAnsi="宋体"/>
          <w:szCs w:val="21"/>
        </w:rPr>
        <w:t>是指监理人完成附加工作，委托人应给付监理人的金额。</w:t>
      </w:r>
    </w:p>
    <w:p>
      <w:pPr>
        <w:adjustRightInd w:val="0"/>
        <w:snapToGrid w:val="0"/>
        <w:spacing w:line="400" w:lineRule="exact"/>
        <w:ind w:firstLine="420" w:firstLineChars="200"/>
        <w:rPr>
          <w:szCs w:val="21"/>
        </w:rPr>
      </w:pPr>
      <w:r>
        <w:rPr>
          <w:szCs w:val="21"/>
        </w:rPr>
        <w:t xml:space="preserve">1.1.14 </w:t>
      </w:r>
      <w:r>
        <w:rPr>
          <w:rFonts w:hint="eastAsia"/>
          <w:szCs w:val="21"/>
        </w:rPr>
        <w:t>“</w:t>
      </w:r>
      <w:r>
        <w:rPr>
          <w:rFonts w:hint="eastAsia" w:hAnsi="宋体"/>
          <w:szCs w:val="21"/>
        </w:rPr>
        <w:t>一方</w:t>
      </w:r>
      <w:r>
        <w:rPr>
          <w:rFonts w:hint="eastAsia"/>
          <w:szCs w:val="21"/>
        </w:rPr>
        <w:t>”</w:t>
      </w:r>
      <w:r>
        <w:rPr>
          <w:rFonts w:hint="eastAsia" w:hAnsi="宋体"/>
          <w:szCs w:val="21"/>
        </w:rPr>
        <w:t>是指委托人或监理人；</w:t>
      </w:r>
      <w:r>
        <w:rPr>
          <w:rFonts w:hint="eastAsia"/>
          <w:szCs w:val="21"/>
        </w:rPr>
        <w:t>“</w:t>
      </w:r>
      <w:r>
        <w:rPr>
          <w:rFonts w:hint="eastAsia" w:hAnsi="宋体"/>
          <w:szCs w:val="21"/>
        </w:rPr>
        <w:t>双方</w:t>
      </w:r>
      <w:r>
        <w:rPr>
          <w:rFonts w:hint="eastAsia"/>
          <w:szCs w:val="21"/>
        </w:rPr>
        <w:t>”</w:t>
      </w:r>
      <w:r>
        <w:rPr>
          <w:rFonts w:hint="eastAsia" w:hAnsi="宋体"/>
          <w:szCs w:val="21"/>
        </w:rPr>
        <w:t>是指委托人和监理人；</w:t>
      </w:r>
      <w:r>
        <w:rPr>
          <w:rFonts w:hint="eastAsia"/>
          <w:szCs w:val="21"/>
        </w:rPr>
        <w:t>“</w:t>
      </w:r>
      <w:r>
        <w:rPr>
          <w:rFonts w:hint="eastAsia" w:hAnsi="宋体"/>
          <w:szCs w:val="21"/>
        </w:rPr>
        <w:t>第三方</w:t>
      </w:r>
      <w:r>
        <w:rPr>
          <w:rFonts w:hint="eastAsia"/>
          <w:szCs w:val="21"/>
        </w:rPr>
        <w:t>”</w:t>
      </w:r>
      <w:r>
        <w:rPr>
          <w:rFonts w:hint="eastAsia" w:hAnsi="宋体"/>
          <w:szCs w:val="21"/>
        </w:rPr>
        <w:t>是指除委托人和监理人以外的有关方。</w:t>
      </w:r>
    </w:p>
    <w:p>
      <w:pPr>
        <w:adjustRightInd w:val="0"/>
        <w:snapToGrid w:val="0"/>
        <w:spacing w:line="400" w:lineRule="exact"/>
        <w:ind w:firstLine="420" w:firstLineChars="200"/>
        <w:rPr>
          <w:szCs w:val="21"/>
        </w:rPr>
      </w:pPr>
      <w:r>
        <w:rPr>
          <w:szCs w:val="21"/>
        </w:rPr>
        <w:t xml:space="preserve">1.1.15 </w:t>
      </w:r>
      <w:r>
        <w:rPr>
          <w:rFonts w:hint="eastAsia"/>
          <w:szCs w:val="21"/>
        </w:rPr>
        <w:t>“</w:t>
      </w:r>
      <w:r>
        <w:rPr>
          <w:rFonts w:hint="eastAsia" w:hAnsi="宋体"/>
          <w:szCs w:val="21"/>
        </w:rPr>
        <w:t>书面形式</w:t>
      </w:r>
      <w:r>
        <w:rPr>
          <w:rFonts w:hint="eastAsia"/>
          <w:szCs w:val="21"/>
        </w:rPr>
        <w:t>”</w:t>
      </w:r>
      <w:r>
        <w:rPr>
          <w:rFonts w:hint="eastAsia" w:hAnsi="宋体"/>
          <w:szCs w:val="21"/>
        </w:rPr>
        <w:t>是指合同书、信件和数据电文（包括电报、电传、传真、电子数据交换和电子邮件）等可以有形地表现所载内容的形式。</w:t>
      </w:r>
    </w:p>
    <w:p>
      <w:pPr>
        <w:adjustRightInd w:val="0"/>
        <w:snapToGrid w:val="0"/>
        <w:spacing w:line="400" w:lineRule="exact"/>
        <w:ind w:firstLine="420" w:firstLineChars="200"/>
        <w:rPr>
          <w:szCs w:val="21"/>
        </w:rPr>
      </w:pPr>
      <w:r>
        <w:rPr>
          <w:szCs w:val="21"/>
        </w:rPr>
        <w:t xml:space="preserve">1.1.16 </w:t>
      </w:r>
      <w:r>
        <w:rPr>
          <w:rFonts w:hint="eastAsia"/>
          <w:szCs w:val="21"/>
        </w:rPr>
        <w:t>“</w:t>
      </w:r>
      <w:r>
        <w:rPr>
          <w:rFonts w:hint="eastAsia" w:hAnsi="宋体"/>
          <w:szCs w:val="21"/>
        </w:rPr>
        <w:t>天</w:t>
      </w:r>
      <w:r>
        <w:rPr>
          <w:rFonts w:hint="eastAsia"/>
          <w:szCs w:val="21"/>
        </w:rPr>
        <w:t>”</w:t>
      </w:r>
      <w:r>
        <w:rPr>
          <w:rFonts w:hint="eastAsia" w:hAnsi="宋体"/>
          <w:szCs w:val="21"/>
        </w:rPr>
        <w:t>是指第一天零时至第二天零时的时间。</w:t>
      </w:r>
    </w:p>
    <w:p>
      <w:pPr>
        <w:adjustRightInd w:val="0"/>
        <w:snapToGrid w:val="0"/>
        <w:spacing w:line="400" w:lineRule="exact"/>
        <w:ind w:firstLine="420" w:firstLineChars="200"/>
        <w:rPr>
          <w:szCs w:val="21"/>
        </w:rPr>
      </w:pPr>
      <w:r>
        <w:rPr>
          <w:szCs w:val="21"/>
        </w:rPr>
        <w:t xml:space="preserve">1.1.17 </w:t>
      </w:r>
      <w:r>
        <w:rPr>
          <w:rFonts w:hint="eastAsia"/>
          <w:szCs w:val="21"/>
        </w:rPr>
        <w:t>“</w:t>
      </w:r>
      <w:r>
        <w:rPr>
          <w:rFonts w:hint="eastAsia" w:hAnsi="宋体"/>
          <w:szCs w:val="21"/>
        </w:rPr>
        <w:t>月</w:t>
      </w:r>
      <w:r>
        <w:rPr>
          <w:rFonts w:hint="eastAsia"/>
          <w:szCs w:val="21"/>
        </w:rPr>
        <w:t>”</w:t>
      </w:r>
      <w:r>
        <w:rPr>
          <w:rFonts w:hint="eastAsia" w:hAnsi="宋体"/>
          <w:szCs w:val="21"/>
        </w:rPr>
        <w:t>是指按公历从一个月中任何一天开始的一个公历月时间。</w:t>
      </w:r>
    </w:p>
    <w:p>
      <w:pPr>
        <w:adjustRightInd w:val="0"/>
        <w:snapToGrid w:val="0"/>
        <w:spacing w:line="400" w:lineRule="exact"/>
        <w:ind w:firstLine="420" w:firstLineChars="200"/>
        <w:rPr>
          <w:szCs w:val="21"/>
        </w:rPr>
      </w:pPr>
      <w:r>
        <w:rPr>
          <w:szCs w:val="21"/>
        </w:rPr>
        <w:t xml:space="preserve">1.1.18 </w:t>
      </w:r>
      <w:r>
        <w:rPr>
          <w:rFonts w:hint="eastAsia"/>
          <w:szCs w:val="21"/>
        </w:rPr>
        <w:t>“</w:t>
      </w:r>
      <w:r>
        <w:rPr>
          <w:rFonts w:hint="eastAsia" w:hAnsi="宋体"/>
          <w:szCs w:val="21"/>
        </w:rPr>
        <w:t>不可抗力</w:t>
      </w:r>
      <w:r>
        <w:rPr>
          <w:rFonts w:hint="eastAsia"/>
          <w:szCs w:val="21"/>
        </w:rPr>
        <w:t>”</w:t>
      </w:r>
      <w:r>
        <w:rPr>
          <w:rFonts w:hint="eastAsia" w:hAnsi="宋体"/>
          <w:szCs w:val="21"/>
        </w:rPr>
        <w:t>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400" w:lineRule="exact"/>
        <w:ind w:left="210" w:leftChars="100"/>
        <w:rPr>
          <w:szCs w:val="21"/>
        </w:rPr>
      </w:pPr>
      <w:r>
        <w:rPr>
          <w:bCs/>
          <w:szCs w:val="21"/>
        </w:rPr>
        <w:t xml:space="preserve">1.2 </w:t>
      </w:r>
      <w:r>
        <w:rPr>
          <w:rFonts w:hint="eastAsia" w:hAnsi="宋体"/>
          <w:szCs w:val="21"/>
        </w:rPr>
        <w:t>解释</w:t>
      </w:r>
    </w:p>
    <w:p>
      <w:pPr>
        <w:tabs>
          <w:tab w:val="left" w:pos="6140"/>
        </w:tabs>
        <w:adjustRightInd w:val="0"/>
        <w:snapToGrid w:val="0"/>
        <w:spacing w:line="400" w:lineRule="exact"/>
        <w:ind w:firstLine="420" w:firstLineChars="200"/>
        <w:rPr>
          <w:szCs w:val="21"/>
        </w:rPr>
      </w:pPr>
      <w:r>
        <w:rPr>
          <w:szCs w:val="21"/>
        </w:rPr>
        <w:t>1.2.1</w:t>
      </w:r>
      <w:r>
        <w:rPr>
          <w:rFonts w:hint="eastAsia" w:hAnsi="宋体"/>
          <w:szCs w:val="21"/>
        </w:rPr>
        <w:t>本合同使用中文书写、解释和说明。如专用条件约定使用两种及以上语言文字时，应以中文为准。</w:t>
      </w:r>
    </w:p>
    <w:p>
      <w:pPr>
        <w:tabs>
          <w:tab w:val="left" w:pos="6140"/>
        </w:tabs>
        <w:adjustRightInd w:val="0"/>
        <w:snapToGrid w:val="0"/>
        <w:spacing w:line="400" w:lineRule="exact"/>
        <w:ind w:firstLine="420" w:firstLineChars="200"/>
        <w:rPr>
          <w:szCs w:val="21"/>
        </w:rPr>
      </w:pPr>
      <w:r>
        <w:rPr>
          <w:szCs w:val="21"/>
        </w:rPr>
        <w:t xml:space="preserve">1.2.2 </w:t>
      </w:r>
      <w:r>
        <w:rPr>
          <w:rFonts w:hint="eastAsia" w:hAnsi="宋体"/>
          <w:szCs w:val="21"/>
        </w:rPr>
        <w:t>组成本合同的下列文件彼此应能相互解释、互为说明。除专用条件另有约定外，本合同文件的解释顺序如下：</w:t>
      </w:r>
    </w:p>
    <w:p>
      <w:pPr>
        <w:adjustRightInd w:val="0"/>
        <w:snapToGrid w:val="0"/>
        <w:spacing w:line="400" w:lineRule="exact"/>
        <w:ind w:firstLine="420" w:firstLineChars="200"/>
        <w:rPr>
          <w:szCs w:val="21"/>
        </w:rPr>
      </w:pPr>
      <w:r>
        <w:rPr>
          <w:rFonts w:hint="eastAsia" w:hAnsi="宋体"/>
          <w:szCs w:val="21"/>
        </w:rPr>
        <w:t>（</w:t>
      </w:r>
      <w:r>
        <w:rPr>
          <w:szCs w:val="21"/>
        </w:rPr>
        <w:t>1</w:t>
      </w:r>
      <w:r>
        <w:rPr>
          <w:rFonts w:hint="eastAsia" w:hAnsi="宋体"/>
          <w:szCs w:val="21"/>
        </w:rPr>
        <w:t>）协议书；</w:t>
      </w:r>
    </w:p>
    <w:p>
      <w:pPr>
        <w:adjustRightInd w:val="0"/>
        <w:snapToGrid w:val="0"/>
        <w:spacing w:line="400" w:lineRule="exact"/>
        <w:ind w:firstLine="420" w:firstLineChars="200"/>
        <w:rPr>
          <w:szCs w:val="21"/>
        </w:rPr>
      </w:pPr>
      <w:r>
        <w:rPr>
          <w:rFonts w:hint="eastAsia" w:hAnsi="宋体"/>
          <w:szCs w:val="21"/>
        </w:rPr>
        <w:t>（</w:t>
      </w:r>
      <w:r>
        <w:rPr>
          <w:szCs w:val="21"/>
        </w:rPr>
        <w:t>2</w:t>
      </w:r>
      <w:r>
        <w:rPr>
          <w:rFonts w:hint="eastAsia" w:hAnsi="宋体"/>
          <w:szCs w:val="21"/>
        </w:rPr>
        <w:t>）中标通知书（适用于招标工程）或委托书（适用于非招标工程）；</w:t>
      </w:r>
    </w:p>
    <w:p>
      <w:pPr>
        <w:adjustRightInd w:val="0"/>
        <w:snapToGrid w:val="0"/>
        <w:spacing w:line="400" w:lineRule="exact"/>
        <w:ind w:firstLine="420" w:firstLineChars="200"/>
        <w:rPr>
          <w:szCs w:val="21"/>
        </w:rPr>
      </w:pPr>
      <w:r>
        <w:rPr>
          <w:rFonts w:hint="eastAsia" w:hAnsi="宋体"/>
          <w:szCs w:val="21"/>
        </w:rPr>
        <w:t>（</w:t>
      </w:r>
      <w:r>
        <w:rPr>
          <w:szCs w:val="21"/>
        </w:rPr>
        <w:t>3</w:t>
      </w:r>
      <w:r>
        <w:rPr>
          <w:rFonts w:hint="eastAsia" w:hAnsi="宋体"/>
          <w:szCs w:val="21"/>
        </w:rPr>
        <w:t>）专用条件及附录</w:t>
      </w:r>
      <w:r>
        <w:rPr>
          <w:szCs w:val="21"/>
        </w:rPr>
        <w:t>A</w:t>
      </w:r>
      <w:r>
        <w:rPr>
          <w:rFonts w:hint="eastAsia" w:hAnsi="宋体"/>
          <w:szCs w:val="21"/>
        </w:rPr>
        <w:t>、附录</w:t>
      </w:r>
      <w:r>
        <w:rPr>
          <w:szCs w:val="21"/>
        </w:rPr>
        <w:t>B</w:t>
      </w:r>
      <w:r>
        <w:rPr>
          <w:rFonts w:hint="eastAsia" w:hAnsi="宋体"/>
          <w:szCs w:val="21"/>
        </w:rPr>
        <w:t>；</w:t>
      </w:r>
    </w:p>
    <w:p>
      <w:pPr>
        <w:adjustRightInd w:val="0"/>
        <w:snapToGrid w:val="0"/>
        <w:spacing w:line="400" w:lineRule="exact"/>
        <w:ind w:firstLine="420" w:firstLineChars="200"/>
        <w:rPr>
          <w:szCs w:val="21"/>
        </w:rPr>
      </w:pPr>
      <w:r>
        <w:rPr>
          <w:rFonts w:hint="eastAsia" w:hAnsi="宋体"/>
          <w:szCs w:val="21"/>
        </w:rPr>
        <w:t>（</w:t>
      </w:r>
      <w:r>
        <w:rPr>
          <w:szCs w:val="21"/>
        </w:rPr>
        <w:t>4</w:t>
      </w:r>
      <w:r>
        <w:rPr>
          <w:rFonts w:hint="eastAsia" w:hAnsi="宋体"/>
          <w:szCs w:val="21"/>
        </w:rPr>
        <w:t>）通用条件；</w:t>
      </w:r>
    </w:p>
    <w:p>
      <w:pPr>
        <w:adjustRightInd w:val="0"/>
        <w:snapToGrid w:val="0"/>
        <w:spacing w:line="400" w:lineRule="exact"/>
        <w:ind w:firstLine="420" w:firstLineChars="200"/>
        <w:rPr>
          <w:szCs w:val="21"/>
        </w:rPr>
      </w:pPr>
      <w:r>
        <w:rPr>
          <w:rFonts w:hint="eastAsia" w:hAnsi="宋体"/>
          <w:szCs w:val="21"/>
        </w:rPr>
        <w:t>（</w:t>
      </w:r>
      <w:r>
        <w:rPr>
          <w:szCs w:val="21"/>
        </w:rPr>
        <w:t>5</w:t>
      </w:r>
      <w:r>
        <w:rPr>
          <w:rFonts w:hint="eastAsia" w:hAnsi="宋体"/>
          <w:szCs w:val="21"/>
        </w:rPr>
        <w:t>）投标文件（适用于招标工程）或监理与相关服务建议书（适用于非招标工程）。</w:t>
      </w:r>
    </w:p>
    <w:p>
      <w:pPr>
        <w:spacing w:line="400" w:lineRule="exact"/>
        <w:ind w:firstLine="525" w:firstLineChars="250"/>
        <w:rPr>
          <w:szCs w:val="21"/>
        </w:rPr>
      </w:pPr>
      <w:r>
        <w:rPr>
          <w:rFonts w:hint="eastAsia" w:hAnsi="宋体"/>
          <w:szCs w:val="21"/>
        </w:rPr>
        <w:t>双方签订的补充协议与其他文件发生矛盾或歧义时，属于同一类内容的文件，应以最新签署的为准。</w:t>
      </w:r>
    </w:p>
    <w:p>
      <w:pPr>
        <w:spacing w:line="400" w:lineRule="exact"/>
        <w:rPr>
          <w:b/>
          <w:szCs w:val="21"/>
        </w:rPr>
      </w:pPr>
      <w:r>
        <w:rPr>
          <w:b/>
          <w:szCs w:val="21"/>
        </w:rPr>
        <w:t xml:space="preserve">2. </w:t>
      </w:r>
      <w:r>
        <w:rPr>
          <w:rFonts w:hint="eastAsia" w:hAnsi="宋体"/>
          <w:b/>
          <w:szCs w:val="21"/>
        </w:rPr>
        <w:t>监理人的义务</w:t>
      </w:r>
    </w:p>
    <w:p>
      <w:pPr>
        <w:adjustRightInd w:val="0"/>
        <w:snapToGrid w:val="0"/>
        <w:spacing w:line="400" w:lineRule="exact"/>
        <w:rPr>
          <w:bCs/>
          <w:szCs w:val="21"/>
        </w:rPr>
      </w:pPr>
      <w:r>
        <w:rPr>
          <w:szCs w:val="21"/>
        </w:rPr>
        <w:t xml:space="preserve">2.1 </w:t>
      </w:r>
      <w:r>
        <w:rPr>
          <w:rFonts w:hint="eastAsia" w:hAnsi="宋体"/>
          <w:szCs w:val="21"/>
        </w:rPr>
        <w:t>监理的范围和工作内容</w:t>
      </w:r>
    </w:p>
    <w:p>
      <w:pPr>
        <w:adjustRightInd w:val="0"/>
        <w:snapToGrid w:val="0"/>
        <w:spacing w:line="400" w:lineRule="exact"/>
        <w:ind w:left="420" w:leftChars="200"/>
        <w:rPr>
          <w:szCs w:val="21"/>
        </w:rPr>
      </w:pPr>
      <w:r>
        <w:rPr>
          <w:szCs w:val="21"/>
        </w:rPr>
        <w:t xml:space="preserve">2.1.1 </w:t>
      </w:r>
      <w:r>
        <w:rPr>
          <w:rFonts w:hint="eastAsia" w:hAnsi="宋体"/>
          <w:szCs w:val="21"/>
        </w:rPr>
        <w:t>监理范围在专用条件中约定。</w:t>
      </w:r>
    </w:p>
    <w:p>
      <w:pPr>
        <w:adjustRightInd w:val="0"/>
        <w:snapToGrid w:val="0"/>
        <w:spacing w:line="400" w:lineRule="exact"/>
        <w:ind w:left="420" w:leftChars="200"/>
        <w:rPr>
          <w:szCs w:val="21"/>
        </w:rPr>
      </w:pPr>
      <w:r>
        <w:rPr>
          <w:szCs w:val="21"/>
        </w:rPr>
        <w:t xml:space="preserve">2.1.2 </w:t>
      </w:r>
      <w:r>
        <w:rPr>
          <w:rFonts w:hint="eastAsia" w:hAnsi="宋体"/>
          <w:szCs w:val="21"/>
        </w:rPr>
        <w:t>除专用条件另有约定外，监理工作内容包括：</w:t>
      </w:r>
    </w:p>
    <w:p>
      <w:pPr>
        <w:adjustRightInd w:val="0"/>
        <w:snapToGrid w:val="0"/>
        <w:spacing w:line="400" w:lineRule="exact"/>
        <w:ind w:firstLine="420" w:firstLineChars="200"/>
        <w:rPr>
          <w:szCs w:val="21"/>
        </w:rPr>
      </w:pPr>
      <w:r>
        <w:rPr>
          <w:rFonts w:hint="eastAsia" w:hAnsi="宋体"/>
          <w:szCs w:val="21"/>
        </w:rPr>
        <w:t>（</w:t>
      </w:r>
      <w:r>
        <w:rPr>
          <w:szCs w:val="21"/>
        </w:rPr>
        <w:t>1</w:t>
      </w:r>
      <w:r>
        <w:rPr>
          <w:rFonts w:hint="eastAsia" w:hAnsi="宋体"/>
          <w:szCs w:val="21"/>
        </w:rPr>
        <w:t>）收到工程设计文件后编制监理规划，并在第一次工地会议</w:t>
      </w:r>
      <w:r>
        <w:rPr>
          <w:szCs w:val="21"/>
        </w:rPr>
        <w:t>7</w:t>
      </w:r>
      <w:r>
        <w:rPr>
          <w:rFonts w:hint="eastAsia" w:hAnsi="宋体"/>
          <w:szCs w:val="21"/>
        </w:rPr>
        <w:t>天前报委托人。根据有关规定和监理工作需要，编制监理实施细则；</w:t>
      </w:r>
    </w:p>
    <w:p>
      <w:pPr>
        <w:adjustRightInd w:val="0"/>
        <w:snapToGrid w:val="0"/>
        <w:spacing w:line="400" w:lineRule="exact"/>
        <w:ind w:firstLine="420" w:firstLineChars="200"/>
        <w:rPr>
          <w:szCs w:val="21"/>
        </w:rPr>
      </w:pPr>
      <w:r>
        <w:rPr>
          <w:rFonts w:hint="eastAsia" w:hAnsi="宋体"/>
          <w:szCs w:val="21"/>
        </w:rPr>
        <w:t>（</w:t>
      </w:r>
      <w:r>
        <w:rPr>
          <w:szCs w:val="21"/>
        </w:rPr>
        <w:t>2</w:t>
      </w:r>
      <w:r>
        <w:rPr>
          <w:rFonts w:hint="eastAsia" w:hAnsi="宋体"/>
          <w:szCs w:val="21"/>
        </w:rPr>
        <w:t>）熟悉工程设计文件，并参加由委托人主持的图纸会审和设计交底会议；</w:t>
      </w:r>
    </w:p>
    <w:p>
      <w:pPr>
        <w:adjustRightInd w:val="0"/>
        <w:snapToGrid w:val="0"/>
        <w:spacing w:line="400" w:lineRule="exact"/>
        <w:ind w:firstLine="420" w:firstLineChars="200"/>
        <w:rPr>
          <w:szCs w:val="21"/>
        </w:rPr>
      </w:pPr>
      <w:r>
        <w:rPr>
          <w:rFonts w:hint="eastAsia" w:hAnsi="宋体"/>
          <w:szCs w:val="21"/>
        </w:rPr>
        <w:t>（</w:t>
      </w:r>
      <w:r>
        <w:rPr>
          <w:szCs w:val="21"/>
        </w:rPr>
        <w:t>3</w:t>
      </w:r>
      <w:r>
        <w:rPr>
          <w:rFonts w:hint="eastAsia" w:hAnsi="宋体"/>
          <w:szCs w:val="21"/>
        </w:rPr>
        <w:t>）参加由委托人主持的第一次工地会议；主持监理例会并根据工程需要主持或参加专题会议；</w:t>
      </w:r>
    </w:p>
    <w:p>
      <w:pPr>
        <w:adjustRightInd w:val="0"/>
        <w:snapToGrid w:val="0"/>
        <w:spacing w:line="400" w:lineRule="exact"/>
        <w:rPr>
          <w:szCs w:val="21"/>
        </w:rPr>
      </w:pPr>
      <w:r>
        <w:rPr>
          <w:rFonts w:hint="eastAsia" w:hAnsi="宋体"/>
          <w:szCs w:val="21"/>
        </w:rPr>
        <w:t>（</w:t>
      </w:r>
      <w:r>
        <w:rPr>
          <w:szCs w:val="21"/>
        </w:rPr>
        <w:t>4</w:t>
      </w:r>
      <w:r>
        <w:rPr>
          <w:rFonts w:hint="eastAsia" w:hAnsi="宋体"/>
          <w:szCs w:val="21"/>
        </w:rPr>
        <w:t>）审查施工承包人提交的施工组织设计，重点审查其中的质量安全技术措施、专项施工方案与工程建设强制性标准的符合性；</w:t>
      </w:r>
    </w:p>
    <w:p>
      <w:pPr>
        <w:adjustRightInd w:val="0"/>
        <w:snapToGrid w:val="0"/>
        <w:spacing w:line="400" w:lineRule="exact"/>
        <w:ind w:firstLine="420" w:firstLineChars="200"/>
        <w:rPr>
          <w:szCs w:val="21"/>
        </w:rPr>
      </w:pPr>
      <w:r>
        <w:rPr>
          <w:rFonts w:hint="eastAsia" w:hAnsi="宋体"/>
          <w:szCs w:val="21"/>
        </w:rPr>
        <w:t>（</w:t>
      </w:r>
      <w:r>
        <w:rPr>
          <w:szCs w:val="21"/>
        </w:rPr>
        <w:t>5</w:t>
      </w:r>
      <w:r>
        <w:rPr>
          <w:rFonts w:hint="eastAsia" w:hAnsi="宋体"/>
          <w:szCs w:val="21"/>
        </w:rPr>
        <w:t>）检查施工承包人工程质量、安全生产管理制度及组织机构和人员资格；</w:t>
      </w:r>
    </w:p>
    <w:p>
      <w:pPr>
        <w:adjustRightInd w:val="0"/>
        <w:snapToGrid w:val="0"/>
        <w:spacing w:line="400" w:lineRule="exact"/>
        <w:rPr>
          <w:szCs w:val="21"/>
        </w:rPr>
      </w:pPr>
      <w:r>
        <w:rPr>
          <w:rFonts w:hint="eastAsia" w:hAnsi="宋体"/>
          <w:szCs w:val="21"/>
        </w:rPr>
        <w:t>（</w:t>
      </w:r>
      <w:r>
        <w:rPr>
          <w:szCs w:val="21"/>
        </w:rPr>
        <w:t>6</w:t>
      </w:r>
      <w:r>
        <w:rPr>
          <w:rFonts w:hint="eastAsia" w:hAnsi="宋体"/>
          <w:szCs w:val="21"/>
        </w:rPr>
        <w:t>）检查施工承包人专职安全生产管理人员的配备情况；</w:t>
      </w:r>
    </w:p>
    <w:p>
      <w:pPr>
        <w:adjustRightInd w:val="0"/>
        <w:snapToGrid w:val="0"/>
        <w:spacing w:line="400" w:lineRule="exact"/>
        <w:rPr>
          <w:szCs w:val="21"/>
        </w:rPr>
      </w:pPr>
      <w:r>
        <w:rPr>
          <w:rFonts w:hint="eastAsia" w:hAnsi="宋体"/>
          <w:szCs w:val="21"/>
        </w:rPr>
        <w:t>（</w:t>
      </w:r>
      <w:r>
        <w:rPr>
          <w:szCs w:val="21"/>
        </w:rPr>
        <w:t>7</w:t>
      </w:r>
      <w:r>
        <w:rPr>
          <w:rFonts w:hint="eastAsia" w:hAnsi="宋体"/>
          <w:szCs w:val="21"/>
        </w:rPr>
        <w:t>）审查施工承包人提交的施工进度计划，核查承包人对施工进度计划的调整；</w:t>
      </w:r>
    </w:p>
    <w:p>
      <w:pPr>
        <w:adjustRightInd w:val="0"/>
        <w:snapToGrid w:val="0"/>
        <w:spacing w:line="400" w:lineRule="exact"/>
        <w:ind w:firstLine="420" w:firstLineChars="200"/>
        <w:rPr>
          <w:szCs w:val="21"/>
        </w:rPr>
      </w:pPr>
      <w:r>
        <w:rPr>
          <w:rFonts w:hint="eastAsia" w:hAnsi="宋体"/>
          <w:szCs w:val="21"/>
        </w:rPr>
        <w:t>（</w:t>
      </w:r>
      <w:r>
        <w:rPr>
          <w:szCs w:val="21"/>
        </w:rPr>
        <w:t>8</w:t>
      </w:r>
      <w:r>
        <w:rPr>
          <w:rFonts w:hint="eastAsia" w:hAnsi="宋体"/>
          <w:szCs w:val="21"/>
        </w:rPr>
        <w:t>）检查施工承包人的试验室；</w:t>
      </w:r>
    </w:p>
    <w:p>
      <w:pPr>
        <w:adjustRightInd w:val="0"/>
        <w:snapToGrid w:val="0"/>
        <w:spacing w:line="400" w:lineRule="exact"/>
        <w:rPr>
          <w:szCs w:val="21"/>
        </w:rPr>
      </w:pPr>
      <w:r>
        <w:rPr>
          <w:rFonts w:hint="eastAsia" w:hAnsi="宋体"/>
          <w:szCs w:val="21"/>
        </w:rPr>
        <w:t>（</w:t>
      </w:r>
      <w:r>
        <w:rPr>
          <w:szCs w:val="21"/>
        </w:rPr>
        <w:t>9</w:t>
      </w:r>
      <w:r>
        <w:rPr>
          <w:rFonts w:hint="eastAsia" w:hAnsi="宋体"/>
          <w:szCs w:val="21"/>
        </w:rPr>
        <w:t>）审核施工分包人资质条件；</w:t>
      </w:r>
    </w:p>
    <w:p>
      <w:pPr>
        <w:adjustRightInd w:val="0"/>
        <w:snapToGrid w:val="0"/>
        <w:spacing w:line="400" w:lineRule="exact"/>
        <w:ind w:firstLine="420" w:firstLineChars="200"/>
        <w:rPr>
          <w:rFonts w:hAnsi="宋体"/>
          <w:szCs w:val="21"/>
        </w:rPr>
      </w:pPr>
      <w:r>
        <w:rPr>
          <w:rFonts w:hint="eastAsia" w:hAnsi="宋体"/>
          <w:szCs w:val="21"/>
        </w:rPr>
        <w:t>（</w:t>
      </w:r>
      <w:r>
        <w:rPr>
          <w:rFonts w:hAnsi="宋体"/>
          <w:szCs w:val="21"/>
        </w:rPr>
        <w:t>10</w:t>
      </w:r>
      <w:r>
        <w:rPr>
          <w:rFonts w:hint="eastAsia" w:hAnsi="宋体"/>
          <w:szCs w:val="21"/>
        </w:rPr>
        <w:t>）查验施工承包人的施工测量放线成果；</w:t>
      </w:r>
    </w:p>
    <w:p>
      <w:pPr>
        <w:adjustRightInd w:val="0"/>
        <w:snapToGrid w:val="0"/>
        <w:spacing w:line="400" w:lineRule="exact"/>
        <w:ind w:firstLine="420" w:firstLineChars="200"/>
        <w:rPr>
          <w:rFonts w:hAnsi="宋体"/>
          <w:szCs w:val="21"/>
        </w:rPr>
      </w:pPr>
      <w:r>
        <w:rPr>
          <w:rFonts w:hint="eastAsia" w:hAnsi="宋体"/>
          <w:szCs w:val="21"/>
        </w:rPr>
        <w:t>（</w:t>
      </w:r>
      <w:r>
        <w:rPr>
          <w:rFonts w:hAnsi="宋体"/>
          <w:szCs w:val="21"/>
        </w:rPr>
        <w:t>11</w:t>
      </w:r>
      <w:r>
        <w:rPr>
          <w:rFonts w:hint="eastAsia" w:hAnsi="宋体"/>
          <w:szCs w:val="21"/>
        </w:rPr>
        <w:t>）审查工程开工条件，对条件具备的签发开工令；</w:t>
      </w:r>
    </w:p>
    <w:p>
      <w:pPr>
        <w:adjustRightInd w:val="0"/>
        <w:snapToGrid w:val="0"/>
        <w:spacing w:line="400" w:lineRule="exact"/>
        <w:ind w:firstLine="420" w:firstLineChars="200"/>
        <w:rPr>
          <w:rFonts w:hAnsi="宋体"/>
          <w:szCs w:val="21"/>
        </w:rPr>
      </w:pPr>
      <w:r>
        <w:rPr>
          <w:rFonts w:hint="eastAsia" w:hAnsi="宋体"/>
          <w:szCs w:val="21"/>
        </w:rPr>
        <w:t>（</w:t>
      </w:r>
      <w:r>
        <w:rPr>
          <w:rFonts w:hAnsi="宋体"/>
          <w:szCs w:val="21"/>
        </w:rPr>
        <w:t>12</w:t>
      </w:r>
      <w:r>
        <w:rPr>
          <w:rFonts w:hint="eastAsia" w:hAnsi="宋体"/>
          <w:szCs w:val="21"/>
        </w:rPr>
        <w:t>）审查施工承包人报送的工程材料、构配件、设备质量证明文件的有效性和符合性，并按规定对用于工程的材料采取平行检验或见证取样方式进行抽检；</w:t>
      </w:r>
    </w:p>
    <w:p>
      <w:pPr>
        <w:adjustRightInd w:val="0"/>
        <w:snapToGrid w:val="0"/>
        <w:spacing w:line="400" w:lineRule="exact"/>
        <w:ind w:left="-97" w:leftChars="-46"/>
        <w:rPr>
          <w:szCs w:val="21"/>
        </w:rPr>
      </w:pPr>
      <w:r>
        <w:rPr>
          <w:rFonts w:hint="eastAsia" w:hAnsi="宋体"/>
          <w:szCs w:val="21"/>
        </w:rPr>
        <w:t>（</w:t>
      </w:r>
      <w:r>
        <w:rPr>
          <w:szCs w:val="21"/>
        </w:rPr>
        <w:t>13</w:t>
      </w:r>
      <w:r>
        <w:rPr>
          <w:rFonts w:hint="eastAsia" w:hAnsi="宋体"/>
          <w:szCs w:val="21"/>
        </w:rPr>
        <w:t>）审核施工承包人提交的工程款支付申请，签发或出具工程款支付证书，并报委托人审核、批准；</w:t>
      </w:r>
    </w:p>
    <w:p>
      <w:pPr>
        <w:adjustRightInd w:val="0"/>
        <w:snapToGrid w:val="0"/>
        <w:spacing w:line="400" w:lineRule="exact"/>
        <w:ind w:firstLine="420" w:firstLineChars="200"/>
        <w:rPr>
          <w:szCs w:val="21"/>
        </w:rPr>
      </w:pPr>
      <w:r>
        <w:rPr>
          <w:rFonts w:hint="eastAsia" w:hAnsi="宋体"/>
          <w:szCs w:val="21"/>
        </w:rPr>
        <w:t>（</w:t>
      </w:r>
      <w:r>
        <w:rPr>
          <w:szCs w:val="21"/>
        </w:rPr>
        <w:t>14</w:t>
      </w:r>
      <w:r>
        <w:rPr>
          <w:rFonts w:hint="eastAsia" w:hAnsi="宋体"/>
          <w:szCs w:val="21"/>
        </w:rPr>
        <w:t>）在巡视、旁站和检验过程中，发现工程质量、施工安全存在事故隐患的，要求施工承包人整改并报委托人；</w:t>
      </w:r>
    </w:p>
    <w:p>
      <w:pPr>
        <w:adjustRightInd w:val="0"/>
        <w:snapToGrid w:val="0"/>
        <w:spacing w:line="400" w:lineRule="exact"/>
        <w:ind w:firstLine="420" w:firstLineChars="200"/>
        <w:rPr>
          <w:szCs w:val="21"/>
        </w:rPr>
      </w:pPr>
      <w:r>
        <w:rPr>
          <w:rFonts w:hint="eastAsia" w:hAnsi="宋体"/>
          <w:szCs w:val="21"/>
        </w:rPr>
        <w:t>（</w:t>
      </w:r>
      <w:r>
        <w:rPr>
          <w:szCs w:val="21"/>
        </w:rPr>
        <w:t>15</w:t>
      </w:r>
      <w:r>
        <w:rPr>
          <w:rFonts w:hint="eastAsia" w:hAnsi="宋体"/>
          <w:szCs w:val="21"/>
        </w:rPr>
        <w:t>）经委托人同意，签发工程暂停令和复工令；</w:t>
      </w:r>
    </w:p>
    <w:p>
      <w:pPr>
        <w:adjustRightInd w:val="0"/>
        <w:snapToGrid w:val="0"/>
        <w:spacing w:line="400" w:lineRule="exact"/>
        <w:rPr>
          <w:szCs w:val="21"/>
        </w:rPr>
      </w:pPr>
      <w:r>
        <w:rPr>
          <w:rFonts w:hint="eastAsia" w:hAnsi="宋体"/>
          <w:szCs w:val="21"/>
        </w:rPr>
        <w:t>（</w:t>
      </w:r>
      <w:r>
        <w:rPr>
          <w:szCs w:val="21"/>
        </w:rPr>
        <w:t>16</w:t>
      </w:r>
      <w:r>
        <w:rPr>
          <w:rFonts w:hint="eastAsia" w:hAnsi="宋体"/>
          <w:szCs w:val="21"/>
        </w:rPr>
        <w:t>）审查施工承包人提交的采用新材料、新工艺、新技术、新设备的论证材料及相关验收标准；</w:t>
      </w:r>
    </w:p>
    <w:p>
      <w:pPr>
        <w:adjustRightInd w:val="0"/>
        <w:snapToGrid w:val="0"/>
        <w:spacing w:line="400" w:lineRule="exact"/>
        <w:ind w:firstLine="420" w:firstLineChars="200"/>
        <w:rPr>
          <w:szCs w:val="21"/>
        </w:rPr>
      </w:pPr>
      <w:r>
        <w:rPr>
          <w:rFonts w:hint="eastAsia" w:hAnsi="宋体"/>
          <w:szCs w:val="21"/>
        </w:rPr>
        <w:t>（</w:t>
      </w:r>
      <w:r>
        <w:rPr>
          <w:szCs w:val="21"/>
        </w:rPr>
        <w:t>17</w:t>
      </w:r>
      <w:r>
        <w:rPr>
          <w:rFonts w:hint="eastAsia" w:hAnsi="宋体"/>
          <w:szCs w:val="21"/>
        </w:rPr>
        <w:t>）验收隐蔽工程、分部分项工程；</w:t>
      </w:r>
    </w:p>
    <w:p>
      <w:pPr>
        <w:adjustRightInd w:val="0"/>
        <w:snapToGrid w:val="0"/>
        <w:spacing w:line="400" w:lineRule="exact"/>
        <w:rPr>
          <w:szCs w:val="21"/>
        </w:rPr>
      </w:pPr>
      <w:r>
        <w:rPr>
          <w:rFonts w:hint="eastAsia" w:hAnsi="宋体"/>
          <w:szCs w:val="21"/>
        </w:rPr>
        <w:t>（</w:t>
      </w:r>
      <w:r>
        <w:rPr>
          <w:szCs w:val="21"/>
        </w:rPr>
        <w:t>18</w:t>
      </w:r>
      <w:r>
        <w:rPr>
          <w:rFonts w:hint="eastAsia" w:hAnsi="宋体"/>
          <w:szCs w:val="21"/>
        </w:rPr>
        <w:t>）审查施工承包人提交的工程变更申请，协调处理施工进度调整、费用索赔、合同争议等事项；</w:t>
      </w:r>
    </w:p>
    <w:p>
      <w:pPr>
        <w:adjustRightInd w:val="0"/>
        <w:snapToGrid w:val="0"/>
        <w:spacing w:line="400" w:lineRule="exact"/>
        <w:ind w:firstLine="420" w:firstLineChars="200"/>
        <w:rPr>
          <w:szCs w:val="21"/>
        </w:rPr>
      </w:pPr>
      <w:r>
        <w:rPr>
          <w:rFonts w:hint="eastAsia" w:hAnsi="宋体"/>
          <w:szCs w:val="21"/>
        </w:rPr>
        <w:t>（</w:t>
      </w:r>
      <w:r>
        <w:rPr>
          <w:szCs w:val="21"/>
        </w:rPr>
        <w:t>19</w:t>
      </w:r>
      <w:r>
        <w:rPr>
          <w:rFonts w:hint="eastAsia" w:hAnsi="宋体"/>
          <w:szCs w:val="21"/>
        </w:rPr>
        <w:t>）审查施工承包人提交的竣工验收申请，编写工程质量评估报告；</w:t>
      </w:r>
    </w:p>
    <w:p>
      <w:pPr>
        <w:adjustRightInd w:val="0"/>
        <w:snapToGrid w:val="0"/>
        <w:spacing w:line="400" w:lineRule="exact"/>
        <w:ind w:firstLine="420" w:firstLineChars="200"/>
        <w:rPr>
          <w:szCs w:val="21"/>
        </w:rPr>
      </w:pPr>
      <w:r>
        <w:rPr>
          <w:rFonts w:hint="eastAsia" w:hAnsi="宋体"/>
          <w:szCs w:val="21"/>
        </w:rPr>
        <w:t>（</w:t>
      </w:r>
      <w:r>
        <w:rPr>
          <w:szCs w:val="21"/>
        </w:rPr>
        <w:t>20</w:t>
      </w:r>
      <w:r>
        <w:rPr>
          <w:rFonts w:hint="eastAsia" w:hAnsi="宋体"/>
          <w:szCs w:val="21"/>
        </w:rPr>
        <w:t>）参加工程竣工验收，签署竣工验收意见；</w:t>
      </w:r>
    </w:p>
    <w:p>
      <w:pPr>
        <w:adjustRightInd w:val="0"/>
        <w:snapToGrid w:val="0"/>
        <w:spacing w:line="400" w:lineRule="exact"/>
        <w:ind w:firstLine="420" w:firstLineChars="200"/>
        <w:rPr>
          <w:szCs w:val="21"/>
        </w:rPr>
      </w:pPr>
      <w:r>
        <w:rPr>
          <w:rFonts w:hint="eastAsia" w:hAnsi="宋体"/>
          <w:szCs w:val="21"/>
        </w:rPr>
        <w:t>（</w:t>
      </w:r>
      <w:r>
        <w:rPr>
          <w:szCs w:val="21"/>
        </w:rPr>
        <w:t>21</w:t>
      </w:r>
      <w:r>
        <w:rPr>
          <w:rFonts w:hint="eastAsia" w:hAnsi="宋体"/>
          <w:szCs w:val="21"/>
        </w:rPr>
        <w:t>）审查施工承包人提交的竣工结算申请并报委托人；</w:t>
      </w:r>
    </w:p>
    <w:p>
      <w:pPr>
        <w:adjustRightInd w:val="0"/>
        <w:snapToGrid w:val="0"/>
        <w:spacing w:line="400" w:lineRule="exact"/>
        <w:ind w:firstLine="420" w:firstLineChars="200"/>
        <w:rPr>
          <w:szCs w:val="21"/>
        </w:rPr>
      </w:pPr>
      <w:r>
        <w:rPr>
          <w:rFonts w:hint="eastAsia" w:hAnsi="宋体"/>
          <w:szCs w:val="21"/>
        </w:rPr>
        <w:t>（</w:t>
      </w:r>
      <w:r>
        <w:rPr>
          <w:szCs w:val="21"/>
        </w:rPr>
        <w:t>22</w:t>
      </w:r>
      <w:r>
        <w:rPr>
          <w:rFonts w:hint="eastAsia" w:hAnsi="宋体"/>
          <w:szCs w:val="21"/>
        </w:rPr>
        <w:t>）编制、整理工程监理归档文件并报委托人。</w:t>
      </w:r>
    </w:p>
    <w:p>
      <w:pPr>
        <w:spacing w:line="400" w:lineRule="exact"/>
        <w:ind w:firstLine="525" w:firstLineChars="250"/>
        <w:rPr>
          <w:szCs w:val="21"/>
        </w:rPr>
      </w:pPr>
      <w:r>
        <w:rPr>
          <w:szCs w:val="21"/>
        </w:rPr>
        <w:t xml:space="preserve">2.1.3 </w:t>
      </w:r>
      <w:r>
        <w:rPr>
          <w:rFonts w:hint="eastAsia" w:hAnsi="宋体"/>
          <w:szCs w:val="21"/>
        </w:rPr>
        <w:t>相关服务的范围和内容在附录</w:t>
      </w:r>
      <w:r>
        <w:rPr>
          <w:szCs w:val="21"/>
        </w:rPr>
        <w:t>A</w:t>
      </w:r>
      <w:r>
        <w:rPr>
          <w:rFonts w:hint="eastAsia" w:hAnsi="宋体"/>
          <w:szCs w:val="21"/>
        </w:rPr>
        <w:t>中约定。</w:t>
      </w:r>
    </w:p>
    <w:p>
      <w:pPr>
        <w:spacing w:line="400" w:lineRule="exact"/>
        <w:rPr>
          <w:bCs/>
          <w:szCs w:val="21"/>
        </w:rPr>
      </w:pPr>
      <w:r>
        <w:rPr>
          <w:szCs w:val="21"/>
        </w:rPr>
        <w:t xml:space="preserve">2.2 </w:t>
      </w:r>
      <w:r>
        <w:rPr>
          <w:rFonts w:hint="eastAsia" w:hAnsi="宋体"/>
          <w:bCs/>
          <w:szCs w:val="21"/>
        </w:rPr>
        <w:t>监理与相关服务依据</w:t>
      </w:r>
    </w:p>
    <w:p>
      <w:pPr>
        <w:adjustRightInd w:val="0"/>
        <w:snapToGrid w:val="0"/>
        <w:spacing w:line="400" w:lineRule="exact"/>
        <w:ind w:firstLine="525" w:firstLineChars="250"/>
        <w:rPr>
          <w:szCs w:val="21"/>
        </w:rPr>
      </w:pPr>
      <w:r>
        <w:rPr>
          <w:szCs w:val="21"/>
        </w:rPr>
        <w:t xml:space="preserve">2.2.1 </w:t>
      </w:r>
      <w:r>
        <w:rPr>
          <w:rFonts w:hint="eastAsia" w:hAnsi="宋体"/>
          <w:szCs w:val="21"/>
        </w:rPr>
        <w:t>监理依据包括：</w:t>
      </w:r>
    </w:p>
    <w:p>
      <w:pPr>
        <w:adjustRightInd w:val="0"/>
        <w:snapToGrid w:val="0"/>
        <w:spacing w:line="400" w:lineRule="exact"/>
        <w:ind w:firstLine="525" w:firstLineChars="250"/>
        <w:rPr>
          <w:szCs w:val="21"/>
        </w:rPr>
      </w:pPr>
      <w:r>
        <w:rPr>
          <w:rFonts w:hint="eastAsia" w:hAnsi="宋体"/>
          <w:szCs w:val="21"/>
        </w:rPr>
        <w:t>（</w:t>
      </w:r>
      <w:r>
        <w:rPr>
          <w:szCs w:val="21"/>
        </w:rPr>
        <w:t>1</w:t>
      </w:r>
      <w:r>
        <w:rPr>
          <w:rFonts w:hint="eastAsia" w:hAnsi="宋体"/>
          <w:szCs w:val="21"/>
        </w:rPr>
        <w:t>）适用的法律、行政法规及部门规章；</w:t>
      </w:r>
    </w:p>
    <w:p>
      <w:pPr>
        <w:adjustRightInd w:val="0"/>
        <w:snapToGrid w:val="0"/>
        <w:spacing w:line="400" w:lineRule="exact"/>
        <w:ind w:firstLine="525" w:firstLineChars="250"/>
        <w:rPr>
          <w:szCs w:val="21"/>
        </w:rPr>
      </w:pPr>
      <w:r>
        <w:rPr>
          <w:rFonts w:hint="eastAsia" w:hAnsi="宋体"/>
          <w:szCs w:val="21"/>
        </w:rPr>
        <w:t>（</w:t>
      </w:r>
      <w:r>
        <w:rPr>
          <w:szCs w:val="21"/>
        </w:rPr>
        <w:t>2</w:t>
      </w:r>
      <w:r>
        <w:rPr>
          <w:rFonts w:hint="eastAsia" w:hAnsi="宋体"/>
          <w:szCs w:val="21"/>
        </w:rPr>
        <w:t>）与工程有关的标准；</w:t>
      </w:r>
    </w:p>
    <w:p>
      <w:pPr>
        <w:adjustRightInd w:val="0"/>
        <w:snapToGrid w:val="0"/>
        <w:spacing w:line="400" w:lineRule="exact"/>
        <w:ind w:firstLine="525" w:firstLineChars="250"/>
        <w:rPr>
          <w:szCs w:val="21"/>
        </w:rPr>
      </w:pPr>
      <w:r>
        <w:rPr>
          <w:rFonts w:hint="eastAsia" w:hAnsi="宋体"/>
          <w:szCs w:val="21"/>
        </w:rPr>
        <w:t>（</w:t>
      </w:r>
      <w:r>
        <w:rPr>
          <w:szCs w:val="21"/>
        </w:rPr>
        <w:t>3</w:t>
      </w:r>
      <w:r>
        <w:rPr>
          <w:rFonts w:hint="eastAsia" w:hAnsi="宋体"/>
          <w:szCs w:val="21"/>
        </w:rPr>
        <w:t>）工程设计及有关文件；</w:t>
      </w:r>
    </w:p>
    <w:p>
      <w:pPr>
        <w:adjustRightInd w:val="0"/>
        <w:snapToGrid w:val="0"/>
        <w:spacing w:line="400" w:lineRule="exact"/>
        <w:ind w:firstLine="525" w:firstLineChars="250"/>
        <w:rPr>
          <w:szCs w:val="21"/>
        </w:rPr>
      </w:pPr>
      <w:r>
        <w:rPr>
          <w:rFonts w:hint="eastAsia" w:hAnsi="宋体"/>
          <w:szCs w:val="21"/>
        </w:rPr>
        <w:t>（</w:t>
      </w:r>
      <w:r>
        <w:rPr>
          <w:szCs w:val="21"/>
        </w:rPr>
        <w:t>4</w:t>
      </w:r>
      <w:r>
        <w:rPr>
          <w:rFonts w:hint="eastAsia" w:hAnsi="宋体"/>
          <w:szCs w:val="21"/>
        </w:rPr>
        <w:t>）本合同及委托人与第三方签订的与实施工程有关的其他合同。</w:t>
      </w:r>
    </w:p>
    <w:p>
      <w:pPr>
        <w:spacing w:line="400" w:lineRule="exact"/>
        <w:ind w:left="210" w:leftChars="100" w:firstLine="420" w:firstLineChars="200"/>
        <w:rPr>
          <w:bCs/>
          <w:szCs w:val="21"/>
        </w:rPr>
      </w:pPr>
      <w:r>
        <w:rPr>
          <w:rFonts w:hint="eastAsia" w:hAnsi="宋体"/>
          <w:bCs/>
          <w:szCs w:val="21"/>
        </w:rPr>
        <w:t>双方根据工程的行业和地域特点，在专用条件中具体约定监理依据。</w:t>
      </w:r>
    </w:p>
    <w:p>
      <w:pPr>
        <w:adjustRightInd w:val="0"/>
        <w:snapToGrid w:val="0"/>
        <w:spacing w:line="400" w:lineRule="exact"/>
        <w:ind w:firstLine="420" w:firstLineChars="200"/>
        <w:rPr>
          <w:szCs w:val="21"/>
        </w:rPr>
      </w:pPr>
      <w:r>
        <w:rPr>
          <w:szCs w:val="21"/>
        </w:rPr>
        <w:t xml:space="preserve">2.2.2 </w:t>
      </w:r>
      <w:r>
        <w:rPr>
          <w:rFonts w:hint="eastAsia" w:hAnsi="宋体"/>
          <w:szCs w:val="21"/>
        </w:rPr>
        <w:t>相关服务依据在专用条件中约定。</w:t>
      </w:r>
    </w:p>
    <w:p>
      <w:pPr>
        <w:spacing w:line="400" w:lineRule="exact"/>
        <w:rPr>
          <w:kern w:val="0"/>
          <w:szCs w:val="21"/>
        </w:rPr>
      </w:pPr>
      <w:r>
        <w:rPr>
          <w:kern w:val="0"/>
          <w:szCs w:val="21"/>
        </w:rPr>
        <w:t xml:space="preserve">2.3 </w:t>
      </w:r>
      <w:r>
        <w:rPr>
          <w:rFonts w:hint="eastAsia" w:hAnsi="宋体"/>
          <w:kern w:val="0"/>
          <w:szCs w:val="21"/>
        </w:rPr>
        <w:t>项目监理机构和人员</w:t>
      </w:r>
    </w:p>
    <w:p>
      <w:pPr>
        <w:adjustRightInd w:val="0"/>
        <w:snapToGrid w:val="0"/>
        <w:spacing w:line="400" w:lineRule="exact"/>
        <w:ind w:firstLine="420" w:firstLineChars="200"/>
        <w:rPr>
          <w:kern w:val="0"/>
          <w:szCs w:val="21"/>
        </w:rPr>
      </w:pPr>
      <w:r>
        <w:rPr>
          <w:kern w:val="0"/>
          <w:szCs w:val="21"/>
        </w:rPr>
        <w:t xml:space="preserve">2.3.1 </w:t>
      </w:r>
      <w:r>
        <w:rPr>
          <w:rFonts w:hint="eastAsia" w:hAnsi="宋体"/>
          <w:kern w:val="0"/>
          <w:szCs w:val="21"/>
        </w:rPr>
        <w:t>监理人应组建满足工作需要的项目监理机构，配备必要的检测设备。项目监理机构的主要人员应具有相应的资格条件。</w:t>
      </w:r>
    </w:p>
    <w:p>
      <w:pPr>
        <w:adjustRightInd w:val="0"/>
        <w:snapToGrid w:val="0"/>
        <w:spacing w:line="400" w:lineRule="exact"/>
        <w:ind w:firstLine="420" w:firstLineChars="200"/>
        <w:rPr>
          <w:kern w:val="0"/>
          <w:szCs w:val="21"/>
        </w:rPr>
      </w:pPr>
      <w:r>
        <w:rPr>
          <w:kern w:val="0"/>
          <w:szCs w:val="21"/>
        </w:rPr>
        <w:t>2.3.2</w:t>
      </w:r>
      <w:r>
        <w:rPr>
          <w:rFonts w:hint="eastAsia" w:hAnsi="宋体"/>
          <w:kern w:val="0"/>
          <w:szCs w:val="21"/>
        </w:rPr>
        <w:t>本合同履行过程中，总监理工程师及重要岗位监理人员应保持相对稳定，以保证监理工作正常进行。</w:t>
      </w:r>
    </w:p>
    <w:p>
      <w:pPr>
        <w:adjustRightInd w:val="0"/>
        <w:snapToGrid w:val="0"/>
        <w:spacing w:line="400" w:lineRule="exact"/>
        <w:ind w:firstLine="420" w:firstLineChars="200"/>
        <w:rPr>
          <w:kern w:val="0"/>
          <w:szCs w:val="21"/>
        </w:rPr>
      </w:pPr>
      <w:r>
        <w:rPr>
          <w:kern w:val="0"/>
          <w:szCs w:val="21"/>
        </w:rPr>
        <w:t>2.3.3</w:t>
      </w:r>
      <w:r>
        <w:rPr>
          <w:rFonts w:hint="eastAsia" w:hAnsi="宋体"/>
          <w:kern w:val="0"/>
          <w:szCs w:val="21"/>
        </w:rPr>
        <w:t>监理人可根据工程进展和工作需要调整项目监理机构人员。监理人更换总监理工程师时，应提前</w:t>
      </w:r>
      <w:r>
        <w:rPr>
          <w:kern w:val="0"/>
          <w:szCs w:val="21"/>
        </w:rPr>
        <w:t>7</w:t>
      </w:r>
      <w:r>
        <w:rPr>
          <w:rFonts w:hint="eastAsia" w:hAnsi="宋体"/>
          <w:kern w:val="0"/>
          <w:szCs w:val="21"/>
        </w:rPr>
        <w:t>天向委托人书面报告，经委托人同意后方可更换；监理人更换项目监理机构其他监理人员，应以相当资格与能力的人员替换，并通知委托人。</w:t>
      </w:r>
    </w:p>
    <w:p>
      <w:pPr>
        <w:adjustRightInd w:val="0"/>
        <w:snapToGrid w:val="0"/>
        <w:spacing w:line="400" w:lineRule="exact"/>
        <w:ind w:firstLine="420" w:firstLineChars="200"/>
        <w:rPr>
          <w:kern w:val="0"/>
          <w:szCs w:val="21"/>
        </w:rPr>
      </w:pPr>
      <w:r>
        <w:rPr>
          <w:kern w:val="0"/>
          <w:szCs w:val="21"/>
        </w:rPr>
        <w:t xml:space="preserve">2.3.4 </w:t>
      </w:r>
      <w:r>
        <w:rPr>
          <w:rFonts w:hint="eastAsia" w:hAnsi="宋体"/>
          <w:kern w:val="0"/>
          <w:szCs w:val="21"/>
        </w:rPr>
        <w:t>监理人应及时更换有下列情形之一的监理人员：</w:t>
      </w:r>
    </w:p>
    <w:p>
      <w:pPr>
        <w:adjustRightInd w:val="0"/>
        <w:snapToGrid w:val="0"/>
        <w:spacing w:line="400" w:lineRule="exact"/>
        <w:ind w:firstLine="420" w:firstLineChars="200"/>
        <w:rPr>
          <w:kern w:val="0"/>
          <w:szCs w:val="21"/>
        </w:rPr>
      </w:pPr>
      <w:r>
        <w:rPr>
          <w:rFonts w:hint="eastAsia" w:hAnsi="宋体"/>
          <w:kern w:val="0"/>
          <w:szCs w:val="21"/>
        </w:rPr>
        <w:t>（</w:t>
      </w:r>
      <w:r>
        <w:rPr>
          <w:kern w:val="0"/>
          <w:szCs w:val="21"/>
        </w:rPr>
        <w:t>1</w:t>
      </w:r>
      <w:r>
        <w:rPr>
          <w:rFonts w:hint="eastAsia" w:hAnsi="宋体"/>
          <w:kern w:val="0"/>
          <w:szCs w:val="21"/>
        </w:rPr>
        <w:t>）严重过失行为的；</w:t>
      </w:r>
    </w:p>
    <w:p>
      <w:pPr>
        <w:adjustRightInd w:val="0"/>
        <w:snapToGrid w:val="0"/>
        <w:spacing w:line="400" w:lineRule="exact"/>
        <w:ind w:firstLine="420" w:firstLineChars="200"/>
        <w:rPr>
          <w:kern w:val="0"/>
          <w:szCs w:val="21"/>
        </w:rPr>
      </w:pPr>
      <w:r>
        <w:rPr>
          <w:rFonts w:hint="eastAsia" w:hAnsi="宋体"/>
          <w:kern w:val="0"/>
          <w:szCs w:val="21"/>
        </w:rPr>
        <w:t>（</w:t>
      </w:r>
      <w:r>
        <w:rPr>
          <w:kern w:val="0"/>
          <w:szCs w:val="21"/>
        </w:rPr>
        <w:t>2</w:t>
      </w:r>
      <w:r>
        <w:rPr>
          <w:rFonts w:hint="eastAsia" w:hAnsi="宋体"/>
          <w:kern w:val="0"/>
          <w:szCs w:val="21"/>
        </w:rPr>
        <w:t>）有违法行为不能履行职责的；</w:t>
      </w:r>
    </w:p>
    <w:p>
      <w:pPr>
        <w:adjustRightInd w:val="0"/>
        <w:snapToGrid w:val="0"/>
        <w:spacing w:line="400" w:lineRule="exact"/>
        <w:ind w:firstLine="420" w:firstLineChars="200"/>
        <w:rPr>
          <w:kern w:val="0"/>
          <w:szCs w:val="21"/>
        </w:rPr>
      </w:pPr>
      <w:r>
        <w:rPr>
          <w:rFonts w:hint="eastAsia" w:hAnsi="宋体"/>
          <w:kern w:val="0"/>
          <w:szCs w:val="21"/>
        </w:rPr>
        <w:t>（</w:t>
      </w:r>
      <w:r>
        <w:rPr>
          <w:kern w:val="0"/>
          <w:szCs w:val="21"/>
        </w:rPr>
        <w:t>3</w:t>
      </w:r>
      <w:r>
        <w:rPr>
          <w:rFonts w:hint="eastAsia" w:hAnsi="宋体"/>
          <w:kern w:val="0"/>
          <w:szCs w:val="21"/>
        </w:rPr>
        <w:t>）涉嫌犯罪的；</w:t>
      </w:r>
    </w:p>
    <w:p>
      <w:pPr>
        <w:adjustRightInd w:val="0"/>
        <w:snapToGrid w:val="0"/>
        <w:spacing w:line="400" w:lineRule="exact"/>
        <w:ind w:firstLine="420" w:firstLineChars="200"/>
        <w:rPr>
          <w:kern w:val="0"/>
          <w:szCs w:val="21"/>
        </w:rPr>
      </w:pPr>
      <w:r>
        <w:rPr>
          <w:rFonts w:hint="eastAsia" w:hAnsi="宋体"/>
          <w:kern w:val="0"/>
          <w:szCs w:val="21"/>
        </w:rPr>
        <w:t>（</w:t>
      </w:r>
      <w:r>
        <w:rPr>
          <w:kern w:val="0"/>
          <w:szCs w:val="21"/>
        </w:rPr>
        <w:t>4</w:t>
      </w:r>
      <w:r>
        <w:rPr>
          <w:rFonts w:hint="eastAsia" w:hAnsi="宋体"/>
          <w:kern w:val="0"/>
          <w:szCs w:val="21"/>
        </w:rPr>
        <w:t>）不能胜任岗位职责的；</w:t>
      </w:r>
    </w:p>
    <w:p>
      <w:pPr>
        <w:adjustRightInd w:val="0"/>
        <w:snapToGrid w:val="0"/>
        <w:spacing w:line="400" w:lineRule="exact"/>
        <w:ind w:firstLine="420" w:firstLineChars="200"/>
        <w:rPr>
          <w:kern w:val="0"/>
          <w:szCs w:val="21"/>
        </w:rPr>
      </w:pPr>
      <w:r>
        <w:rPr>
          <w:rFonts w:hint="eastAsia" w:hAnsi="宋体"/>
          <w:kern w:val="0"/>
          <w:szCs w:val="21"/>
        </w:rPr>
        <w:t>（</w:t>
      </w:r>
      <w:r>
        <w:rPr>
          <w:kern w:val="0"/>
          <w:szCs w:val="21"/>
        </w:rPr>
        <w:t>5</w:t>
      </w:r>
      <w:r>
        <w:rPr>
          <w:rFonts w:hint="eastAsia" w:hAnsi="宋体"/>
          <w:kern w:val="0"/>
          <w:szCs w:val="21"/>
        </w:rPr>
        <w:t>）严重违反职业道德的；</w:t>
      </w:r>
    </w:p>
    <w:p>
      <w:pPr>
        <w:adjustRightInd w:val="0"/>
        <w:snapToGrid w:val="0"/>
        <w:spacing w:line="400" w:lineRule="exact"/>
        <w:ind w:firstLine="420" w:firstLineChars="200"/>
        <w:rPr>
          <w:kern w:val="0"/>
          <w:szCs w:val="21"/>
        </w:rPr>
      </w:pPr>
      <w:r>
        <w:rPr>
          <w:rFonts w:hint="eastAsia" w:hAnsi="宋体"/>
          <w:kern w:val="0"/>
          <w:szCs w:val="21"/>
        </w:rPr>
        <w:t>（</w:t>
      </w:r>
      <w:r>
        <w:rPr>
          <w:kern w:val="0"/>
          <w:szCs w:val="21"/>
        </w:rPr>
        <w:t>6</w:t>
      </w:r>
      <w:r>
        <w:rPr>
          <w:rFonts w:hint="eastAsia" w:hAnsi="宋体"/>
          <w:kern w:val="0"/>
          <w:szCs w:val="21"/>
        </w:rPr>
        <w:t>）专用条件约定的其他情形。</w:t>
      </w:r>
    </w:p>
    <w:p>
      <w:pPr>
        <w:spacing w:line="400" w:lineRule="exact"/>
        <w:ind w:firstLine="420" w:firstLineChars="200"/>
        <w:rPr>
          <w:kern w:val="0"/>
          <w:szCs w:val="21"/>
        </w:rPr>
      </w:pPr>
      <w:r>
        <w:rPr>
          <w:kern w:val="0"/>
          <w:szCs w:val="21"/>
        </w:rPr>
        <w:t xml:space="preserve">2.3.5 </w:t>
      </w:r>
      <w:r>
        <w:rPr>
          <w:rFonts w:hint="eastAsia" w:hAnsi="宋体"/>
          <w:kern w:val="0"/>
          <w:szCs w:val="21"/>
        </w:rPr>
        <w:t>委托人可要求监理人更换不能胜任本职工作的项目监理机构人员。</w:t>
      </w:r>
    </w:p>
    <w:p>
      <w:pPr>
        <w:spacing w:line="400" w:lineRule="exact"/>
        <w:rPr>
          <w:kern w:val="0"/>
          <w:szCs w:val="21"/>
        </w:rPr>
      </w:pPr>
      <w:r>
        <w:rPr>
          <w:kern w:val="0"/>
          <w:szCs w:val="21"/>
        </w:rPr>
        <w:t xml:space="preserve">2.4 </w:t>
      </w:r>
      <w:r>
        <w:rPr>
          <w:rFonts w:hint="eastAsia" w:hAnsi="宋体"/>
          <w:kern w:val="0"/>
          <w:szCs w:val="21"/>
        </w:rPr>
        <w:t>履行职责</w:t>
      </w:r>
    </w:p>
    <w:p>
      <w:pPr>
        <w:adjustRightInd w:val="0"/>
        <w:snapToGrid w:val="0"/>
        <w:spacing w:line="400" w:lineRule="exact"/>
        <w:ind w:firstLine="420" w:firstLineChars="200"/>
        <w:rPr>
          <w:szCs w:val="21"/>
        </w:rPr>
      </w:pPr>
      <w:r>
        <w:rPr>
          <w:rFonts w:hint="eastAsia" w:hAnsi="宋体"/>
          <w:kern w:val="0"/>
          <w:szCs w:val="21"/>
        </w:rPr>
        <w:t>监理人应遵循职业道德准则和行为规范，严格按照法律法规、工程建设有关标准及本合同履行职责。</w:t>
      </w:r>
    </w:p>
    <w:p>
      <w:pPr>
        <w:adjustRightInd w:val="0"/>
        <w:snapToGrid w:val="0"/>
        <w:spacing w:line="400" w:lineRule="exact"/>
        <w:ind w:firstLine="420" w:firstLineChars="200"/>
        <w:rPr>
          <w:kern w:val="0"/>
          <w:szCs w:val="21"/>
        </w:rPr>
      </w:pPr>
      <w:r>
        <w:rPr>
          <w:kern w:val="0"/>
          <w:szCs w:val="21"/>
        </w:rPr>
        <w:t xml:space="preserve">2.4.1 </w:t>
      </w:r>
      <w:r>
        <w:rPr>
          <w:rFonts w:hint="eastAsia" w:hAnsi="宋体"/>
          <w:kern w:val="0"/>
          <w:szCs w:val="21"/>
        </w:rPr>
        <w:t>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400" w:lineRule="exact"/>
        <w:ind w:firstLine="420" w:firstLineChars="200"/>
        <w:rPr>
          <w:kern w:val="0"/>
          <w:szCs w:val="21"/>
        </w:rPr>
      </w:pPr>
      <w:r>
        <w:rPr>
          <w:kern w:val="0"/>
          <w:szCs w:val="21"/>
        </w:rPr>
        <w:t xml:space="preserve">2.4.2 </w:t>
      </w:r>
      <w:r>
        <w:rPr>
          <w:rFonts w:hint="eastAsia" w:hAnsi="宋体"/>
          <w:kern w:val="0"/>
          <w:szCs w:val="21"/>
        </w:rPr>
        <w:t>当委托人与承包人之间的合同争议提交仲裁机构仲裁或人民法院审理时，监理人应提供必要的证明资料。</w:t>
      </w:r>
    </w:p>
    <w:p>
      <w:pPr>
        <w:adjustRightInd w:val="0"/>
        <w:snapToGrid w:val="0"/>
        <w:spacing w:line="400" w:lineRule="exact"/>
        <w:ind w:firstLine="420" w:firstLineChars="200"/>
        <w:rPr>
          <w:kern w:val="0"/>
          <w:szCs w:val="21"/>
        </w:rPr>
      </w:pPr>
      <w:r>
        <w:rPr>
          <w:kern w:val="0"/>
          <w:szCs w:val="21"/>
        </w:rPr>
        <w:t xml:space="preserve">2.4.3 </w:t>
      </w:r>
      <w:r>
        <w:rPr>
          <w:rFonts w:hint="eastAsia" w:hAnsi="宋体"/>
          <w:kern w:val="0"/>
          <w:szCs w:val="21"/>
        </w:rPr>
        <w:t>监理人应在专用条件约定的授权范围内，处理委托人与承包人所签订合同的变更事宜。如果变更超过授权范围，应以书面形式报委托人批准。</w:t>
      </w:r>
    </w:p>
    <w:p>
      <w:pPr>
        <w:adjustRightInd w:val="0"/>
        <w:snapToGrid w:val="0"/>
        <w:spacing w:line="400" w:lineRule="exact"/>
        <w:ind w:firstLine="420" w:firstLineChars="200"/>
        <w:rPr>
          <w:kern w:val="0"/>
          <w:szCs w:val="21"/>
        </w:rPr>
      </w:pPr>
      <w:r>
        <w:rPr>
          <w:rFonts w:hint="eastAsia" w:hAnsi="宋体"/>
          <w:kern w:val="0"/>
          <w:szCs w:val="21"/>
        </w:rPr>
        <w:t>在紧急情况下，为了保护财产和人身安全，监理人所发出的指令未能事先报委托人批准时，应在发出指令后的</w:t>
      </w:r>
      <w:r>
        <w:rPr>
          <w:kern w:val="0"/>
          <w:szCs w:val="21"/>
        </w:rPr>
        <w:t>24</w:t>
      </w:r>
      <w:r>
        <w:rPr>
          <w:rFonts w:hint="eastAsia" w:hAnsi="宋体"/>
          <w:kern w:val="0"/>
          <w:szCs w:val="21"/>
        </w:rPr>
        <w:t>小时内以书面形式报委托人。</w:t>
      </w:r>
    </w:p>
    <w:p>
      <w:pPr>
        <w:spacing w:line="400" w:lineRule="exact"/>
        <w:ind w:firstLine="420" w:firstLineChars="200"/>
        <w:rPr>
          <w:kern w:val="0"/>
          <w:szCs w:val="21"/>
        </w:rPr>
      </w:pPr>
      <w:r>
        <w:rPr>
          <w:kern w:val="0"/>
          <w:szCs w:val="21"/>
        </w:rPr>
        <w:t xml:space="preserve">2.4.4 </w:t>
      </w:r>
      <w:r>
        <w:rPr>
          <w:rFonts w:hint="eastAsia" w:hAnsi="宋体"/>
          <w:kern w:val="0"/>
          <w:szCs w:val="21"/>
        </w:rPr>
        <w:t>除专用条件另有约定外，监理人发现承包人的人员不能胜任本职工作的，有权要求承包人予以调换。</w:t>
      </w:r>
    </w:p>
    <w:p>
      <w:pPr>
        <w:spacing w:line="400" w:lineRule="exact"/>
        <w:rPr>
          <w:kern w:val="0"/>
          <w:szCs w:val="21"/>
        </w:rPr>
      </w:pPr>
      <w:r>
        <w:rPr>
          <w:kern w:val="0"/>
          <w:szCs w:val="21"/>
        </w:rPr>
        <w:t xml:space="preserve">2.5 </w:t>
      </w:r>
      <w:r>
        <w:rPr>
          <w:rFonts w:hint="eastAsia" w:hAnsi="宋体"/>
          <w:kern w:val="0"/>
          <w:szCs w:val="21"/>
        </w:rPr>
        <w:t>提交报告</w:t>
      </w:r>
    </w:p>
    <w:p>
      <w:pPr>
        <w:spacing w:line="400" w:lineRule="exact"/>
        <w:ind w:firstLine="420" w:firstLineChars="200"/>
        <w:rPr>
          <w:szCs w:val="21"/>
        </w:rPr>
      </w:pPr>
      <w:r>
        <w:rPr>
          <w:rFonts w:hint="eastAsia" w:hAnsi="宋体"/>
          <w:szCs w:val="21"/>
        </w:rPr>
        <w:t>监理人应按专用条件约定的种类、时间和份数向委托人提交监理与相关服务的报告。</w:t>
      </w:r>
    </w:p>
    <w:p>
      <w:pPr>
        <w:spacing w:line="400" w:lineRule="exact"/>
        <w:rPr>
          <w:kern w:val="0"/>
          <w:szCs w:val="21"/>
        </w:rPr>
      </w:pPr>
      <w:r>
        <w:rPr>
          <w:kern w:val="0"/>
          <w:szCs w:val="21"/>
        </w:rPr>
        <w:t xml:space="preserve">2.6 </w:t>
      </w:r>
      <w:r>
        <w:rPr>
          <w:rFonts w:hint="eastAsia" w:hAnsi="宋体"/>
          <w:kern w:val="0"/>
          <w:szCs w:val="21"/>
        </w:rPr>
        <w:t>文件资料</w:t>
      </w:r>
    </w:p>
    <w:p>
      <w:pPr>
        <w:spacing w:line="400" w:lineRule="exact"/>
        <w:ind w:firstLine="420" w:firstLineChars="200"/>
        <w:rPr>
          <w:szCs w:val="21"/>
        </w:rPr>
      </w:pPr>
      <w:r>
        <w:rPr>
          <w:rFonts w:hint="eastAsia" w:hAnsi="宋体"/>
          <w:kern w:val="0"/>
          <w:szCs w:val="21"/>
        </w:rPr>
        <w:t>在本合同履行期内，监理人应在现场保留工作所用的图纸、报告及记录监理工</w:t>
      </w:r>
      <w:r>
        <w:rPr>
          <w:rFonts w:hint="eastAsia" w:hAnsi="宋体"/>
          <w:szCs w:val="21"/>
        </w:rPr>
        <w:t>作的相关文件。工程竣工后，应当按照档案管理规定将监理有关文件归档。</w:t>
      </w:r>
    </w:p>
    <w:p>
      <w:pPr>
        <w:spacing w:line="400" w:lineRule="exact"/>
        <w:rPr>
          <w:kern w:val="0"/>
          <w:szCs w:val="21"/>
        </w:rPr>
      </w:pPr>
      <w:r>
        <w:rPr>
          <w:kern w:val="0"/>
          <w:szCs w:val="21"/>
        </w:rPr>
        <w:t xml:space="preserve">2.7 </w:t>
      </w:r>
      <w:r>
        <w:rPr>
          <w:rFonts w:hint="eastAsia" w:hAnsi="宋体"/>
          <w:kern w:val="0"/>
          <w:szCs w:val="21"/>
        </w:rPr>
        <w:t>使用委托人的财产</w:t>
      </w:r>
    </w:p>
    <w:p>
      <w:pPr>
        <w:spacing w:line="400" w:lineRule="exact"/>
        <w:ind w:firstLine="420" w:firstLineChars="200"/>
        <w:rPr>
          <w:rFonts w:hAnsi="宋体"/>
          <w:szCs w:val="21"/>
        </w:rPr>
      </w:pPr>
      <w:r>
        <w:rPr>
          <w:rFonts w:hint="eastAsia" w:hAnsi="宋体"/>
          <w:szCs w:val="21"/>
        </w:rPr>
        <w:t>监理人无偿使用附录</w:t>
      </w:r>
      <w:r>
        <w:rPr>
          <w:szCs w:val="21"/>
        </w:rPr>
        <w:t>B</w:t>
      </w:r>
      <w:r>
        <w:rPr>
          <w:rFonts w:hint="eastAsia" w:hAnsi="宋体"/>
          <w:szCs w:val="21"/>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400" w:lineRule="exact"/>
        <w:rPr>
          <w:b/>
          <w:kern w:val="0"/>
          <w:szCs w:val="21"/>
        </w:rPr>
      </w:pPr>
      <w:r>
        <w:rPr>
          <w:b/>
          <w:kern w:val="0"/>
          <w:szCs w:val="21"/>
        </w:rPr>
        <w:t>3</w:t>
      </w:r>
      <w:r>
        <w:rPr>
          <w:rFonts w:hint="eastAsia" w:hAnsi="宋体"/>
          <w:b/>
          <w:kern w:val="0"/>
          <w:szCs w:val="21"/>
        </w:rPr>
        <w:t>．委托人的义务</w:t>
      </w:r>
    </w:p>
    <w:p>
      <w:pPr>
        <w:spacing w:line="400" w:lineRule="exact"/>
        <w:rPr>
          <w:kern w:val="0"/>
          <w:szCs w:val="21"/>
        </w:rPr>
      </w:pPr>
      <w:r>
        <w:rPr>
          <w:kern w:val="0"/>
          <w:szCs w:val="21"/>
        </w:rPr>
        <w:t xml:space="preserve">3.1 </w:t>
      </w:r>
      <w:r>
        <w:rPr>
          <w:rFonts w:hint="eastAsia" w:hAnsi="宋体"/>
          <w:kern w:val="0"/>
          <w:szCs w:val="21"/>
        </w:rPr>
        <w:t>告知</w:t>
      </w:r>
    </w:p>
    <w:p>
      <w:pPr>
        <w:spacing w:line="400" w:lineRule="exact"/>
        <w:ind w:firstLine="420" w:firstLineChars="200"/>
        <w:rPr>
          <w:kern w:val="0"/>
          <w:szCs w:val="21"/>
        </w:rPr>
      </w:pPr>
      <w:r>
        <w:rPr>
          <w:rFonts w:hint="eastAsia" w:hAnsi="宋体"/>
          <w:kern w:val="0"/>
          <w:szCs w:val="21"/>
        </w:rPr>
        <w:t>委托人应在委托人与承包人签订的合同中明确监理人、总监理工程师和授予项目监理机构的权限。如有变更，应及时通知承包人。</w:t>
      </w:r>
    </w:p>
    <w:p>
      <w:pPr>
        <w:spacing w:line="400" w:lineRule="exact"/>
        <w:rPr>
          <w:kern w:val="0"/>
          <w:szCs w:val="21"/>
        </w:rPr>
      </w:pPr>
      <w:r>
        <w:rPr>
          <w:kern w:val="0"/>
          <w:szCs w:val="21"/>
        </w:rPr>
        <w:t xml:space="preserve">3.2 </w:t>
      </w:r>
      <w:r>
        <w:rPr>
          <w:rFonts w:hint="eastAsia" w:hAnsi="宋体"/>
          <w:kern w:val="0"/>
          <w:szCs w:val="21"/>
        </w:rPr>
        <w:t>提供资料</w:t>
      </w:r>
    </w:p>
    <w:p>
      <w:pPr>
        <w:spacing w:line="400" w:lineRule="exact"/>
        <w:ind w:firstLine="420" w:firstLineChars="200"/>
        <w:rPr>
          <w:szCs w:val="21"/>
        </w:rPr>
      </w:pPr>
      <w:r>
        <w:rPr>
          <w:rFonts w:hint="eastAsia" w:hAnsi="宋体"/>
          <w:kern w:val="0"/>
          <w:szCs w:val="21"/>
        </w:rPr>
        <w:t>委托人应按照附录</w:t>
      </w:r>
      <w:r>
        <w:rPr>
          <w:kern w:val="0"/>
          <w:szCs w:val="21"/>
        </w:rPr>
        <w:t>B</w:t>
      </w:r>
      <w:r>
        <w:rPr>
          <w:rFonts w:hint="eastAsia" w:hAnsi="宋体"/>
          <w:kern w:val="0"/>
          <w:szCs w:val="21"/>
        </w:rPr>
        <w:t>约定，无偿向监理人提供工程有关的资料。</w:t>
      </w:r>
      <w:r>
        <w:rPr>
          <w:rFonts w:hint="eastAsia" w:hAnsi="宋体"/>
          <w:szCs w:val="21"/>
        </w:rPr>
        <w:t>在本合同履行过程中，委托人应及时向监理人提供最新的与工程有关的资料。</w:t>
      </w:r>
    </w:p>
    <w:p>
      <w:pPr>
        <w:spacing w:line="400" w:lineRule="exact"/>
        <w:rPr>
          <w:kern w:val="0"/>
          <w:szCs w:val="21"/>
        </w:rPr>
      </w:pPr>
      <w:r>
        <w:rPr>
          <w:kern w:val="0"/>
          <w:szCs w:val="21"/>
        </w:rPr>
        <w:t xml:space="preserve">3.3 </w:t>
      </w:r>
      <w:r>
        <w:rPr>
          <w:rFonts w:hint="eastAsia" w:hAnsi="宋体"/>
          <w:kern w:val="0"/>
          <w:szCs w:val="21"/>
        </w:rPr>
        <w:t>提供工作条件</w:t>
      </w:r>
    </w:p>
    <w:p>
      <w:pPr>
        <w:adjustRightInd w:val="0"/>
        <w:snapToGrid w:val="0"/>
        <w:spacing w:line="400" w:lineRule="exact"/>
        <w:ind w:firstLine="420" w:firstLineChars="200"/>
        <w:rPr>
          <w:szCs w:val="21"/>
        </w:rPr>
      </w:pPr>
      <w:r>
        <w:rPr>
          <w:rFonts w:hint="eastAsia" w:hAnsi="宋体"/>
          <w:szCs w:val="21"/>
        </w:rPr>
        <w:t>委托人应为监理人完成监理与相关服务提供必要的条件。</w:t>
      </w:r>
    </w:p>
    <w:p>
      <w:pPr>
        <w:adjustRightInd w:val="0"/>
        <w:snapToGrid w:val="0"/>
        <w:spacing w:line="400" w:lineRule="exact"/>
        <w:ind w:firstLine="420" w:firstLineChars="200"/>
        <w:rPr>
          <w:szCs w:val="21"/>
        </w:rPr>
      </w:pPr>
      <w:r>
        <w:rPr>
          <w:kern w:val="0"/>
          <w:szCs w:val="21"/>
        </w:rPr>
        <w:t xml:space="preserve">3.3.1 </w:t>
      </w:r>
      <w:r>
        <w:rPr>
          <w:rFonts w:hint="eastAsia" w:hAnsi="宋体"/>
          <w:szCs w:val="21"/>
        </w:rPr>
        <w:t>委托人应按照附录</w:t>
      </w:r>
      <w:r>
        <w:rPr>
          <w:szCs w:val="21"/>
        </w:rPr>
        <w:t>B</w:t>
      </w:r>
      <w:r>
        <w:rPr>
          <w:rFonts w:hint="eastAsia" w:hAnsi="宋体"/>
          <w:szCs w:val="21"/>
        </w:rPr>
        <w:t>约定，派遣相应的人员，提供房屋、设备，供监理人</w:t>
      </w:r>
      <w:r>
        <w:rPr>
          <w:rFonts w:hint="eastAsia" w:hAnsi="宋体"/>
          <w:kern w:val="0"/>
          <w:szCs w:val="21"/>
        </w:rPr>
        <w:t>无偿</w:t>
      </w:r>
      <w:r>
        <w:rPr>
          <w:rFonts w:hint="eastAsia" w:hAnsi="宋体"/>
          <w:szCs w:val="21"/>
        </w:rPr>
        <w:t>使用。</w:t>
      </w:r>
    </w:p>
    <w:p>
      <w:pPr>
        <w:spacing w:line="400" w:lineRule="exact"/>
        <w:ind w:firstLine="420" w:firstLineChars="200"/>
        <w:rPr>
          <w:szCs w:val="21"/>
        </w:rPr>
      </w:pPr>
      <w:r>
        <w:rPr>
          <w:kern w:val="0"/>
          <w:szCs w:val="21"/>
        </w:rPr>
        <w:t xml:space="preserve">3.3.2 </w:t>
      </w:r>
      <w:r>
        <w:rPr>
          <w:rFonts w:hint="eastAsia" w:hAnsi="宋体"/>
          <w:szCs w:val="21"/>
        </w:rPr>
        <w:t>委托人应负责协调工程建设中所有外部关系，为监理人履行本合同提供必要的外部条件。</w:t>
      </w:r>
    </w:p>
    <w:p>
      <w:pPr>
        <w:snapToGrid w:val="0"/>
        <w:spacing w:line="400" w:lineRule="exact"/>
        <w:rPr>
          <w:kern w:val="0"/>
          <w:szCs w:val="21"/>
        </w:rPr>
      </w:pPr>
      <w:r>
        <w:rPr>
          <w:kern w:val="0"/>
          <w:szCs w:val="21"/>
        </w:rPr>
        <w:t xml:space="preserve">3.4 </w:t>
      </w:r>
      <w:r>
        <w:rPr>
          <w:rFonts w:hint="eastAsia" w:hAnsi="宋体"/>
          <w:kern w:val="0"/>
          <w:szCs w:val="21"/>
        </w:rPr>
        <w:t>委托人代表</w:t>
      </w:r>
    </w:p>
    <w:p>
      <w:pPr>
        <w:snapToGrid w:val="0"/>
        <w:spacing w:line="400" w:lineRule="exact"/>
        <w:ind w:firstLine="420" w:firstLineChars="200"/>
        <w:rPr>
          <w:szCs w:val="21"/>
        </w:rPr>
      </w:pPr>
      <w:r>
        <w:rPr>
          <w:rFonts w:hint="eastAsia" w:hAnsi="宋体"/>
          <w:szCs w:val="21"/>
        </w:rPr>
        <w:t>委托人应授权一名熟悉工程情况的代表，负责与监理人联系。委托人应在双方签订本合同后</w:t>
      </w:r>
      <w:r>
        <w:rPr>
          <w:szCs w:val="21"/>
        </w:rPr>
        <w:t>7</w:t>
      </w:r>
      <w:r>
        <w:rPr>
          <w:rFonts w:hint="eastAsia" w:hAnsi="宋体"/>
          <w:szCs w:val="21"/>
        </w:rPr>
        <w:t>天内，将委托人代表的姓名和职责书面告知监理人。当委托人更换委托人代表时，应提前</w:t>
      </w:r>
      <w:r>
        <w:rPr>
          <w:szCs w:val="21"/>
        </w:rPr>
        <w:t>7</w:t>
      </w:r>
      <w:r>
        <w:rPr>
          <w:rFonts w:hint="eastAsia" w:hAnsi="宋体"/>
          <w:szCs w:val="21"/>
        </w:rPr>
        <w:t>天通知监理人。</w:t>
      </w:r>
    </w:p>
    <w:p>
      <w:pPr>
        <w:snapToGrid w:val="0"/>
        <w:spacing w:line="400" w:lineRule="exact"/>
        <w:rPr>
          <w:kern w:val="0"/>
          <w:szCs w:val="21"/>
        </w:rPr>
      </w:pPr>
      <w:r>
        <w:rPr>
          <w:kern w:val="0"/>
          <w:szCs w:val="21"/>
        </w:rPr>
        <w:t xml:space="preserve">3.5 </w:t>
      </w:r>
      <w:r>
        <w:rPr>
          <w:rFonts w:hint="eastAsia" w:hAnsi="宋体"/>
          <w:kern w:val="0"/>
          <w:szCs w:val="21"/>
        </w:rPr>
        <w:t>委托人意见或要求</w:t>
      </w:r>
    </w:p>
    <w:p>
      <w:pPr>
        <w:snapToGrid w:val="0"/>
        <w:spacing w:line="400" w:lineRule="exact"/>
        <w:ind w:firstLine="420" w:firstLineChars="200"/>
        <w:rPr>
          <w:szCs w:val="21"/>
        </w:rPr>
      </w:pPr>
      <w:r>
        <w:rPr>
          <w:rFonts w:hint="eastAsia" w:hAnsi="宋体"/>
          <w:szCs w:val="21"/>
        </w:rPr>
        <w:t>在本合同约定的监理与相关服务工作范围内，委托人对承包人的任何意见或要求应通知监理人，由监理人向承包人发出相应指令。</w:t>
      </w:r>
    </w:p>
    <w:p>
      <w:pPr>
        <w:snapToGrid w:val="0"/>
        <w:spacing w:line="400" w:lineRule="exact"/>
        <w:rPr>
          <w:kern w:val="0"/>
          <w:szCs w:val="21"/>
        </w:rPr>
      </w:pPr>
      <w:r>
        <w:rPr>
          <w:kern w:val="0"/>
          <w:szCs w:val="21"/>
        </w:rPr>
        <w:t xml:space="preserve">3.6 </w:t>
      </w:r>
      <w:r>
        <w:rPr>
          <w:rFonts w:hint="eastAsia" w:hAnsi="宋体"/>
          <w:kern w:val="0"/>
          <w:szCs w:val="21"/>
        </w:rPr>
        <w:t>答复</w:t>
      </w:r>
    </w:p>
    <w:p>
      <w:pPr>
        <w:snapToGrid w:val="0"/>
        <w:spacing w:line="400" w:lineRule="exact"/>
        <w:ind w:firstLine="420" w:firstLineChars="200"/>
        <w:rPr>
          <w:szCs w:val="21"/>
        </w:rPr>
      </w:pPr>
      <w:r>
        <w:rPr>
          <w:rFonts w:hint="eastAsia" w:hAnsi="宋体"/>
          <w:szCs w:val="21"/>
        </w:rPr>
        <w:t>委托人应在专用条件约定的时间内，对监理人以书面形式提交并要求作出决定的事宜，给予书面答复。逾期未答复的，视为委托人认可。</w:t>
      </w:r>
    </w:p>
    <w:p>
      <w:pPr>
        <w:snapToGrid w:val="0"/>
        <w:spacing w:line="400" w:lineRule="exact"/>
        <w:rPr>
          <w:kern w:val="0"/>
          <w:szCs w:val="21"/>
        </w:rPr>
      </w:pPr>
      <w:r>
        <w:rPr>
          <w:kern w:val="0"/>
          <w:szCs w:val="21"/>
        </w:rPr>
        <w:t xml:space="preserve">3.7 </w:t>
      </w:r>
      <w:r>
        <w:rPr>
          <w:rFonts w:hint="eastAsia" w:hAnsi="宋体"/>
          <w:kern w:val="0"/>
          <w:szCs w:val="21"/>
        </w:rPr>
        <w:t>支付</w:t>
      </w:r>
    </w:p>
    <w:p>
      <w:pPr>
        <w:snapToGrid w:val="0"/>
        <w:spacing w:line="400" w:lineRule="exact"/>
        <w:ind w:firstLine="420" w:firstLineChars="200"/>
        <w:rPr>
          <w:rFonts w:hAnsi="宋体"/>
          <w:szCs w:val="21"/>
        </w:rPr>
      </w:pPr>
      <w:r>
        <w:rPr>
          <w:rFonts w:hint="eastAsia" w:hAnsi="宋体"/>
          <w:szCs w:val="21"/>
        </w:rPr>
        <w:t>委托人应按本合同约定，向监理人支付酬金。</w:t>
      </w:r>
    </w:p>
    <w:p>
      <w:pPr>
        <w:snapToGrid w:val="0"/>
        <w:spacing w:line="400" w:lineRule="exact"/>
        <w:rPr>
          <w:b/>
          <w:bCs/>
          <w:szCs w:val="21"/>
        </w:rPr>
      </w:pPr>
      <w:r>
        <w:rPr>
          <w:b/>
          <w:bCs/>
          <w:szCs w:val="21"/>
        </w:rPr>
        <w:t xml:space="preserve">4. </w:t>
      </w:r>
      <w:r>
        <w:rPr>
          <w:rFonts w:hint="eastAsia" w:hAnsi="宋体"/>
          <w:b/>
          <w:bCs/>
          <w:szCs w:val="21"/>
        </w:rPr>
        <w:t>违约责任</w:t>
      </w:r>
    </w:p>
    <w:p>
      <w:pPr>
        <w:spacing w:line="400" w:lineRule="exact"/>
        <w:rPr>
          <w:kern w:val="0"/>
          <w:szCs w:val="21"/>
        </w:rPr>
      </w:pPr>
      <w:r>
        <w:rPr>
          <w:kern w:val="0"/>
          <w:szCs w:val="21"/>
        </w:rPr>
        <w:t xml:space="preserve">4.1 </w:t>
      </w:r>
      <w:r>
        <w:rPr>
          <w:rFonts w:hint="eastAsia" w:hAnsi="宋体"/>
          <w:kern w:val="0"/>
          <w:szCs w:val="21"/>
        </w:rPr>
        <w:t>监理人的违约责任</w:t>
      </w:r>
    </w:p>
    <w:p>
      <w:pPr>
        <w:adjustRightInd w:val="0"/>
        <w:snapToGrid w:val="0"/>
        <w:spacing w:line="400" w:lineRule="exact"/>
        <w:ind w:firstLine="420" w:firstLineChars="200"/>
        <w:rPr>
          <w:szCs w:val="21"/>
        </w:rPr>
      </w:pPr>
      <w:r>
        <w:rPr>
          <w:rFonts w:hint="eastAsia" w:hAnsi="宋体"/>
          <w:kern w:val="0"/>
          <w:szCs w:val="21"/>
        </w:rPr>
        <w:t>监理人未履行本合同义务的，应承担相应的责任。</w:t>
      </w:r>
    </w:p>
    <w:p>
      <w:pPr>
        <w:adjustRightInd w:val="0"/>
        <w:snapToGrid w:val="0"/>
        <w:spacing w:line="400" w:lineRule="exact"/>
        <w:ind w:firstLine="420" w:firstLineChars="200"/>
        <w:rPr>
          <w:kern w:val="0"/>
          <w:szCs w:val="21"/>
        </w:rPr>
      </w:pPr>
      <w:r>
        <w:rPr>
          <w:kern w:val="0"/>
          <w:szCs w:val="21"/>
        </w:rPr>
        <w:t xml:space="preserve">4.1.1 </w:t>
      </w:r>
      <w:r>
        <w:rPr>
          <w:rFonts w:hint="eastAsia" w:hAnsi="宋体"/>
          <w:kern w:val="0"/>
          <w:szCs w:val="21"/>
        </w:rPr>
        <w:t>因监理人违反本合同约定</w:t>
      </w:r>
      <w:r>
        <w:rPr>
          <w:rFonts w:hint="eastAsia" w:hAnsi="宋体"/>
          <w:szCs w:val="21"/>
        </w:rPr>
        <w:t>给委托人造成损失的，监理人应当赔偿委托人损失</w:t>
      </w:r>
      <w:r>
        <w:rPr>
          <w:rFonts w:hint="eastAsia" w:hAnsi="宋体"/>
          <w:kern w:val="0"/>
          <w:szCs w:val="21"/>
        </w:rPr>
        <w:t>。赔偿金额的确定方法在专用条件中约定。监理人承担部分赔偿责任的，其承担赔偿金额由双方协商确定。</w:t>
      </w:r>
    </w:p>
    <w:p>
      <w:pPr>
        <w:spacing w:line="400" w:lineRule="exact"/>
        <w:ind w:firstLine="420" w:firstLineChars="200"/>
        <w:rPr>
          <w:kern w:val="0"/>
          <w:szCs w:val="21"/>
        </w:rPr>
      </w:pPr>
      <w:r>
        <w:rPr>
          <w:kern w:val="0"/>
          <w:szCs w:val="21"/>
        </w:rPr>
        <w:t xml:space="preserve">4.1.2 </w:t>
      </w:r>
      <w:r>
        <w:rPr>
          <w:rFonts w:hint="eastAsia" w:hAnsi="宋体"/>
          <w:kern w:val="0"/>
          <w:szCs w:val="21"/>
        </w:rPr>
        <w:t>监理人向委托人的索赔不成立时，监理人应赔偿委托人由此发生的费用。</w:t>
      </w:r>
    </w:p>
    <w:p>
      <w:pPr>
        <w:snapToGrid w:val="0"/>
        <w:spacing w:line="400" w:lineRule="exact"/>
        <w:rPr>
          <w:kern w:val="0"/>
          <w:szCs w:val="21"/>
        </w:rPr>
      </w:pPr>
      <w:r>
        <w:rPr>
          <w:kern w:val="0"/>
          <w:szCs w:val="21"/>
        </w:rPr>
        <w:t xml:space="preserve">4.2 </w:t>
      </w:r>
      <w:r>
        <w:rPr>
          <w:rFonts w:hint="eastAsia" w:hAnsi="宋体"/>
          <w:kern w:val="0"/>
          <w:szCs w:val="21"/>
        </w:rPr>
        <w:t>委托人的违约责任</w:t>
      </w:r>
    </w:p>
    <w:p>
      <w:pPr>
        <w:adjustRightInd w:val="0"/>
        <w:snapToGrid w:val="0"/>
        <w:spacing w:line="400" w:lineRule="exact"/>
        <w:ind w:firstLine="420" w:firstLineChars="200"/>
        <w:rPr>
          <w:kern w:val="0"/>
          <w:szCs w:val="21"/>
        </w:rPr>
      </w:pPr>
      <w:r>
        <w:rPr>
          <w:rFonts w:hint="eastAsia" w:hAnsi="宋体"/>
          <w:kern w:val="0"/>
          <w:szCs w:val="21"/>
        </w:rPr>
        <w:t>委托人未履行本合同义务的，应承担相应的责任。</w:t>
      </w:r>
    </w:p>
    <w:p>
      <w:pPr>
        <w:adjustRightInd w:val="0"/>
        <w:snapToGrid w:val="0"/>
        <w:spacing w:line="400" w:lineRule="exact"/>
        <w:ind w:firstLine="420" w:firstLineChars="200"/>
        <w:rPr>
          <w:kern w:val="0"/>
          <w:szCs w:val="21"/>
        </w:rPr>
      </w:pPr>
      <w:r>
        <w:rPr>
          <w:kern w:val="0"/>
          <w:szCs w:val="21"/>
        </w:rPr>
        <w:t xml:space="preserve">4.2.1 </w:t>
      </w:r>
      <w:r>
        <w:rPr>
          <w:rFonts w:hint="eastAsia" w:hAnsi="宋体"/>
          <w:kern w:val="0"/>
          <w:szCs w:val="21"/>
        </w:rPr>
        <w:t>委托人违反本合同约定造成监理人损失的，委托人应予以赔偿。</w:t>
      </w:r>
    </w:p>
    <w:p>
      <w:pPr>
        <w:adjustRightInd w:val="0"/>
        <w:snapToGrid w:val="0"/>
        <w:spacing w:line="400" w:lineRule="exact"/>
        <w:ind w:firstLine="420" w:firstLineChars="200"/>
        <w:rPr>
          <w:kern w:val="0"/>
          <w:szCs w:val="21"/>
        </w:rPr>
      </w:pPr>
      <w:r>
        <w:rPr>
          <w:kern w:val="0"/>
          <w:szCs w:val="21"/>
        </w:rPr>
        <w:t xml:space="preserve">4.2.2 </w:t>
      </w:r>
      <w:r>
        <w:rPr>
          <w:rFonts w:hint="eastAsia" w:hAnsi="宋体"/>
          <w:kern w:val="0"/>
          <w:szCs w:val="21"/>
        </w:rPr>
        <w:t>委托人向监理人的索赔不成立时，应赔偿监理人由此引起的费用。</w:t>
      </w:r>
    </w:p>
    <w:p>
      <w:pPr>
        <w:spacing w:line="400" w:lineRule="exact"/>
        <w:ind w:firstLine="420" w:firstLineChars="200"/>
        <w:rPr>
          <w:kern w:val="0"/>
          <w:szCs w:val="21"/>
        </w:rPr>
      </w:pPr>
      <w:r>
        <w:rPr>
          <w:szCs w:val="21"/>
        </w:rPr>
        <w:t xml:space="preserve">4.2.3 </w:t>
      </w:r>
      <w:r>
        <w:rPr>
          <w:rFonts w:hint="eastAsia" w:hAnsi="宋体"/>
          <w:kern w:val="0"/>
          <w:szCs w:val="21"/>
        </w:rPr>
        <w:t>委托人未能按期支付</w:t>
      </w:r>
      <w:r>
        <w:rPr>
          <w:rFonts w:hint="eastAsia" w:hAnsi="宋体"/>
          <w:szCs w:val="21"/>
        </w:rPr>
        <w:t>酬金</w:t>
      </w:r>
      <w:r>
        <w:rPr>
          <w:rFonts w:hint="eastAsia" w:hAnsi="宋体"/>
          <w:kern w:val="0"/>
          <w:szCs w:val="21"/>
        </w:rPr>
        <w:t>超过</w:t>
      </w:r>
      <w:r>
        <w:rPr>
          <w:kern w:val="0"/>
          <w:szCs w:val="21"/>
        </w:rPr>
        <w:t>28</w:t>
      </w:r>
      <w:r>
        <w:rPr>
          <w:rFonts w:hint="eastAsia" w:hAnsi="宋体"/>
          <w:kern w:val="0"/>
          <w:szCs w:val="21"/>
        </w:rPr>
        <w:t>天，应按专用条件约定支付逾期付款利息。</w:t>
      </w:r>
    </w:p>
    <w:p>
      <w:pPr>
        <w:spacing w:line="400" w:lineRule="exact"/>
        <w:rPr>
          <w:kern w:val="0"/>
          <w:szCs w:val="21"/>
        </w:rPr>
      </w:pPr>
      <w:r>
        <w:rPr>
          <w:kern w:val="0"/>
          <w:szCs w:val="21"/>
        </w:rPr>
        <w:t xml:space="preserve">4.3 </w:t>
      </w:r>
      <w:r>
        <w:rPr>
          <w:rFonts w:hint="eastAsia" w:hAnsi="宋体"/>
          <w:kern w:val="0"/>
          <w:szCs w:val="21"/>
        </w:rPr>
        <w:t>除外责任</w:t>
      </w:r>
    </w:p>
    <w:p>
      <w:pPr>
        <w:adjustRightInd w:val="0"/>
        <w:snapToGrid w:val="0"/>
        <w:spacing w:line="400" w:lineRule="exact"/>
        <w:ind w:firstLine="420" w:firstLineChars="200"/>
        <w:rPr>
          <w:kern w:val="0"/>
          <w:szCs w:val="21"/>
        </w:rPr>
      </w:pPr>
      <w:r>
        <w:rPr>
          <w:rFonts w:hint="eastAsia" w:hAnsi="宋体"/>
          <w:kern w:val="0"/>
          <w:szCs w:val="21"/>
        </w:rPr>
        <w:t>因非监理人的原因，且监理人无过错，发生工程质量事故、安全事故、工期延误等造成的损失，监理人不承担赔偿责任。</w:t>
      </w:r>
    </w:p>
    <w:p>
      <w:pPr>
        <w:snapToGrid w:val="0"/>
        <w:spacing w:line="400" w:lineRule="exact"/>
        <w:ind w:firstLine="420" w:firstLineChars="200"/>
        <w:rPr>
          <w:kern w:val="0"/>
          <w:szCs w:val="21"/>
        </w:rPr>
      </w:pPr>
      <w:r>
        <w:rPr>
          <w:rFonts w:hint="eastAsia" w:hAnsi="宋体"/>
          <w:kern w:val="0"/>
          <w:szCs w:val="21"/>
        </w:rPr>
        <w:t>因不可抗力导致本合同全部或部分不能履行时，双方各自承担其因此而造成的损失、损害。</w:t>
      </w:r>
    </w:p>
    <w:p>
      <w:pPr>
        <w:snapToGrid w:val="0"/>
        <w:spacing w:line="400" w:lineRule="exact"/>
        <w:rPr>
          <w:b/>
          <w:bCs/>
          <w:szCs w:val="21"/>
        </w:rPr>
      </w:pPr>
      <w:r>
        <w:rPr>
          <w:b/>
          <w:bCs/>
          <w:szCs w:val="21"/>
        </w:rPr>
        <w:t xml:space="preserve">5. </w:t>
      </w:r>
      <w:r>
        <w:rPr>
          <w:rFonts w:hint="eastAsia" w:hAnsi="宋体"/>
          <w:b/>
          <w:bCs/>
          <w:szCs w:val="21"/>
        </w:rPr>
        <w:t>支付</w:t>
      </w:r>
    </w:p>
    <w:p>
      <w:pPr>
        <w:snapToGrid w:val="0"/>
        <w:spacing w:line="400" w:lineRule="exact"/>
        <w:rPr>
          <w:bCs/>
          <w:szCs w:val="21"/>
        </w:rPr>
      </w:pPr>
      <w:r>
        <w:rPr>
          <w:szCs w:val="21"/>
        </w:rPr>
        <w:t xml:space="preserve">5.1 </w:t>
      </w:r>
      <w:r>
        <w:rPr>
          <w:rFonts w:hint="eastAsia" w:hAnsi="宋体"/>
          <w:bCs/>
          <w:szCs w:val="21"/>
        </w:rPr>
        <w:t>支付货币</w:t>
      </w:r>
    </w:p>
    <w:p>
      <w:pPr>
        <w:snapToGrid w:val="0"/>
        <w:spacing w:line="380" w:lineRule="exact"/>
        <w:ind w:firstLine="420" w:firstLineChars="200"/>
        <w:rPr>
          <w:bCs/>
          <w:szCs w:val="21"/>
        </w:rPr>
      </w:pPr>
      <w:r>
        <w:rPr>
          <w:rFonts w:hint="eastAsia" w:hAnsi="宋体"/>
          <w:szCs w:val="21"/>
        </w:rPr>
        <w:t>除专用条件另有约定外，酬金均以人民币支付。涉及外币支付的，所采用的货币种类、比例和汇率在专用条件中约定。</w:t>
      </w:r>
    </w:p>
    <w:p>
      <w:pPr>
        <w:snapToGrid w:val="0"/>
        <w:spacing w:line="380" w:lineRule="exact"/>
        <w:rPr>
          <w:bCs/>
          <w:szCs w:val="21"/>
        </w:rPr>
      </w:pPr>
      <w:r>
        <w:rPr>
          <w:szCs w:val="21"/>
        </w:rPr>
        <w:t xml:space="preserve">5.2 </w:t>
      </w:r>
      <w:r>
        <w:rPr>
          <w:rFonts w:hint="eastAsia" w:hAnsi="宋体"/>
          <w:szCs w:val="21"/>
        </w:rPr>
        <w:t>支付申请</w:t>
      </w:r>
    </w:p>
    <w:p>
      <w:pPr>
        <w:snapToGrid w:val="0"/>
        <w:spacing w:line="380" w:lineRule="exact"/>
        <w:ind w:firstLine="420" w:firstLineChars="200"/>
        <w:rPr>
          <w:rFonts w:hAnsi="宋体"/>
          <w:szCs w:val="21"/>
        </w:rPr>
      </w:pPr>
      <w:r>
        <w:rPr>
          <w:rFonts w:hint="eastAsia" w:hAnsi="宋体"/>
          <w:szCs w:val="21"/>
        </w:rPr>
        <w:t>5.2.1监理人应在本合同约定的每次应付款时间的</w:t>
      </w:r>
      <w:r>
        <w:rPr>
          <w:szCs w:val="21"/>
        </w:rPr>
        <w:t>7</w:t>
      </w:r>
      <w:r>
        <w:rPr>
          <w:rFonts w:hint="eastAsia" w:hAnsi="宋体"/>
          <w:szCs w:val="21"/>
        </w:rPr>
        <w:t>天前，向委托人提交支付申请书。支付申请书应当说明当期应付款总额，并列出当期应支付的款项及其金额。</w:t>
      </w:r>
    </w:p>
    <w:p>
      <w:pPr>
        <w:snapToGrid w:val="0"/>
        <w:spacing w:line="400" w:lineRule="exact"/>
        <w:rPr>
          <w:szCs w:val="21"/>
        </w:rPr>
      </w:pPr>
      <w:r>
        <w:rPr>
          <w:szCs w:val="21"/>
        </w:rPr>
        <w:t xml:space="preserve">5.3 </w:t>
      </w:r>
      <w:r>
        <w:rPr>
          <w:rFonts w:hint="eastAsia" w:hAnsi="宋体"/>
          <w:szCs w:val="21"/>
        </w:rPr>
        <w:t>支付酬金</w:t>
      </w:r>
    </w:p>
    <w:p>
      <w:pPr>
        <w:snapToGrid w:val="0"/>
        <w:spacing w:line="400" w:lineRule="exact"/>
        <w:ind w:firstLine="480"/>
        <w:rPr>
          <w:szCs w:val="21"/>
        </w:rPr>
      </w:pPr>
      <w:r>
        <w:rPr>
          <w:rFonts w:hint="eastAsia" w:hAnsi="宋体"/>
          <w:szCs w:val="21"/>
        </w:rPr>
        <w:t>支付的酬金包括正常工作酬金、附加工作酬金、合理化建议奖励金额及费用。</w:t>
      </w:r>
    </w:p>
    <w:p>
      <w:pPr>
        <w:snapToGrid w:val="0"/>
        <w:spacing w:line="400" w:lineRule="exact"/>
        <w:rPr>
          <w:bCs/>
          <w:szCs w:val="21"/>
        </w:rPr>
      </w:pPr>
      <w:r>
        <w:rPr>
          <w:szCs w:val="21"/>
        </w:rPr>
        <w:t xml:space="preserve">5.4 </w:t>
      </w:r>
      <w:r>
        <w:rPr>
          <w:rFonts w:hint="eastAsia" w:hAnsi="宋体"/>
          <w:bCs/>
          <w:szCs w:val="21"/>
        </w:rPr>
        <w:t>有争议部分的付款</w:t>
      </w:r>
    </w:p>
    <w:p>
      <w:pPr>
        <w:snapToGrid w:val="0"/>
        <w:spacing w:line="400" w:lineRule="exact"/>
        <w:ind w:firstLine="420" w:firstLineChars="200"/>
        <w:rPr>
          <w:szCs w:val="21"/>
        </w:rPr>
      </w:pPr>
      <w:r>
        <w:rPr>
          <w:rFonts w:hint="eastAsia" w:hAnsi="宋体"/>
          <w:szCs w:val="21"/>
        </w:rPr>
        <w:t>委托人对监理人提交的支付申请书有异议时，应当在收到监理人提交的支付申请书后</w:t>
      </w:r>
      <w:r>
        <w:rPr>
          <w:szCs w:val="21"/>
        </w:rPr>
        <w:t>7</w:t>
      </w:r>
      <w:r>
        <w:rPr>
          <w:rFonts w:hint="eastAsia" w:hAnsi="宋体"/>
          <w:szCs w:val="21"/>
        </w:rPr>
        <w:t>天内，以书面形式向监理人发出异议通知。无异议部分的款项应按期支付，有异议部分的款项按第</w:t>
      </w:r>
      <w:r>
        <w:rPr>
          <w:szCs w:val="21"/>
        </w:rPr>
        <w:t>7</w:t>
      </w:r>
      <w:r>
        <w:rPr>
          <w:rFonts w:hint="eastAsia" w:hAnsi="宋体"/>
          <w:szCs w:val="21"/>
        </w:rPr>
        <w:t>条约定办理。</w:t>
      </w:r>
    </w:p>
    <w:p>
      <w:pPr>
        <w:snapToGrid w:val="0"/>
        <w:spacing w:line="400" w:lineRule="exact"/>
        <w:rPr>
          <w:b/>
          <w:bCs/>
          <w:szCs w:val="21"/>
        </w:rPr>
      </w:pPr>
      <w:r>
        <w:rPr>
          <w:b/>
          <w:bCs/>
          <w:szCs w:val="21"/>
        </w:rPr>
        <w:t xml:space="preserve">6. </w:t>
      </w:r>
      <w:r>
        <w:rPr>
          <w:rFonts w:hint="eastAsia" w:hAnsi="宋体"/>
          <w:b/>
          <w:bCs/>
          <w:szCs w:val="21"/>
        </w:rPr>
        <w:t>合同生效、变更、暂停、解除与终止</w:t>
      </w:r>
    </w:p>
    <w:p>
      <w:pPr>
        <w:spacing w:line="400" w:lineRule="exact"/>
        <w:rPr>
          <w:szCs w:val="21"/>
        </w:rPr>
      </w:pPr>
      <w:r>
        <w:rPr>
          <w:szCs w:val="21"/>
        </w:rPr>
        <w:t>6.1</w:t>
      </w:r>
      <w:r>
        <w:rPr>
          <w:rFonts w:hint="eastAsia" w:hAnsi="宋体"/>
          <w:szCs w:val="21"/>
        </w:rPr>
        <w:t>生效</w:t>
      </w:r>
    </w:p>
    <w:p>
      <w:pPr>
        <w:spacing w:line="400" w:lineRule="exact"/>
        <w:ind w:firstLine="420" w:firstLineChars="200"/>
        <w:rPr>
          <w:szCs w:val="21"/>
        </w:rPr>
      </w:pPr>
      <w:r>
        <w:rPr>
          <w:rFonts w:hint="eastAsia" w:hAnsi="宋体"/>
          <w:szCs w:val="21"/>
        </w:rPr>
        <w:t>除法律另有规定或者专用条件另有约定外，委托人和监理人的法定代表人或其授权代理人在协议书上签字并盖单位章后本合同生效。</w:t>
      </w:r>
    </w:p>
    <w:p>
      <w:pPr>
        <w:snapToGrid w:val="0"/>
        <w:spacing w:line="400" w:lineRule="exact"/>
        <w:rPr>
          <w:bCs/>
          <w:szCs w:val="21"/>
        </w:rPr>
      </w:pPr>
      <w:r>
        <w:rPr>
          <w:szCs w:val="21"/>
        </w:rPr>
        <w:t>6.2</w:t>
      </w:r>
      <w:r>
        <w:rPr>
          <w:rFonts w:hint="eastAsia" w:hAnsi="宋体"/>
          <w:bCs/>
          <w:szCs w:val="21"/>
        </w:rPr>
        <w:t>变更</w:t>
      </w:r>
    </w:p>
    <w:p>
      <w:pPr>
        <w:snapToGrid w:val="0"/>
        <w:spacing w:line="400" w:lineRule="exact"/>
        <w:ind w:firstLine="420" w:firstLineChars="200"/>
        <w:rPr>
          <w:szCs w:val="21"/>
        </w:rPr>
      </w:pPr>
      <w:r>
        <w:rPr>
          <w:szCs w:val="21"/>
        </w:rPr>
        <w:t xml:space="preserve">6.2.1 </w:t>
      </w:r>
      <w:r>
        <w:rPr>
          <w:rFonts w:hint="eastAsia" w:hAnsi="宋体"/>
          <w:szCs w:val="21"/>
        </w:rPr>
        <w:t>任何一方提出变更请求时，双方经协商一致后可进行变更。</w:t>
      </w:r>
    </w:p>
    <w:p>
      <w:pPr>
        <w:adjustRightInd w:val="0"/>
        <w:snapToGrid w:val="0"/>
        <w:spacing w:line="400" w:lineRule="exact"/>
        <w:ind w:firstLine="420" w:firstLineChars="200"/>
        <w:rPr>
          <w:szCs w:val="21"/>
        </w:rPr>
      </w:pPr>
      <w:r>
        <w:rPr>
          <w:szCs w:val="21"/>
        </w:rPr>
        <w:t xml:space="preserve">6.2.2 </w:t>
      </w:r>
      <w:r>
        <w:rPr>
          <w:rFonts w:hint="eastAsia" w:hAnsi="宋体"/>
          <w:szCs w:val="21"/>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400" w:lineRule="exact"/>
        <w:ind w:firstLine="420" w:firstLineChars="200"/>
        <w:rPr>
          <w:szCs w:val="21"/>
        </w:rPr>
      </w:pPr>
      <w:r>
        <w:rPr>
          <w:szCs w:val="21"/>
        </w:rPr>
        <w:t xml:space="preserve">6.2.3 </w:t>
      </w:r>
      <w:r>
        <w:rPr>
          <w:rFonts w:hint="eastAsia" w:hAnsi="宋体"/>
          <w:szCs w:val="21"/>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szCs w:val="21"/>
        </w:rPr>
        <w:t>28</w:t>
      </w:r>
      <w:r>
        <w:rPr>
          <w:rFonts w:hint="eastAsia" w:hAnsi="宋体"/>
          <w:szCs w:val="21"/>
        </w:rPr>
        <w:t>天。</w:t>
      </w:r>
    </w:p>
    <w:p>
      <w:pPr>
        <w:snapToGrid w:val="0"/>
        <w:spacing w:line="400" w:lineRule="exact"/>
        <w:ind w:firstLine="420" w:firstLineChars="200"/>
        <w:rPr>
          <w:szCs w:val="21"/>
        </w:rPr>
      </w:pPr>
      <w:r>
        <w:rPr>
          <w:szCs w:val="21"/>
        </w:rPr>
        <w:t xml:space="preserve">6.2.4 </w:t>
      </w:r>
      <w:r>
        <w:rPr>
          <w:rFonts w:hint="eastAsia" w:hAnsi="宋体"/>
          <w:szCs w:val="21"/>
        </w:rPr>
        <w:t>合同签订后，遇有与工程相关的法律法规、标准颁布或修订的，双方应遵照执行。由此引起监理与相关服务的范围、时间、酬金变化的，双方应通过协商进行相应调整。</w:t>
      </w:r>
    </w:p>
    <w:p>
      <w:pPr>
        <w:adjustRightInd w:val="0"/>
        <w:snapToGrid w:val="0"/>
        <w:spacing w:line="400" w:lineRule="exact"/>
        <w:ind w:firstLine="420" w:firstLineChars="200"/>
        <w:rPr>
          <w:szCs w:val="21"/>
        </w:rPr>
      </w:pPr>
      <w:r>
        <w:rPr>
          <w:szCs w:val="21"/>
        </w:rPr>
        <w:t xml:space="preserve">6.2.5 </w:t>
      </w:r>
      <w:r>
        <w:rPr>
          <w:rFonts w:hint="eastAsia" w:hAnsi="宋体"/>
          <w:szCs w:val="21"/>
        </w:rPr>
        <w:t>因非监理人原因造成工程概算投资额或建筑安装工程费增加时，正常工作酬金应作相应调整。调整方法在专用条件中约定。</w:t>
      </w:r>
    </w:p>
    <w:p>
      <w:pPr>
        <w:snapToGrid w:val="0"/>
        <w:spacing w:line="400" w:lineRule="exact"/>
        <w:ind w:firstLine="420" w:firstLineChars="200"/>
        <w:rPr>
          <w:szCs w:val="21"/>
        </w:rPr>
      </w:pPr>
      <w:r>
        <w:rPr>
          <w:szCs w:val="21"/>
        </w:rPr>
        <w:t xml:space="preserve">6.2.6 </w:t>
      </w:r>
      <w:r>
        <w:rPr>
          <w:rFonts w:hint="eastAsia" w:hAnsi="宋体"/>
          <w:szCs w:val="21"/>
        </w:rPr>
        <w:t>因工程规模、监理范围的变化导致监理人的正常工作量减少时，正常工作酬金应作相应调整。调整方法在专用条件中约定。</w:t>
      </w:r>
    </w:p>
    <w:p>
      <w:pPr>
        <w:snapToGrid w:val="0"/>
        <w:spacing w:line="400" w:lineRule="exact"/>
        <w:rPr>
          <w:bCs/>
          <w:szCs w:val="21"/>
        </w:rPr>
      </w:pPr>
      <w:r>
        <w:rPr>
          <w:szCs w:val="21"/>
        </w:rPr>
        <w:t xml:space="preserve">6.3 </w:t>
      </w:r>
      <w:r>
        <w:rPr>
          <w:rFonts w:hint="eastAsia" w:hAnsi="宋体"/>
          <w:szCs w:val="21"/>
        </w:rPr>
        <w:t>暂停与</w:t>
      </w:r>
      <w:r>
        <w:rPr>
          <w:rFonts w:hint="eastAsia" w:hAnsi="宋体"/>
          <w:bCs/>
          <w:szCs w:val="21"/>
        </w:rPr>
        <w:t>解除</w:t>
      </w:r>
    </w:p>
    <w:p>
      <w:pPr>
        <w:adjustRightInd w:val="0"/>
        <w:snapToGrid w:val="0"/>
        <w:spacing w:line="400" w:lineRule="exact"/>
        <w:ind w:firstLine="420" w:firstLineChars="200"/>
        <w:rPr>
          <w:szCs w:val="21"/>
        </w:rPr>
      </w:pPr>
      <w:r>
        <w:rPr>
          <w:rFonts w:hint="eastAsia" w:hAnsi="宋体"/>
          <w:szCs w:val="21"/>
        </w:rPr>
        <w:t>除双方协商一致可以解除本合同外，当一方无正当理由未履行本合同约定的义务时，另一方可以根据本合同约定暂停履行本合同直至解除本合同。</w:t>
      </w:r>
    </w:p>
    <w:p>
      <w:pPr>
        <w:adjustRightInd w:val="0"/>
        <w:snapToGrid w:val="0"/>
        <w:spacing w:line="400" w:lineRule="exact"/>
        <w:ind w:firstLine="420" w:firstLineChars="200"/>
        <w:rPr>
          <w:szCs w:val="21"/>
        </w:rPr>
      </w:pPr>
      <w:r>
        <w:rPr>
          <w:szCs w:val="21"/>
        </w:rPr>
        <w:t xml:space="preserve">6.3.1 </w:t>
      </w:r>
      <w:r>
        <w:rPr>
          <w:rFonts w:hint="eastAsia" w:hAnsi="宋体"/>
          <w:szCs w:val="21"/>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400" w:lineRule="exact"/>
        <w:ind w:firstLine="420" w:firstLineChars="200"/>
        <w:rPr>
          <w:szCs w:val="21"/>
        </w:rPr>
      </w:pPr>
      <w:r>
        <w:rPr>
          <w:rFonts w:hint="eastAsia" w:hAnsi="宋体"/>
          <w:szCs w:val="21"/>
        </w:rPr>
        <w:t>因解除本合同或解除监理人的部分义务导致监理人遭受的损失，除依法可以免除责任的情况外，应由委托人予以补偿，补偿金额由双方协商确定。</w:t>
      </w:r>
    </w:p>
    <w:p>
      <w:pPr>
        <w:adjustRightInd w:val="0"/>
        <w:snapToGrid w:val="0"/>
        <w:spacing w:line="400" w:lineRule="exact"/>
        <w:ind w:firstLine="420" w:firstLineChars="200"/>
        <w:rPr>
          <w:szCs w:val="21"/>
        </w:rPr>
      </w:pPr>
      <w:r>
        <w:rPr>
          <w:rFonts w:hint="eastAsia" w:hAnsi="宋体"/>
          <w:szCs w:val="21"/>
        </w:rPr>
        <w:t>解除本合同的协议必须采取书面形式，协议未达成之前，本合同仍然有效。</w:t>
      </w:r>
    </w:p>
    <w:p>
      <w:pPr>
        <w:adjustRightInd w:val="0"/>
        <w:snapToGrid w:val="0"/>
        <w:spacing w:line="400" w:lineRule="exact"/>
        <w:ind w:firstLine="420" w:firstLineChars="200"/>
        <w:rPr>
          <w:szCs w:val="21"/>
        </w:rPr>
      </w:pPr>
      <w:r>
        <w:rPr>
          <w:szCs w:val="21"/>
        </w:rPr>
        <w:t xml:space="preserve">6.3.2 </w:t>
      </w:r>
      <w:r>
        <w:rPr>
          <w:rFonts w:hint="eastAsia" w:hAnsi="宋体"/>
          <w:szCs w:val="21"/>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400" w:lineRule="exact"/>
        <w:ind w:firstLine="420" w:firstLineChars="200"/>
        <w:rPr>
          <w:szCs w:val="21"/>
        </w:rPr>
      </w:pPr>
      <w:r>
        <w:rPr>
          <w:rFonts w:hint="eastAsia" w:hAnsi="宋体"/>
          <w:szCs w:val="21"/>
        </w:rPr>
        <w:t>暂停部分监理与相关服务时间超过</w:t>
      </w:r>
      <w:r>
        <w:rPr>
          <w:szCs w:val="21"/>
        </w:rPr>
        <w:t>182</w:t>
      </w:r>
      <w:r>
        <w:rPr>
          <w:rFonts w:hint="eastAsia" w:hAnsi="宋体"/>
          <w:szCs w:val="21"/>
        </w:rPr>
        <w:t>天，监理人可发出解除本合同约定的该部分义务的通知；暂停全部工作时间超过</w:t>
      </w:r>
      <w:r>
        <w:rPr>
          <w:szCs w:val="21"/>
        </w:rPr>
        <w:t>182</w:t>
      </w:r>
      <w:r>
        <w:rPr>
          <w:rFonts w:hint="eastAsia" w:hAnsi="宋体"/>
          <w:szCs w:val="21"/>
        </w:rPr>
        <w:t>天，监理人可发出解除本合同的通知，本合同自通知到达委托人时解除。委托人应将监理与相关服务</w:t>
      </w:r>
      <w:r>
        <w:rPr>
          <w:rFonts w:hint="eastAsia" w:hAnsi="宋体"/>
          <w:kern w:val="0"/>
          <w:szCs w:val="21"/>
        </w:rPr>
        <w:t>的</w:t>
      </w:r>
      <w:r>
        <w:rPr>
          <w:rFonts w:hint="eastAsia" w:hAnsi="宋体"/>
          <w:szCs w:val="21"/>
        </w:rPr>
        <w:t>酬金支付至本合同解除日，且应承担第</w:t>
      </w:r>
      <w:r>
        <w:rPr>
          <w:szCs w:val="21"/>
        </w:rPr>
        <w:t>4.2</w:t>
      </w:r>
      <w:r>
        <w:rPr>
          <w:rFonts w:hint="eastAsia" w:hAnsi="宋体"/>
          <w:szCs w:val="21"/>
        </w:rPr>
        <w:t>款约定的责任。</w:t>
      </w:r>
    </w:p>
    <w:p>
      <w:pPr>
        <w:adjustRightInd w:val="0"/>
        <w:snapToGrid w:val="0"/>
        <w:spacing w:line="400" w:lineRule="exact"/>
        <w:ind w:firstLine="420" w:firstLineChars="200"/>
        <w:rPr>
          <w:szCs w:val="21"/>
        </w:rPr>
      </w:pPr>
      <w:r>
        <w:rPr>
          <w:szCs w:val="21"/>
        </w:rPr>
        <w:t xml:space="preserve">6.3.3 </w:t>
      </w:r>
      <w:r>
        <w:rPr>
          <w:rFonts w:hint="eastAsia" w:hAnsi="宋体"/>
          <w:szCs w:val="21"/>
        </w:rPr>
        <w:t>当监理人无正当理由未履行本合同约定的义务时，委托人应通知监理人限期改正。若委托人在监理人接到通知后的</w:t>
      </w:r>
      <w:r>
        <w:rPr>
          <w:szCs w:val="21"/>
        </w:rPr>
        <w:t>7</w:t>
      </w:r>
      <w:r>
        <w:rPr>
          <w:rFonts w:hint="eastAsia" w:hAnsi="宋体"/>
          <w:szCs w:val="21"/>
        </w:rPr>
        <w:t>天内未收到监理人书面形式的合理解释，则可在</w:t>
      </w:r>
      <w:r>
        <w:rPr>
          <w:szCs w:val="21"/>
        </w:rPr>
        <w:t>7</w:t>
      </w:r>
      <w:r>
        <w:rPr>
          <w:rFonts w:hint="eastAsia" w:hAnsi="宋体"/>
          <w:szCs w:val="21"/>
        </w:rPr>
        <w:t>天内发出解除本合同的通知，自通知到达监理人时本合同解除。委托人应将监理与相关服务</w:t>
      </w:r>
      <w:r>
        <w:rPr>
          <w:rFonts w:hint="eastAsia" w:hAnsi="宋体"/>
          <w:kern w:val="0"/>
          <w:szCs w:val="21"/>
        </w:rPr>
        <w:t>的</w:t>
      </w:r>
      <w:r>
        <w:rPr>
          <w:rFonts w:hint="eastAsia" w:hAnsi="宋体"/>
          <w:szCs w:val="21"/>
        </w:rPr>
        <w:t>酬金支付至</w:t>
      </w:r>
      <w:r>
        <w:rPr>
          <w:rFonts w:hint="eastAsia" w:hAnsi="宋体"/>
          <w:kern w:val="0"/>
          <w:szCs w:val="21"/>
        </w:rPr>
        <w:t>限期改正通知到达监理人之日</w:t>
      </w:r>
      <w:r>
        <w:rPr>
          <w:rFonts w:hint="eastAsia" w:hAnsi="宋体"/>
          <w:szCs w:val="21"/>
        </w:rPr>
        <w:t>，但监理人应承担第</w:t>
      </w:r>
      <w:r>
        <w:rPr>
          <w:szCs w:val="21"/>
        </w:rPr>
        <w:t>4.1</w:t>
      </w:r>
      <w:r>
        <w:rPr>
          <w:rFonts w:hint="eastAsia" w:hAnsi="宋体"/>
          <w:szCs w:val="21"/>
        </w:rPr>
        <w:t>款约定的责任。</w:t>
      </w:r>
    </w:p>
    <w:p>
      <w:pPr>
        <w:adjustRightInd w:val="0"/>
        <w:snapToGrid w:val="0"/>
        <w:spacing w:line="400" w:lineRule="exact"/>
        <w:ind w:firstLine="420" w:firstLineChars="200"/>
        <w:rPr>
          <w:szCs w:val="21"/>
        </w:rPr>
      </w:pPr>
      <w:r>
        <w:rPr>
          <w:szCs w:val="21"/>
        </w:rPr>
        <w:t xml:space="preserve">6.3.4 </w:t>
      </w:r>
      <w:r>
        <w:rPr>
          <w:rFonts w:hint="eastAsia" w:hAnsi="宋体"/>
          <w:szCs w:val="21"/>
        </w:rPr>
        <w:t>监理人在专用条件</w:t>
      </w:r>
      <w:r>
        <w:rPr>
          <w:szCs w:val="21"/>
        </w:rPr>
        <w:t>5.3</w:t>
      </w:r>
      <w:r>
        <w:rPr>
          <w:rFonts w:hint="eastAsia" w:hAnsi="宋体"/>
          <w:szCs w:val="21"/>
        </w:rPr>
        <w:t>中约定的支付之日起</w:t>
      </w:r>
      <w:r>
        <w:rPr>
          <w:szCs w:val="21"/>
        </w:rPr>
        <w:t>28</w:t>
      </w:r>
      <w:r>
        <w:rPr>
          <w:rFonts w:hint="eastAsia" w:hAnsi="宋体"/>
          <w:szCs w:val="21"/>
        </w:rPr>
        <w:t>天后仍未收到委托人按本合同约定应付的款项，可向委托人发出催付通知。委托人接到通知</w:t>
      </w:r>
      <w:r>
        <w:rPr>
          <w:szCs w:val="21"/>
        </w:rPr>
        <w:t>14</w:t>
      </w:r>
      <w:r>
        <w:rPr>
          <w:rFonts w:hint="eastAsia" w:hAnsi="宋体"/>
          <w:szCs w:val="21"/>
        </w:rPr>
        <w:t>天后仍未支付或未提出监理人可以接受的延期支付安排，监理人可向委托人发出暂停工作的通知并可自行暂停全部或部分工作。暂停工作后</w:t>
      </w:r>
      <w:r>
        <w:rPr>
          <w:szCs w:val="21"/>
        </w:rPr>
        <w:t>14</w:t>
      </w:r>
      <w:r>
        <w:rPr>
          <w:rFonts w:hint="eastAsia" w:hAnsi="宋体"/>
          <w:szCs w:val="21"/>
        </w:rPr>
        <w:t>天内监理人仍未获得委托人应付酬金或委托人的合理答复，监理人可向委托人发出解除本合同的通知，自通知到达委托人时本合同解除。委托人应承担第</w:t>
      </w:r>
      <w:r>
        <w:rPr>
          <w:szCs w:val="21"/>
        </w:rPr>
        <w:t>4.2.3</w:t>
      </w:r>
      <w:r>
        <w:rPr>
          <w:rFonts w:hint="eastAsia" w:hAnsi="宋体"/>
          <w:szCs w:val="21"/>
        </w:rPr>
        <w:t>款约定的责任。</w:t>
      </w:r>
    </w:p>
    <w:p>
      <w:pPr>
        <w:snapToGrid w:val="0"/>
        <w:spacing w:line="400" w:lineRule="exact"/>
        <w:ind w:firstLine="420" w:firstLineChars="200"/>
        <w:rPr>
          <w:kern w:val="0"/>
          <w:szCs w:val="21"/>
        </w:rPr>
      </w:pPr>
      <w:r>
        <w:rPr>
          <w:szCs w:val="21"/>
        </w:rPr>
        <w:t xml:space="preserve">6.3.5 </w:t>
      </w:r>
      <w:r>
        <w:rPr>
          <w:rFonts w:hint="eastAsia" w:hAnsi="宋体"/>
          <w:szCs w:val="21"/>
        </w:rPr>
        <w:t>因不可抗力致使本合同部分或全部不能履行时，一方应立即通知另一方，可暂停或解除本合同。</w:t>
      </w:r>
    </w:p>
    <w:p>
      <w:pPr>
        <w:snapToGrid w:val="0"/>
        <w:spacing w:line="400" w:lineRule="exact"/>
        <w:ind w:firstLine="420" w:firstLineChars="200"/>
        <w:rPr>
          <w:szCs w:val="21"/>
        </w:rPr>
      </w:pPr>
      <w:r>
        <w:rPr>
          <w:szCs w:val="21"/>
        </w:rPr>
        <w:t xml:space="preserve">6.3.6 </w:t>
      </w:r>
      <w:r>
        <w:rPr>
          <w:rFonts w:hint="eastAsia" w:hAnsi="宋体"/>
          <w:szCs w:val="21"/>
        </w:rPr>
        <w:t>本合同解除后，本合同约定的有关结算、清理、争议解决方式的条件仍然有效。</w:t>
      </w:r>
    </w:p>
    <w:p>
      <w:pPr>
        <w:snapToGrid w:val="0"/>
        <w:spacing w:line="400" w:lineRule="exact"/>
        <w:rPr>
          <w:bCs/>
          <w:szCs w:val="21"/>
        </w:rPr>
      </w:pPr>
      <w:r>
        <w:rPr>
          <w:szCs w:val="21"/>
        </w:rPr>
        <w:t xml:space="preserve">6.4 </w:t>
      </w:r>
      <w:r>
        <w:rPr>
          <w:rFonts w:hint="eastAsia" w:hAnsi="宋体"/>
          <w:bCs/>
          <w:szCs w:val="21"/>
        </w:rPr>
        <w:t>终止</w:t>
      </w:r>
    </w:p>
    <w:p>
      <w:pPr>
        <w:adjustRightInd w:val="0"/>
        <w:snapToGrid w:val="0"/>
        <w:spacing w:line="400" w:lineRule="exact"/>
        <w:ind w:firstLine="420" w:firstLineChars="200"/>
        <w:rPr>
          <w:szCs w:val="21"/>
        </w:rPr>
      </w:pPr>
      <w:r>
        <w:rPr>
          <w:rFonts w:hint="eastAsia" w:hAnsi="宋体"/>
          <w:szCs w:val="21"/>
        </w:rPr>
        <w:t>以下条件全部满足时，本合同即告终止：</w:t>
      </w:r>
    </w:p>
    <w:p>
      <w:pPr>
        <w:adjustRightInd w:val="0"/>
        <w:snapToGrid w:val="0"/>
        <w:spacing w:line="400" w:lineRule="exact"/>
        <w:ind w:firstLine="420" w:firstLineChars="200"/>
        <w:rPr>
          <w:szCs w:val="21"/>
        </w:rPr>
      </w:pPr>
      <w:r>
        <w:rPr>
          <w:rFonts w:hint="eastAsia" w:hAnsi="宋体"/>
          <w:szCs w:val="21"/>
        </w:rPr>
        <w:t>（</w:t>
      </w:r>
      <w:r>
        <w:rPr>
          <w:szCs w:val="21"/>
        </w:rPr>
        <w:t>1</w:t>
      </w:r>
      <w:r>
        <w:rPr>
          <w:rFonts w:hint="eastAsia" w:hAnsi="宋体"/>
          <w:szCs w:val="21"/>
        </w:rPr>
        <w:t>）监理人完成本合同约定的全部工作；</w:t>
      </w:r>
    </w:p>
    <w:p>
      <w:pPr>
        <w:snapToGrid w:val="0"/>
        <w:spacing w:line="400" w:lineRule="exact"/>
        <w:ind w:firstLine="420" w:firstLineChars="200"/>
        <w:rPr>
          <w:szCs w:val="21"/>
        </w:rPr>
      </w:pPr>
      <w:r>
        <w:rPr>
          <w:rFonts w:hint="eastAsia" w:hAnsi="宋体"/>
          <w:szCs w:val="21"/>
        </w:rPr>
        <w:t>（</w:t>
      </w:r>
      <w:r>
        <w:rPr>
          <w:szCs w:val="21"/>
        </w:rPr>
        <w:t>2</w:t>
      </w:r>
      <w:r>
        <w:rPr>
          <w:rFonts w:hint="eastAsia" w:hAnsi="宋体"/>
          <w:szCs w:val="21"/>
        </w:rPr>
        <w:t>）委托人与监理人结清并支付全部酬金。</w:t>
      </w:r>
    </w:p>
    <w:p>
      <w:pPr>
        <w:snapToGrid w:val="0"/>
        <w:spacing w:line="400" w:lineRule="exact"/>
        <w:rPr>
          <w:b/>
          <w:bCs/>
          <w:szCs w:val="21"/>
        </w:rPr>
      </w:pPr>
      <w:r>
        <w:rPr>
          <w:b/>
          <w:bCs/>
          <w:szCs w:val="21"/>
        </w:rPr>
        <w:t xml:space="preserve">7. </w:t>
      </w:r>
      <w:r>
        <w:rPr>
          <w:rFonts w:hint="eastAsia" w:hAnsi="宋体"/>
          <w:b/>
          <w:bCs/>
          <w:szCs w:val="21"/>
        </w:rPr>
        <w:t>争议解决</w:t>
      </w:r>
    </w:p>
    <w:p>
      <w:pPr>
        <w:snapToGrid w:val="0"/>
        <w:spacing w:line="400" w:lineRule="exact"/>
        <w:ind w:left="210" w:leftChars="100"/>
        <w:rPr>
          <w:bCs/>
          <w:szCs w:val="21"/>
        </w:rPr>
      </w:pPr>
      <w:r>
        <w:rPr>
          <w:szCs w:val="21"/>
        </w:rPr>
        <w:t>7.1</w:t>
      </w:r>
      <w:r>
        <w:rPr>
          <w:rFonts w:hint="eastAsia" w:hAnsi="宋体"/>
          <w:bCs/>
          <w:szCs w:val="21"/>
        </w:rPr>
        <w:t>协商</w:t>
      </w:r>
    </w:p>
    <w:p>
      <w:pPr>
        <w:snapToGrid w:val="0"/>
        <w:spacing w:line="400" w:lineRule="exact"/>
        <w:ind w:firstLine="420" w:firstLineChars="200"/>
        <w:rPr>
          <w:bCs/>
          <w:szCs w:val="21"/>
        </w:rPr>
      </w:pPr>
      <w:r>
        <w:rPr>
          <w:rFonts w:hint="eastAsia" w:hAnsi="宋体"/>
          <w:szCs w:val="21"/>
        </w:rPr>
        <w:t>双方应本着诚信原则协商解决彼此间的争议。</w:t>
      </w:r>
    </w:p>
    <w:p>
      <w:pPr>
        <w:snapToGrid w:val="0"/>
        <w:spacing w:line="400" w:lineRule="exact"/>
        <w:ind w:left="210" w:leftChars="100"/>
        <w:rPr>
          <w:bCs/>
          <w:szCs w:val="21"/>
        </w:rPr>
      </w:pPr>
      <w:r>
        <w:rPr>
          <w:szCs w:val="21"/>
        </w:rPr>
        <w:t>7.2</w:t>
      </w:r>
      <w:r>
        <w:rPr>
          <w:rFonts w:hint="eastAsia" w:hAnsi="宋体"/>
          <w:bCs/>
          <w:szCs w:val="21"/>
        </w:rPr>
        <w:t>调解</w:t>
      </w:r>
    </w:p>
    <w:p>
      <w:pPr>
        <w:snapToGrid w:val="0"/>
        <w:spacing w:line="400" w:lineRule="exact"/>
        <w:ind w:firstLine="420" w:firstLineChars="200"/>
        <w:rPr>
          <w:bCs/>
          <w:szCs w:val="21"/>
        </w:rPr>
      </w:pPr>
      <w:r>
        <w:rPr>
          <w:rFonts w:hint="eastAsia" w:hAnsi="宋体"/>
          <w:szCs w:val="21"/>
        </w:rPr>
        <w:t>如果双方不能在</w:t>
      </w:r>
      <w:r>
        <w:rPr>
          <w:szCs w:val="21"/>
        </w:rPr>
        <w:t>14</w:t>
      </w:r>
      <w:r>
        <w:rPr>
          <w:rFonts w:hint="eastAsia" w:hAnsi="宋体"/>
          <w:szCs w:val="21"/>
        </w:rPr>
        <w:t>天内或双方商定的其他时间内解决本合同争议，可以将其提交给专用条件约定的或事后达成协议的调解人进行调解。</w:t>
      </w:r>
    </w:p>
    <w:p>
      <w:pPr>
        <w:snapToGrid w:val="0"/>
        <w:spacing w:line="400" w:lineRule="exact"/>
        <w:ind w:left="210" w:leftChars="100"/>
        <w:rPr>
          <w:bCs/>
          <w:szCs w:val="21"/>
        </w:rPr>
      </w:pPr>
      <w:r>
        <w:rPr>
          <w:szCs w:val="21"/>
        </w:rPr>
        <w:t>7.3</w:t>
      </w:r>
      <w:r>
        <w:rPr>
          <w:rFonts w:hint="eastAsia" w:hAnsi="宋体"/>
          <w:bCs/>
          <w:szCs w:val="21"/>
        </w:rPr>
        <w:t>仲裁或诉讼</w:t>
      </w:r>
    </w:p>
    <w:p>
      <w:pPr>
        <w:snapToGrid w:val="0"/>
        <w:spacing w:line="400" w:lineRule="exact"/>
        <w:ind w:firstLine="420" w:firstLineChars="200"/>
        <w:rPr>
          <w:szCs w:val="21"/>
        </w:rPr>
      </w:pPr>
      <w:r>
        <w:rPr>
          <w:rFonts w:hint="eastAsia" w:hAnsi="宋体"/>
          <w:szCs w:val="21"/>
        </w:rPr>
        <w:t>双方均有权不经调解直接向专用条件约定的仲裁机构申请仲裁或向有管辖权的人民法院提起诉讼。</w:t>
      </w:r>
    </w:p>
    <w:p>
      <w:pPr>
        <w:snapToGrid w:val="0"/>
        <w:spacing w:line="400" w:lineRule="exact"/>
        <w:rPr>
          <w:b/>
          <w:bCs/>
          <w:szCs w:val="21"/>
        </w:rPr>
      </w:pPr>
      <w:r>
        <w:rPr>
          <w:b/>
          <w:bCs/>
          <w:szCs w:val="21"/>
        </w:rPr>
        <w:t xml:space="preserve">8. </w:t>
      </w:r>
      <w:r>
        <w:rPr>
          <w:rFonts w:hint="eastAsia" w:hAnsi="宋体"/>
          <w:b/>
          <w:bCs/>
          <w:szCs w:val="21"/>
        </w:rPr>
        <w:t>其他</w:t>
      </w:r>
    </w:p>
    <w:p>
      <w:pPr>
        <w:spacing w:line="400" w:lineRule="exact"/>
        <w:rPr>
          <w:bCs/>
          <w:szCs w:val="21"/>
        </w:rPr>
      </w:pPr>
      <w:r>
        <w:rPr>
          <w:szCs w:val="21"/>
        </w:rPr>
        <w:t xml:space="preserve">8.1 </w:t>
      </w:r>
      <w:r>
        <w:rPr>
          <w:rFonts w:hint="eastAsia" w:hAnsi="宋体"/>
          <w:bCs/>
          <w:szCs w:val="21"/>
        </w:rPr>
        <w:t>外出考察费用</w:t>
      </w:r>
    </w:p>
    <w:p>
      <w:pPr>
        <w:snapToGrid w:val="0"/>
        <w:spacing w:line="400" w:lineRule="exact"/>
        <w:ind w:firstLine="420" w:firstLineChars="200"/>
        <w:rPr>
          <w:bCs/>
          <w:szCs w:val="21"/>
        </w:rPr>
      </w:pPr>
      <w:r>
        <w:rPr>
          <w:rFonts w:hint="eastAsia" w:hAnsi="宋体"/>
          <w:szCs w:val="21"/>
        </w:rPr>
        <w:t>经委托人同意，监理人员外出考察发生的费用由委托人审核后支付。</w:t>
      </w:r>
    </w:p>
    <w:p>
      <w:pPr>
        <w:snapToGrid w:val="0"/>
        <w:spacing w:line="400" w:lineRule="exact"/>
        <w:rPr>
          <w:bCs/>
          <w:szCs w:val="21"/>
        </w:rPr>
      </w:pPr>
      <w:r>
        <w:rPr>
          <w:szCs w:val="21"/>
        </w:rPr>
        <w:t xml:space="preserve">8.2 </w:t>
      </w:r>
      <w:r>
        <w:rPr>
          <w:rFonts w:hint="eastAsia" w:hAnsi="宋体"/>
          <w:bCs/>
          <w:szCs w:val="21"/>
        </w:rPr>
        <w:t>检测费用</w:t>
      </w:r>
    </w:p>
    <w:p>
      <w:pPr>
        <w:snapToGrid w:val="0"/>
        <w:spacing w:line="400" w:lineRule="exact"/>
        <w:ind w:firstLine="420" w:firstLineChars="200"/>
        <w:rPr>
          <w:bCs/>
          <w:szCs w:val="21"/>
        </w:rPr>
      </w:pPr>
      <w:r>
        <w:rPr>
          <w:rFonts w:hint="eastAsia" w:hAnsi="宋体"/>
          <w:szCs w:val="21"/>
        </w:rPr>
        <w:t>委托人要求监理人进行的材料和设备检测所发生的费用，由委托人支付，支付时间在专用条件中约定。</w:t>
      </w:r>
    </w:p>
    <w:p>
      <w:pPr>
        <w:snapToGrid w:val="0"/>
        <w:spacing w:line="400" w:lineRule="exact"/>
        <w:rPr>
          <w:bCs/>
          <w:szCs w:val="21"/>
        </w:rPr>
      </w:pPr>
      <w:r>
        <w:rPr>
          <w:szCs w:val="21"/>
        </w:rPr>
        <w:t xml:space="preserve">8.3 </w:t>
      </w:r>
      <w:r>
        <w:rPr>
          <w:rFonts w:hint="eastAsia" w:hAnsi="宋体"/>
          <w:bCs/>
          <w:szCs w:val="21"/>
        </w:rPr>
        <w:t>咨询费用</w:t>
      </w:r>
    </w:p>
    <w:p>
      <w:pPr>
        <w:snapToGrid w:val="0"/>
        <w:spacing w:line="400" w:lineRule="exact"/>
        <w:ind w:firstLine="420" w:firstLineChars="200"/>
        <w:rPr>
          <w:szCs w:val="21"/>
        </w:rPr>
      </w:pPr>
      <w:r>
        <w:rPr>
          <w:rFonts w:hint="eastAsia" w:hAnsi="宋体"/>
          <w:szCs w:val="21"/>
        </w:rPr>
        <w:t>经委托人同意，根据工程需要由监理人组织的相关咨询论证会以及聘请相关专家等发生的费用由委托人支付，支付时间在专用条件中约定。</w:t>
      </w:r>
    </w:p>
    <w:p>
      <w:pPr>
        <w:snapToGrid w:val="0"/>
        <w:spacing w:line="400" w:lineRule="exact"/>
        <w:rPr>
          <w:bCs/>
          <w:szCs w:val="21"/>
        </w:rPr>
      </w:pPr>
      <w:r>
        <w:rPr>
          <w:szCs w:val="21"/>
        </w:rPr>
        <w:t xml:space="preserve">8.4 </w:t>
      </w:r>
      <w:r>
        <w:rPr>
          <w:rFonts w:hint="eastAsia" w:hAnsi="宋体"/>
          <w:bCs/>
          <w:szCs w:val="21"/>
        </w:rPr>
        <w:t>奖励</w:t>
      </w:r>
    </w:p>
    <w:p>
      <w:pPr>
        <w:snapToGrid w:val="0"/>
        <w:spacing w:line="400" w:lineRule="exact"/>
        <w:ind w:firstLine="420" w:firstLineChars="200"/>
        <w:rPr>
          <w:szCs w:val="21"/>
        </w:rPr>
      </w:pPr>
      <w:r>
        <w:rPr>
          <w:rFonts w:hint="eastAsia" w:hAnsi="宋体"/>
          <w:szCs w:val="21"/>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400" w:lineRule="exact"/>
        <w:rPr>
          <w:bCs/>
          <w:szCs w:val="21"/>
        </w:rPr>
      </w:pPr>
      <w:r>
        <w:rPr>
          <w:szCs w:val="21"/>
        </w:rPr>
        <w:t xml:space="preserve">8.5 </w:t>
      </w:r>
      <w:r>
        <w:rPr>
          <w:rFonts w:hint="eastAsia" w:hAnsi="宋体"/>
          <w:bCs/>
          <w:szCs w:val="21"/>
        </w:rPr>
        <w:t>守法诚信</w:t>
      </w:r>
    </w:p>
    <w:p>
      <w:pPr>
        <w:snapToGrid w:val="0"/>
        <w:spacing w:line="400" w:lineRule="exact"/>
        <w:ind w:firstLine="420" w:firstLineChars="200"/>
        <w:rPr>
          <w:bCs/>
          <w:szCs w:val="21"/>
        </w:rPr>
      </w:pPr>
      <w:r>
        <w:rPr>
          <w:rFonts w:hint="eastAsia" w:hAnsi="宋体"/>
          <w:szCs w:val="21"/>
        </w:rPr>
        <w:t>监理人及其工作人员不得从与实施工程有关的第三方处获得任何经济利益。</w:t>
      </w:r>
    </w:p>
    <w:p>
      <w:pPr>
        <w:snapToGrid w:val="0"/>
        <w:spacing w:line="400" w:lineRule="exact"/>
        <w:rPr>
          <w:bCs/>
          <w:szCs w:val="21"/>
        </w:rPr>
      </w:pPr>
      <w:r>
        <w:rPr>
          <w:szCs w:val="21"/>
        </w:rPr>
        <w:t xml:space="preserve">8.6 </w:t>
      </w:r>
      <w:r>
        <w:rPr>
          <w:rFonts w:hint="eastAsia" w:hAnsi="宋体"/>
          <w:bCs/>
          <w:szCs w:val="21"/>
        </w:rPr>
        <w:t>保密</w:t>
      </w:r>
    </w:p>
    <w:p>
      <w:pPr>
        <w:snapToGrid w:val="0"/>
        <w:spacing w:line="400" w:lineRule="exact"/>
        <w:ind w:firstLine="420" w:firstLineChars="200"/>
        <w:rPr>
          <w:bCs/>
          <w:szCs w:val="21"/>
        </w:rPr>
      </w:pPr>
      <w:r>
        <w:rPr>
          <w:rFonts w:hint="eastAsia" w:hAnsi="宋体"/>
          <w:szCs w:val="21"/>
        </w:rPr>
        <w:t>双方不得泄露对方申明的保密资料，亦不得泄露与实施工程有关的第三方所提供的保密资料，保密事项在专用条件中约定。</w:t>
      </w:r>
    </w:p>
    <w:p>
      <w:pPr>
        <w:snapToGrid w:val="0"/>
        <w:spacing w:line="400" w:lineRule="exact"/>
        <w:rPr>
          <w:bCs/>
          <w:szCs w:val="21"/>
        </w:rPr>
      </w:pPr>
      <w:r>
        <w:rPr>
          <w:szCs w:val="21"/>
        </w:rPr>
        <w:t xml:space="preserve">8.7 </w:t>
      </w:r>
      <w:r>
        <w:rPr>
          <w:rFonts w:hint="eastAsia" w:hAnsi="宋体"/>
          <w:bCs/>
          <w:szCs w:val="21"/>
        </w:rPr>
        <w:t>通知</w:t>
      </w:r>
    </w:p>
    <w:p>
      <w:pPr>
        <w:snapToGrid w:val="0"/>
        <w:spacing w:line="400" w:lineRule="exact"/>
        <w:ind w:firstLine="420" w:firstLineChars="200"/>
        <w:rPr>
          <w:bCs/>
          <w:szCs w:val="21"/>
        </w:rPr>
      </w:pPr>
      <w:r>
        <w:rPr>
          <w:rFonts w:hint="eastAsia" w:hAnsi="宋体"/>
          <w:szCs w:val="21"/>
        </w:rPr>
        <w:t>本合同涉及的通知均应当采用书面形式，并在送达对方时生效，收件人应书面签收。</w:t>
      </w:r>
    </w:p>
    <w:p>
      <w:pPr>
        <w:snapToGrid w:val="0"/>
        <w:spacing w:line="400" w:lineRule="exact"/>
        <w:rPr>
          <w:bCs/>
          <w:szCs w:val="21"/>
        </w:rPr>
      </w:pPr>
      <w:r>
        <w:rPr>
          <w:szCs w:val="21"/>
        </w:rPr>
        <w:t xml:space="preserve">8.8 </w:t>
      </w:r>
      <w:r>
        <w:rPr>
          <w:rFonts w:hint="eastAsia" w:hAnsi="宋体"/>
          <w:bCs/>
          <w:szCs w:val="21"/>
        </w:rPr>
        <w:t>著作权</w:t>
      </w:r>
    </w:p>
    <w:p>
      <w:pPr>
        <w:adjustRightInd w:val="0"/>
        <w:snapToGrid w:val="0"/>
        <w:spacing w:line="400" w:lineRule="exact"/>
        <w:ind w:firstLine="420" w:firstLineChars="200"/>
        <w:rPr>
          <w:szCs w:val="21"/>
        </w:rPr>
      </w:pPr>
      <w:r>
        <w:rPr>
          <w:rFonts w:hint="eastAsia" w:hAnsi="宋体"/>
          <w:szCs w:val="21"/>
        </w:rPr>
        <w:t>监理人对其编制的文件拥有著作权。</w:t>
      </w:r>
    </w:p>
    <w:p>
      <w:pPr>
        <w:snapToGrid w:val="0"/>
        <w:spacing w:line="400" w:lineRule="exact"/>
        <w:ind w:firstLine="420" w:firstLineChars="200"/>
        <w:rPr>
          <w:rFonts w:hAnsi="宋体"/>
          <w:szCs w:val="21"/>
        </w:rPr>
      </w:pPr>
      <w:r>
        <w:rPr>
          <w:rFonts w:hint="eastAsia" w:hAnsi="宋体"/>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napToGrid w:val="0"/>
        <w:spacing w:line="360" w:lineRule="auto"/>
        <w:ind w:firstLine="420" w:firstLineChars="200"/>
        <w:rPr>
          <w:rFonts w:hAnsi="宋体"/>
          <w:szCs w:val="21"/>
        </w:rPr>
      </w:pPr>
    </w:p>
    <w:p>
      <w:pPr>
        <w:snapToGrid w:val="0"/>
        <w:spacing w:line="360" w:lineRule="auto"/>
        <w:ind w:firstLine="420" w:firstLineChars="200"/>
        <w:rPr>
          <w:rFonts w:hAnsi="宋体"/>
          <w:szCs w:val="21"/>
        </w:rPr>
      </w:pPr>
    </w:p>
    <w:p>
      <w:bookmarkStart w:id="269" w:name="EBd75ef856cbfc41f4b1b1d0253167c5da"/>
    </w:p>
    <w:p>
      <w:pPr>
        <w:pStyle w:val="2"/>
      </w:pPr>
    </w:p>
    <w:p>
      <w:pPr>
        <w:pStyle w:val="2"/>
      </w:pPr>
    </w:p>
    <w:p>
      <w:pPr>
        <w:pStyle w:val="2"/>
      </w:pPr>
    </w:p>
    <w:p>
      <w:pPr>
        <w:pStyle w:val="2"/>
      </w:pPr>
    </w:p>
    <w:p>
      <w:pPr>
        <w:pStyle w:val="2"/>
      </w:pPr>
    </w:p>
    <w:p>
      <w:pPr>
        <w:pStyle w:val="2"/>
      </w:pPr>
    </w:p>
    <w:p>
      <w:pPr>
        <w:pStyle w:val="2"/>
      </w:pPr>
    </w:p>
    <w:p>
      <w:pPr>
        <w:pStyle w:val="168"/>
        <w:jc w:val="center"/>
      </w:pPr>
      <w:bookmarkStart w:id="270" w:name="_Toc22448"/>
      <w:bookmarkStart w:id="271" w:name="_Toc411526683"/>
      <w:r>
        <w:t>第三部分  专用条件</w:t>
      </w:r>
      <w:bookmarkEnd w:id="270"/>
      <w:bookmarkEnd w:id="271"/>
    </w:p>
    <w:p>
      <w:pPr>
        <w:pStyle w:val="146"/>
      </w:pPr>
      <w:bookmarkStart w:id="272" w:name="_Toc26596"/>
      <w:bookmarkStart w:id="273" w:name="_Toc411526684"/>
      <w:r>
        <w:t>1. 定义与解释</w:t>
      </w:r>
      <w:bookmarkEnd w:id="272"/>
      <w:bookmarkEnd w:id="273"/>
    </w:p>
    <w:p>
      <w:pPr>
        <w:pStyle w:val="94"/>
        <w:adjustRightInd w:val="0"/>
        <w:snapToGrid w:val="0"/>
        <w:spacing w:line="360" w:lineRule="auto"/>
        <w:rPr>
          <w:szCs w:val="21"/>
        </w:rPr>
      </w:pPr>
      <w:r>
        <w:rPr>
          <w:szCs w:val="21"/>
        </w:rPr>
        <w:t xml:space="preserve">1.2  </w:t>
      </w:r>
      <w:r>
        <w:rPr>
          <w:rFonts w:hAnsi="宋体"/>
          <w:szCs w:val="21"/>
        </w:rPr>
        <w:t>解释</w:t>
      </w:r>
    </w:p>
    <w:p>
      <w:pPr>
        <w:pStyle w:val="94"/>
        <w:adjustRightInd w:val="0"/>
        <w:snapToGrid w:val="0"/>
        <w:spacing w:line="360" w:lineRule="auto"/>
        <w:ind w:firstLine="420" w:firstLineChars="200"/>
        <w:rPr>
          <w:szCs w:val="21"/>
        </w:rPr>
      </w:pPr>
      <w:r>
        <w:rPr>
          <w:szCs w:val="21"/>
        </w:rPr>
        <w:t xml:space="preserve">1.2.1 </w:t>
      </w:r>
      <w:r>
        <w:rPr>
          <w:rFonts w:hAnsi="宋体"/>
          <w:szCs w:val="21"/>
        </w:rPr>
        <w:t>本合同文件除使用中文外，</w:t>
      </w:r>
      <w:r>
        <w:rPr>
          <w:rFonts w:hint="eastAsia" w:ascii="宋体" w:hAnsi="宋体" w:cs="宋体"/>
        </w:rPr>
        <w:t>无其它语言文字</w:t>
      </w:r>
      <w:r>
        <w:rPr>
          <w:rFonts w:hAnsi="宋体"/>
          <w:szCs w:val="21"/>
        </w:rPr>
        <w:t>。</w:t>
      </w:r>
    </w:p>
    <w:p>
      <w:pPr>
        <w:pStyle w:val="94"/>
        <w:adjustRightInd w:val="0"/>
        <w:snapToGrid w:val="0"/>
        <w:spacing w:line="360" w:lineRule="auto"/>
        <w:ind w:firstLine="420" w:firstLineChars="200"/>
        <w:rPr>
          <w:szCs w:val="21"/>
          <w:u w:val="single"/>
        </w:rPr>
      </w:pPr>
      <w:r>
        <w:rPr>
          <w:szCs w:val="21"/>
        </w:rPr>
        <w:t xml:space="preserve">1.2.2 </w:t>
      </w:r>
      <w:r>
        <w:rPr>
          <w:rFonts w:hAnsi="宋体"/>
          <w:szCs w:val="21"/>
        </w:rPr>
        <w:t>约定本合同文件的解释顺序为：</w:t>
      </w:r>
      <w:r>
        <w:rPr>
          <w:rFonts w:hint="eastAsia" w:ascii="宋体" w:hAnsi="宋体" w:cs="宋体"/>
          <w:u w:val="single"/>
        </w:rPr>
        <w:t>按通用条件</w:t>
      </w:r>
      <w:r>
        <w:rPr>
          <w:rFonts w:hAnsi="宋体"/>
          <w:szCs w:val="21"/>
        </w:rPr>
        <w:t>。</w:t>
      </w:r>
    </w:p>
    <w:p>
      <w:pPr>
        <w:pStyle w:val="146"/>
      </w:pPr>
      <w:bookmarkStart w:id="274" w:name="_Toc27166"/>
      <w:bookmarkStart w:id="275" w:name="_Toc411526685"/>
      <w:r>
        <w:t>2. 监理人义务</w:t>
      </w:r>
      <w:bookmarkEnd w:id="274"/>
      <w:bookmarkEnd w:id="275"/>
    </w:p>
    <w:p>
      <w:pPr>
        <w:pStyle w:val="94"/>
        <w:adjustRightInd w:val="0"/>
        <w:snapToGrid w:val="0"/>
        <w:spacing w:line="360" w:lineRule="auto"/>
        <w:rPr>
          <w:szCs w:val="21"/>
        </w:rPr>
      </w:pPr>
      <w:r>
        <w:rPr>
          <w:szCs w:val="21"/>
        </w:rPr>
        <w:t xml:space="preserve">2.1 </w:t>
      </w:r>
      <w:r>
        <w:rPr>
          <w:rFonts w:hAnsi="宋体"/>
          <w:szCs w:val="21"/>
        </w:rPr>
        <w:t>监理的范围和</w:t>
      </w:r>
      <w:r>
        <w:rPr>
          <w:rFonts w:hAnsi="宋体"/>
          <w:bCs/>
          <w:szCs w:val="21"/>
        </w:rPr>
        <w:t>内容</w:t>
      </w:r>
    </w:p>
    <w:p>
      <w:pPr>
        <w:pStyle w:val="94"/>
        <w:adjustRightInd w:val="0"/>
        <w:snapToGrid w:val="0"/>
        <w:spacing w:line="360" w:lineRule="auto"/>
        <w:ind w:firstLine="420" w:firstLineChars="200"/>
        <w:rPr>
          <w:szCs w:val="21"/>
          <w:u w:val="single"/>
        </w:rPr>
      </w:pPr>
      <w:r>
        <w:rPr>
          <w:szCs w:val="21"/>
        </w:rPr>
        <w:t xml:space="preserve">2.1.1 </w:t>
      </w:r>
      <w:r>
        <w:rPr>
          <w:rFonts w:hAnsi="宋体"/>
          <w:szCs w:val="21"/>
        </w:rPr>
        <w:t>监理范围包括：</w:t>
      </w:r>
      <w:r>
        <w:rPr>
          <w:rFonts w:hAnsi="宋体"/>
          <w:szCs w:val="21"/>
          <w:u w:val="single"/>
        </w:rPr>
        <w:t>本合同约定的工程施工阶段</w:t>
      </w:r>
      <w:r>
        <w:rPr>
          <w:rFonts w:hint="eastAsia" w:hAnsi="宋体"/>
          <w:szCs w:val="21"/>
          <w:u w:val="single"/>
        </w:rPr>
        <w:t>和缺陷责任期阶段</w:t>
      </w:r>
      <w:r>
        <w:rPr>
          <w:rFonts w:hAnsi="宋体"/>
          <w:szCs w:val="21"/>
          <w:u w:val="single"/>
        </w:rPr>
        <w:t>的监理服务，不包括勘察阶段、设计阶段及因非监理人原因引起的工程延期阶段的监理服务</w:t>
      </w:r>
      <w:r>
        <w:rPr>
          <w:rFonts w:hAnsi="宋体"/>
          <w:szCs w:val="21"/>
        </w:rPr>
        <w:t>。</w:t>
      </w:r>
    </w:p>
    <w:p>
      <w:pPr>
        <w:pStyle w:val="94"/>
        <w:adjustRightInd w:val="0"/>
        <w:snapToGrid w:val="0"/>
        <w:spacing w:line="360" w:lineRule="auto"/>
        <w:ind w:firstLine="420" w:firstLineChars="200"/>
        <w:rPr>
          <w:rFonts w:hAnsi="宋体"/>
          <w:szCs w:val="21"/>
        </w:rPr>
      </w:pPr>
      <w:r>
        <w:rPr>
          <w:szCs w:val="21"/>
        </w:rPr>
        <w:t xml:space="preserve">2.1.2 </w:t>
      </w:r>
      <w:r>
        <w:rPr>
          <w:rFonts w:hAnsi="宋体"/>
          <w:szCs w:val="21"/>
        </w:rPr>
        <w:t>监理工作内容还包括：</w:t>
      </w:r>
    </w:p>
    <w:p>
      <w:pPr>
        <w:adjustRightInd w:val="0"/>
        <w:snapToGrid w:val="0"/>
        <w:spacing w:line="360" w:lineRule="auto"/>
        <w:ind w:firstLine="210" w:firstLineChars="100"/>
        <w:rPr>
          <w:rFonts w:ascii="宋体"/>
          <w:u w:val="single"/>
        </w:rPr>
      </w:pPr>
      <w:r>
        <w:rPr>
          <w:rFonts w:hint="eastAsia" w:ascii="宋体" w:hAnsi="宋体" w:cs="宋体"/>
          <w:u w:val="single"/>
        </w:rPr>
        <w:t>（</w:t>
      </w:r>
      <w:r>
        <w:rPr>
          <w:rFonts w:ascii="宋体" w:hAnsi="宋体" w:cs="宋体"/>
          <w:u w:val="single"/>
        </w:rPr>
        <w:t>1</w:t>
      </w:r>
      <w:r>
        <w:rPr>
          <w:rFonts w:hint="eastAsia" w:ascii="宋体" w:hAnsi="宋体" w:cs="宋体"/>
          <w:u w:val="single"/>
        </w:rPr>
        <w:t>）对施工承包人选择的分包商、材料供应商进行审查，并报委托人批准；</w:t>
      </w:r>
    </w:p>
    <w:p>
      <w:pPr>
        <w:adjustRightInd w:val="0"/>
        <w:snapToGrid w:val="0"/>
        <w:spacing w:line="360" w:lineRule="auto"/>
        <w:ind w:firstLine="210" w:firstLineChars="100"/>
        <w:rPr>
          <w:rFonts w:ascii="宋体"/>
          <w:u w:val="single"/>
        </w:rPr>
      </w:pPr>
      <w:r>
        <w:rPr>
          <w:rFonts w:hint="eastAsia" w:ascii="宋体" w:hAnsi="宋体" w:cs="宋体"/>
          <w:u w:val="single"/>
        </w:rPr>
        <w:t>（</w:t>
      </w:r>
      <w:r>
        <w:rPr>
          <w:rFonts w:ascii="宋体" w:hAnsi="宋体" w:cs="宋体"/>
          <w:u w:val="single"/>
        </w:rPr>
        <w:t>2</w:t>
      </w:r>
      <w:r>
        <w:rPr>
          <w:rFonts w:hint="eastAsia" w:ascii="宋体" w:hAnsi="宋体" w:cs="宋体"/>
          <w:u w:val="single"/>
        </w:rPr>
        <w:t>）审查施工承包人提出的施工组织设计、施工方案、施工方法、质量保证体系、质量保证措施、安全保证措施、文明施工措施，并监督实施；审查批准施工组织设计和技术方案，按照保质、保工期和降低成本的原则，自主向承包人提出建议，并向发包人提出书面报告。如果审批意见或拟提出的建议会降低质量标准、提高工程造价或延长工期，应事先取得发包人的同意；</w:t>
      </w:r>
    </w:p>
    <w:p>
      <w:pPr>
        <w:adjustRightInd w:val="0"/>
        <w:snapToGrid w:val="0"/>
        <w:spacing w:line="360" w:lineRule="auto"/>
        <w:ind w:firstLine="210" w:firstLineChars="100"/>
        <w:rPr>
          <w:rFonts w:ascii="宋体"/>
          <w:u w:val="single"/>
        </w:rPr>
      </w:pPr>
      <w:r>
        <w:rPr>
          <w:rFonts w:hint="eastAsia" w:ascii="宋体" w:hAnsi="宋体" w:cs="宋体"/>
          <w:u w:val="single"/>
        </w:rPr>
        <w:t>（</w:t>
      </w:r>
      <w:r>
        <w:rPr>
          <w:rFonts w:ascii="宋体" w:hAnsi="宋体" w:cs="宋体"/>
          <w:u w:val="single"/>
        </w:rPr>
        <w:t>3</w:t>
      </w:r>
      <w:r>
        <w:rPr>
          <w:rFonts w:hint="eastAsia" w:ascii="宋体" w:hAnsi="宋体" w:cs="宋体"/>
          <w:u w:val="single"/>
        </w:rPr>
        <w:t>）督促、检查施工承包人严格执行工程承包合同、国家工程技术标准、施工规范、安全防护，协调委托人和施工承包人之间的关系；</w:t>
      </w:r>
    </w:p>
    <w:p>
      <w:pPr>
        <w:adjustRightInd w:val="0"/>
        <w:snapToGrid w:val="0"/>
        <w:spacing w:line="360" w:lineRule="auto"/>
        <w:ind w:firstLine="210" w:firstLineChars="100"/>
        <w:rPr>
          <w:rFonts w:ascii="宋体"/>
          <w:u w:val="single"/>
        </w:rPr>
      </w:pPr>
      <w:r>
        <w:rPr>
          <w:rFonts w:hint="eastAsia" w:ascii="宋体" w:hAnsi="宋体" w:cs="宋体"/>
          <w:u w:val="single"/>
        </w:rPr>
        <w:t>（</w:t>
      </w:r>
      <w:r>
        <w:rPr>
          <w:rFonts w:ascii="宋体" w:hAnsi="宋体" w:cs="宋体"/>
          <w:u w:val="single"/>
        </w:rPr>
        <w:t>4</w:t>
      </w:r>
      <w:r>
        <w:rPr>
          <w:rFonts w:hint="eastAsia" w:ascii="宋体" w:hAnsi="宋体" w:cs="宋体"/>
          <w:u w:val="single"/>
        </w:rPr>
        <w:t>）按照总体、年、月、周、日和关键部位、关键工序、关键项目审查进度计划内容，审批进度计划方案，检查进度计划实施情况并督促承包人调整进度计划，审核承包人的当月进度报表、支付申请和签发工程支付凭证，审批承包人下月进度计划、用款计划，并在约定的时间将上述报表、计划报委托人；</w:t>
      </w:r>
    </w:p>
    <w:p>
      <w:pPr>
        <w:adjustRightInd w:val="0"/>
        <w:snapToGrid w:val="0"/>
        <w:spacing w:line="360" w:lineRule="auto"/>
        <w:ind w:firstLine="210" w:firstLineChars="100"/>
        <w:rPr>
          <w:rFonts w:ascii="宋体"/>
          <w:u w:val="single"/>
        </w:rPr>
      </w:pPr>
      <w:r>
        <w:rPr>
          <w:rFonts w:hint="eastAsia" w:ascii="宋体" w:hAnsi="宋体" w:cs="宋体"/>
          <w:u w:val="single"/>
        </w:rPr>
        <w:t>（</w:t>
      </w:r>
      <w:r>
        <w:rPr>
          <w:rFonts w:ascii="宋体" w:hAnsi="宋体" w:cs="宋体"/>
          <w:u w:val="single"/>
        </w:rPr>
        <w:t>5</w:t>
      </w:r>
      <w:r>
        <w:rPr>
          <w:rFonts w:hint="eastAsia" w:ascii="宋体" w:hAnsi="宋体" w:cs="宋体"/>
          <w:u w:val="single"/>
        </w:rPr>
        <w:t>）主持处理工程质量问题以及质量事故，审批处理方案，监督处理方案的实施；</w:t>
      </w:r>
    </w:p>
    <w:p>
      <w:pPr>
        <w:adjustRightInd w:val="0"/>
        <w:snapToGrid w:val="0"/>
        <w:spacing w:line="360" w:lineRule="auto"/>
        <w:ind w:firstLine="210" w:firstLineChars="100"/>
        <w:rPr>
          <w:rFonts w:ascii="宋体"/>
          <w:u w:val="single"/>
        </w:rPr>
      </w:pPr>
      <w:r>
        <w:rPr>
          <w:rFonts w:hint="eastAsia" w:ascii="宋体" w:hAnsi="宋体" w:cs="宋体"/>
          <w:u w:val="single"/>
        </w:rPr>
        <w:t>（</w:t>
      </w:r>
      <w:r>
        <w:rPr>
          <w:rFonts w:ascii="宋体" w:hAnsi="宋体" w:cs="宋体"/>
          <w:u w:val="single"/>
        </w:rPr>
        <w:t>6</w:t>
      </w:r>
      <w:r>
        <w:rPr>
          <w:rFonts w:hint="eastAsia" w:ascii="宋体" w:hAnsi="宋体" w:cs="宋体"/>
          <w:u w:val="single"/>
        </w:rPr>
        <w:t>）督促审查施工承包人归档技术业务资料；建立技术经济档案，并将完整的监理资料移交委托人；</w:t>
      </w:r>
    </w:p>
    <w:p>
      <w:pPr>
        <w:adjustRightInd w:val="0"/>
        <w:snapToGrid w:val="0"/>
        <w:spacing w:line="360" w:lineRule="auto"/>
        <w:ind w:firstLine="210" w:firstLineChars="100"/>
        <w:rPr>
          <w:rFonts w:ascii="宋体"/>
          <w:u w:val="single"/>
        </w:rPr>
      </w:pPr>
      <w:r>
        <w:rPr>
          <w:rFonts w:hint="eastAsia" w:ascii="宋体" w:hAnsi="宋体" w:cs="宋体"/>
          <w:u w:val="single"/>
        </w:rPr>
        <w:t>（</w:t>
      </w:r>
      <w:r>
        <w:rPr>
          <w:rFonts w:ascii="宋体" w:hAnsi="宋体" w:cs="宋体"/>
          <w:u w:val="single"/>
        </w:rPr>
        <w:t>7</w:t>
      </w:r>
      <w:r>
        <w:rPr>
          <w:rFonts w:hint="eastAsia" w:ascii="宋体" w:hAnsi="宋体" w:cs="宋体"/>
          <w:u w:val="single"/>
        </w:rPr>
        <w:t>）按监理规范和委托投资控制要求进行每月进度支付计量，变更工程单价和结算审核；监理人应对审核签发的支付金额的准确性负责。</w:t>
      </w:r>
    </w:p>
    <w:p>
      <w:pPr>
        <w:pStyle w:val="94"/>
        <w:spacing w:line="360" w:lineRule="auto"/>
        <w:rPr>
          <w:szCs w:val="21"/>
        </w:rPr>
      </w:pPr>
      <w:r>
        <w:rPr>
          <w:szCs w:val="21"/>
        </w:rPr>
        <w:t xml:space="preserve">2.2 </w:t>
      </w:r>
      <w:r>
        <w:rPr>
          <w:rFonts w:hAnsi="宋体"/>
          <w:szCs w:val="21"/>
        </w:rPr>
        <w:t>监理与相关服务依据</w:t>
      </w:r>
    </w:p>
    <w:p>
      <w:pPr>
        <w:pStyle w:val="94"/>
        <w:spacing w:line="360" w:lineRule="auto"/>
        <w:ind w:firstLine="420" w:firstLineChars="200"/>
        <w:rPr>
          <w:szCs w:val="21"/>
        </w:rPr>
      </w:pPr>
      <w:r>
        <w:rPr>
          <w:szCs w:val="21"/>
        </w:rPr>
        <w:t xml:space="preserve">2.2.1 </w:t>
      </w:r>
      <w:r>
        <w:rPr>
          <w:rFonts w:hAnsi="宋体"/>
          <w:szCs w:val="21"/>
        </w:rPr>
        <w:t>监理依据包括：</w:t>
      </w:r>
      <w:r>
        <w:rPr>
          <w:rFonts w:hint="eastAsia" w:ascii="宋体" w:hAnsi="宋体" w:cs="宋体"/>
          <w:u w:val="single"/>
        </w:rPr>
        <w:t>按通用条件。</w:t>
      </w:r>
      <w:r>
        <w:rPr>
          <w:rFonts w:hAnsi="宋体"/>
          <w:szCs w:val="21"/>
        </w:rPr>
        <w:t>。</w:t>
      </w:r>
    </w:p>
    <w:p>
      <w:pPr>
        <w:pStyle w:val="94"/>
        <w:adjustRightInd w:val="0"/>
        <w:snapToGrid w:val="0"/>
        <w:spacing w:line="360" w:lineRule="auto"/>
        <w:ind w:firstLine="420" w:firstLineChars="200"/>
        <w:rPr>
          <w:rFonts w:hAnsi="宋体"/>
          <w:szCs w:val="21"/>
        </w:rPr>
      </w:pPr>
      <w:r>
        <w:rPr>
          <w:szCs w:val="21"/>
        </w:rPr>
        <w:t xml:space="preserve">2.2.2 </w:t>
      </w:r>
      <w:r>
        <w:rPr>
          <w:rFonts w:hAnsi="宋体"/>
          <w:szCs w:val="21"/>
        </w:rPr>
        <w:t>相关服务依据包括：</w:t>
      </w:r>
    </w:p>
    <w:p>
      <w:pPr>
        <w:spacing w:line="360" w:lineRule="auto"/>
        <w:ind w:firstLine="205" w:firstLineChars="98"/>
        <w:rPr>
          <w:rFonts w:ascii="宋体"/>
          <w:u w:val="single"/>
        </w:rPr>
      </w:pPr>
      <w:r>
        <w:rPr>
          <w:rFonts w:hint="eastAsia" w:ascii="宋体" w:hAnsi="宋体" w:cs="宋体"/>
          <w:u w:val="single"/>
        </w:rPr>
        <w:t>（</w:t>
      </w:r>
      <w:r>
        <w:rPr>
          <w:rFonts w:ascii="宋体" w:hAnsi="宋体" w:cs="宋体"/>
          <w:u w:val="single"/>
        </w:rPr>
        <w:t>1</w:t>
      </w:r>
      <w:r>
        <w:rPr>
          <w:rFonts w:hint="eastAsia" w:ascii="宋体" w:hAnsi="宋体" w:cs="宋体"/>
          <w:u w:val="single"/>
        </w:rPr>
        <w:t>）适用的法律、行政法规及部门规章；</w:t>
      </w:r>
    </w:p>
    <w:p>
      <w:pPr>
        <w:spacing w:line="360" w:lineRule="auto"/>
        <w:ind w:firstLine="205" w:firstLineChars="98"/>
        <w:rPr>
          <w:rFonts w:ascii="宋体"/>
          <w:u w:val="single"/>
        </w:rPr>
      </w:pPr>
      <w:r>
        <w:rPr>
          <w:rFonts w:hint="eastAsia" w:ascii="宋体" w:hAnsi="宋体" w:cs="宋体"/>
          <w:u w:val="single"/>
        </w:rPr>
        <w:t>（</w:t>
      </w:r>
      <w:r>
        <w:rPr>
          <w:rFonts w:ascii="宋体" w:hAnsi="宋体" w:cs="宋体"/>
          <w:u w:val="single"/>
        </w:rPr>
        <w:t>2</w:t>
      </w:r>
      <w:r>
        <w:rPr>
          <w:rFonts w:hint="eastAsia" w:ascii="宋体" w:hAnsi="宋体" w:cs="宋体"/>
          <w:u w:val="single"/>
        </w:rPr>
        <w:t>）与工程有关的标准；</w:t>
      </w:r>
    </w:p>
    <w:p>
      <w:pPr>
        <w:spacing w:line="360" w:lineRule="auto"/>
        <w:ind w:firstLine="205" w:firstLineChars="98"/>
        <w:rPr>
          <w:rFonts w:ascii="宋体"/>
          <w:u w:val="single"/>
        </w:rPr>
      </w:pPr>
      <w:r>
        <w:rPr>
          <w:rFonts w:hint="eastAsia" w:ascii="宋体" w:hAnsi="宋体" w:cs="宋体"/>
          <w:u w:val="single"/>
        </w:rPr>
        <w:t>（</w:t>
      </w:r>
      <w:r>
        <w:rPr>
          <w:rFonts w:ascii="宋体" w:hAnsi="宋体" w:cs="宋体"/>
          <w:u w:val="single"/>
        </w:rPr>
        <w:t>3</w:t>
      </w:r>
      <w:r>
        <w:rPr>
          <w:rFonts w:hint="eastAsia" w:ascii="宋体" w:hAnsi="宋体" w:cs="宋体"/>
          <w:u w:val="single"/>
        </w:rPr>
        <w:t>）工程设计及有关文件；</w:t>
      </w:r>
    </w:p>
    <w:p>
      <w:pPr>
        <w:spacing w:line="360" w:lineRule="auto"/>
        <w:ind w:firstLine="205" w:firstLineChars="98"/>
        <w:rPr>
          <w:rFonts w:hAnsi="宋体"/>
          <w:szCs w:val="21"/>
        </w:rPr>
      </w:pPr>
      <w:r>
        <w:rPr>
          <w:rFonts w:hint="eastAsia" w:ascii="宋体" w:hAnsi="宋体" w:cs="宋体"/>
          <w:u w:val="single"/>
        </w:rPr>
        <w:t>（</w:t>
      </w:r>
      <w:r>
        <w:rPr>
          <w:rFonts w:ascii="宋体" w:hAnsi="宋体" w:cs="宋体"/>
          <w:u w:val="single"/>
        </w:rPr>
        <w:t>4</w:t>
      </w:r>
      <w:r>
        <w:rPr>
          <w:rFonts w:hint="eastAsia" w:ascii="宋体" w:hAnsi="宋体" w:cs="宋体"/>
          <w:u w:val="single"/>
        </w:rPr>
        <w:t>）本合同及委托人与第三方签订的与实施工程有关的其他合同。</w:t>
      </w:r>
    </w:p>
    <w:p>
      <w:pPr>
        <w:pStyle w:val="94"/>
        <w:spacing w:line="360" w:lineRule="auto"/>
        <w:rPr>
          <w:szCs w:val="21"/>
        </w:rPr>
      </w:pPr>
      <w:r>
        <w:rPr>
          <w:szCs w:val="21"/>
        </w:rPr>
        <w:t>2.3</w:t>
      </w:r>
      <w:r>
        <w:rPr>
          <w:rFonts w:hAnsi="宋体"/>
          <w:kern w:val="0"/>
          <w:szCs w:val="21"/>
        </w:rPr>
        <w:t>项目监理机构和人员</w:t>
      </w:r>
    </w:p>
    <w:p>
      <w:pPr>
        <w:pStyle w:val="94"/>
        <w:adjustRightInd w:val="0"/>
        <w:snapToGrid w:val="0"/>
        <w:spacing w:line="360" w:lineRule="auto"/>
        <w:ind w:firstLine="420" w:firstLineChars="200"/>
        <w:rPr>
          <w:kern w:val="0"/>
          <w:szCs w:val="21"/>
        </w:rPr>
      </w:pPr>
      <w:r>
        <w:rPr>
          <w:rFonts w:hAnsi="宋体"/>
          <w:kern w:val="0"/>
          <w:szCs w:val="21"/>
        </w:rPr>
        <w:t>更换监理人员的其他情形：</w:t>
      </w:r>
      <w:r>
        <w:rPr>
          <w:rFonts w:hAnsi="宋体"/>
          <w:kern w:val="0"/>
          <w:szCs w:val="21"/>
          <w:u w:val="single"/>
        </w:rPr>
        <w:t>如监理人需要调换施工现场监理人员时，须经委托人与监理人双方协商，报委托人同意后生效</w:t>
      </w:r>
      <w:r>
        <w:rPr>
          <w:rFonts w:hAnsi="宋体"/>
          <w:kern w:val="0"/>
          <w:szCs w:val="21"/>
        </w:rPr>
        <w:t>。</w:t>
      </w:r>
    </w:p>
    <w:p>
      <w:pPr>
        <w:pStyle w:val="94"/>
        <w:spacing w:line="360" w:lineRule="auto"/>
        <w:rPr>
          <w:szCs w:val="21"/>
        </w:rPr>
      </w:pPr>
      <w:r>
        <w:rPr>
          <w:szCs w:val="21"/>
        </w:rPr>
        <w:t xml:space="preserve">2.4 </w:t>
      </w:r>
      <w:r>
        <w:rPr>
          <w:rFonts w:hAnsi="宋体"/>
          <w:kern w:val="0"/>
          <w:szCs w:val="21"/>
        </w:rPr>
        <w:t>履行职责</w:t>
      </w:r>
    </w:p>
    <w:p>
      <w:pPr>
        <w:adjustRightInd w:val="0"/>
        <w:snapToGrid w:val="0"/>
        <w:spacing w:line="360" w:lineRule="auto"/>
        <w:ind w:firstLine="210" w:firstLineChars="100"/>
        <w:rPr>
          <w:szCs w:val="21"/>
          <w:u w:val="single"/>
        </w:rPr>
      </w:pPr>
      <w:r>
        <w:rPr>
          <w:szCs w:val="21"/>
        </w:rPr>
        <w:t>2.4.</w:t>
      </w:r>
      <w:r>
        <w:rPr>
          <w:rFonts w:hint="eastAsia"/>
          <w:szCs w:val="21"/>
        </w:rPr>
        <w:t>1</w:t>
      </w:r>
      <w:r>
        <w:rPr>
          <w:rFonts w:hAnsi="宋体"/>
          <w:szCs w:val="21"/>
        </w:rPr>
        <w:t>对监理人的授权范围：</w:t>
      </w:r>
      <w:r>
        <w:rPr>
          <w:rFonts w:hint="eastAsia" w:ascii="宋体" w:hAnsi="宋体" w:cs="宋体"/>
          <w:u w:val="single"/>
        </w:rPr>
        <w:t>除涉及引起工程造价、工期变化以及合同中约定的需经委托人批准的文件或指令外，监理人具有按照合同相关约定实施监理及相关工作的权力。</w:t>
      </w:r>
    </w:p>
    <w:p>
      <w:pPr>
        <w:pStyle w:val="94"/>
        <w:spacing w:line="360" w:lineRule="auto"/>
        <w:ind w:firstLine="413" w:firstLineChars="197"/>
        <w:rPr>
          <w:kern w:val="0"/>
          <w:szCs w:val="21"/>
        </w:rPr>
      </w:pPr>
      <w:bookmarkStart w:id="276" w:name="_Toc349554763"/>
      <w:r>
        <w:rPr>
          <w:rFonts w:hAnsi="宋体"/>
          <w:kern w:val="0"/>
          <w:szCs w:val="21"/>
        </w:rPr>
        <w:t>在涉及工程延期天内和（或）金额万元内的变更，监理人不需请示委托人即可向承包人发布变更通知。</w:t>
      </w:r>
      <w:bookmarkEnd w:id="276"/>
    </w:p>
    <w:p>
      <w:pPr>
        <w:pStyle w:val="94"/>
        <w:adjustRightInd w:val="0"/>
        <w:snapToGrid w:val="0"/>
        <w:spacing w:line="360" w:lineRule="auto"/>
        <w:ind w:firstLine="315" w:firstLineChars="150"/>
        <w:rPr>
          <w:szCs w:val="21"/>
        </w:rPr>
      </w:pPr>
      <w:r>
        <w:rPr>
          <w:kern w:val="0"/>
          <w:szCs w:val="21"/>
        </w:rPr>
        <w:t>2.4.</w:t>
      </w:r>
      <w:r>
        <w:rPr>
          <w:rFonts w:hint="eastAsia"/>
          <w:kern w:val="0"/>
          <w:szCs w:val="21"/>
        </w:rPr>
        <w:t>2</w:t>
      </w:r>
      <w:r>
        <w:rPr>
          <w:rFonts w:hAnsi="宋体"/>
          <w:kern w:val="0"/>
          <w:szCs w:val="21"/>
        </w:rPr>
        <w:t>监理人有权要求承包人调换其人员</w:t>
      </w:r>
      <w:r>
        <w:rPr>
          <w:rFonts w:hAnsi="宋体"/>
          <w:szCs w:val="21"/>
        </w:rPr>
        <w:t>的限制条件：</w:t>
      </w:r>
      <w:r>
        <w:rPr>
          <w:rFonts w:hint="eastAsia" w:ascii="宋体" w:hAnsi="宋体" w:cs="宋体"/>
          <w:kern w:val="0"/>
          <w:u w:val="single"/>
        </w:rPr>
        <w:t>监理人发现承包人的人员不能胜任本职工作的，有权要求承包人予以调换，并征得委托人同意</w:t>
      </w:r>
      <w:r>
        <w:rPr>
          <w:rFonts w:hAnsi="宋体"/>
          <w:szCs w:val="21"/>
        </w:rPr>
        <w:t>。</w:t>
      </w:r>
    </w:p>
    <w:p>
      <w:pPr>
        <w:pStyle w:val="94"/>
        <w:adjustRightInd w:val="0"/>
        <w:snapToGrid w:val="0"/>
        <w:spacing w:line="360" w:lineRule="auto"/>
        <w:rPr>
          <w:szCs w:val="21"/>
        </w:rPr>
      </w:pPr>
      <w:r>
        <w:rPr>
          <w:kern w:val="0"/>
          <w:szCs w:val="21"/>
        </w:rPr>
        <w:t xml:space="preserve">2.5 </w:t>
      </w:r>
      <w:r>
        <w:rPr>
          <w:rFonts w:hAnsi="宋体"/>
          <w:szCs w:val="21"/>
        </w:rPr>
        <w:t>提交</w:t>
      </w:r>
      <w:r>
        <w:rPr>
          <w:rFonts w:hAnsi="宋体"/>
          <w:kern w:val="0"/>
          <w:szCs w:val="21"/>
        </w:rPr>
        <w:t>报告</w:t>
      </w:r>
    </w:p>
    <w:p>
      <w:pPr>
        <w:pStyle w:val="94"/>
        <w:adjustRightInd w:val="0"/>
        <w:snapToGrid w:val="0"/>
        <w:spacing w:line="360" w:lineRule="auto"/>
        <w:ind w:firstLine="420" w:firstLineChars="200"/>
        <w:rPr>
          <w:szCs w:val="21"/>
          <w:u w:val="single"/>
        </w:rPr>
      </w:pPr>
      <w:r>
        <w:rPr>
          <w:rFonts w:hAnsi="宋体"/>
          <w:szCs w:val="21"/>
        </w:rPr>
        <w:t>监理人应提交报告的种类</w:t>
      </w:r>
      <w:r>
        <w:rPr>
          <w:szCs w:val="21"/>
        </w:rPr>
        <w:t>（</w:t>
      </w:r>
      <w:r>
        <w:rPr>
          <w:rFonts w:hAnsi="宋体"/>
          <w:kern w:val="0"/>
          <w:szCs w:val="21"/>
        </w:rPr>
        <w:t>包括监理规划、监理月报及约定的专项报告</w:t>
      </w:r>
      <w:r>
        <w:rPr>
          <w:kern w:val="0"/>
          <w:szCs w:val="21"/>
        </w:rPr>
        <w:t>）</w:t>
      </w:r>
      <w:r>
        <w:rPr>
          <w:rFonts w:hAnsi="宋体"/>
          <w:szCs w:val="21"/>
        </w:rPr>
        <w:t>、时间和份数</w:t>
      </w:r>
      <w:r>
        <w:rPr>
          <w:rFonts w:hAnsi="宋体"/>
          <w:kern w:val="0"/>
          <w:szCs w:val="21"/>
        </w:rPr>
        <w:t>：</w:t>
      </w:r>
    </w:p>
    <w:p>
      <w:pPr>
        <w:pStyle w:val="94"/>
        <w:adjustRightInd w:val="0"/>
        <w:snapToGrid w:val="0"/>
        <w:spacing w:line="360" w:lineRule="auto"/>
        <w:rPr>
          <w:szCs w:val="21"/>
          <w:u w:val="single"/>
        </w:rPr>
      </w:pPr>
      <w:r>
        <w:rPr>
          <w:rFonts w:hint="eastAsia"/>
          <w:szCs w:val="21"/>
          <w:u w:val="single"/>
        </w:rPr>
        <w:t>三份</w:t>
      </w:r>
      <w:r>
        <w:rPr>
          <w:rFonts w:hAnsi="宋体"/>
          <w:szCs w:val="21"/>
        </w:rPr>
        <w:t>。</w:t>
      </w:r>
    </w:p>
    <w:p>
      <w:pPr>
        <w:pStyle w:val="94"/>
        <w:spacing w:line="360" w:lineRule="auto"/>
        <w:rPr>
          <w:kern w:val="0"/>
          <w:szCs w:val="21"/>
        </w:rPr>
      </w:pPr>
      <w:r>
        <w:rPr>
          <w:kern w:val="0"/>
          <w:szCs w:val="21"/>
        </w:rPr>
        <w:t>2.</w:t>
      </w:r>
      <w:r>
        <w:rPr>
          <w:rFonts w:hint="eastAsia"/>
          <w:kern w:val="0"/>
          <w:szCs w:val="21"/>
        </w:rPr>
        <w:t>6</w:t>
      </w:r>
      <w:r>
        <w:rPr>
          <w:rFonts w:hAnsi="宋体"/>
          <w:kern w:val="0"/>
          <w:szCs w:val="21"/>
        </w:rPr>
        <w:t>使用委托人的财产</w:t>
      </w:r>
    </w:p>
    <w:p>
      <w:pPr>
        <w:pStyle w:val="94"/>
        <w:spacing w:line="360" w:lineRule="auto"/>
        <w:rPr>
          <w:kern w:val="0"/>
          <w:szCs w:val="21"/>
        </w:rPr>
      </w:pPr>
      <w:r>
        <w:rPr>
          <w:rFonts w:hAnsi="宋体"/>
          <w:szCs w:val="21"/>
        </w:rPr>
        <w:t>附录</w:t>
      </w:r>
      <w:r>
        <w:rPr>
          <w:szCs w:val="21"/>
        </w:rPr>
        <w:t>B</w:t>
      </w:r>
      <w:r>
        <w:rPr>
          <w:rFonts w:hAnsi="宋体"/>
          <w:szCs w:val="21"/>
        </w:rPr>
        <w:t>中由委托人无偿提供的房屋、设备的所有权属于：。</w:t>
      </w:r>
    </w:p>
    <w:p>
      <w:pPr>
        <w:pStyle w:val="94"/>
        <w:spacing w:line="360" w:lineRule="auto"/>
        <w:ind w:firstLine="420" w:firstLineChars="200"/>
        <w:rPr>
          <w:rFonts w:hAnsi="宋体"/>
          <w:szCs w:val="21"/>
        </w:rPr>
      </w:pPr>
      <w:r>
        <w:rPr>
          <w:rFonts w:hAnsi="宋体"/>
          <w:szCs w:val="21"/>
        </w:rPr>
        <w:t>监理人应在本合同终止后</w:t>
      </w:r>
      <w:r>
        <w:rPr>
          <w:rFonts w:hint="eastAsia"/>
          <w:b/>
          <w:bCs/>
          <w:szCs w:val="21"/>
          <w:u w:val="single"/>
        </w:rPr>
        <w:t>30</w:t>
      </w:r>
      <w:r>
        <w:rPr>
          <w:rFonts w:hAnsi="宋体"/>
          <w:szCs w:val="21"/>
        </w:rPr>
        <w:t>天内移交委托人无偿提供的房屋、设备，移交的时间和方式为：</w:t>
      </w:r>
      <w:r>
        <w:rPr>
          <w:rFonts w:hint="eastAsia"/>
          <w:szCs w:val="21"/>
          <w:u w:val="single"/>
        </w:rPr>
        <w:t>现场移交</w:t>
      </w:r>
      <w:r>
        <w:rPr>
          <w:rFonts w:hAnsi="宋体"/>
          <w:szCs w:val="21"/>
        </w:rPr>
        <w:t>。</w:t>
      </w:r>
    </w:p>
    <w:p>
      <w:pPr>
        <w:pStyle w:val="2"/>
        <w:rPr>
          <w:rFonts w:hAnsi="宋体"/>
          <w:sz w:val="21"/>
          <w:szCs w:val="21"/>
        </w:rPr>
      </w:pPr>
      <w:r>
        <w:rPr>
          <w:rFonts w:hint="eastAsia" w:ascii="宋体" w:hAnsi="宋体" w:cs="宋体"/>
          <w:sz w:val="21"/>
          <w:szCs w:val="21"/>
        </w:rPr>
        <w:t>2.7、监理人必须接受委托人委派</w:t>
      </w:r>
      <w:r>
        <w:rPr>
          <w:rFonts w:hint="eastAsia" w:ascii="宋体" w:hAnsi="宋体" w:cs="宋体"/>
          <w:sz w:val="21"/>
          <w:szCs w:val="21"/>
          <w:lang w:eastAsia="zh-CN"/>
        </w:rPr>
        <w:t>横县水利工程规划建设站</w:t>
      </w:r>
      <w:r>
        <w:rPr>
          <w:rFonts w:hint="eastAsia" w:ascii="宋体" w:hAnsi="宋体" w:cs="宋体"/>
          <w:sz w:val="21"/>
          <w:szCs w:val="21"/>
        </w:rPr>
        <w:t>人员到项目开展监督工作。</w:t>
      </w:r>
    </w:p>
    <w:p>
      <w:pPr>
        <w:pStyle w:val="146"/>
      </w:pPr>
      <w:bookmarkStart w:id="277" w:name="_Toc411526686"/>
      <w:bookmarkStart w:id="278" w:name="_Toc30364"/>
      <w:r>
        <w:t>3. 委托人义务</w:t>
      </w:r>
      <w:bookmarkEnd w:id="277"/>
      <w:bookmarkEnd w:id="278"/>
    </w:p>
    <w:p>
      <w:pPr>
        <w:pStyle w:val="94"/>
        <w:snapToGrid w:val="0"/>
        <w:spacing w:line="360" w:lineRule="auto"/>
        <w:rPr>
          <w:szCs w:val="21"/>
        </w:rPr>
      </w:pPr>
      <w:r>
        <w:rPr>
          <w:kern w:val="0"/>
          <w:szCs w:val="21"/>
        </w:rPr>
        <w:t>3.</w:t>
      </w:r>
      <w:r>
        <w:rPr>
          <w:rFonts w:hint="eastAsia"/>
          <w:kern w:val="0"/>
          <w:szCs w:val="21"/>
        </w:rPr>
        <w:t>1</w:t>
      </w:r>
      <w:r>
        <w:rPr>
          <w:rFonts w:hAnsi="宋体"/>
          <w:kern w:val="0"/>
          <w:szCs w:val="21"/>
        </w:rPr>
        <w:t>委托人代表</w:t>
      </w:r>
    </w:p>
    <w:p>
      <w:pPr>
        <w:pStyle w:val="94"/>
        <w:adjustRightInd w:val="0"/>
        <w:snapToGrid w:val="0"/>
        <w:spacing w:line="360" w:lineRule="auto"/>
        <w:ind w:firstLine="420" w:firstLineChars="200"/>
        <w:rPr>
          <w:szCs w:val="21"/>
          <w:u w:val="single"/>
        </w:rPr>
      </w:pPr>
      <w:r>
        <w:rPr>
          <w:rFonts w:hAnsi="宋体"/>
          <w:szCs w:val="21"/>
        </w:rPr>
        <w:t>委托人代表为：。</w:t>
      </w:r>
    </w:p>
    <w:p>
      <w:pPr>
        <w:pStyle w:val="94"/>
        <w:adjustRightInd w:val="0"/>
        <w:snapToGrid w:val="0"/>
        <w:spacing w:line="360" w:lineRule="auto"/>
        <w:rPr>
          <w:kern w:val="0"/>
          <w:szCs w:val="21"/>
        </w:rPr>
      </w:pPr>
      <w:r>
        <w:rPr>
          <w:kern w:val="0"/>
          <w:szCs w:val="21"/>
        </w:rPr>
        <w:t>3.</w:t>
      </w:r>
      <w:r>
        <w:rPr>
          <w:rFonts w:hint="eastAsia"/>
          <w:kern w:val="0"/>
          <w:szCs w:val="21"/>
        </w:rPr>
        <w:t>2</w:t>
      </w:r>
      <w:r>
        <w:rPr>
          <w:rFonts w:hAnsi="宋体"/>
          <w:kern w:val="0"/>
          <w:szCs w:val="21"/>
        </w:rPr>
        <w:t>答复</w:t>
      </w:r>
    </w:p>
    <w:p>
      <w:pPr>
        <w:pStyle w:val="94"/>
        <w:adjustRightInd w:val="0"/>
        <w:snapToGrid w:val="0"/>
        <w:spacing w:line="360" w:lineRule="auto"/>
        <w:ind w:firstLine="420" w:firstLineChars="200"/>
        <w:rPr>
          <w:rFonts w:hAnsi="宋体"/>
          <w:szCs w:val="21"/>
        </w:rPr>
      </w:pPr>
      <w:r>
        <w:rPr>
          <w:rFonts w:hAnsi="宋体"/>
          <w:szCs w:val="21"/>
        </w:rPr>
        <w:t>委托人同意在</w:t>
      </w:r>
      <w:r>
        <w:rPr>
          <w:rFonts w:hint="eastAsia"/>
          <w:b/>
          <w:bCs/>
          <w:szCs w:val="21"/>
          <w:u w:val="single"/>
        </w:rPr>
        <w:t>7</w:t>
      </w:r>
      <w:r>
        <w:rPr>
          <w:rFonts w:hAnsi="宋体"/>
          <w:szCs w:val="21"/>
        </w:rPr>
        <w:t>天内，对监理人书面提交并要求做出决定的事宜给予书面答复。</w:t>
      </w:r>
    </w:p>
    <w:p>
      <w:pPr>
        <w:pStyle w:val="2"/>
        <w:rPr>
          <w:rFonts w:hAnsi="宋体"/>
          <w:sz w:val="21"/>
          <w:szCs w:val="21"/>
        </w:rPr>
      </w:pPr>
      <w:r>
        <w:rPr>
          <w:rFonts w:hint="eastAsia" w:ascii="宋体" w:hAnsi="宋体" w:cs="宋体"/>
          <w:sz w:val="21"/>
          <w:szCs w:val="21"/>
        </w:rPr>
        <w:t>3.3委托人须委托</w:t>
      </w:r>
      <w:r>
        <w:rPr>
          <w:rFonts w:hint="eastAsia" w:ascii="宋体" w:hAnsi="宋体" w:cs="宋体"/>
          <w:sz w:val="21"/>
          <w:szCs w:val="21"/>
          <w:lang w:eastAsia="zh-CN"/>
        </w:rPr>
        <w:t>横县水利工程规划建设站</w:t>
      </w:r>
      <w:r>
        <w:rPr>
          <w:rFonts w:hint="eastAsia" w:ascii="宋体" w:hAnsi="宋体" w:cs="宋体"/>
          <w:sz w:val="21"/>
          <w:szCs w:val="21"/>
        </w:rPr>
        <w:t>委派管理人员到项目开展监督工作。</w:t>
      </w:r>
    </w:p>
    <w:p>
      <w:pPr>
        <w:pStyle w:val="146"/>
      </w:pPr>
      <w:bookmarkStart w:id="279" w:name="_Toc21650"/>
      <w:bookmarkStart w:id="280" w:name="_Toc411526687"/>
      <w:r>
        <w:t xml:space="preserve">4. </w:t>
      </w:r>
      <w:r>
        <w:rPr>
          <w:rFonts w:hAnsi="宋体"/>
        </w:rPr>
        <w:t>违约责任</w:t>
      </w:r>
      <w:bookmarkEnd w:id="279"/>
      <w:bookmarkEnd w:id="280"/>
    </w:p>
    <w:p>
      <w:pPr>
        <w:pStyle w:val="160"/>
        <w:adjustRightInd w:val="0"/>
        <w:snapToGrid w:val="0"/>
        <w:spacing w:line="360" w:lineRule="auto"/>
        <w:ind w:firstLine="420" w:firstLineChars="200"/>
        <w:rPr>
          <w:kern w:val="0"/>
          <w:szCs w:val="21"/>
        </w:rPr>
      </w:pPr>
      <w:bookmarkStart w:id="281" w:name="_Toc411526688"/>
      <w:r>
        <w:rPr>
          <w:rFonts w:hint="eastAsia"/>
          <w:kern w:val="0"/>
          <w:szCs w:val="21"/>
        </w:rPr>
        <w:t>4.1 监理人的违约责任</w:t>
      </w:r>
    </w:p>
    <w:p>
      <w:pPr>
        <w:pStyle w:val="160"/>
        <w:adjustRightInd w:val="0"/>
        <w:snapToGrid w:val="0"/>
        <w:spacing w:line="360" w:lineRule="auto"/>
        <w:ind w:firstLine="420" w:firstLineChars="200"/>
        <w:rPr>
          <w:kern w:val="0"/>
          <w:szCs w:val="21"/>
        </w:rPr>
      </w:pPr>
      <w:r>
        <w:rPr>
          <w:rFonts w:hint="eastAsia"/>
          <w:kern w:val="0"/>
          <w:szCs w:val="21"/>
        </w:rPr>
        <w:t>监理人有下列情形之一者，将视为违约，发包人有权采取以下措施处理。</w:t>
      </w:r>
    </w:p>
    <w:p>
      <w:pPr>
        <w:pStyle w:val="160"/>
        <w:adjustRightInd w:val="0"/>
        <w:snapToGrid w:val="0"/>
        <w:spacing w:line="360" w:lineRule="auto"/>
        <w:ind w:firstLine="420" w:firstLineChars="200"/>
        <w:rPr>
          <w:kern w:val="0"/>
          <w:szCs w:val="21"/>
        </w:rPr>
      </w:pPr>
      <w:r>
        <w:rPr>
          <w:rFonts w:hint="eastAsia"/>
          <w:kern w:val="0"/>
          <w:szCs w:val="21"/>
        </w:rPr>
        <w:t>4.1.1委托人在项目实施过程中，不定期对监理人员（包括总监理工程师）的工作表现、监理效果和服务质量进行评估、考核及评价，对违反监理规范，失职、渎职人员或委托人认为不称职、不合格的监理人员，发包人有权撤换，监理人接到撤换通知后，7日内要完成人员调整，撤换视为监理人员变更。</w:t>
      </w:r>
    </w:p>
    <w:p>
      <w:pPr>
        <w:pStyle w:val="160"/>
        <w:adjustRightInd w:val="0"/>
        <w:snapToGrid w:val="0"/>
        <w:spacing w:line="360" w:lineRule="auto"/>
        <w:ind w:firstLine="420" w:firstLineChars="200"/>
        <w:rPr>
          <w:kern w:val="0"/>
          <w:szCs w:val="21"/>
        </w:rPr>
      </w:pPr>
      <w:r>
        <w:rPr>
          <w:rFonts w:hint="eastAsia"/>
          <w:kern w:val="0"/>
          <w:szCs w:val="21"/>
        </w:rPr>
        <w:t>4.1.2当委托人发现监理人的通讯工具、交通工具、试验测试及其它仪器设备、办公设备未按合同文件约定进场，不能满足监理工作需要时，委托人有权拒付相应部分费用。</w:t>
      </w:r>
    </w:p>
    <w:p>
      <w:pPr>
        <w:pStyle w:val="160"/>
        <w:adjustRightInd w:val="0"/>
        <w:snapToGrid w:val="0"/>
        <w:spacing w:line="360" w:lineRule="auto"/>
        <w:ind w:firstLine="420" w:firstLineChars="200"/>
        <w:rPr>
          <w:kern w:val="0"/>
          <w:szCs w:val="21"/>
        </w:rPr>
      </w:pPr>
      <w:r>
        <w:rPr>
          <w:rFonts w:hint="eastAsia"/>
          <w:kern w:val="0"/>
          <w:szCs w:val="21"/>
        </w:rPr>
        <w:t>4.1.1监理人应做好质量缺陷责任期内的监理服务工作。</w:t>
      </w:r>
    </w:p>
    <w:p>
      <w:pPr>
        <w:pStyle w:val="160"/>
        <w:snapToGrid w:val="0"/>
        <w:spacing w:line="360" w:lineRule="auto"/>
        <w:rPr>
          <w:kern w:val="0"/>
          <w:szCs w:val="21"/>
        </w:rPr>
      </w:pPr>
      <w:r>
        <w:rPr>
          <w:kern w:val="0"/>
          <w:szCs w:val="21"/>
        </w:rPr>
        <w:t xml:space="preserve">4.2 </w:t>
      </w:r>
      <w:r>
        <w:rPr>
          <w:rFonts w:hAnsi="宋体"/>
          <w:kern w:val="0"/>
          <w:szCs w:val="21"/>
        </w:rPr>
        <w:t>委托人的违约责任</w:t>
      </w:r>
    </w:p>
    <w:p>
      <w:pPr>
        <w:pStyle w:val="160"/>
        <w:spacing w:line="360" w:lineRule="auto"/>
        <w:ind w:firstLine="420" w:firstLineChars="200"/>
        <w:rPr>
          <w:kern w:val="0"/>
          <w:szCs w:val="21"/>
        </w:rPr>
      </w:pPr>
      <w:r>
        <w:rPr>
          <w:rFonts w:hAnsi="宋体"/>
          <w:szCs w:val="21"/>
        </w:rPr>
        <w:t>委托人</w:t>
      </w:r>
      <w:r>
        <w:rPr>
          <w:rFonts w:hAnsi="宋体"/>
          <w:kern w:val="0"/>
          <w:szCs w:val="21"/>
        </w:rPr>
        <w:t>逾期付款利息按下列方法确定：</w:t>
      </w:r>
    </w:p>
    <w:p>
      <w:pPr>
        <w:pStyle w:val="160"/>
        <w:spacing w:line="360" w:lineRule="auto"/>
        <w:ind w:firstLine="420" w:firstLineChars="200"/>
        <w:rPr>
          <w:szCs w:val="21"/>
        </w:rPr>
      </w:pPr>
      <w:r>
        <w:rPr>
          <w:rFonts w:hAnsi="宋体"/>
          <w:szCs w:val="21"/>
        </w:rPr>
        <w:t>逾期付款利息＝当期应付款总额</w:t>
      </w:r>
      <w:r>
        <w:rPr>
          <w:szCs w:val="21"/>
        </w:rPr>
        <w:t>×</w:t>
      </w:r>
      <w:r>
        <w:rPr>
          <w:rFonts w:hAnsi="宋体"/>
          <w:szCs w:val="21"/>
        </w:rPr>
        <w:t>银行同期贷款</w:t>
      </w:r>
      <w:r>
        <w:rPr>
          <w:rFonts w:hint="eastAsia" w:hAnsi="宋体"/>
          <w:szCs w:val="21"/>
        </w:rPr>
        <w:t>日</w:t>
      </w:r>
      <w:r>
        <w:rPr>
          <w:rFonts w:hAnsi="宋体"/>
          <w:szCs w:val="21"/>
        </w:rPr>
        <w:t>利率</w:t>
      </w:r>
      <w:r>
        <w:rPr>
          <w:szCs w:val="21"/>
        </w:rPr>
        <w:t>×</w:t>
      </w:r>
      <w:r>
        <w:rPr>
          <w:rFonts w:hAnsi="宋体"/>
          <w:szCs w:val="21"/>
        </w:rPr>
        <w:t>拖延支付天数</w:t>
      </w:r>
    </w:p>
    <w:p>
      <w:pPr>
        <w:pStyle w:val="146"/>
      </w:pPr>
      <w:bookmarkStart w:id="282" w:name="_Toc14734"/>
      <w:r>
        <w:t xml:space="preserve">5. </w:t>
      </w:r>
      <w:r>
        <w:rPr>
          <w:rFonts w:hAnsi="宋体"/>
        </w:rPr>
        <w:t>支付</w:t>
      </w:r>
      <w:bookmarkEnd w:id="281"/>
      <w:bookmarkEnd w:id="282"/>
    </w:p>
    <w:p>
      <w:pPr>
        <w:pStyle w:val="94"/>
        <w:snapToGrid w:val="0"/>
        <w:spacing w:line="360" w:lineRule="auto"/>
        <w:rPr>
          <w:rFonts w:hAnsi="宋体"/>
          <w:bCs/>
          <w:szCs w:val="21"/>
        </w:rPr>
      </w:pPr>
      <w:r>
        <w:rPr>
          <w:szCs w:val="21"/>
        </w:rPr>
        <w:t xml:space="preserve">5.1 </w:t>
      </w:r>
      <w:r>
        <w:rPr>
          <w:rFonts w:hAnsi="宋体"/>
          <w:bCs/>
          <w:szCs w:val="21"/>
        </w:rPr>
        <w:t>支付货币</w:t>
      </w:r>
    </w:p>
    <w:p>
      <w:pPr>
        <w:spacing w:line="360" w:lineRule="auto"/>
        <w:ind w:firstLine="420" w:firstLineChars="200"/>
        <w:rPr>
          <w:szCs w:val="21"/>
          <w:u w:val="single"/>
        </w:rPr>
      </w:pPr>
      <w:r>
        <w:rPr>
          <w:rFonts w:hint="eastAsia" w:ascii="宋体" w:hAnsi="宋体" w:cs="宋体"/>
          <w:u w:val="single"/>
        </w:rPr>
        <w:t>本工程监理正常工作酬金按人民币计。</w:t>
      </w:r>
    </w:p>
    <w:p>
      <w:pPr>
        <w:pStyle w:val="94"/>
        <w:snapToGrid w:val="0"/>
        <w:spacing w:line="360" w:lineRule="auto"/>
        <w:rPr>
          <w:kern w:val="0"/>
          <w:szCs w:val="21"/>
        </w:rPr>
      </w:pPr>
      <w:r>
        <w:rPr>
          <w:kern w:val="0"/>
          <w:szCs w:val="21"/>
        </w:rPr>
        <w:t>5.</w:t>
      </w:r>
      <w:r>
        <w:rPr>
          <w:rFonts w:hint="eastAsia"/>
          <w:kern w:val="0"/>
          <w:szCs w:val="21"/>
        </w:rPr>
        <w:t>2</w:t>
      </w:r>
      <w:r>
        <w:rPr>
          <w:rFonts w:hAnsi="宋体"/>
          <w:kern w:val="0"/>
          <w:szCs w:val="21"/>
        </w:rPr>
        <w:t>支付酬金</w:t>
      </w:r>
    </w:p>
    <w:p>
      <w:pPr>
        <w:spacing w:line="360" w:lineRule="auto"/>
        <w:ind w:firstLine="420" w:firstLineChars="200"/>
        <w:rPr>
          <w:kern w:val="0"/>
          <w:szCs w:val="21"/>
        </w:rPr>
      </w:pPr>
      <w:r>
        <w:rPr>
          <w:rFonts w:hAnsi="宋体"/>
          <w:kern w:val="0"/>
          <w:szCs w:val="21"/>
        </w:rPr>
        <w:t>委托人同意按以下的计算方法、支付时间与金额，支付监理人的酬金：</w:t>
      </w:r>
      <w:r>
        <w:rPr>
          <w:rFonts w:hint="eastAsia" w:ascii="宋体" w:hAnsi="宋体" w:cs="宋体"/>
          <w:u w:val="single"/>
        </w:rPr>
        <w:t>监理正常工作酬金按工程施工进度支付，每次支付监理正常工作酬金时需向委托人提供经委托人确认的监理人员考勤表并开具前一次监理正常工作酬金的正式发票。工程竣工结算审定后，委托人和工程承包人签订工程保修责任书后十个工作日内，由委托人按程序向监理人支付至实际结算监理正常工作酬金总金额的</w:t>
      </w:r>
      <w:r>
        <w:rPr>
          <w:rFonts w:ascii="宋体" w:hAnsi="宋体" w:cs="宋体"/>
          <w:u w:val="single"/>
        </w:rPr>
        <w:t>95%</w:t>
      </w:r>
      <w:r>
        <w:rPr>
          <w:rFonts w:hint="eastAsia" w:ascii="宋体" w:hAnsi="宋体" w:cs="宋体"/>
          <w:u w:val="single"/>
        </w:rPr>
        <w:t>，工程质量保修期满后十个工作日内，由委托人按程序向监理人付清全部实际结算监理费。</w:t>
      </w:r>
    </w:p>
    <w:p>
      <w:pPr>
        <w:pStyle w:val="94"/>
        <w:snapToGrid w:val="0"/>
        <w:spacing w:line="360" w:lineRule="auto"/>
        <w:ind w:firstLine="420" w:firstLineChars="200"/>
        <w:rPr>
          <w:szCs w:val="21"/>
        </w:rPr>
      </w:pPr>
      <w:r>
        <w:rPr>
          <w:szCs w:val="21"/>
        </w:rPr>
        <w:t>5.</w:t>
      </w:r>
      <w:r>
        <w:rPr>
          <w:rFonts w:hint="eastAsia"/>
          <w:szCs w:val="21"/>
        </w:rPr>
        <w:t>2</w:t>
      </w:r>
      <w:r>
        <w:rPr>
          <w:szCs w:val="21"/>
        </w:rPr>
        <w:t>.1</w:t>
      </w:r>
      <w:r>
        <w:rPr>
          <w:rFonts w:hAnsi="宋体"/>
          <w:szCs w:val="21"/>
        </w:rPr>
        <w:t>监理酬金计算方法：</w:t>
      </w:r>
    </w:p>
    <w:p>
      <w:pPr>
        <w:pStyle w:val="126"/>
        <w:adjustRightInd w:val="0"/>
        <w:snapToGrid w:val="0"/>
        <w:spacing w:line="420" w:lineRule="exact"/>
        <w:ind w:firstLine="480" w:firstLineChars="200"/>
        <w:rPr>
          <w:rFonts w:ascii="宋体" w:hAnsi="宋体" w:cs="宋体"/>
          <w:sz w:val="24"/>
          <w:szCs w:val="24"/>
        </w:rPr>
      </w:pPr>
      <w:r>
        <w:rPr>
          <w:rFonts w:hint="eastAsia" w:ascii="宋体" w:hAnsi="宋体" w:cs="宋体"/>
          <w:kern w:val="0"/>
          <w:sz w:val="24"/>
          <w:szCs w:val="24"/>
        </w:rPr>
        <w:t>签约酬金暂定价为人民币（大写）：    /   （¥    /   元）。</w:t>
      </w:r>
    </w:p>
    <w:p>
      <w:pPr>
        <w:pStyle w:val="94"/>
        <w:snapToGrid w:val="0"/>
        <w:spacing w:line="360" w:lineRule="auto"/>
        <w:ind w:firstLine="420" w:firstLineChars="200"/>
        <w:rPr>
          <w:szCs w:val="21"/>
        </w:rPr>
      </w:pPr>
      <w:r>
        <w:rPr>
          <w:szCs w:val="21"/>
        </w:rPr>
        <w:t>5.</w:t>
      </w:r>
      <w:r>
        <w:rPr>
          <w:rFonts w:hint="eastAsia"/>
          <w:szCs w:val="21"/>
        </w:rPr>
        <w:t>2</w:t>
      </w:r>
      <w:r>
        <w:rPr>
          <w:szCs w:val="21"/>
        </w:rPr>
        <w:t>.2</w:t>
      </w:r>
      <w:r>
        <w:rPr>
          <w:rFonts w:hAnsi="宋体"/>
          <w:szCs w:val="21"/>
        </w:rPr>
        <w:t>监理酬金支付时间与金额：</w:t>
      </w:r>
    </w:p>
    <w:p>
      <w:pPr>
        <w:pStyle w:val="94"/>
        <w:snapToGrid w:val="0"/>
        <w:spacing w:line="360" w:lineRule="auto"/>
        <w:ind w:firstLine="420" w:firstLineChars="200"/>
        <w:rPr>
          <w:szCs w:val="21"/>
        </w:rPr>
      </w:pPr>
      <w:r>
        <w:rPr>
          <w:rFonts w:hAnsi="宋体"/>
          <w:szCs w:val="21"/>
        </w:rPr>
        <w:t>（</w:t>
      </w:r>
      <w:r>
        <w:rPr>
          <w:szCs w:val="21"/>
        </w:rPr>
        <w:t>1</w:t>
      </w:r>
      <w:r>
        <w:rPr>
          <w:rFonts w:hAnsi="宋体"/>
          <w:szCs w:val="21"/>
        </w:rPr>
        <w:t>）本工程监理费预付款为：</w:t>
      </w:r>
      <w:r>
        <w:rPr>
          <w:rFonts w:hint="eastAsia" w:hAnsi="宋体"/>
          <w:szCs w:val="21"/>
        </w:rPr>
        <w:t>无预付款。</w:t>
      </w:r>
    </w:p>
    <w:p>
      <w:pPr>
        <w:pStyle w:val="94"/>
        <w:snapToGrid w:val="0"/>
        <w:spacing w:line="360" w:lineRule="auto"/>
        <w:ind w:firstLine="420" w:firstLineChars="200"/>
        <w:rPr>
          <w:szCs w:val="21"/>
        </w:rPr>
      </w:pPr>
      <w:r>
        <w:rPr>
          <w:rFonts w:hAnsi="宋体"/>
          <w:szCs w:val="21"/>
        </w:rPr>
        <w:t>（</w:t>
      </w:r>
      <w:r>
        <w:rPr>
          <w:szCs w:val="21"/>
        </w:rPr>
        <w:t>2</w:t>
      </w:r>
      <w:r>
        <w:rPr>
          <w:rFonts w:hAnsi="宋体"/>
          <w:szCs w:val="21"/>
        </w:rPr>
        <w:t>）在监理合同已签订，监理人员进场并正常开展监理业务后，委托人在每月</w:t>
      </w:r>
      <w:r>
        <w:rPr>
          <w:szCs w:val="21"/>
        </w:rPr>
        <w:t>25</w:t>
      </w:r>
      <w:r>
        <w:rPr>
          <w:rFonts w:hAnsi="宋体"/>
          <w:szCs w:val="21"/>
        </w:rPr>
        <w:t>日前，向监理人按月支付监理服务酬金：</w:t>
      </w:r>
    </w:p>
    <w:p>
      <w:pPr>
        <w:pStyle w:val="94"/>
        <w:snapToGrid w:val="0"/>
        <w:spacing w:line="360" w:lineRule="auto"/>
        <w:ind w:firstLine="525" w:firstLineChars="250"/>
        <w:rPr>
          <w:szCs w:val="21"/>
        </w:rPr>
      </w:pPr>
      <w:r>
        <w:rPr>
          <w:rFonts w:hAnsi="宋体"/>
          <w:szCs w:val="21"/>
        </w:rPr>
        <w:t>月监理酬金</w:t>
      </w:r>
      <w:r>
        <w:rPr>
          <w:szCs w:val="21"/>
        </w:rPr>
        <w:t>=</w:t>
      </w:r>
      <w:r>
        <w:rPr>
          <w:rFonts w:hAnsi="宋体"/>
          <w:szCs w:val="21"/>
        </w:rPr>
        <w:t>暂定施工阶段监理酬金</w:t>
      </w:r>
      <w:r>
        <w:rPr>
          <w:szCs w:val="21"/>
        </w:rPr>
        <w:t>×</w:t>
      </w:r>
      <w:r>
        <w:rPr>
          <w:rFonts w:hAnsi="宋体"/>
          <w:szCs w:val="21"/>
        </w:rPr>
        <w:t>（</w:t>
      </w:r>
      <w:r>
        <w:rPr>
          <w:szCs w:val="21"/>
        </w:rPr>
        <w:t>1-</w:t>
      </w:r>
      <w:r>
        <w:rPr>
          <w:rFonts w:hint="eastAsia"/>
          <w:szCs w:val="21"/>
        </w:rPr>
        <w:t>1</w:t>
      </w:r>
      <w:r>
        <w:rPr>
          <w:szCs w:val="21"/>
        </w:rPr>
        <w:t>0%</w:t>
      </w:r>
      <w:r>
        <w:rPr>
          <w:rFonts w:hAnsi="宋体"/>
          <w:szCs w:val="21"/>
        </w:rPr>
        <w:t>）</w:t>
      </w:r>
      <w:r>
        <w:rPr>
          <w:szCs w:val="21"/>
        </w:rPr>
        <w:t>×</w:t>
      </w:r>
      <w:r>
        <w:rPr>
          <w:rFonts w:hAnsi="宋体"/>
          <w:szCs w:val="21"/>
        </w:rPr>
        <w:t>（</w:t>
      </w:r>
      <w:r>
        <w:rPr>
          <w:szCs w:val="21"/>
        </w:rPr>
        <w:t>30÷</w:t>
      </w:r>
      <w:r>
        <w:rPr>
          <w:rFonts w:hAnsi="宋体"/>
          <w:szCs w:val="21"/>
        </w:rPr>
        <w:t>本合同监理服务期（天））</w:t>
      </w:r>
    </w:p>
    <w:p>
      <w:pPr>
        <w:pStyle w:val="94"/>
        <w:snapToGrid w:val="0"/>
        <w:spacing w:line="360" w:lineRule="auto"/>
        <w:ind w:firstLine="420" w:firstLineChars="200"/>
        <w:rPr>
          <w:szCs w:val="21"/>
        </w:rPr>
      </w:pPr>
      <w:r>
        <w:rPr>
          <w:rFonts w:hAnsi="宋体"/>
          <w:szCs w:val="21"/>
        </w:rPr>
        <w:t>（</w:t>
      </w:r>
      <w:r>
        <w:rPr>
          <w:szCs w:val="21"/>
        </w:rPr>
        <w:t>3</w:t>
      </w:r>
      <w:r>
        <w:rPr>
          <w:rFonts w:hAnsi="宋体"/>
          <w:szCs w:val="21"/>
        </w:rPr>
        <w:t>）</w:t>
      </w:r>
      <w:r>
        <w:rPr>
          <w:rFonts w:hint="eastAsia" w:hAnsi="宋体"/>
          <w:szCs w:val="21"/>
        </w:rPr>
        <w:t>在工程通过竣工验收后</w:t>
      </w:r>
      <w:r>
        <w:rPr>
          <w:rFonts w:hAnsi="宋体"/>
          <w:szCs w:val="21"/>
        </w:rPr>
        <w:t>支付</w:t>
      </w:r>
      <w:r>
        <w:rPr>
          <w:rFonts w:hint="eastAsia" w:hAnsi="宋体"/>
          <w:szCs w:val="21"/>
        </w:rPr>
        <w:t>合同</w:t>
      </w:r>
      <w:r>
        <w:rPr>
          <w:rFonts w:hAnsi="宋体"/>
          <w:szCs w:val="21"/>
        </w:rPr>
        <w:t>监理服务酬金总额的</w:t>
      </w:r>
      <w:r>
        <w:rPr>
          <w:szCs w:val="21"/>
        </w:rPr>
        <w:t>95%</w:t>
      </w:r>
      <w:r>
        <w:rPr>
          <w:rFonts w:hint="eastAsia"/>
          <w:szCs w:val="21"/>
        </w:rPr>
        <w:t>，</w:t>
      </w:r>
      <w:r>
        <w:rPr>
          <w:rFonts w:hAnsi="宋体"/>
          <w:szCs w:val="21"/>
        </w:rPr>
        <w:t>工程结算审定完成之日起</w:t>
      </w:r>
      <w:r>
        <w:rPr>
          <w:szCs w:val="21"/>
        </w:rPr>
        <w:t>10</w:t>
      </w:r>
      <w:r>
        <w:rPr>
          <w:rFonts w:hAnsi="宋体"/>
          <w:szCs w:val="21"/>
        </w:rPr>
        <w:t>日内，监理人向委托人提交监理酬金结算清单，在监理服务期届满</w:t>
      </w:r>
      <w:r>
        <w:rPr>
          <w:szCs w:val="21"/>
        </w:rPr>
        <w:t>14</w:t>
      </w:r>
      <w:r>
        <w:rPr>
          <w:rFonts w:hAnsi="宋体"/>
          <w:szCs w:val="21"/>
        </w:rPr>
        <w:t>天内，委托人将监理服务酬金总额的余款全部付清，并向监理人退回履约保证金（无息）。</w:t>
      </w:r>
    </w:p>
    <w:p>
      <w:pPr>
        <w:pStyle w:val="94"/>
        <w:snapToGrid w:val="0"/>
        <w:spacing w:line="360" w:lineRule="auto"/>
        <w:ind w:firstLine="420" w:firstLineChars="200"/>
        <w:rPr>
          <w:rFonts w:hAnsi="宋体"/>
          <w:szCs w:val="21"/>
        </w:rPr>
      </w:pPr>
      <w:r>
        <w:rPr>
          <w:szCs w:val="21"/>
        </w:rPr>
        <w:t>5.</w:t>
      </w:r>
      <w:r>
        <w:rPr>
          <w:rFonts w:hint="eastAsia"/>
          <w:szCs w:val="21"/>
        </w:rPr>
        <w:t>2</w:t>
      </w:r>
      <w:r>
        <w:rPr>
          <w:szCs w:val="21"/>
        </w:rPr>
        <w:t>.3</w:t>
      </w:r>
      <w:r>
        <w:rPr>
          <w:rFonts w:hAnsi="宋体"/>
          <w:szCs w:val="21"/>
        </w:rPr>
        <w:t>延期费用的支付：</w:t>
      </w:r>
    </w:p>
    <w:p>
      <w:pPr>
        <w:pStyle w:val="94"/>
        <w:snapToGrid w:val="0"/>
        <w:spacing w:line="360" w:lineRule="auto"/>
        <w:ind w:firstLine="420" w:firstLineChars="200"/>
        <w:rPr>
          <w:szCs w:val="21"/>
          <w:u w:val="single"/>
        </w:rPr>
      </w:pPr>
      <w:r>
        <w:rPr>
          <w:rFonts w:hint="eastAsia"/>
          <w:szCs w:val="21"/>
        </w:rPr>
        <w:t>其他约定：</w:t>
      </w:r>
      <w:r>
        <w:rPr>
          <w:rFonts w:hint="eastAsia"/>
          <w:szCs w:val="21"/>
          <w:u w:val="single"/>
        </w:rPr>
        <w:t xml:space="preserve">        无        </w:t>
      </w:r>
    </w:p>
    <w:p>
      <w:pPr>
        <w:snapToGrid w:val="0"/>
        <w:spacing w:line="560" w:lineRule="exact"/>
        <w:ind w:firstLine="420" w:firstLineChars="200"/>
        <w:rPr>
          <w:rFonts w:hAnsi="宋体"/>
          <w:szCs w:val="21"/>
        </w:rPr>
      </w:pPr>
      <w:r>
        <w:rPr>
          <w:rFonts w:hint="eastAsia" w:ascii="宋体" w:hAnsi="宋体" w:cs="宋体"/>
          <w:szCs w:val="21"/>
        </w:rPr>
        <w:t>5.3监理工程进度款申请须</w:t>
      </w:r>
      <w:r>
        <w:rPr>
          <w:rFonts w:hint="eastAsia" w:ascii="宋体" w:hAnsi="宋体" w:cs="宋体"/>
          <w:szCs w:val="21"/>
          <w:lang w:eastAsia="zh-CN"/>
        </w:rPr>
        <w:t>横县水利工程规划建设站</w:t>
      </w:r>
      <w:r>
        <w:rPr>
          <w:rFonts w:hint="eastAsia" w:ascii="宋体" w:hAnsi="宋体" w:cs="宋体"/>
          <w:szCs w:val="21"/>
        </w:rPr>
        <w:t>审批后，委托人才可支付监理费。</w:t>
      </w:r>
    </w:p>
    <w:p>
      <w:pPr>
        <w:pStyle w:val="94"/>
        <w:snapToGrid w:val="0"/>
        <w:spacing w:line="360" w:lineRule="auto"/>
        <w:ind w:firstLine="420" w:firstLineChars="200"/>
        <w:rPr>
          <w:szCs w:val="21"/>
          <w:u w:val="single"/>
        </w:rPr>
      </w:pPr>
    </w:p>
    <w:p>
      <w:pPr>
        <w:pStyle w:val="146"/>
      </w:pPr>
      <w:bookmarkStart w:id="283" w:name="_Toc12911"/>
      <w:bookmarkStart w:id="284" w:name="_Toc411526689"/>
      <w:r>
        <w:t>6. 合同生效、变更、暂停、解除与终止</w:t>
      </w:r>
      <w:bookmarkEnd w:id="283"/>
      <w:bookmarkEnd w:id="284"/>
    </w:p>
    <w:p>
      <w:pPr>
        <w:pStyle w:val="94"/>
        <w:adjustRightInd w:val="0"/>
        <w:snapToGrid w:val="0"/>
        <w:spacing w:line="360" w:lineRule="auto"/>
        <w:rPr>
          <w:szCs w:val="21"/>
        </w:rPr>
      </w:pPr>
      <w:r>
        <w:rPr>
          <w:szCs w:val="21"/>
        </w:rPr>
        <w:t xml:space="preserve">6.1 </w:t>
      </w:r>
      <w:r>
        <w:rPr>
          <w:rFonts w:hAnsi="宋体"/>
          <w:szCs w:val="21"/>
        </w:rPr>
        <w:t>生效</w:t>
      </w:r>
    </w:p>
    <w:p>
      <w:pPr>
        <w:pStyle w:val="94"/>
        <w:adjustRightInd w:val="0"/>
        <w:snapToGrid w:val="0"/>
        <w:spacing w:line="360" w:lineRule="auto"/>
        <w:ind w:firstLine="480"/>
        <w:rPr>
          <w:szCs w:val="21"/>
        </w:rPr>
      </w:pPr>
      <w:r>
        <w:rPr>
          <w:rFonts w:hAnsi="宋体"/>
          <w:szCs w:val="21"/>
        </w:rPr>
        <w:t>本合同生效条件：</w:t>
      </w:r>
      <w:r>
        <w:rPr>
          <w:rFonts w:hint="eastAsia" w:ascii="宋体" w:hAnsi="宋体" w:cs="宋体"/>
          <w:u w:val="single"/>
        </w:rPr>
        <w:t>双方法定代表人签章并加盖法人公章之日起生效</w:t>
      </w:r>
      <w:r>
        <w:rPr>
          <w:rFonts w:hAnsi="宋体"/>
          <w:szCs w:val="21"/>
        </w:rPr>
        <w:t>。</w:t>
      </w:r>
    </w:p>
    <w:p>
      <w:pPr>
        <w:pStyle w:val="94"/>
        <w:adjustRightInd w:val="0"/>
        <w:snapToGrid w:val="0"/>
        <w:spacing w:line="360" w:lineRule="auto"/>
        <w:rPr>
          <w:szCs w:val="21"/>
        </w:rPr>
      </w:pPr>
      <w:r>
        <w:rPr>
          <w:szCs w:val="21"/>
        </w:rPr>
        <w:t xml:space="preserve">6.2 </w:t>
      </w:r>
      <w:r>
        <w:rPr>
          <w:rFonts w:hAnsi="宋体"/>
          <w:szCs w:val="21"/>
        </w:rPr>
        <w:t>变更</w:t>
      </w:r>
    </w:p>
    <w:p>
      <w:pPr>
        <w:pStyle w:val="94"/>
        <w:adjustRightInd w:val="0"/>
        <w:snapToGrid w:val="0"/>
        <w:spacing w:line="360" w:lineRule="auto"/>
        <w:ind w:firstLine="420" w:firstLineChars="200"/>
        <w:rPr>
          <w:szCs w:val="21"/>
        </w:rPr>
      </w:pPr>
      <w:r>
        <w:rPr>
          <w:szCs w:val="21"/>
        </w:rPr>
        <w:t>6.2.</w:t>
      </w:r>
      <w:r>
        <w:rPr>
          <w:rFonts w:hint="eastAsia"/>
          <w:szCs w:val="21"/>
        </w:rPr>
        <w:t>1</w:t>
      </w:r>
      <w:r>
        <w:rPr>
          <w:rFonts w:hAnsi="宋体"/>
          <w:szCs w:val="21"/>
        </w:rPr>
        <w:t>除不可抗力外，因非监理人原因导致本合同期限延长时，附加工作酬金按下列方法确定：</w:t>
      </w:r>
    </w:p>
    <w:p>
      <w:pPr>
        <w:pStyle w:val="94"/>
        <w:snapToGrid w:val="0"/>
        <w:spacing w:line="360" w:lineRule="auto"/>
        <w:ind w:firstLine="420" w:firstLineChars="200"/>
        <w:rPr>
          <w:kern w:val="0"/>
          <w:szCs w:val="21"/>
        </w:rPr>
      </w:pPr>
      <w:r>
        <w:rPr>
          <w:rFonts w:hAnsi="宋体"/>
          <w:kern w:val="0"/>
          <w:szCs w:val="21"/>
        </w:rPr>
        <w:t>附加工作</w:t>
      </w:r>
      <w:r>
        <w:rPr>
          <w:rFonts w:hAnsi="宋体"/>
          <w:szCs w:val="21"/>
        </w:rPr>
        <w:t>酬金</w:t>
      </w:r>
      <w:r>
        <w:rPr>
          <w:kern w:val="0"/>
          <w:szCs w:val="21"/>
        </w:rPr>
        <w:t>=</w:t>
      </w:r>
      <w:r>
        <w:rPr>
          <w:rFonts w:hAnsi="宋体"/>
          <w:szCs w:val="21"/>
        </w:rPr>
        <w:t>本合同期限延长</w:t>
      </w:r>
      <w:r>
        <w:rPr>
          <w:rFonts w:hAnsi="宋体"/>
          <w:kern w:val="0"/>
          <w:szCs w:val="21"/>
        </w:rPr>
        <w:t>时间（天）</w:t>
      </w:r>
      <w:r>
        <w:rPr>
          <w:kern w:val="0"/>
          <w:szCs w:val="21"/>
        </w:rPr>
        <w:t>×</w:t>
      </w:r>
      <w:r>
        <w:rPr>
          <w:rFonts w:hAnsi="宋体"/>
          <w:kern w:val="0"/>
          <w:szCs w:val="21"/>
        </w:rPr>
        <w:t>正常工作酬金</w:t>
      </w:r>
      <w:r>
        <w:rPr>
          <w:kern w:val="0"/>
          <w:szCs w:val="21"/>
        </w:rPr>
        <w:t>÷</w:t>
      </w:r>
      <w:r>
        <w:rPr>
          <w:rFonts w:hAnsi="宋体"/>
          <w:szCs w:val="21"/>
        </w:rPr>
        <w:t>协议书约定的监理与相关服务期限</w:t>
      </w:r>
      <w:r>
        <w:rPr>
          <w:rFonts w:hAnsi="宋体"/>
          <w:kern w:val="0"/>
          <w:szCs w:val="21"/>
        </w:rPr>
        <w:t>（天）</w:t>
      </w:r>
    </w:p>
    <w:p>
      <w:pPr>
        <w:pStyle w:val="94"/>
        <w:snapToGrid w:val="0"/>
        <w:spacing w:line="360" w:lineRule="auto"/>
        <w:ind w:firstLine="420" w:firstLineChars="200"/>
        <w:rPr>
          <w:szCs w:val="21"/>
        </w:rPr>
      </w:pPr>
      <w:r>
        <w:rPr>
          <w:szCs w:val="21"/>
        </w:rPr>
        <w:t>6.2.</w:t>
      </w:r>
      <w:r>
        <w:rPr>
          <w:rFonts w:hint="eastAsia"/>
          <w:szCs w:val="21"/>
        </w:rPr>
        <w:t xml:space="preserve">2 </w:t>
      </w:r>
      <w:r>
        <w:rPr>
          <w:rFonts w:hAnsi="宋体"/>
          <w:szCs w:val="21"/>
        </w:rPr>
        <w:t>附加工作酬金按下列方法确定：</w:t>
      </w:r>
    </w:p>
    <w:p>
      <w:pPr>
        <w:pStyle w:val="94"/>
        <w:snapToGrid w:val="0"/>
        <w:spacing w:line="360" w:lineRule="auto"/>
        <w:ind w:firstLine="420" w:firstLineChars="200"/>
        <w:rPr>
          <w:kern w:val="0"/>
          <w:szCs w:val="21"/>
        </w:rPr>
      </w:pPr>
      <w:r>
        <w:rPr>
          <w:rFonts w:hAnsi="宋体"/>
          <w:kern w:val="0"/>
          <w:szCs w:val="21"/>
        </w:rPr>
        <w:t>附加工作</w:t>
      </w:r>
      <w:r>
        <w:rPr>
          <w:rFonts w:hAnsi="宋体"/>
          <w:szCs w:val="21"/>
        </w:rPr>
        <w:t>酬金</w:t>
      </w:r>
      <w:r>
        <w:rPr>
          <w:kern w:val="0"/>
          <w:szCs w:val="21"/>
        </w:rPr>
        <w:t>=</w:t>
      </w:r>
      <w:r>
        <w:rPr>
          <w:rFonts w:hAnsi="宋体"/>
          <w:kern w:val="0"/>
          <w:szCs w:val="21"/>
        </w:rPr>
        <w:t>善后工作及恢复服务的准备工作时间（天）</w:t>
      </w:r>
      <w:r>
        <w:rPr>
          <w:kern w:val="0"/>
          <w:szCs w:val="21"/>
        </w:rPr>
        <w:t>×</w:t>
      </w:r>
      <w:r>
        <w:rPr>
          <w:rFonts w:hAnsi="宋体"/>
          <w:kern w:val="0"/>
          <w:szCs w:val="21"/>
        </w:rPr>
        <w:t>正常工作酬金</w:t>
      </w:r>
      <w:r>
        <w:rPr>
          <w:kern w:val="0"/>
          <w:szCs w:val="21"/>
        </w:rPr>
        <w:t>÷</w:t>
      </w:r>
      <w:r>
        <w:rPr>
          <w:rFonts w:hAnsi="宋体"/>
          <w:szCs w:val="21"/>
        </w:rPr>
        <w:t>协议书约定的监理与相关服务期限</w:t>
      </w:r>
      <w:r>
        <w:rPr>
          <w:rFonts w:hAnsi="宋体"/>
          <w:kern w:val="0"/>
          <w:szCs w:val="21"/>
        </w:rPr>
        <w:t>（天）</w:t>
      </w:r>
    </w:p>
    <w:p>
      <w:pPr>
        <w:pStyle w:val="94"/>
        <w:adjustRightInd w:val="0"/>
        <w:snapToGrid w:val="0"/>
        <w:spacing w:line="360" w:lineRule="auto"/>
        <w:ind w:firstLine="420" w:firstLineChars="200"/>
        <w:rPr>
          <w:szCs w:val="21"/>
        </w:rPr>
      </w:pPr>
      <w:r>
        <w:rPr>
          <w:szCs w:val="21"/>
        </w:rPr>
        <w:t>6.2.</w:t>
      </w:r>
      <w:r>
        <w:rPr>
          <w:rFonts w:hint="eastAsia"/>
          <w:szCs w:val="21"/>
        </w:rPr>
        <w:t>3</w:t>
      </w:r>
      <w:r>
        <w:rPr>
          <w:rFonts w:hAnsi="宋体"/>
          <w:szCs w:val="21"/>
        </w:rPr>
        <w:t>正常工作酬金增加额按下列方法确定：</w:t>
      </w:r>
    </w:p>
    <w:p>
      <w:pPr>
        <w:pStyle w:val="94"/>
        <w:adjustRightInd w:val="0"/>
        <w:snapToGrid w:val="0"/>
        <w:spacing w:line="360" w:lineRule="auto"/>
        <w:ind w:firstLine="480"/>
        <w:rPr>
          <w:kern w:val="0"/>
          <w:szCs w:val="21"/>
        </w:rPr>
      </w:pPr>
      <w:r>
        <w:rPr>
          <w:rFonts w:hAnsi="宋体"/>
          <w:szCs w:val="21"/>
        </w:rPr>
        <w:t>正常工作酬金增加额</w:t>
      </w:r>
      <w:r>
        <w:rPr>
          <w:kern w:val="0"/>
          <w:szCs w:val="21"/>
        </w:rPr>
        <w:t>=</w:t>
      </w:r>
      <w:r>
        <w:rPr>
          <w:rFonts w:hAnsi="宋体"/>
          <w:kern w:val="0"/>
          <w:szCs w:val="21"/>
        </w:rPr>
        <w:t>工程投资额</w:t>
      </w:r>
      <w:r>
        <w:rPr>
          <w:kern w:val="0"/>
          <w:szCs w:val="21"/>
        </w:rPr>
        <w:t>×</w:t>
      </w:r>
      <w:r>
        <w:rPr>
          <w:rFonts w:hAnsi="宋体"/>
          <w:kern w:val="0"/>
          <w:szCs w:val="21"/>
        </w:rPr>
        <w:t>正常工作酬金</w:t>
      </w:r>
      <w:r>
        <w:rPr>
          <w:kern w:val="0"/>
          <w:szCs w:val="21"/>
        </w:rPr>
        <w:t>÷</w:t>
      </w:r>
      <w:r>
        <w:rPr>
          <w:rFonts w:hAnsi="宋体"/>
          <w:kern w:val="0"/>
          <w:szCs w:val="21"/>
        </w:rPr>
        <w:t>工程概算投资额（或建筑安装工程费）</w:t>
      </w:r>
    </w:p>
    <w:p>
      <w:pPr>
        <w:pStyle w:val="94"/>
        <w:snapToGrid w:val="0"/>
        <w:spacing w:line="360" w:lineRule="auto"/>
        <w:ind w:firstLine="420" w:firstLineChars="200"/>
        <w:rPr>
          <w:szCs w:val="21"/>
        </w:rPr>
      </w:pPr>
      <w:r>
        <w:rPr>
          <w:szCs w:val="21"/>
        </w:rPr>
        <w:t>6.2.</w:t>
      </w:r>
      <w:r>
        <w:rPr>
          <w:rFonts w:hint="eastAsia"/>
          <w:szCs w:val="21"/>
        </w:rPr>
        <w:t>4</w:t>
      </w:r>
      <w:r>
        <w:rPr>
          <w:rFonts w:hAnsi="宋体"/>
          <w:szCs w:val="21"/>
        </w:rPr>
        <w:t>因工程规模、监理范围的变化导致监理人的正常工作量减少时，按减少工作量的比例从协议书约定的正常工作酬金中扣减相同比例的酬金。</w:t>
      </w:r>
    </w:p>
    <w:p>
      <w:pPr>
        <w:pStyle w:val="146"/>
      </w:pPr>
      <w:bookmarkStart w:id="285" w:name="_Toc411526690"/>
      <w:bookmarkStart w:id="286" w:name="_Toc8959"/>
      <w:r>
        <w:t xml:space="preserve">7. </w:t>
      </w:r>
      <w:r>
        <w:rPr>
          <w:rFonts w:hAnsi="宋体"/>
        </w:rPr>
        <w:t>争议解决</w:t>
      </w:r>
      <w:bookmarkEnd w:id="285"/>
      <w:bookmarkEnd w:id="286"/>
    </w:p>
    <w:p>
      <w:pPr>
        <w:pStyle w:val="94"/>
        <w:snapToGrid w:val="0"/>
        <w:spacing w:line="360" w:lineRule="auto"/>
        <w:rPr>
          <w:szCs w:val="21"/>
        </w:rPr>
      </w:pPr>
      <w:r>
        <w:rPr>
          <w:szCs w:val="21"/>
        </w:rPr>
        <w:t>7.</w:t>
      </w:r>
      <w:r>
        <w:rPr>
          <w:rFonts w:hint="eastAsia"/>
          <w:szCs w:val="21"/>
        </w:rPr>
        <w:t>1</w:t>
      </w:r>
      <w:r>
        <w:rPr>
          <w:rFonts w:hAnsi="宋体"/>
          <w:bCs/>
          <w:szCs w:val="21"/>
        </w:rPr>
        <w:t>调解</w:t>
      </w:r>
    </w:p>
    <w:p>
      <w:pPr>
        <w:pStyle w:val="94"/>
        <w:snapToGrid w:val="0"/>
        <w:spacing w:line="360" w:lineRule="auto"/>
        <w:ind w:firstLine="411" w:firstLineChars="196"/>
        <w:rPr>
          <w:szCs w:val="21"/>
        </w:rPr>
      </w:pPr>
      <w:r>
        <w:rPr>
          <w:rFonts w:hAnsi="宋体"/>
          <w:szCs w:val="21"/>
        </w:rPr>
        <w:t>本合同争议进行调解时，可提交</w:t>
      </w:r>
      <w:r>
        <w:rPr>
          <w:rFonts w:hint="eastAsia" w:ascii="宋体" w:hAnsi="宋体" w:cs="宋体"/>
          <w:u w:val="single"/>
        </w:rPr>
        <w:t>建设行政主管机构</w:t>
      </w:r>
      <w:r>
        <w:rPr>
          <w:rFonts w:hAnsi="宋体"/>
          <w:szCs w:val="21"/>
        </w:rPr>
        <w:t>进行调解。</w:t>
      </w:r>
    </w:p>
    <w:p>
      <w:pPr>
        <w:pStyle w:val="94"/>
        <w:snapToGrid w:val="0"/>
        <w:spacing w:line="360" w:lineRule="auto"/>
        <w:rPr>
          <w:szCs w:val="21"/>
        </w:rPr>
      </w:pPr>
      <w:r>
        <w:rPr>
          <w:szCs w:val="21"/>
        </w:rPr>
        <w:t>7.</w:t>
      </w:r>
      <w:r>
        <w:rPr>
          <w:rFonts w:hint="eastAsia"/>
          <w:szCs w:val="21"/>
        </w:rPr>
        <w:t>2</w:t>
      </w:r>
      <w:r>
        <w:rPr>
          <w:rFonts w:hAnsi="宋体"/>
          <w:bCs/>
          <w:szCs w:val="21"/>
        </w:rPr>
        <w:t>仲裁或诉讼</w:t>
      </w:r>
    </w:p>
    <w:p>
      <w:pPr>
        <w:pStyle w:val="94"/>
        <w:adjustRightInd w:val="0"/>
        <w:snapToGrid w:val="0"/>
        <w:spacing w:line="360" w:lineRule="auto"/>
        <w:ind w:firstLine="420" w:firstLineChars="200"/>
        <w:rPr>
          <w:szCs w:val="21"/>
        </w:rPr>
      </w:pPr>
      <w:r>
        <w:rPr>
          <w:rFonts w:hAnsi="宋体"/>
          <w:szCs w:val="21"/>
        </w:rPr>
        <w:t>合同争议的最终解决方式为下列第</w:t>
      </w:r>
      <w:r>
        <w:rPr>
          <w:rFonts w:hAnsi="宋体"/>
          <w:szCs w:val="21"/>
          <w:u w:val="single"/>
        </w:rPr>
        <w:t>（</w:t>
      </w:r>
      <w:r>
        <w:rPr>
          <w:szCs w:val="21"/>
          <w:u w:val="single"/>
        </w:rPr>
        <w:t>2</w:t>
      </w:r>
      <w:r>
        <w:rPr>
          <w:rFonts w:hAnsi="宋体"/>
          <w:szCs w:val="21"/>
          <w:u w:val="single"/>
        </w:rPr>
        <w:t>）</w:t>
      </w:r>
      <w:r>
        <w:rPr>
          <w:rFonts w:hAnsi="宋体"/>
          <w:szCs w:val="21"/>
        </w:rPr>
        <w:t>种方式：</w:t>
      </w:r>
    </w:p>
    <w:p>
      <w:pPr>
        <w:pStyle w:val="94"/>
        <w:adjustRightInd w:val="0"/>
        <w:snapToGrid w:val="0"/>
        <w:spacing w:line="360" w:lineRule="auto"/>
        <w:ind w:firstLine="420" w:firstLineChars="200"/>
        <w:rPr>
          <w:szCs w:val="21"/>
        </w:rPr>
      </w:pPr>
      <w:r>
        <w:rPr>
          <w:rFonts w:hAnsi="宋体"/>
          <w:szCs w:val="21"/>
        </w:rPr>
        <w:t>（</w:t>
      </w:r>
      <w:r>
        <w:rPr>
          <w:szCs w:val="21"/>
        </w:rPr>
        <w:t>1</w:t>
      </w:r>
      <w:r>
        <w:rPr>
          <w:rFonts w:hAnsi="宋体"/>
          <w:szCs w:val="21"/>
        </w:rPr>
        <w:t>）提请仲裁委员会进行仲裁。</w:t>
      </w:r>
    </w:p>
    <w:p>
      <w:pPr>
        <w:pStyle w:val="94"/>
        <w:adjustRightInd w:val="0"/>
        <w:snapToGrid w:val="0"/>
        <w:spacing w:line="360" w:lineRule="auto"/>
        <w:ind w:firstLine="420" w:firstLineChars="200"/>
        <w:rPr>
          <w:szCs w:val="21"/>
        </w:rPr>
      </w:pPr>
      <w:r>
        <w:rPr>
          <w:rFonts w:hAnsi="宋体"/>
          <w:szCs w:val="21"/>
        </w:rPr>
        <w:t>（</w:t>
      </w:r>
      <w:r>
        <w:rPr>
          <w:szCs w:val="21"/>
        </w:rPr>
        <w:t>2</w:t>
      </w:r>
      <w:r>
        <w:rPr>
          <w:rFonts w:hAnsi="宋体"/>
          <w:szCs w:val="21"/>
        </w:rPr>
        <w:t>）向</w:t>
      </w:r>
      <w:r>
        <w:rPr>
          <w:rFonts w:hint="eastAsia" w:ascii="宋体" w:hAnsi="宋体" w:cs="宋体"/>
          <w:u w:val="single"/>
        </w:rPr>
        <w:t>工程所在地</w:t>
      </w:r>
      <w:r>
        <w:rPr>
          <w:rFonts w:hAnsi="宋体"/>
          <w:szCs w:val="21"/>
        </w:rPr>
        <w:t>人民法院提起诉讼。</w:t>
      </w:r>
    </w:p>
    <w:p>
      <w:pPr>
        <w:pStyle w:val="146"/>
      </w:pPr>
      <w:bookmarkStart w:id="287" w:name="_Toc411526691"/>
      <w:bookmarkStart w:id="288" w:name="_Toc1962"/>
      <w:r>
        <w:t xml:space="preserve">8. </w:t>
      </w:r>
      <w:r>
        <w:rPr>
          <w:rFonts w:hAnsi="宋体"/>
        </w:rPr>
        <w:t>其他</w:t>
      </w:r>
      <w:bookmarkEnd w:id="287"/>
      <w:bookmarkEnd w:id="288"/>
    </w:p>
    <w:p>
      <w:pPr>
        <w:pStyle w:val="94"/>
        <w:adjustRightInd w:val="0"/>
        <w:snapToGrid w:val="0"/>
        <w:spacing w:line="360" w:lineRule="auto"/>
        <w:rPr>
          <w:rFonts w:hAnsi="宋体"/>
          <w:bCs/>
          <w:szCs w:val="21"/>
        </w:rPr>
      </w:pPr>
      <w:r>
        <w:rPr>
          <w:bCs/>
          <w:szCs w:val="21"/>
        </w:rPr>
        <w:t>8.</w:t>
      </w:r>
      <w:r>
        <w:rPr>
          <w:rFonts w:hint="eastAsia"/>
          <w:bCs/>
          <w:szCs w:val="21"/>
        </w:rPr>
        <w:t>1</w:t>
      </w:r>
      <w:r>
        <w:rPr>
          <w:rFonts w:hAnsi="宋体"/>
          <w:bCs/>
          <w:szCs w:val="21"/>
        </w:rPr>
        <w:t>检测费用</w:t>
      </w:r>
    </w:p>
    <w:p>
      <w:pPr>
        <w:pStyle w:val="94"/>
        <w:adjustRightInd w:val="0"/>
        <w:snapToGrid w:val="0"/>
        <w:spacing w:line="360" w:lineRule="auto"/>
        <w:ind w:firstLine="420" w:firstLineChars="200"/>
        <w:rPr>
          <w:bCs/>
          <w:szCs w:val="21"/>
        </w:rPr>
      </w:pPr>
      <w:r>
        <w:rPr>
          <w:rFonts w:hAnsi="宋体"/>
          <w:bCs/>
          <w:szCs w:val="21"/>
        </w:rPr>
        <w:t>委托人应在检测工作完成后</w:t>
      </w:r>
      <w:r>
        <w:rPr>
          <w:rFonts w:hint="eastAsia"/>
          <w:szCs w:val="21"/>
          <w:u w:val="single"/>
        </w:rPr>
        <w:t>/</w:t>
      </w:r>
      <w:r>
        <w:rPr>
          <w:rFonts w:hAnsi="宋体"/>
          <w:bCs/>
          <w:szCs w:val="21"/>
        </w:rPr>
        <w:t>天内支付检测费用。</w:t>
      </w:r>
    </w:p>
    <w:p>
      <w:pPr>
        <w:pStyle w:val="94"/>
        <w:adjustRightInd w:val="0"/>
        <w:snapToGrid w:val="0"/>
        <w:spacing w:line="360" w:lineRule="auto"/>
        <w:rPr>
          <w:bCs/>
          <w:szCs w:val="21"/>
        </w:rPr>
      </w:pPr>
      <w:r>
        <w:rPr>
          <w:bCs/>
          <w:szCs w:val="21"/>
        </w:rPr>
        <w:t>8.</w:t>
      </w:r>
      <w:r>
        <w:rPr>
          <w:rFonts w:hint="eastAsia"/>
          <w:bCs/>
          <w:szCs w:val="21"/>
        </w:rPr>
        <w:t>2</w:t>
      </w:r>
      <w:r>
        <w:rPr>
          <w:rFonts w:hAnsi="宋体"/>
          <w:bCs/>
          <w:szCs w:val="21"/>
        </w:rPr>
        <w:t>咨询费用</w:t>
      </w:r>
    </w:p>
    <w:p>
      <w:pPr>
        <w:pStyle w:val="94"/>
        <w:adjustRightInd w:val="0"/>
        <w:snapToGrid w:val="0"/>
        <w:spacing w:line="360" w:lineRule="auto"/>
        <w:ind w:firstLine="435"/>
        <w:rPr>
          <w:bCs/>
          <w:szCs w:val="21"/>
        </w:rPr>
      </w:pPr>
      <w:r>
        <w:rPr>
          <w:rFonts w:hAnsi="宋体"/>
          <w:bCs/>
          <w:szCs w:val="21"/>
        </w:rPr>
        <w:t>委托人应在咨询工作完成后</w:t>
      </w:r>
      <w:r>
        <w:rPr>
          <w:rFonts w:hint="eastAsia"/>
          <w:b/>
          <w:bCs/>
          <w:szCs w:val="21"/>
          <w:u w:val="single"/>
        </w:rPr>
        <w:t>/</w:t>
      </w:r>
      <w:r>
        <w:rPr>
          <w:rFonts w:hAnsi="宋体"/>
          <w:bCs/>
          <w:szCs w:val="21"/>
        </w:rPr>
        <w:t>天内支付咨询费用。</w:t>
      </w:r>
    </w:p>
    <w:p>
      <w:pPr>
        <w:pStyle w:val="94"/>
        <w:adjustRightInd w:val="0"/>
        <w:snapToGrid w:val="0"/>
        <w:spacing w:line="360" w:lineRule="auto"/>
        <w:rPr>
          <w:szCs w:val="21"/>
        </w:rPr>
      </w:pPr>
      <w:r>
        <w:rPr>
          <w:szCs w:val="21"/>
        </w:rPr>
        <w:t>8.</w:t>
      </w:r>
      <w:r>
        <w:rPr>
          <w:rFonts w:hint="eastAsia"/>
          <w:szCs w:val="21"/>
        </w:rPr>
        <w:t>3</w:t>
      </w:r>
      <w:r>
        <w:rPr>
          <w:rFonts w:hAnsi="宋体"/>
          <w:szCs w:val="21"/>
        </w:rPr>
        <w:t>奖励</w:t>
      </w:r>
    </w:p>
    <w:p>
      <w:pPr>
        <w:pStyle w:val="94"/>
        <w:snapToGrid w:val="0"/>
        <w:spacing w:line="360" w:lineRule="auto"/>
        <w:ind w:firstLine="420" w:firstLineChars="200"/>
        <w:rPr>
          <w:szCs w:val="21"/>
        </w:rPr>
      </w:pPr>
      <w:r>
        <w:rPr>
          <w:rFonts w:hAnsi="宋体"/>
          <w:szCs w:val="21"/>
        </w:rPr>
        <w:t>合理化建议的奖励金额按下列方法确定为：</w:t>
      </w:r>
    </w:p>
    <w:p>
      <w:pPr>
        <w:pStyle w:val="94"/>
        <w:snapToGrid w:val="0"/>
        <w:spacing w:line="360" w:lineRule="auto"/>
        <w:ind w:firstLine="420" w:firstLineChars="200"/>
        <w:rPr>
          <w:szCs w:val="21"/>
        </w:rPr>
      </w:pPr>
      <w:r>
        <w:rPr>
          <w:rFonts w:hAnsi="宋体"/>
          <w:szCs w:val="21"/>
        </w:rPr>
        <w:t>奖励金额＝工程投资节省额</w:t>
      </w:r>
      <w:r>
        <w:rPr>
          <w:szCs w:val="21"/>
        </w:rPr>
        <w:t>×</w:t>
      </w:r>
      <w:r>
        <w:rPr>
          <w:rFonts w:hAnsi="宋体"/>
          <w:szCs w:val="21"/>
        </w:rPr>
        <w:t>奖励金额的比率；</w:t>
      </w:r>
    </w:p>
    <w:p>
      <w:pPr>
        <w:pStyle w:val="94"/>
        <w:snapToGrid w:val="0"/>
        <w:spacing w:line="360" w:lineRule="auto"/>
        <w:ind w:firstLine="420" w:firstLineChars="200"/>
        <w:rPr>
          <w:szCs w:val="21"/>
        </w:rPr>
      </w:pPr>
      <w:r>
        <w:rPr>
          <w:rFonts w:hAnsi="宋体"/>
          <w:szCs w:val="21"/>
        </w:rPr>
        <w:t>奖励金额的比率为</w:t>
      </w:r>
      <w:r>
        <w:rPr>
          <w:rFonts w:hint="eastAsia"/>
          <w:szCs w:val="21"/>
          <w:u w:val="single"/>
        </w:rPr>
        <w:t>/</w:t>
      </w:r>
      <w:r>
        <w:rPr>
          <w:szCs w:val="21"/>
        </w:rPr>
        <w:t>%</w:t>
      </w:r>
      <w:r>
        <w:rPr>
          <w:rFonts w:hAnsi="宋体"/>
          <w:szCs w:val="21"/>
        </w:rPr>
        <w:t>。</w:t>
      </w:r>
    </w:p>
    <w:p>
      <w:pPr>
        <w:pStyle w:val="94"/>
        <w:adjustRightInd w:val="0"/>
        <w:snapToGrid w:val="0"/>
        <w:spacing w:line="360" w:lineRule="auto"/>
        <w:rPr>
          <w:szCs w:val="21"/>
        </w:rPr>
      </w:pPr>
      <w:r>
        <w:rPr>
          <w:szCs w:val="21"/>
        </w:rPr>
        <w:t>8.</w:t>
      </w:r>
      <w:r>
        <w:rPr>
          <w:rFonts w:hint="eastAsia"/>
          <w:szCs w:val="21"/>
        </w:rPr>
        <w:t>4</w:t>
      </w:r>
      <w:r>
        <w:rPr>
          <w:rFonts w:hAnsi="宋体"/>
          <w:szCs w:val="21"/>
        </w:rPr>
        <w:t>保密</w:t>
      </w:r>
    </w:p>
    <w:p>
      <w:pPr>
        <w:pStyle w:val="94"/>
        <w:adjustRightInd w:val="0"/>
        <w:snapToGrid w:val="0"/>
        <w:spacing w:line="360" w:lineRule="auto"/>
        <w:ind w:firstLine="420" w:firstLineChars="200"/>
        <w:rPr>
          <w:szCs w:val="21"/>
          <w:u w:val="single"/>
        </w:rPr>
      </w:pPr>
      <w:r>
        <w:rPr>
          <w:rFonts w:hAnsi="宋体"/>
          <w:szCs w:val="21"/>
        </w:rPr>
        <w:t>委托人申明的保密事项和期限：</w:t>
      </w:r>
      <w:r>
        <w:rPr>
          <w:rFonts w:hint="eastAsia"/>
          <w:szCs w:val="21"/>
          <w:u w:val="single"/>
        </w:rPr>
        <w:t>/</w:t>
      </w:r>
      <w:r>
        <w:rPr>
          <w:rFonts w:hAnsi="宋体"/>
          <w:szCs w:val="21"/>
        </w:rPr>
        <w:t>。</w:t>
      </w:r>
    </w:p>
    <w:p>
      <w:pPr>
        <w:pStyle w:val="94"/>
        <w:adjustRightInd w:val="0"/>
        <w:snapToGrid w:val="0"/>
        <w:spacing w:line="360" w:lineRule="auto"/>
        <w:ind w:firstLine="420" w:firstLineChars="200"/>
        <w:rPr>
          <w:szCs w:val="21"/>
          <w:u w:val="single"/>
        </w:rPr>
      </w:pPr>
      <w:r>
        <w:rPr>
          <w:rFonts w:hAnsi="宋体"/>
          <w:szCs w:val="21"/>
        </w:rPr>
        <w:t>监理人申明的保密事项和期限：</w:t>
      </w:r>
      <w:r>
        <w:rPr>
          <w:rFonts w:hint="eastAsia"/>
          <w:b/>
          <w:bCs/>
          <w:szCs w:val="21"/>
          <w:u w:val="single"/>
        </w:rPr>
        <w:t>/</w:t>
      </w:r>
      <w:r>
        <w:rPr>
          <w:rFonts w:hAnsi="宋体"/>
          <w:szCs w:val="21"/>
        </w:rPr>
        <w:t>。</w:t>
      </w:r>
    </w:p>
    <w:p>
      <w:pPr>
        <w:pStyle w:val="94"/>
        <w:adjustRightInd w:val="0"/>
        <w:snapToGrid w:val="0"/>
        <w:spacing w:line="360" w:lineRule="auto"/>
        <w:ind w:firstLine="420" w:firstLineChars="200"/>
        <w:rPr>
          <w:szCs w:val="21"/>
          <w:u w:val="single"/>
        </w:rPr>
      </w:pPr>
      <w:r>
        <w:rPr>
          <w:rFonts w:hAnsi="宋体"/>
          <w:szCs w:val="21"/>
        </w:rPr>
        <w:t>第三方申明的保密事项和期限：</w:t>
      </w:r>
      <w:r>
        <w:rPr>
          <w:rFonts w:hint="eastAsia"/>
          <w:szCs w:val="21"/>
          <w:u w:val="single"/>
        </w:rPr>
        <w:t>/</w:t>
      </w:r>
      <w:r>
        <w:rPr>
          <w:rFonts w:hAnsi="宋体"/>
          <w:szCs w:val="21"/>
        </w:rPr>
        <w:t>。</w:t>
      </w:r>
    </w:p>
    <w:p>
      <w:pPr>
        <w:pStyle w:val="94"/>
        <w:snapToGrid w:val="0"/>
        <w:spacing w:line="360" w:lineRule="auto"/>
        <w:rPr>
          <w:bCs/>
          <w:szCs w:val="21"/>
        </w:rPr>
      </w:pPr>
      <w:r>
        <w:rPr>
          <w:szCs w:val="21"/>
        </w:rPr>
        <w:t>8.</w:t>
      </w:r>
      <w:r>
        <w:rPr>
          <w:rFonts w:hint="eastAsia"/>
          <w:szCs w:val="21"/>
        </w:rPr>
        <w:t>5</w:t>
      </w:r>
      <w:r>
        <w:rPr>
          <w:rFonts w:hAnsi="宋体"/>
          <w:bCs/>
          <w:szCs w:val="21"/>
        </w:rPr>
        <w:t>著作权</w:t>
      </w:r>
    </w:p>
    <w:p>
      <w:pPr>
        <w:pStyle w:val="94"/>
        <w:snapToGrid w:val="0"/>
        <w:spacing w:line="360" w:lineRule="auto"/>
        <w:ind w:firstLine="420" w:firstLineChars="200"/>
        <w:rPr>
          <w:rFonts w:hAnsi="宋体"/>
          <w:szCs w:val="21"/>
        </w:rPr>
      </w:pPr>
      <w:r>
        <w:rPr>
          <w:rFonts w:hAnsi="宋体"/>
          <w:szCs w:val="21"/>
        </w:rPr>
        <w:t>监理人在本合同履行期间及本合同终止后两年内出版涉及本工程的有关监理与相关服务的资料的限制条件：</w:t>
      </w:r>
    </w:p>
    <w:p>
      <w:pPr>
        <w:pStyle w:val="94"/>
        <w:snapToGrid w:val="0"/>
        <w:spacing w:line="360" w:lineRule="auto"/>
        <w:ind w:firstLine="420" w:firstLineChars="200"/>
        <w:rPr>
          <w:szCs w:val="21"/>
        </w:rPr>
      </w:pPr>
      <w:r>
        <w:rPr>
          <w:rFonts w:hint="eastAsia"/>
          <w:szCs w:val="21"/>
          <w:u w:val="single"/>
        </w:rPr>
        <w:t>/</w:t>
      </w:r>
      <w:r>
        <w:rPr>
          <w:rFonts w:hAnsi="宋体"/>
          <w:szCs w:val="21"/>
        </w:rPr>
        <w:t>。</w:t>
      </w:r>
    </w:p>
    <w:p>
      <w:pPr>
        <w:pStyle w:val="146"/>
        <w:rPr>
          <w:u w:val="single"/>
        </w:rPr>
      </w:pPr>
      <w:bookmarkStart w:id="289" w:name="_Toc411526692"/>
      <w:bookmarkStart w:id="290" w:name="_Toc7876"/>
      <w:r>
        <w:t xml:space="preserve">9. </w:t>
      </w:r>
      <w:r>
        <w:rPr>
          <w:rFonts w:hAnsi="宋体"/>
        </w:rPr>
        <w:t>补充条款</w:t>
      </w:r>
      <w:bookmarkEnd w:id="289"/>
      <w:bookmarkEnd w:id="290"/>
    </w:p>
    <w:p>
      <w:pPr>
        <w:pStyle w:val="94"/>
        <w:adjustRightInd w:val="0"/>
        <w:snapToGrid w:val="0"/>
        <w:spacing w:line="360" w:lineRule="auto"/>
        <w:rPr>
          <w:szCs w:val="21"/>
        </w:rPr>
      </w:pPr>
      <w:r>
        <w:rPr>
          <w:szCs w:val="21"/>
        </w:rPr>
        <w:t>9.1</w:t>
      </w:r>
      <w:r>
        <w:rPr>
          <w:rFonts w:hAnsi="宋体"/>
          <w:szCs w:val="21"/>
          <w:u w:val="single"/>
        </w:rPr>
        <w:t>委托人应向监理人无偿提供开展监理服务工作所必需的办公用房、生活用房</w:t>
      </w:r>
      <w:r>
        <w:rPr>
          <w:rFonts w:hAnsi="宋体"/>
          <w:szCs w:val="21"/>
        </w:rPr>
        <w:t>。</w:t>
      </w:r>
    </w:p>
    <w:p>
      <w:pPr>
        <w:pStyle w:val="94"/>
        <w:adjustRightInd w:val="0"/>
        <w:snapToGrid w:val="0"/>
        <w:spacing w:line="360" w:lineRule="auto"/>
        <w:rPr>
          <w:szCs w:val="21"/>
          <w:u w:val="single"/>
        </w:rPr>
      </w:pPr>
      <w:r>
        <w:rPr>
          <w:szCs w:val="21"/>
        </w:rPr>
        <w:t>9.2</w:t>
      </w:r>
      <w:r>
        <w:rPr>
          <w:rFonts w:hAnsi="宋体"/>
          <w:szCs w:val="21"/>
          <w:u w:val="single"/>
        </w:rPr>
        <w:t>委托人在监理服务期满后</w:t>
      </w:r>
      <w:r>
        <w:rPr>
          <w:rFonts w:hint="eastAsia"/>
          <w:szCs w:val="21"/>
          <w:u w:val="single"/>
        </w:rPr>
        <w:t>14</w:t>
      </w:r>
      <w:r>
        <w:rPr>
          <w:rFonts w:hAnsi="宋体"/>
          <w:szCs w:val="21"/>
          <w:u w:val="single"/>
        </w:rPr>
        <w:t>天内将履约保证金退还给监理人</w:t>
      </w:r>
      <w:r>
        <w:rPr>
          <w:rFonts w:hAnsi="宋体"/>
          <w:szCs w:val="21"/>
        </w:rPr>
        <w:t>。</w:t>
      </w:r>
    </w:p>
    <w:p>
      <w:pPr>
        <w:pStyle w:val="94"/>
        <w:adjustRightInd w:val="0"/>
        <w:snapToGrid w:val="0"/>
        <w:spacing w:line="360" w:lineRule="auto"/>
        <w:ind w:firstLine="240" w:firstLineChars="100"/>
        <w:rPr>
          <w:sz w:val="24"/>
        </w:rPr>
      </w:pPr>
    </w:p>
    <w:p>
      <w:pPr>
        <w:pStyle w:val="94"/>
        <w:adjustRightInd w:val="0"/>
        <w:snapToGrid w:val="0"/>
        <w:spacing w:line="360" w:lineRule="auto"/>
        <w:jc w:val="center"/>
        <w:rPr>
          <w:sz w:val="24"/>
        </w:rPr>
      </w:pPr>
      <w:r>
        <w:rPr>
          <w:sz w:val="24"/>
        </w:rPr>
        <w:br w:type="page"/>
      </w:r>
      <w:bookmarkStart w:id="291" w:name="_Toc411526693"/>
      <w:bookmarkStart w:id="292" w:name="_Toc4500"/>
      <w:r>
        <w:rPr>
          <w:rFonts w:hint="eastAsia" w:ascii="Cambria" w:hAnsi="Cambria"/>
          <w:b/>
          <w:bCs/>
          <w:sz w:val="24"/>
          <w:szCs w:val="32"/>
        </w:rPr>
        <w:t>附录A  相关服务的范围和内容</w:t>
      </w:r>
      <w:bookmarkEnd w:id="291"/>
      <w:bookmarkEnd w:id="292"/>
    </w:p>
    <w:p>
      <w:pPr>
        <w:pStyle w:val="94"/>
        <w:snapToGrid w:val="0"/>
        <w:spacing w:beforeLines="50" w:afterLines="50" w:line="360" w:lineRule="auto"/>
        <w:ind w:firstLine="840" w:firstLineChars="400"/>
        <w:rPr>
          <w:rFonts w:ascii="宋体" w:hAnsi="宋体"/>
          <w:kern w:val="0"/>
          <w:szCs w:val="21"/>
        </w:rPr>
      </w:pPr>
      <w:r>
        <w:rPr>
          <w:rFonts w:hint="eastAsia" w:ascii="宋体" w:hAnsi="宋体"/>
          <w:kern w:val="0"/>
          <w:szCs w:val="21"/>
        </w:rPr>
        <w:t>A-1 勘察阶段：</w:t>
      </w:r>
      <w:r>
        <w:rPr>
          <w:rFonts w:hint="eastAsia" w:ascii="宋体" w:hAnsi="宋体"/>
          <w:szCs w:val="21"/>
          <w:u w:val="single"/>
        </w:rPr>
        <w:t xml:space="preserve">             /                                                </w:t>
      </w:r>
    </w:p>
    <w:p>
      <w:pPr>
        <w:pStyle w:val="94"/>
        <w:snapToGrid w:val="0"/>
        <w:spacing w:beforeLines="50" w:afterLines="50" w:line="360" w:lineRule="auto"/>
        <w:rPr>
          <w:rFonts w:ascii="宋体" w:hAnsi="宋体"/>
          <w:szCs w:val="21"/>
        </w:rPr>
      </w:pPr>
      <w:r>
        <w:rPr>
          <w:rFonts w:hint="eastAsia" w:ascii="宋体" w:hAnsi="宋体"/>
          <w:kern w:val="0"/>
          <w:szCs w:val="21"/>
        </w:rPr>
        <w:t>。</w:t>
      </w:r>
    </w:p>
    <w:p>
      <w:pPr>
        <w:pStyle w:val="94"/>
        <w:snapToGrid w:val="0"/>
        <w:spacing w:beforeLines="50" w:afterLines="50" w:line="360" w:lineRule="auto"/>
        <w:ind w:firstLine="840" w:firstLineChars="400"/>
        <w:rPr>
          <w:rFonts w:ascii="宋体" w:hAnsi="宋体"/>
          <w:kern w:val="0"/>
          <w:szCs w:val="21"/>
        </w:rPr>
      </w:pPr>
      <w:r>
        <w:rPr>
          <w:rFonts w:hint="eastAsia" w:ascii="宋体" w:hAnsi="宋体"/>
          <w:kern w:val="0"/>
          <w:szCs w:val="21"/>
        </w:rPr>
        <w:t>A-2 设计阶段：</w:t>
      </w:r>
      <w:r>
        <w:rPr>
          <w:rFonts w:hint="eastAsia" w:ascii="宋体" w:hAnsi="宋体"/>
          <w:szCs w:val="21"/>
          <w:u w:val="single"/>
        </w:rPr>
        <w:t xml:space="preserve">                  /                                           </w:t>
      </w:r>
    </w:p>
    <w:p>
      <w:pPr>
        <w:pStyle w:val="94"/>
        <w:snapToGrid w:val="0"/>
        <w:spacing w:beforeLines="50" w:afterLines="50" w:line="360" w:lineRule="auto"/>
        <w:rPr>
          <w:rFonts w:ascii="宋体" w:hAnsi="宋体"/>
          <w:szCs w:val="21"/>
        </w:rPr>
      </w:pPr>
      <w:r>
        <w:rPr>
          <w:rFonts w:hint="eastAsia" w:ascii="宋体" w:hAnsi="宋体"/>
          <w:szCs w:val="21"/>
        </w:rPr>
        <w:t>。</w:t>
      </w:r>
    </w:p>
    <w:p>
      <w:pPr>
        <w:pStyle w:val="94"/>
        <w:snapToGrid w:val="0"/>
        <w:spacing w:beforeLines="50" w:afterLines="50" w:line="360" w:lineRule="auto"/>
        <w:ind w:firstLine="840" w:firstLineChars="400"/>
        <w:rPr>
          <w:rFonts w:ascii="宋体" w:hAnsi="宋体"/>
          <w:kern w:val="0"/>
          <w:szCs w:val="21"/>
        </w:rPr>
      </w:pPr>
      <w:r>
        <w:rPr>
          <w:rFonts w:hint="eastAsia" w:ascii="宋体" w:hAnsi="宋体"/>
          <w:kern w:val="0"/>
          <w:szCs w:val="21"/>
        </w:rPr>
        <w:t>A-3 保修阶段：</w:t>
      </w:r>
      <w:r>
        <w:rPr>
          <w:rFonts w:hint="eastAsia" w:ascii="宋体" w:hAnsi="宋体"/>
          <w:szCs w:val="21"/>
          <w:u w:val="single"/>
        </w:rPr>
        <w:t xml:space="preserve">                 /                                            </w:t>
      </w:r>
    </w:p>
    <w:p>
      <w:pPr>
        <w:pStyle w:val="94"/>
        <w:snapToGrid w:val="0"/>
        <w:spacing w:beforeLines="50" w:afterLines="50" w:line="360" w:lineRule="auto"/>
        <w:rPr>
          <w:rFonts w:ascii="宋体" w:hAnsi="宋体"/>
          <w:szCs w:val="21"/>
        </w:rPr>
      </w:pPr>
      <w:r>
        <w:rPr>
          <w:rFonts w:hint="eastAsia" w:ascii="宋体" w:hAnsi="宋体"/>
          <w:szCs w:val="21"/>
        </w:rPr>
        <w:t>。</w:t>
      </w:r>
    </w:p>
    <w:p>
      <w:pPr>
        <w:pStyle w:val="94"/>
        <w:snapToGrid w:val="0"/>
        <w:spacing w:beforeLines="50" w:afterLines="50" w:line="360" w:lineRule="auto"/>
        <w:ind w:firstLine="840" w:firstLineChars="400"/>
        <w:rPr>
          <w:rFonts w:ascii="宋体" w:hAnsi="宋体"/>
          <w:szCs w:val="21"/>
          <w:u w:val="single"/>
        </w:rPr>
      </w:pPr>
      <w:r>
        <w:rPr>
          <w:rFonts w:hint="eastAsia" w:ascii="宋体" w:hAnsi="宋体"/>
          <w:kern w:val="0"/>
          <w:szCs w:val="21"/>
        </w:rPr>
        <w:t xml:space="preserve">A-4 </w:t>
      </w:r>
      <w:r>
        <w:rPr>
          <w:rFonts w:hint="eastAsia" w:ascii="宋体" w:hAnsi="宋体"/>
          <w:szCs w:val="21"/>
        </w:rPr>
        <w:t>其他（专业技术咨询、外部协调工作等）：</w:t>
      </w:r>
      <w:r>
        <w:rPr>
          <w:rFonts w:hint="eastAsia" w:ascii="宋体" w:hAnsi="宋体"/>
          <w:szCs w:val="21"/>
          <w:u w:val="single"/>
        </w:rPr>
        <w:t xml:space="preserve">          /                        </w:t>
      </w:r>
    </w:p>
    <w:p>
      <w:pPr>
        <w:pStyle w:val="94"/>
        <w:snapToGrid w:val="0"/>
        <w:spacing w:beforeLines="50" w:afterLines="50" w:line="360" w:lineRule="auto"/>
        <w:rPr>
          <w:rFonts w:ascii="宋体" w:hAnsi="宋体"/>
          <w:szCs w:val="21"/>
        </w:rPr>
      </w:pPr>
      <w:r>
        <w:rPr>
          <w:rFonts w:hint="eastAsia" w:ascii="宋体" w:hAnsi="宋体"/>
          <w:szCs w:val="21"/>
        </w:rPr>
        <w:t>。</w:t>
      </w:r>
    </w:p>
    <w:p>
      <w:pPr>
        <w:pStyle w:val="94"/>
        <w:spacing w:line="360" w:lineRule="auto"/>
        <w:rPr>
          <w:rFonts w:ascii="宋体" w:hAnsi="宋体"/>
          <w:bCs/>
          <w:sz w:val="24"/>
        </w:rPr>
      </w:pPr>
    </w:p>
    <w:p>
      <w:pPr>
        <w:pStyle w:val="146"/>
        <w:jc w:val="center"/>
        <w:rPr>
          <w:sz w:val="24"/>
        </w:rPr>
      </w:pPr>
      <w:bookmarkStart w:id="293" w:name="_Toc411526694"/>
      <w:bookmarkStart w:id="294" w:name="_Toc14968"/>
      <w:r>
        <w:rPr>
          <w:rFonts w:hint="eastAsia"/>
          <w:sz w:val="24"/>
        </w:rPr>
        <w:t>附录B  委托人派遣的人员和提供的房屋、资料、设备</w:t>
      </w:r>
      <w:bookmarkEnd w:id="293"/>
      <w:bookmarkEnd w:id="294"/>
    </w:p>
    <w:p>
      <w:pPr>
        <w:pStyle w:val="94"/>
        <w:spacing w:beforeLines="50" w:afterLines="50" w:line="360" w:lineRule="auto"/>
        <w:rPr>
          <w:rFonts w:ascii="宋体" w:hAnsi="宋体"/>
          <w:b/>
          <w:kern w:val="0"/>
          <w:szCs w:val="21"/>
        </w:rPr>
      </w:pPr>
      <w:r>
        <w:rPr>
          <w:rFonts w:hint="eastAsia" w:ascii="宋体" w:hAnsi="宋体"/>
          <w:b/>
          <w:kern w:val="0"/>
          <w:szCs w:val="21"/>
        </w:rPr>
        <w:t>B-1  委托人派遣的人员</w:t>
      </w:r>
    </w:p>
    <w:tbl>
      <w:tblPr>
        <w:tblStyle w:val="4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pStyle w:val="94"/>
              <w:spacing w:line="360" w:lineRule="auto"/>
              <w:jc w:val="center"/>
              <w:rPr>
                <w:rFonts w:ascii="宋体" w:hAnsi="宋体"/>
                <w:szCs w:val="21"/>
              </w:rPr>
            </w:pPr>
            <w:r>
              <w:rPr>
                <w:rFonts w:hint="eastAsia" w:ascii="宋体" w:hAnsi="宋体"/>
                <w:szCs w:val="21"/>
              </w:rPr>
              <w:t>名称</w:t>
            </w:r>
          </w:p>
        </w:tc>
        <w:tc>
          <w:tcPr>
            <w:tcW w:w="1770" w:type="dxa"/>
          </w:tcPr>
          <w:p>
            <w:pPr>
              <w:pStyle w:val="94"/>
              <w:spacing w:line="360" w:lineRule="auto"/>
              <w:jc w:val="center"/>
              <w:rPr>
                <w:rFonts w:ascii="宋体" w:hAnsi="宋体"/>
                <w:szCs w:val="21"/>
              </w:rPr>
            </w:pPr>
            <w:r>
              <w:rPr>
                <w:rFonts w:hint="eastAsia" w:ascii="宋体" w:hAnsi="宋体"/>
                <w:szCs w:val="21"/>
              </w:rPr>
              <w:t>数量</w:t>
            </w:r>
          </w:p>
        </w:tc>
        <w:tc>
          <w:tcPr>
            <w:tcW w:w="2130" w:type="dxa"/>
          </w:tcPr>
          <w:p>
            <w:pPr>
              <w:pStyle w:val="94"/>
              <w:spacing w:line="360" w:lineRule="auto"/>
              <w:jc w:val="center"/>
              <w:rPr>
                <w:rFonts w:ascii="宋体" w:hAnsi="宋体"/>
                <w:szCs w:val="21"/>
              </w:rPr>
            </w:pPr>
            <w:r>
              <w:rPr>
                <w:rFonts w:hint="eastAsia" w:ascii="宋体" w:hAnsi="宋体"/>
                <w:szCs w:val="21"/>
              </w:rPr>
              <w:t>工作要求</w:t>
            </w:r>
          </w:p>
        </w:tc>
        <w:tc>
          <w:tcPr>
            <w:tcW w:w="1860" w:type="dxa"/>
          </w:tcPr>
          <w:p>
            <w:pPr>
              <w:pStyle w:val="94"/>
              <w:spacing w:line="360" w:lineRule="auto"/>
              <w:jc w:val="center"/>
              <w:rPr>
                <w:rFonts w:ascii="宋体" w:hAnsi="宋体"/>
                <w:szCs w:val="21"/>
              </w:rPr>
            </w:pPr>
            <w:r>
              <w:rPr>
                <w:rFonts w:hint="eastAsia" w:ascii="宋体" w:hAnsi="宋体"/>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pStyle w:val="94"/>
              <w:spacing w:line="360" w:lineRule="auto"/>
              <w:rPr>
                <w:rFonts w:ascii="宋体" w:hAnsi="宋体"/>
                <w:szCs w:val="21"/>
              </w:rPr>
            </w:pPr>
            <w:r>
              <w:rPr>
                <w:rFonts w:hint="eastAsia" w:ascii="宋体" w:hAnsi="宋体"/>
                <w:szCs w:val="21"/>
              </w:rPr>
              <w:t>1. 工程技术人员</w:t>
            </w:r>
          </w:p>
        </w:tc>
        <w:tc>
          <w:tcPr>
            <w:tcW w:w="1770" w:type="dxa"/>
          </w:tcPr>
          <w:p>
            <w:pPr>
              <w:pStyle w:val="94"/>
              <w:spacing w:line="360" w:lineRule="auto"/>
              <w:rPr>
                <w:rFonts w:ascii="宋体" w:hAnsi="宋体"/>
                <w:szCs w:val="21"/>
              </w:rPr>
            </w:pPr>
          </w:p>
        </w:tc>
        <w:tc>
          <w:tcPr>
            <w:tcW w:w="2130" w:type="dxa"/>
          </w:tcPr>
          <w:p>
            <w:pPr>
              <w:pStyle w:val="94"/>
              <w:spacing w:line="360" w:lineRule="auto"/>
              <w:rPr>
                <w:rFonts w:ascii="宋体" w:hAnsi="宋体"/>
                <w:szCs w:val="21"/>
              </w:rPr>
            </w:pPr>
          </w:p>
        </w:tc>
        <w:tc>
          <w:tcPr>
            <w:tcW w:w="1860" w:type="dxa"/>
          </w:tcPr>
          <w:p>
            <w:pPr>
              <w:pStyle w:val="94"/>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pStyle w:val="94"/>
              <w:spacing w:line="360" w:lineRule="auto"/>
              <w:rPr>
                <w:rFonts w:ascii="宋体" w:hAnsi="宋体"/>
                <w:szCs w:val="21"/>
              </w:rPr>
            </w:pPr>
            <w:r>
              <w:rPr>
                <w:rFonts w:hint="eastAsia" w:ascii="宋体" w:hAnsi="宋体"/>
                <w:szCs w:val="21"/>
              </w:rPr>
              <w:t>2. 辅助工作人员</w:t>
            </w:r>
          </w:p>
        </w:tc>
        <w:tc>
          <w:tcPr>
            <w:tcW w:w="1770" w:type="dxa"/>
          </w:tcPr>
          <w:p>
            <w:pPr>
              <w:pStyle w:val="94"/>
              <w:spacing w:line="360" w:lineRule="auto"/>
              <w:rPr>
                <w:rFonts w:ascii="宋体" w:hAnsi="宋体"/>
                <w:szCs w:val="21"/>
              </w:rPr>
            </w:pPr>
          </w:p>
        </w:tc>
        <w:tc>
          <w:tcPr>
            <w:tcW w:w="2130" w:type="dxa"/>
          </w:tcPr>
          <w:p>
            <w:pPr>
              <w:pStyle w:val="94"/>
              <w:spacing w:line="360" w:lineRule="auto"/>
              <w:rPr>
                <w:rFonts w:ascii="宋体" w:hAnsi="宋体"/>
                <w:szCs w:val="21"/>
              </w:rPr>
            </w:pPr>
          </w:p>
        </w:tc>
        <w:tc>
          <w:tcPr>
            <w:tcW w:w="1860" w:type="dxa"/>
          </w:tcPr>
          <w:p>
            <w:pPr>
              <w:pStyle w:val="94"/>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pStyle w:val="94"/>
              <w:spacing w:line="360" w:lineRule="auto"/>
              <w:rPr>
                <w:rFonts w:ascii="宋体" w:hAnsi="宋体"/>
                <w:szCs w:val="21"/>
              </w:rPr>
            </w:pPr>
            <w:r>
              <w:rPr>
                <w:rFonts w:hint="eastAsia" w:ascii="宋体" w:hAnsi="宋体"/>
                <w:szCs w:val="21"/>
              </w:rPr>
              <w:t>3. 其他人员</w:t>
            </w:r>
          </w:p>
        </w:tc>
        <w:tc>
          <w:tcPr>
            <w:tcW w:w="1770" w:type="dxa"/>
          </w:tcPr>
          <w:p>
            <w:pPr>
              <w:pStyle w:val="94"/>
              <w:spacing w:line="360" w:lineRule="auto"/>
              <w:rPr>
                <w:rFonts w:ascii="宋体" w:hAnsi="宋体"/>
                <w:szCs w:val="21"/>
              </w:rPr>
            </w:pPr>
          </w:p>
        </w:tc>
        <w:tc>
          <w:tcPr>
            <w:tcW w:w="2130" w:type="dxa"/>
          </w:tcPr>
          <w:p>
            <w:pPr>
              <w:pStyle w:val="94"/>
              <w:spacing w:line="360" w:lineRule="auto"/>
              <w:rPr>
                <w:rFonts w:ascii="宋体" w:hAnsi="宋体"/>
                <w:szCs w:val="21"/>
              </w:rPr>
            </w:pPr>
          </w:p>
        </w:tc>
        <w:tc>
          <w:tcPr>
            <w:tcW w:w="1860" w:type="dxa"/>
          </w:tcPr>
          <w:p>
            <w:pPr>
              <w:pStyle w:val="94"/>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pStyle w:val="94"/>
              <w:spacing w:line="360" w:lineRule="auto"/>
              <w:rPr>
                <w:rFonts w:ascii="宋体" w:hAnsi="宋体"/>
                <w:szCs w:val="21"/>
              </w:rPr>
            </w:pPr>
          </w:p>
        </w:tc>
        <w:tc>
          <w:tcPr>
            <w:tcW w:w="1770" w:type="dxa"/>
          </w:tcPr>
          <w:p>
            <w:pPr>
              <w:pStyle w:val="94"/>
              <w:spacing w:line="360" w:lineRule="auto"/>
              <w:rPr>
                <w:rFonts w:ascii="宋体" w:hAnsi="宋体"/>
                <w:szCs w:val="21"/>
              </w:rPr>
            </w:pPr>
          </w:p>
        </w:tc>
        <w:tc>
          <w:tcPr>
            <w:tcW w:w="2130" w:type="dxa"/>
          </w:tcPr>
          <w:p>
            <w:pPr>
              <w:pStyle w:val="94"/>
              <w:spacing w:line="360" w:lineRule="auto"/>
              <w:rPr>
                <w:rFonts w:ascii="宋体" w:hAnsi="宋体"/>
                <w:szCs w:val="21"/>
              </w:rPr>
            </w:pPr>
          </w:p>
        </w:tc>
        <w:tc>
          <w:tcPr>
            <w:tcW w:w="1860" w:type="dxa"/>
          </w:tcPr>
          <w:p>
            <w:pPr>
              <w:pStyle w:val="94"/>
              <w:spacing w:line="360" w:lineRule="auto"/>
              <w:rPr>
                <w:rFonts w:ascii="宋体" w:hAnsi="宋体"/>
                <w:szCs w:val="21"/>
              </w:rPr>
            </w:pPr>
          </w:p>
        </w:tc>
      </w:tr>
    </w:tbl>
    <w:p>
      <w:pPr>
        <w:pStyle w:val="94"/>
      </w:pPr>
      <w:bookmarkStart w:id="295" w:name="_Toc392940993"/>
    </w:p>
    <w:p>
      <w:pPr>
        <w:pStyle w:val="94"/>
      </w:pPr>
    </w:p>
    <w:p>
      <w:pPr>
        <w:pStyle w:val="94"/>
      </w:pPr>
    </w:p>
    <w:p>
      <w:pPr>
        <w:pStyle w:val="94"/>
        <w:spacing w:afterLines="100"/>
        <w:rPr>
          <w:b/>
        </w:rPr>
      </w:pPr>
      <w:r>
        <w:rPr>
          <w:rFonts w:hint="eastAsia"/>
          <w:b/>
        </w:rPr>
        <w:t>B-2  委托人提供的房屋</w:t>
      </w:r>
      <w:bookmarkEnd w:id="295"/>
    </w:p>
    <w:tbl>
      <w:tblPr>
        <w:tblStyle w:val="4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pStyle w:val="94"/>
              <w:spacing w:line="360" w:lineRule="auto"/>
              <w:jc w:val="center"/>
              <w:rPr>
                <w:rFonts w:ascii="宋体" w:hAnsi="宋体"/>
                <w:szCs w:val="21"/>
              </w:rPr>
            </w:pPr>
            <w:r>
              <w:rPr>
                <w:rFonts w:hint="eastAsia" w:ascii="宋体" w:hAnsi="宋体"/>
                <w:szCs w:val="21"/>
              </w:rPr>
              <w:t>名称</w:t>
            </w:r>
          </w:p>
        </w:tc>
        <w:tc>
          <w:tcPr>
            <w:tcW w:w="2130" w:type="dxa"/>
          </w:tcPr>
          <w:p>
            <w:pPr>
              <w:pStyle w:val="94"/>
              <w:spacing w:line="360" w:lineRule="auto"/>
              <w:jc w:val="center"/>
              <w:rPr>
                <w:rFonts w:ascii="宋体" w:hAnsi="宋体"/>
                <w:szCs w:val="21"/>
              </w:rPr>
            </w:pPr>
            <w:r>
              <w:rPr>
                <w:rFonts w:hint="eastAsia" w:ascii="宋体" w:hAnsi="宋体"/>
                <w:szCs w:val="21"/>
              </w:rPr>
              <w:t>数量</w:t>
            </w:r>
          </w:p>
        </w:tc>
        <w:tc>
          <w:tcPr>
            <w:tcW w:w="2130" w:type="dxa"/>
          </w:tcPr>
          <w:p>
            <w:pPr>
              <w:pStyle w:val="94"/>
              <w:spacing w:line="360" w:lineRule="auto"/>
              <w:jc w:val="center"/>
              <w:rPr>
                <w:rFonts w:ascii="宋体" w:hAnsi="宋体"/>
                <w:szCs w:val="21"/>
              </w:rPr>
            </w:pPr>
            <w:r>
              <w:rPr>
                <w:rFonts w:hint="eastAsia" w:ascii="宋体" w:hAnsi="宋体"/>
                <w:szCs w:val="21"/>
              </w:rPr>
              <w:t>面积</w:t>
            </w:r>
          </w:p>
        </w:tc>
        <w:tc>
          <w:tcPr>
            <w:tcW w:w="1860" w:type="dxa"/>
          </w:tcPr>
          <w:p>
            <w:pPr>
              <w:pStyle w:val="94"/>
              <w:spacing w:line="360" w:lineRule="auto"/>
              <w:jc w:val="center"/>
              <w:rPr>
                <w:rFonts w:ascii="宋体" w:hAnsi="宋体"/>
                <w:szCs w:val="21"/>
              </w:rPr>
            </w:pPr>
            <w:r>
              <w:rPr>
                <w:rFonts w:hint="eastAsia" w:ascii="宋体" w:hAnsi="宋体"/>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pStyle w:val="94"/>
              <w:spacing w:line="360" w:lineRule="auto"/>
              <w:rPr>
                <w:rFonts w:ascii="宋体" w:hAnsi="宋体"/>
                <w:szCs w:val="21"/>
              </w:rPr>
            </w:pPr>
            <w:r>
              <w:rPr>
                <w:rFonts w:hint="eastAsia" w:ascii="宋体" w:hAnsi="宋体"/>
                <w:szCs w:val="21"/>
              </w:rPr>
              <w:t>1. 办公用房</w:t>
            </w:r>
          </w:p>
        </w:tc>
        <w:tc>
          <w:tcPr>
            <w:tcW w:w="2130" w:type="dxa"/>
          </w:tcPr>
          <w:p>
            <w:pPr>
              <w:pStyle w:val="94"/>
              <w:spacing w:line="360" w:lineRule="auto"/>
              <w:ind w:firstLine="210" w:firstLineChars="100"/>
              <w:rPr>
                <w:rFonts w:ascii="宋体" w:hAnsi="宋体"/>
                <w:szCs w:val="21"/>
              </w:rPr>
            </w:pPr>
          </w:p>
        </w:tc>
        <w:tc>
          <w:tcPr>
            <w:tcW w:w="2130" w:type="dxa"/>
          </w:tcPr>
          <w:p>
            <w:pPr>
              <w:pStyle w:val="94"/>
              <w:spacing w:line="360" w:lineRule="auto"/>
              <w:ind w:firstLine="210" w:firstLineChars="100"/>
              <w:rPr>
                <w:rFonts w:ascii="宋体" w:hAnsi="宋体"/>
                <w:szCs w:val="21"/>
              </w:rPr>
            </w:pPr>
          </w:p>
        </w:tc>
        <w:tc>
          <w:tcPr>
            <w:tcW w:w="1860" w:type="dxa"/>
          </w:tcPr>
          <w:p>
            <w:pPr>
              <w:pStyle w:val="94"/>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pStyle w:val="94"/>
              <w:spacing w:line="360" w:lineRule="auto"/>
              <w:rPr>
                <w:rFonts w:ascii="宋体" w:hAnsi="宋体"/>
                <w:szCs w:val="21"/>
              </w:rPr>
            </w:pPr>
            <w:r>
              <w:rPr>
                <w:rFonts w:hint="eastAsia" w:ascii="宋体" w:hAnsi="宋体"/>
                <w:szCs w:val="21"/>
              </w:rPr>
              <w:t>2. 生活用房</w:t>
            </w:r>
          </w:p>
        </w:tc>
        <w:tc>
          <w:tcPr>
            <w:tcW w:w="2130" w:type="dxa"/>
          </w:tcPr>
          <w:p>
            <w:pPr>
              <w:pStyle w:val="94"/>
              <w:spacing w:line="360" w:lineRule="auto"/>
              <w:rPr>
                <w:rFonts w:ascii="宋体" w:hAnsi="宋体"/>
                <w:szCs w:val="21"/>
              </w:rPr>
            </w:pPr>
          </w:p>
        </w:tc>
        <w:tc>
          <w:tcPr>
            <w:tcW w:w="2130" w:type="dxa"/>
          </w:tcPr>
          <w:p>
            <w:pPr>
              <w:pStyle w:val="94"/>
              <w:spacing w:line="360" w:lineRule="auto"/>
              <w:rPr>
                <w:rFonts w:ascii="宋体" w:hAnsi="宋体"/>
                <w:szCs w:val="21"/>
              </w:rPr>
            </w:pPr>
          </w:p>
        </w:tc>
        <w:tc>
          <w:tcPr>
            <w:tcW w:w="1860" w:type="dxa"/>
          </w:tcPr>
          <w:p>
            <w:pPr>
              <w:pStyle w:val="94"/>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pStyle w:val="94"/>
              <w:spacing w:line="360" w:lineRule="auto"/>
              <w:rPr>
                <w:rFonts w:ascii="宋体" w:hAnsi="宋体"/>
                <w:dstrike/>
                <w:szCs w:val="21"/>
              </w:rPr>
            </w:pPr>
            <w:r>
              <w:rPr>
                <w:rFonts w:hint="eastAsia" w:ascii="宋体" w:hAnsi="宋体"/>
                <w:szCs w:val="21"/>
              </w:rPr>
              <w:t>3. 试验用房</w:t>
            </w:r>
          </w:p>
        </w:tc>
        <w:tc>
          <w:tcPr>
            <w:tcW w:w="2130" w:type="dxa"/>
          </w:tcPr>
          <w:p>
            <w:pPr>
              <w:pStyle w:val="94"/>
              <w:spacing w:line="360" w:lineRule="auto"/>
              <w:rPr>
                <w:rFonts w:ascii="宋体" w:hAnsi="宋体"/>
                <w:szCs w:val="21"/>
              </w:rPr>
            </w:pPr>
          </w:p>
        </w:tc>
        <w:tc>
          <w:tcPr>
            <w:tcW w:w="2130" w:type="dxa"/>
          </w:tcPr>
          <w:p>
            <w:pPr>
              <w:pStyle w:val="94"/>
              <w:spacing w:line="360" w:lineRule="auto"/>
              <w:rPr>
                <w:rFonts w:ascii="宋体" w:hAnsi="宋体"/>
                <w:szCs w:val="21"/>
              </w:rPr>
            </w:pPr>
          </w:p>
        </w:tc>
        <w:tc>
          <w:tcPr>
            <w:tcW w:w="1860" w:type="dxa"/>
          </w:tcPr>
          <w:p>
            <w:pPr>
              <w:pStyle w:val="94"/>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pStyle w:val="94"/>
              <w:spacing w:line="360" w:lineRule="auto"/>
              <w:rPr>
                <w:rFonts w:ascii="宋体" w:hAnsi="宋体"/>
                <w:szCs w:val="21"/>
              </w:rPr>
            </w:pPr>
            <w:r>
              <w:rPr>
                <w:rFonts w:hint="eastAsia" w:ascii="宋体" w:hAnsi="宋体"/>
                <w:szCs w:val="21"/>
              </w:rPr>
              <w:t>4. 样品用房</w:t>
            </w:r>
          </w:p>
        </w:tc>
        <w:tc>
          <w:tcPr>
            <w:tcW w:w="2130" w:type="dxa"/>
          </w:tcPr>
          <w:p>
            <w:pPr>
              <w:pStyle w:val="94"/>
              <w:spacing w:line="360" w:lineRule="auto"/>
              <w:rPr>
                <w:rFonts w:ascii="宋体" w:hAnsi="宋体"/>
                <w:szCs w:val="21"/>
              </w:rPr>
            </w:pPr>
          </w:p>
        </w:tc>
        <w:tc>
          <w:tcPr>
            <w:tcW w:w="2130" w:type="dxa"/>
          </w:tcPr>
          <w:p>
            <w:pPr>
              <w:pStyle w:val="94"/>
              <w:spacing w:line="360" w:lineRule="auto"/>
              <w:rPr>
                <w:rFonts w:ascii="宋体" w:hAnsi="宋体"/>
                <w:szCs w:val="21"/>
              </w:rPr>
            </w:pPr>
          </w:p>
        </w:tc>
        <w:tc>
          <w:tcPr>
            <w:tcW w:w="1860" w:type="dxa"/>
          </w:tcPr>
          <w:p>
            <w:pPr>
              <w:pStyle w:val="94"/>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pStyle w:val="94"/>
              <w:spacing w:line="360" w:lineRule="auto"/>
              <w:rPr>
                <w:rFonts w:ascii="宋体" w:hAnsi="宋体"/>
                <w:szCs w:val="21"/>
              </w:rPr>
            </w:pPr>
          </w:p>
        </w:tc>
        <w:tc>
          <w:tcPr>
            <w:tcW w:w="2130" w:type="dxa"/>
          </w:tcPr>
          <w:p>
            <w:pPr>
              <w:pStyle w:val="94"/>
              <w:spacing w:line="360" w:lineRule="auto"/>
              <w:rPr>
                <w:rFonts w:ascii="宋体" w:hAnsi="宋体"/>
                <w:szCs w:val="21"/>
              </w:rPr>
            </w:pPr>
          </w:p>
        </w:tc>
        <w:tc>
          <w:tcPr>
            <w:tcW w:w="2130" w:type="dxa"/>
          </w:tcPr>
          <w:p>
            <w:pPr>
              <w:pStyle w:val="94"/>
              <w:spacing w:line="360" w:lineRule="auto"/>
              <w:rPr>
                <w:rFonts w:ascii="宋体" w:hAnsi="宋体"/>
                <w:szCs w:val="21"/>
              </w:rPr>
            </w:pPr>
          </w:p>
        </w:tc>
        <w:tc>
          <w:tcPr>
            <w:tcW w:w="1860" w:type="dxa"/>
          </w:tcPr>
          <w:p>
            <w:pPr>
              <w:pStyle w:val="94"/>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pStyle w:val="94"/>
              <w:spacing w:line="360" w:lineRule="auto"/>
              <w:rPr>
                <w:rFonts w:ascii="宋体" w:hAnsi="宋体"/>
                <w:szCs w:val="21"/>
              </w:rPr>
            </w:pPr>
            <w:r>
              <w:rPr>
                <w:rFonts w:hint="eastAsia" w:ascii="宋体" w:hAnsi="宋体"/>
                <w:szCs w:val="21"/>
              </w:rPr>
              <w:t>用餐及其他生活条件</w:t>
            </w:r>
          </w:p>
        </w:tc>
        <w:tc>
          <w:tcPr>
            <w:tcW w:w="6120" w:type="dxa"/>
            <w:gridSpan w:val="3"/>
          </w:tcPr>
          <w:p>
            <w:pPr>
              <w:pStyle w:val="94"/>
              <w:spacing w:line="360" w:lineRule="auto"/>
              <w:rPr>
                <w:rFonts w:ascii="宋体" w:hAnsi="宋体"/>
                <w:szCs w:val="21"/>
              </w:rPr>
            </w:pPr>
          </w:p>
        </w:tc>
      </w:tr>
    </w:tbl>
    <w:p>
      <w:pPr>
        <w:pStyle w:val="94"/>
        <w:spacing w:beforeLines="50" w:line="360" w:lineRule="auto"/>
        <w:outlineLvl w:val="0"/>
        <w:rPr>
          <w:rFonts w:ascii="宋体" w:hAnsi="宋体"/>
          <w:b/>
          <w:kern w:val="0"/>
          <w:szCs w:val="21"/>
        </w:rPr>
      </w:pPr>
      <w:bookmarkStart w:id="296" w:name="_Toc392940994"/>
    </w:p>
    <w:p>
      <w:pPr>
        <w:pStyle w:val="94"/>
        <w:spacing w:beforeLines="50" w:line="360" w:lineRule="auto"/>
        <w:outlineLvl w:val="0"/>
        <w:rPr>
          <w:rFonts w:ascii="宋体" w:hAnsi="宋体"/>
          <w:b/>
          <w:kern w:val="0"/>
          <w:szCs w:val="21"/>
        </w:rPr>
      </w:pPr>
    </w:p>
    <w:p>
      <w:pPr>
        <w:pStyle w:val="94"/>
        <w:spacing w:beforeLines="50" w:line="360" w:lineRule="auto"/>
        <w:outlineLvl w:val="0"/>
        <w:rPr>
          <w:rFonts w:ascii="宋体" w:hAnsi="宋体"/>
          <w:b/>
          <w:kern w:val="0"/>
          <w:szCs w:val="21"/>
        </w:rPr>
      </w:pPr>
    </w:p>
    <w:p>
      <w:pPr>
        <w:pStyle w:val="94"/>
        <w:spacing w:afterLines="100"/>
        <w:rPr>
          <w:b/>
        </w:rPr>
      </w:pPr>
      <w:r>
        <w:rPr>
          <w:rFonts w:hint="eastAsia"/>
          <w:b/>
        </w:rPr>
        <w:t>B-3  委托人提供的资料</w:t>
      </w:r>
      <w:bookmarkEnd w:id="296"/>
    </w:p>
    <w:tbl>
      <w:tblPr>
        <w:tblStyle w:val="4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pStyle w:val="94"/>
              <w:spacing w:line="360" w:lineRule="auto"/>
              <w:jc w:val="center"/>
              <w:rPr>
                <w:rFonts w:ascii="宋体" w:hAnsi="宋体"/>
                <w:kern w:val="0"/>
                <w:szCs w:val="21"/>
              </w:rPr>
            </w:pPr>
            <w:r>
              <w:rPr>
                <w:rFonts w:hint="eastAsia" w:ascii="宋体" w:hAnsi="宋体"/>
                <w:kern w:val="0"/>
                <w:szCs w:val="21"/>
              </w:rPr>
              <w:t>名称</w:t>
            </w:r>
          </w:p>
        </w:tc>
        <w:tc>
          <w:tcPr>
            <w:tcW w:w="1491" w:type="dxa"/>
            <w:vAlign w:val="center"/>
          </w:tcPr>
          <w:p>
            <w:pPr>
              <w:pStyle w:val="94"/>
              <w:spacing w:line="360" w:lineRule="auto"/>
              <w:jc w:val="center"/>
              <w:rPr>
                <w:rFonts w:ascii="宋体" w:hAnsi="宋体"/>
                <w:kern w:val="0"/>
                <w:szCs w:val="21"/>
              </w:rPr>
            </w:pPr>
            <w:r>
              <w:rPr>
                <w:rFonts w:hint="eastAsia" w:ascii="宋体" w:hAnsi="宋体"/>
                <w:kern w:val="0"/>
                <w:szCs w:val="21"/>
              </w:rPr>
              <w:t>份数</w:t>
            </w:r>
          </w:p>
        </w:tc>
        <w:tc>
          <w:tcPr>
            <w:tcW w:w="2147" w:type="dxa"/>
            <w:vAlign w:val="center"/>
          </w:tcPr>
          <w:p>
            <w:pPr>
              <w:pStyle w:val="94"/>
              <w:spacing w:line="360" w:lineRule="auto"/>
              <w:jc w:val="center"/>
              <w:rPr>
                <w:rFonts w:ascii="宋体" w:hAnsi="宋体"/>
                <w:kern w:val="0"/>
                <w:szCs w:val="21"/>
              </w:rPr>
            </w:pPr>
            <w:r>
              <w:rPr>
                <w:rFonts w:hint="eastAsia" w:ascii="宋体" w:hAnsi="宋体"/>
                <w:kern w:val="0"/>
                <w:szCs w:val="21"/>
              </w:rPr>
              <w:t>提供时间</w:t>
            </w:r>
          </w:p>
        </w:tc>
        <w:tc>
          <w:tcPr>
            <w:tcW w:w="2082" w:type="dxa"/>
            <w:vAlign w:val="center"/>
          </w:tcPr>
          <w:p>
            <w:pPr>
              <w:pStyle w:val="94"/>
              <w:spacing w:line="360" w:lineRule="auto"/>
              <w:jc w:val="center"/>
              <w:rPr>
                <w:rFonts w:ascii="宋体" w:hAnsi="宋体"/>
                <w:kern w:val="0"/>
                <w:szCs w:val="21"/>
              </w:rPr>
            </w:pPr>
            <w:r>
              <w:rPr>
                <w:rFonts w:hint="eastAsia"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pStyle w:val="94"/>
              <w:spacing w:line="360" w:lineRule="auto"/>
              <w:rPr>
                <w:rFonts w:ascii="宋体" w:hAnsi="宋体"/>
                <w:kern w:val="0"/>
                <w:szCs w:val="21"/>
              </w:rPr>
            </w:pPr>
            <w:r>
              <w:rPr>
                <w:rFonts w:hint="eastAsia" w:ascii="宋体" w:hAnsi="宋体"/>
                <w:kern w:val="0"/>
                <w:szCs w:val="21"/>
              </w:rPr>
              <w:t>1. 工程立项文件</w:t>
            </w:r>
          </w:p>
        </w:tc>
        <w:tc>
          <w:tcPr>
            <w:tcW w:w="1491" w:type="dxa"/>
            <w:vAlign w:val="center"/>
          </w:tcPr>
          <w:p>
            <w:pPr>
              <w:pStyle w:val="94"/>
              <w:spacing w:line="360" w:lineRule="auto"/>
              <w:rPr>
                <w:rFonts w:ascii="宋体" w:hAnsi="宋体"/>
                <w:kern w:val="0"/>
                <w:szCs w:val="21"/>
              </w:rPr>
            </w:pPr>
          </w:p>
        </w:tc>
        <w:tc>
          <w:tcPr>
            <w:tcW w:w="2147" w:type="dxa"/>
            <w:vAlign w:val="center"/>
          </w:tcPr>
          <w:p>
            <w:pPr>
              <w:pStyle w:val="94"/>
              <w:spacing w:line="360" w:lineRule="auto"/>
              <w:rPr>
                <w:rFonts w:ascii="宋体" w:hAnsi="宋体"/>
                <w:kern w:val="0"/>
                <w:szCs w:val="21"/>
              </w:rPr>
            </w:pPr>
          </w:p>
        </w:tc>
        <w:tc>
          <w:tcPr>
            <w:tcW w:w="2082" w:type="dxa"/>
            <w:vAlign w:val="center"/>
          </w:tcPr>
          <w:p>
            <w:pPr>
              <w:pStyle w:val="94"/>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pStyle w:val="94"/>
              <w:spacing w:line="360" w:lineRule="auto"/>
              <w:rPr>
                <w:rFonts w:ascii="宋体" w:hAnsi="宋体"/>
                <w:kern w:val="0"/>
                <w:szCs w:val="21"/>
              </w:rPr>
            </w:pPr>
            <w:r>
              <w:rPr>
                <w:rFonts w:hint="eastAsia" w:ascii="宋体" w:hAnsi="宋体"/>
                <w:kern w:val="0"/>
                <w:szCs w:val="21"/>
              </w:rPr>
              <w:t>2. 工程勘察文件</w:t>
            </w:r>
          </w:p>
        </w:tc>
        <w:tc>
          <w:tcPr>
            <w:tcW w:w="1491" w:type="dxa"/>
            <w:vAlign w:val="center"/>
          </w:tcPr>
          <w:p>
            <w:pPr>
              <w:pStyle w:val="94"/>
              <w:spacing w:line="360" w:lineRule="auto"/>
              <w:rPr>
                <w:rFonts w:ascii="宋体" w:hAnsi="宋体"/>
                <w:kern w:val="0"/>
                <w:szCs w:val="21"/>
              </w:rPr>
            </w:pPr>
          </w:p>
        </w:tc>
        <w:tc>
          <w:tcPr>
            <w:tcW w:w="2147" w:type="dxa"/>
            <w:vAlign w:val="center"/>
          </w:tcPr>
          <w:p>
            <w:pPr>
              <w:pStyle w:val="94"/>
              <w:spacing w:line="360" w:lineRule="auto"/>
              <w:rPr>
                <w:rFonts w:ascii="宋体" w:hAnsi="宋体"/>
                <w:kern w:val="0"/>
                <w:szCs w:val="21"/>
              </w:rPr>
            </w:pPr>
          </w:p>
        </w:tc>
        <w:tc>
          <w:tcPr>
            <w:tcW w:w="2082" w:type="dxa"/>
            <w:vAlign w:val="center"/>
          </w:tcPr>
          <w:p>
            <w:pPr>
              <w:pStyle w:val="94"/>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pStyle w:val="94"/>
              <w:spacing w:line="360" w:lineRule="auto"/>
              <w:rPr>
                <w:rFonts w:ascii="宋体" w:hAnsi="宋体"/>
                <w:kern w:val="0"/>
                <w:szCs w:val="21"/>
              </w:rPr>
            </w:pPr>
            <w:r>
              <w:rPr>
                <w:rFonts w:hint="eastAsia" w:ascii="宋体" w:hAnsi="宋体"/>
                <w:kern w:val="0"/>
                <w:szCs w:val="21"/>
              </w:rPr>
              <w:t>3. 工程设计及施工图纸</w:t>
            </w:r>
          </w:p>
        </w:tc>
        <w:tc>
          <w:tcPr>
            <w:tcW w:w="1491" w:type="dxa"/>
            <w:vAlign w:val="center"/>
          </w:tcPr>
          <w:p>
            <w:pPr>
              <w:pStyle w:val="94"/>
              <w:spacing w:line="360" w:lineRule="auto"/>
              <w:rPr>
                <w:rFonts w:ascii="宋体" w:hAnsi="宋体"/>
                <w:kern w:val="0"/>
                <w:szCs w:val="21"/>
              </w:rPr>
            </w:pPr>
          </w:p>
        </w:tc>
        <w:tc>
          <w:tcPr>
            <w:tcW w:w="2147" w:type="dxa"/>
            <w:vAlign w:val="center"/>
          </w:tcPr>
          <w:p>
            <w:pPr>
              <w:pStyle w:val="94"/>
              <w:spacing w:line="360" w:lineRule="auto"/>
              <w:rPr>
                <w:rFonts w:ascii="宋体" w:hAnsi="宋体"/>
                <w:kern w:val="0"/>
                <w:szCs w:val="21"/>
              </w:rPr>
            </w:pPr>
          </w:p>
        </w:tc>
        <w:tc>
          <w:tcPr>
            <w:tcW w:w="2082" w:type="dxa"/>
            <w:vAlign w:val="center"/>
          </w:tcPr>
          <w:p>
            <w:pPr>
              <w:pStyle w:val="94"/>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pStyle w:val="94"/>
              <w:spacing w:line="360" w:lineRule="auto"/>
              <w:rPr>
                <w:rFonts w:ascii="宋体" w:hAnsi="宋体"/>
                <w:kern w:val="0"/>
                <w:szCs w:val="21"/>
              </w:rPr>
            </w:pPr>
            <w:r>
              <w:rPr>
                <w:rFonts w:hint="eastAsia" w:ascii="宋体" w:hAnsi="宋体"/>
                <w:kern w:val="0"/>
                <w:szCs w:val="21"/>
              </w:rPr>
              <w:t>4. 工程承包合同及其他相关合同</w:t>
            </w:r>
          </w:p>
        </w:tc>
        <w:tc>
          <w:tcPr>
            <w:tcW w:w="1491" w:type="dxa"/>
            <w:vAlign w:val="center"/>
          </w:tcPr>
          <w:p>
            <w:pPr>
              <w:pStyle w:val="94"/>
              <w:spacing w:line="360" w:lineRule="auto"/>
              <w:rPr>
                <w:rFonts w:ascii="宋体" w:hAnsi="宋体"/>
                <w:kern w:val="0"/>
                <w:szCs w:val="21"/>
              </w:rPr>
            </w:pPr>
          </w:p>
        </w:tc>
        <w:tc>
          <w:tcPr>
            <w:tcW w:w="2147" w:type="dxa"/>
            <w:vAlign w:val="center"/>
          </w:tcPr>
          <w:p>
            <w:pPr>
              <w:pStyle w:val="94"/>
              <w:spacing w:line="360" w:lineRule="auto"/>
              <w:rPr>
                <w:rFonts w:ascii="宋体" w:hAnsi="宋体"/>
                <w:kern w:val="0"/>
                <w:szCs w:val="21"/>
              </w:rPr>
            </w:pPr>
          </w:p>
        </w:tc>
        <w:tc>
          <w:tcPr>
            <w:tcW w:w="2082" w:type="dxa"/>
            <w:vAlign w:val="center"/>
          </w:tcPr>
          <w:p>
            <w:pPr>
              <w:pStyle w:val="94"/>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pStyle w:val="94"/>
              <w:spacing w:line="360" w:lineRule="auto"/>
              <w:rPr>
                <w:rFonts w:ascii="宋体" w:hAnsi="宋体"/>
                <w:kern w:val="0"/>
                <w:szCs w:val="21"/>
              </w:rPr>
            </w:pPr>
            <w:r>
              <w:rPr>
                <w:rFonts w:hint="eastAsia" w:ascii="宋体" w:hAnsi="宋体"/>
                <w:kern w:val="0"/>
                <w:szCs w:val="21"/>
              </w:rPr>
              <w:t>5. 施工许可文件</w:t>
            </w:r>
          </w:p>
        </w:tc>
        <w:tc>
          <w:tcPr>
            <w:tcW w:w="1491" w:type="dxa"/>
            <w:vAlign w:val="center"/>
          </w:tcPr>
          <w:p>
            <w:pPr>
              <w:pStyle w:val="94"/>
              <w:spacing w:line="360" w:lineRule="auto"/>
              <w:rPr>
                <w:rFonts w:ascii="宋体" w:hAnsi="宋体"/>
                <w:kern w:val="0"/>
                <w:szCs w:val="21"/>
              </w:rPr>
            </w:pPr>
          </w:p>
        </w:tc>
        <w:tc>
          <w:tcPr>
            <w:tcW w:w="2147" w:type="dxa"/>
            <w:vAlign w:val="center"/>
          </w:tcPr>
          <w:p>
            <w:pPr>
              <w:pStyle w:val="94"/>
              <w:spacing w:line="360" w:lineRule="auto"/>
              <w:rPr>
                <w:rFonts w:ascii="宋体" w:hAnsi="宋体"/>
                <w:kern w:val="0"/>
                <w:szCs w:val="21"/>
              </w:rPr>
            </w:pPr>
          </w:p>
        </w:tc>
        <w:tc>
          <w:tcPr>
            <w:tcW w:w="2082" w:type="dxa"/>
            <w:vAlign w:val="center"/>
          </w:tcPr>
          <w:p>
            <w:pPr>
              <w:pStyle w:val="94"/>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pStyle w:val="94"/>
              <w:spacing w:line="360" w:lineRule="auto"/>
              <w:rPr>
                <w:rFonts w:ascii="宋体" w:hAnsi="宋体"/>
                <w:kern w:val="0"/>
                <w:szCs w:val="21"/>
              </w:rPr>
            </w:pPr>
            <w:r>
              <w:rPr>
                <w:rFonts w:hint="eastAsia" w:ascii="宋体" w:hAnsi="宋体"/>
                <w:kern w:val="0"/>
                <w:szCs w:val="21"/>
              </w:rPr>
              <w:t>6. 其他文件</w:t>
            </w:r>
          </w:p>
        </w:tc>
        <w:tc>
          <w:tcPr>
            <w:tcW w:w="1491" w:type="dxa"/>
            <w:vAlign w:val="center"/>
          </w:tcPr>
          <w:p>
            <w:pPr>
              <w:pStyle w:val="94"/>
              <w:spacing w:line="360" w:lineRule="auto"/>
              <w:rPr>
                <w:rFonts w:ascii="宋体" w:hAnsi="宋体"/>
                <w:kern w:val="0"/>
                <w:szCs w:val="21"/>
              </w:rPr>
            </w:pPr>
          </w:p>
        </w:tc>
        <w:tc>
          <w:tcPr>
            <w:tcW w:w="2147" w:type="dxa"/>
            <w:vAlign w:val="center"/>
          </w:tcPr>
          <w:p>
            <w:pPr>
              <w:pStyle w:val="94"/>
              <w:spacing w:line="360" w:lineRule="auto"/>
              <w:rPr>
                <w:rFonts w:ascii="宋体" w:hAnsi="宋体"/>
                <w:kern w:val="0"/>
                <w:szCs w:val="21"/>
              </w:rPr>
            </w:pPr>
          </w:p>
        </w:tc>
        <w:tc>
          <w:tcPr>
            <w:tcW w:w="2082" w:type="dxa"/>
            <w:vAlign w:val="center"/>
          </w:tcPr>
          <w:p>
            <w:pPr>
              <w:pStyle w:val="94"/>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pStyle w:val="94"/>
              <w:spacing w:line="360" w:lineRule="auto"/>
              <w:rPr>
                <w:rFonts w:ascii="宋体" w:hAnsi="宋体" w:cs="宋体"/>
                <w:kern w:val="0"/>
                <w:szCs w:val="21"/>
              </w:rPr>
            </w:pPr>
          </w:p>
        </w:tc>
        <w:tc>
          <w:tcPr>
            <w:tcW w:w="1491" w:type="dxa"/>
            <w:vAlign w:val="center"/>
          </w:tcPr>
          <w:p>
            <w:pPr>
              <w:pStyle w:val="94"/>
              <w:spacing w:line="360" w:lineRule="auto"/>
              <w:rPr>
                <w:rFonts w:ascii="宋体" w:hAnsi="宋体" w:cs="宋体"/>
                <w:kern w:val="0"/>
                <w:szCs w:val="21"/>
              </w:rPr>
            </w:pPr>
          </w:p>
        </w:tc>
        <w:tc>
          <w:tcPr>
            <w:tcW w:w="2147" w:type="dxa"/>
            <w:vAlign w:val="center"/>
          </w:tcPr>
          <w:p>
            <w:pPr>
              <w:pStyle w:val="94"/>
              <w:spacing w:line="360" w:lineRule="auto"/>
              <w:rPr>
                <w:rFonts w:ascii="宋体" w:hAnsi="宋体" w:cs="宋体"/>
                <w:kern w:val="0"/>
                <w:szCs w:val="21"/>
              </w:rPr>
            </w:pPr>
          </w:p>
        </w:tc>
        <w:tc>
          <w:tcPr>
            <w:tcW w:w="2082" w:type="dxa"/>
            <w:vAlign w:val="center"/>
          </w:tcPr>
          <w:p>
            <w:pPr>
              <w:pStyle w:val="94"/>
              <w:spacing w:line="360" w:lineRule="auto"/>
              <w:rPr>
                <w:rFonts w:ascii="宋体" w:hAnsi="宋体" w:cs="宋体"/>
                <w:kern w:val="0"/>
                <w:szCs w:val="21"/>
              </w:rPr>
            </w:pPr>
          </w:p>
        </w:tc>
      </w:tr>
    </w:tbl>
    <w:p>
      <w:pPr>
        <w:pStyle w:val="94"/>
        <w:spacing w:beforeLines="50" w:line="360" w:lineRule="auto"/>
        <w:rPr>
          <w:rFonts w:ascii="宋体" w:hAnsi="宋体"/>
          <w:b/>
          <w:kern w:val="0"/>
          <w:szCs w:val="21"/>
        </w:rPr>
      </w:pPr>
    </w:p>
    <w:p>
      <w:pPr>
        <w:pStyle w:val="94"/>
        <w:spacing w:afterLines="100"/>
        <w:rPr>
          <w:b/>
        </w:rPr>
      </w:pPr>
      <w:r>
        <w:rPr>
          <w:rFonts w:hint="eastAsia"/>
          <w:b/>
        </w:rPr>
        <w:t>B-4 委托人提供的设备</w:t>
      </w:r>
    </w:p>
    <w:tbl>
      <w:tblPr>
        <w:tblStyle w:val="4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pStyle w:val="94"/>
              <w:spacing w:line="360" w:lineRule="auto"/>
              <w:jc w:val="center"/>
              <w:rPr>
                <w:rFonts w:ascii="宋体" w:hAnsi="宋体"/>
                <w:szCs w:val="21"/>
              </w:rPr>
            </w:pPr>
            <w:r>
              <w:rPr>
                <w:rFonts w:hint="eastAsia" w:ascii="宋体" w:hAnsi="宋体"/>
                <w:szCs w:val="21"/>
              </w:rPr>
              <w:t>名称</w:t>
            </w:r>
          </w:p>
        </w:tc>
        <w:tc>
          <w:tcPr>
            <w:tcW w:w="1590" w:type="dxa"/>
            <w:vAlign w:val="center"/>
          </w:tcPr>
          <w:p>
            <w:pPr>
              <w:pStyle w:val="94"/>
              <w:spacing w:line="360" w:lineRule="auto"/>
              <w:jc w:val="center"/>
              <w:rPr>
                <w:rFonts w:ascii="宋体" w:hAnsi="宋体"/>
                <w:szCs w:val="21"/>
              </w:rPr>
            </w:pPr>
            <w:r>
              <w:rPr>
                <w:rFonts w:hint="eastAsia" w:ascii="宋体" w:hAnsi="宋体"/>
                <w:szCs w:val="21"/>
              </w:rPr>
              <w:t>数量</w:t>
            </w:r>
          </w:p>
        </w:tc>
        <w:tc>
          <w:tcPr>
            <w:tcW w:w="2130" w:type="dxa"/>
            <w:vAlign w:val="center"/>
          </w:tcPr>
          <w:p>
            <w:pPr>
              <w:pStyle w:val="94"/>
              <w:spacing w:line="360" w:lineRule="auto"/>
              <w:jc w:val="center"/>
              <w:rPr>
                <w:rFonts w:ascii="宋体" w:hAnsi="宋体"/>
                <w:szCs w:val="21"/>
              </w:rPr>
            </w:pPr>
            <w:r>
              <w:rPr>
                <w:rFonts w:hint="eastAsia" w:ascii="宋体" w:hAnsi="宋体"/>
                <w:szCs w:val="21"/>
              </w:rPr>
              <w:t>型号与规格</w:t>
            </w:r>
          </w:p>
        </w:tc>
        <w:tc>
          <w:tcPr>
            <w:tcW w:w="1860" w:type="dxa"/>
            <w:vAlign w:val="center"/>
          </w:tcPr>
          <w:p>
            <w:pPr>
              <w:pStyle w:val="94"/>
              <w:spacing w:line="360" w:lineRule="auto"/>
              <w:jc w:val="center"/>
              <w:rPr>
                <w:rFonts w:ascii="宋体" w:hAnsi="宋体"/>
                <w:szCs w:val="21"/>
              </w:rPr>
            </w:pPr>
            <w:r>
              <w:rPr>
                <w:rFonts w:hint="eastAsia" w:ascii="宋体" w:hAnsi="宋体"/>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pStyle w:val="94"/>
              <w:spacing w:line="360" w:lineRule="auto"/>
              <w:rPr>
                <w:rFonts w:ascii="宋体" w:hAnsi="宋体"/>
                <w:szCs w:val="21"/>
              </w:rPr>
            </w:pPr>
            <w:r>
              <w:rPr>
                <w:rFonts w:hint="eastAsia" w:ascii="宋体" w:hAnsi="宋体"/>
                <w:szCs w:val="21"/>
              </w:rPr>
              <w:t>1. 通讯设备</w:t>
            </w:r>
          </w:p>
        </w:tc>
        <w:tc>
          <w:tcPr>
            <w:tcW w:w="1590" w:type="dxa"/>
            <w:vAlign w:val="center"/>
          </w:tcPr>
          <w:p>
            <w:pPr>
              <w:pStyle w:val="94"/>
              <w:spacing w:line="360" w:lineRule="auto"/>
              <w:rPr>
                <w:rFonts w:ascii="宋体" w:hAnsi="宋体"/>
                <w:szCs w:val="21"/>
              </w:rPr>
            </w:pPr>
          </w:p>
        </w:tc>
        <w:tc>
          <w:tcPr>
            <w:tcW w:w="2130" w:type="dxa"/>
            <w:vAlign w:val="center"/>
          </w:tcPr>
          <w:p>
            <w:pPr>
              <w:pStyle w:val="94"/>
              <w:spacing w:line="360" w:lineRule="auto"/>
              <w:rPr>
                <w:rFonts w:ascii="宋体" w:hAnsi="宋体"/>
                <w:szCs w:val="21"/>
              </w:rPr>
            </w:pPr>
          </w:p>
        </w:tc>
        <w:tc>
          <w:tcPr>
            <w:tcW w:w="1860" w:type="dxa"/>
            <w:vAlign w:val="center"/>
          </w:tcPr>
          <w:p>
            <w:pPr>
              <w:pStyle w:val="94"/>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pStyle w:val="94"/>
              <w:spacing w:line="360" w:lineRule="auto"/>
              <w:rPr>
                <w:rFonts w:ascii="宋体" w:hAnsi="宋体"/>
                <w:szCs w:val="21"/>
              </w:rPr>
            </w:pPr>
            <w:r>
              <w:rPr>
                <w:rFonts w:hint="eastAsia" w:ascii="宋体" w:hAnsi="宋体"/>
                <w:szCs w:val="21"/>
              </w:rPr>
              <w:t>2. 办公设备</w:t>
            </w:r>
          </w:p>
        </w:tc>
        <w:tc>
          <w:tcPr>
            <w:tcW w:w="1590" w:type="dxa"/>
            <w:vAlign w:val="center"/>
          </w:tcPr>
          <w:p>
            <w:pPr>
              <w:pStyle w:val="94"/>
              <w:spacing w:line="360" w:lineRule="auto"/>
              <w:rPr>
                <w:rFonts w:ascii="宋体" w:hAnsi="宋体"/>
                <w:szCs w:val="21"/>
              </w:rPr>
            </w:pPr>
          </w:p>
        </w:tc>
        <w:tc>
          <w:tcPr>
            <w:tcW w:w="2130" w:type="dxa"/>
            <w:vAlign w:val="center"/>
          </w:tcPr>
          <w:p>
            <w:pPr>
              <w:pStyle w:val="94"/>
              <w:spacing w:line="360" w:lineRule="auto"/>
              <w:rPr>
                <w:rFonts w:ascii="宋体" w:hAnsi="宋体"/>
                <w:szCs w:val="21"/>
              </w:rPr>
            </w:pPr>
          </w:p>
        </w:tc>
        <w:tc>
          <w:tcPr>
            <w:tcW w:w="1860" w:type="dxa"/>
            <w:vAlign w:val="center"/>
          </w:tcPr>
          <w:p>
            <w:pPr>
              <w:pStyle w:val="94"/>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pStyle w:val="94"/>
              <w:spacing w:line="360" w:lineRule="auto"/>
              <w:rPr>
                <w:rFonts w:ascii="宋体" w:hAnsi="宋体"/>
                <w:szCs w:val="21"/>
              </w:rPr>
            </w:pPr>
            <w:r>
              <w:rPr>
                <w:rFonts w:hint="eastAsia" w:ascii="宋体" w:hAnsi="宋体"/>
                <w:szCs w:val="21"/>
              </w:rPr>
              <w:t>3. 交通工具</w:t>
            </w:r>
          </w:p>
        </w:tc>
        <w:tc>
          <w:tcPr>
            <w:tcW w:w="1590" w:type="dxa"/>
            <w:vAlign w:val="center"/>
          </w:tcPr>
          <w:p>
            <w:pPr>
              <w:pStyle w:val="94"/>
              <w:spacing w:line="360" w:lineRule="auto"/>
              <w:rPr>
                <w:rFonts w:ascii="宋体" w:hAnsi="宋体"/>
                <w:szCs w:val="21"/>
              </w:rPr>
            </w:pPr>
          </w:p>
        </w:tc>
        <w:tc>
          <w:tcPr>
            <w:tcW w:w="2130" w:type="dxa"/>
            <w:vAlign w:val="center"/>
          </w:tcPr>
          <w:p>
            <w:pPr>
              <w:pStyle w:val="94"/>
              <w:spacing w:line="360" w:lineRule="auto"/>
              <w:rPr>
                <w:rFonts w:ascii="宋体" w:hAnsi="宋体"/>
                <w:szCs w:val="21"/>
              </w:rPr>
            </w:pPr>
          </w:p>
        </w:tc>
        <w:tc>
          <w:tcPr>
            <w:tcW w:w="1860" w:type="dxa"/>
            <w:vAlign w:val="center"/>
          </w:tcPr>
          <w:p>
            <w:pPr>
              <w:pStyle w:val="94"/>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pStyle w:val="94"/>
              <w:spacing w:line="360" w:lineRule="auto"/>
              <w:rPr>
                <w:rFonts w:ascii="宋体" w:hAnsi="宋体"/>
                <w:szCs w:val="21"/>
              </w:rPr>
            </w:pPr>
            <w:r>
              <w:rPr>
                <w:rFonts w:hint="eastAsia" w:ascii="宋体" w:hAnsi="宋体"/>
                <w:szCs w:val="21"/>
              </w:rPr>
              <w:t>4. 检测和试验设备</w:t>
            </w:r>
          </w:p>
        </w:tc>
        <w:tc>
          <w:tcPr>
            <w:tcW w:w="1590" w:type="dxa"/>
            <w:vAlign w:val="center"/>
          </w:tcPr>
          <w:p>
            <w:pPr>
              <w:pStyle w:val="94"/>
              <w:spacing w:line="360" w:lineRule="auto"/>
              <w:rPr>
                <w:rFonts w:ascii="宋体" w:hAnsi="宋体"/>
                <w:szCs w:val="21"/>
              </w:rPr>
            </w:pPr>
          </w:p>
        </w:tc>
        <w:tc>
          <w:tcPr>
            <w:tcW w:w="2130" w:type="dxa"/>
            <w:vAlign w:val="center"/>
          </w:tcPr>
          <w:p>
            <w:pPr>
              <w:pStyle w:val="94"/>
              <w:spacing w:line="360" w:lineRule="auto"/>
              <w:rPr>
                <w:rFonts w:ascii="宋体" w:hAnsi="宋体"/>
                <w:szCs w:val="21"/>
              </w:rPr>
            </w:pPr>
          </w:p>
        </w:tc>
        <w:tc>
          <w:tcPr>
            <w:tcW w:w="1860" w:type="dxa"/>
            <w:vAlign w:val="center"/>
          </w:tcPr>
          <w:p>
            <w:pPr>
              <w:pStyle w:val="94"/>
              <w:spacing w:line="360" w:lineRule="auto"/>
              <w:rPr>
                <w:rFonts w:ascii="宋体" w:hAnsi="宋体"/>
                <w:szCs w:val="21"/>
              </w:rPr>
            </w:pPr>
          </w:p>
        </w:tc>
      </w:tr>
      <w:bookmarkEnd w:id="269"/>
    </w:tbl>
    <w:p/>
    <w:p>
      <w:pPr>
        <w:pStyle w:val="27"/>
        <w:spacing w:line="360" w:lineRule="auto"/>
        <w:rPr>
          <w:rFonts w:hAnsi="宋体"/>
        </w:rPr>
      </w:pPr>
    </w:p>
    <w:p>
      <w:pPr>
        <w:pStyle w:val="2"/>
        <w:rPr>
          <w:rFonts w:hAnsi="宋体"/>
          <w:b/>
          <w:bCs/>
          <w:caps/>
          <w:sz w:val="28"/>
          <w:szCs w:val="28"/>
        </w:rPr>
      </w:pPr>
    </w:p>
    <w:p>
      <w:pPr>
        <w:pStyle w:val="45"/>
        <w:shd w:val="clear" w:color="auto" w:fill="FFFFFF"/>
        <w:rPr>
          <w:rFonts w:ascii="宋体" w:hAnsi="宋体" w:cs="宋体"/>
        </w:rPr>
      </w:pPr>
      <w:r>
        <w:rPr>
          <w:rFonts w:hint="eastAsia" w:ascii="宋体" w:hAnsi="宋体" w:cs="宋体"/>
          <w:sz w:val="21"/>
          <w:szCs w:val="21"/>
        </w:rPr>
        <w:br w:type="page"/>
      </w:r>
    </w:p>
    <w:p>
      <w:pPr>
        <w:pStyle w:val="45"/>
        <w:shd w:val="clear" w:color="auto" w:fill="FFFFFF"/>
        <w:rPr>
          <w:rFonts w:ascii="宋体" w:hAnsi="宋体" w:cs="宋体"/>
        </w:rPr>
      </w:pPr>
      <w:bookmarkStart w:id="297" w:name="_Toc12436"/>
      <w:bookmarkStart w:id="298" w:name="_Toc4483"/>
      <w:r>
        <w:rPr>
          <w:rFonts w:hint="eastAsia" w:ascii="宋体" w:hAnsi="宋体" w:cs="宋体"/>
        </w:rPr>
        <w:t>第六章 响应文件格式</w:t>
      </w:r>
      <w:bookmarkEnd w:id="297"/>
      <w:bookmarkEnd w:id="298"/>
    </w:p>
    <w:p>
      <w:pPr>
        <w:shd w:val="clear" w:color="auto" w:fill="FFFFFF"/>
        <w:snapToGrid w:val="0"/>
        <w:spacing w:before="50" w:after="50" w:line="360" w:lineRule="auto"/>
        <w:rPr>
          <w:rFonts w:ascii="宋体" w:hAnsi="宋体" w:cs="宋体"/>
          <w:kern w:val="1"/>
          <w:sz w:val="32"/>
          <w:szCs w:val="32"/>
        </w:rPr>
      </w:pPr>
    </w:p>
    <w:p>
      <w:pPr>
        <w:shd w:val="clear" w:color="auto" w:fill="FFFFFF"/>
        <w:spacing w:before="50" w:after="50"/>
        <w:rPr>
          <w:rFonts w:ascii="宋体" w:hAnsi="宋体" w:cs="宋体"/>
          <w:b/>
          <w:sz w:val="24"/>
        </w:rPr>
      </w:pPr>
      <w:bookmarkStart w:id="299" w:name="_Toc293863331"/>
      <w:bookmarkStart w:id="300" w:name="_Toc16955"/>
      <w:bookmarkStart w:id="301" w:name="_Toc25031"/>
      <w:bookmarkStart w:id="302" w:name="_Toc301424939"/>
      <w:bookmarkStart w:id="303" w:name="_Toc107"/>
      <w:bookmarkStart w:id="304" w:name="_Toc15169"/>
      <w:bookmarkStart w:id="305" w:name="_Toc6416"/>
      <w:bookmarkStart w:id="306" w:name="_Toc293863061"/>
      <w:bookmarkStart w:id="307" w:name="_Toc326217565"/>
      <w:bookmarkStart w:id="308" w:name="_Toc29935"/>
      <w:r>
        <w:rPr>
          <w:rFonts w:hint="eastAsia" w:ascii="宋体" w:hAnsi="宋体" w:cs="宋体"/>
          <w:b/>
          <w:sz w:val="24"/>
        </w:rPr>
        <w:t>一、响应文件外层包装封面及响应文件外封面格式</w:t>
      </w:r>
      <w:bookmarkEnd w:id="299"/>
      <w:bookmarkEnd w:id="300"/>
      <w:bookmarkEnd w:id="301"/>
      <w:bookmarkEnd w:id="302"/>
      <w:bookmarkEnd w:id="303"/>
      <w:bookmarkEnd w:id="304"/>
      <w:bookmarkEnd w:id="305"/>
      <w:bookmarkEnd w:id="306"/>
      <w:bookmarkEnd w:id="307"/>
      <w:bookmarkEnd w:id="308"/>
    </w:p>
    <w:p>
      <w:pPr>
        <w:shd w:val="clear" w:color="auto" w:fill="FFFFFF"/>
        <w:spacing w:before="50" w:after="50"/>
        <w:rPr>
          <w:rFonts w:ascii="宋体" w:hAnsi="宋体" w:cs="宋体"/>
          <w:b/>
          <w:sz w:val="24"/>
        </w:rPr>
      </w:pPr>
      <w:bookmarkStart w:id="309" w:name="_Toc293863332"/>
      <w:bookmarkStart w:id="310" w:name="_Toc293863062"/>
    </w:p>
    <w:p>
      <w:pPr>
        <w:shd w:val="clear" w:color="auto" w:fill="FFFFFF"/>
        <w:spacing w:before="50" w:after="50"/>
        <w:rPr>
          <w:rFonts w:ascii="宋体" w:hAnsi="宋体" w:cs="宋体"/>
          <w:b/>
          <w:sz w:val="24"/>
        </w:rPr>
      </w:pPr>
      <w:bookmarkStart w:id="311" w:name="_Toc326217566"/>
      <w:bookmarkStart w:id="312" w:name="_Toc27158"/>
      <w:bookmarkStart w:id="313" w:name="_Toc27258"/>
      <w:bookmarkStart w:id="314" w:name="_Toc301424940"/>
      <w:bookmarkStart w:id="315" w:name="_Toc7626"/>
      <w:bookmarkStart w:id="316" w:name="_Toc14338"/>
      <w:bookmarkStart w:id="317" w:name="_Toc22187"/>
      <w:bookmarkStart w:id="318" w:name="_Toc17737"/>
      <w:r>
        <w:rPr>
          <w:rFonts w:hint="eastAsia" w:ascii="宋体" w:hAnsi="宋体" w:cs="宋体"/>
          <w:b/>
          <w:sz w:val="24"/>
        </w:rPr>
        <w:t>1.1 响应文件的外包装封面格式：</w:t>
      </w:r>
      <w:bookmarkEnd w:id="309"/>
      <w:bookmarkEnd w:id="310"/>
      <w:bookmarkEnd w:id="311"/>
      <w:bookmarkEnd w:id="312"/>
      <w:bookmarkEnd w:id="313"/>
      <w:bookmarkEnd w:id="314"/>
      <w:bookmarkEnd w:id="315"/>
      <w:bookmarkEnd w:id="316"/>
      <w:bookmarkEnd w:id="317"/>
      <w:bookmarkEnd w:id="318"/>
    </w:p>
    <w:p>
      <w:pPr>
        <w:shd w:val="clear" w:color="auto" w:fill="FFFFFF"/>
        <w:snapToGrid w:val="0"/>
        <w:spacing w:beforeLines="50" w:after="50" w:line="360" w:lineRule="auto"/>
        <w:rPr>
          <w:rFonts w:ascii="宋体" w:hAnsi="宋体" w:cs="宋体"/>
          <w:sz w:val="24"/>
          <w:szCs w:val="20"/>
        </w:rPr>
      </w:pPr>
    </w:p>
    <w:p>
      <w:pPr>
        <w:shd w:val="clear" w:color="auto" w:fill="FFFFFF"/>
        <w:snapToGrid w:val="0"/>
        <w:spacing w:beforeLines="50" w:after="50" w:line="360" w:lineRule="auto"/>
        <w:jc w:val="center"/>
        <w:rPr>
          <w:rFonts w:ascii="宋体" w:hAnsi="宋体" w:cs="宋体"/>
          <w:bCs/>
          <w:sz w:val="24"/>
          <w:szCs w:val="20"/>
        </w:rPr>
      </w:pPr>
    </w:p>
    <w:p>
      <w:pPr>
        <w:shd w:val="clear" w:color="auto" w:fill="FFFFFF"/>
        <w:snapToGrid w:val="0"/>
        <w:spacing w:beforeLines="50" w:after="50" w:line="360" w:lineRule="auto"/>
        <w:jc w:val="center"/>
        <w:rPr>
          <w:rFonts w:ascii="宋体" w:hAnsi="宋体" w:cs="宋体"/>
          <w:b/>
          <w:bCs/>
          <w:sz w:val="52"/>
          <w:szCs w:val="52"/>
        </w:rPr>
      </w:pPr>
      <w:r>
        <w:rPr>
          <w:rFonts w:hint="eastAsia" w:ascii="宋体" w:hAnsi="宋体" w:cs="宋体"/>
          <w:b/>
          <w:bCs/>
          <w:sz w:val="52"/>
          <w:szCs w:val="52"/>
        </w:rPr>
        <w:t>竞争性谈判响应文件</w:t>
      </w:r>
    </w:p>
    <w:p>
      <w:pPr>
        <w:shd w:val="clear" w:color="auto" w:fill="FFFFFF"/>
        <w:snapToGrid w:val="0"/>
        <w:spacing w:beforeLines="50" w:after="50" w:line="360" w:lineRule="auto"/>
        <w:rPr>
          <w:rFonts w:ascii="宋体" w:hAnsi="宋体" w:cs="宋体"/>
          <w:bCs/>
          <w:sz w:val="24"/>
          <w:szCs w:val="20"/>
        </w:rPr>
      </w:pPr>
    </w:p>
    <w:p>
      <w:pPr>
        <w:shd w:val="clear" w:color="auto" w:fill="FFFFFF"/>
        <w:snapToGrid w:val="0"/>
        <w:spacing w:beforeLines="50" w:after="50" w:line="360" w:lineRule="auto"/>
        <w:ind w:firstLine="1100" w:firstLineChars="393"/>
        <w:rPr>
          <w:rFonts w:ascii="宋体" w:hAnsi="宋体" w:cs="宋体"/>
          <w:bCs/>
          <w:sz w:val="28"/>
          <w:szCs w:val="28"/>
        </w:rPr>
      </w:pPr>
      <w:r>
        <w:rPr>
          <w:rFonts w:hint="eastAsia" w:ascii="宋体" w:hAnsi="宋体" w:cs="宋体"/>
          <w:bCs/>
          <w:sz w:val="28"/>
          <w:szCs w:val="28"/>
        </w:rPr>
        <w:t xml:space="preserve">项目名称： </w:t>
      </w:r>
    </w:p>
    <w:p>
      <w:pPr>
        <w:shd w:val="clear" w:color="auto" w:fill="FFFFFF"/>
        <w:snapToGrid w:val="0"/>
        <w:spacing w:beforeLines="50" w:after="50" w:line="360" w:lineRule="auto"/>
        <w:ind w:firstLine="1100" w:firstLineChars="393"/>
        <w:rPr>
          <w:rFonts w:ascii="宋体" w:hAnsi="宋体" w:cs="宋体"/>
          <w:bCs/>
          <w:sz w:val="28"/>
          <w:szCs w:val="28"/>
        </w:rPr>
      </w:pPr>
    </w:p>
    <w:p>
      <w:pPr>
        <w:shd w:val="clear" w:color="auto" w:fill="FFFFFF"/>
        <w:snapToGrid w:val="0"/>
        <w:spacing w:beforeLines="50" w:after="50" w:line="360" w:lineRule="auto"/>
        <w:ind w:firstLine="1100" w:firstLineChars="393"/>
        <w:rPr>
          <w:rFonts w:ascii="宋体" w:hAnsi="宋体" w:cs="宋体"/>
          <w:bCs/>
          <w:sz w:val="28"/>
          <w:szCs w:val="28"/>
        </w:rPr>
      </w:pPr>
      <w:r>
        <w:rPr>
          <w:rFonts w:hint="eastAsia" w:ascii="宋体" w:hAnsi="宋体" w:cs="宋体"/>
          <w:bCs/>
          <w:sz w:val="28"/>
          <w:szCs w:val="28"/>
        </w:rPr>
        <w:t xml:space="preserve">项目编号： </w:t>
      </w:r>
    </w:p>
    <w:p>
      <w:pPr>
        <w:pStyle w:val="2"/>
      </w:pPr>
    </w:p>
    <w:p>
      <w:pPr>
        <w:shd w:val="clear" w:color="auto" w:fill="FFFFFF"/>
        <w:snapToGrid w:val="0"/>
        <w:spacing w:beforeLines="50" w:after="50" w:line="360" w:lineRule="auto"/>
        <w:ind w:firstLine="560" w:firstLineChars="200"/>
        <w:rPr>
          <w:rFonts w:ascii="宋体" w:hAnsi="宋体" w:cs="宋体"/>
          <w:bCs/>
          <w:sz w:val="28"/>
          <w:szCs w:val="28"/>
        </w:rPr>
      </w:pPr>
      <w:r>
        <w:rPr>
          <w:rFonts w:hint="eastAsia" w:ascii="宋体" w:hAnsi="宋体" w:cs="宋体"/>
          <w:bCs/>
          <w:sz w:val="28"/>
          <w:szCs w:val="28"/>
        </w:rPr>
        <w:t xml:space="preserve">    标   段：</w:t>
      </w:r>
    </w:p>
    <w:p>
      <w:pPr>
        <w:pStyle w:val="2"/>
      </w:pPr>
    </w:p>
    <w:p>
      <w:pPr>
        <w:pStyle w:val="9"/>
        <w:shd w:val="clear" w:color="auto" w:fill="FFFFFF"/>
        <w:snapToGrid w:val="0"/>
        <w:spacing w:before="50" w:after="50" w:line="360" w:lineRule="auto"/>
        <w:ind w:firstLine="1164" w:firstLineChars="416"/>
        <w:rPr>
          <w:rFonts w:ascii="宋体" w:hAnsi="宋体" w:cs="宋体"/>
          <w:bCs/>
          <w:sz w:val="28"/>
          <w:szCs w:val="28"/>
        </w:rPr>
      </w:pPr>
      <w:r>
        <w:rPr>
          <w:rFonts w:hint="eastAsia" w:ascii="宋体" w:hAnsi="宋体" w:cs="宋体"/>
          <w:bCs/>
          <w:sz w:val="28"/>
          <w:szCs w:val="28"/>
        </w:rPr>
        <w:t>供应商名称：                             （盖章）</w:t>
      </w:r>
    </w:p>
    <w:p>
      <w:pPr>
        <w:pStyle w:val="9"/>
        <w:shd w:val="clear" w:color="auto" w:fill="FFFFFF"/>
        <w:snapToGrid w:val="0"/>
        <w:spacing w:before="50" w:after="50" w:line="360" w:lineRule="auto"/>
        <w:ind w:firstLine="1164" w:firstLineChars="416"/>
        <w:rPr>
          <w:rFonts w:ascii="宋体" w:hAnsi="宋体" w:cs="宋体"/>
          <w:bCs/>
          <w:sz w:val="28"/>
          <w:szCs w:val="28"/>
        </w:rPr>
      </w:pPr>
    </w:p>
    <w:p>
      <w:pPr>
        <w:pStyle w:val="9"/>
        <w:shd w:val="clear" w:color="auto" w:fill="FFFFFF"/>
        <w:snapToGrid w:val="0"/>
        <w:spacing w:before="50" w:after="50" w:line="360" w:lineRule="auto"/>
        <w:ind w:firstLine="1164" w:firstLineChars="416"/>
        <w:rPr>
          <w:rFonts w:ascii="宋体" w:hAnsi="宋体" w:cs="宋体"/>
          <w:bCs/>
          <w:sz w:val="28"/>
          <w:szCs w:val="28"/>
        </w:rPr>
      </w:pPr>
      <w:r>
        <w:rPr>
          <w:rFonts w:hint="eastAsia" w:ascii="宋体" w:hAnsi="宋体" w:cs="宋体"/>
          <w:bCs/>
          <w:sz w:val="28"/>
          <w:szCs w:val="28"/>
        </w:rPr>
        <w:t>供应商地址：</w:t>
      </w:r>
    </w:p>
    <w:p>
      <w:pPr>
        <w:pStyle w:val="9"/>
        <w:shd w:val="clear" w:color="auto" w:fill="FFFFFF"/>
        <w:snapToGrid w:val="0"/>
        <w:spacing w:before="50" w:after="50" w:line="360" w:lineRule="auto"/>
        <w:ind w:firstLine="1120" w:firstLineChars="400"/>
        <w:rPr>
          <w:rFonts w:ascii="宋体" w:hAnsi="宋体" w:cs="宋体"/>
          <w:bCs/>
          <w:sz w:val="28"/>
          <w:szCs w:val="28"/>
        </w:rPr>
      </w:pPr>
    </w:p>
    <w:p>
      <w:pPr>
        <w:pStyle w:val="9"/>
        <w:shd w:val="clear" w:color="auto" w:fill="FFFFFF"/>
        <w:snapToGrid w:val="0"/>
        <w:spacing w:before="50" w:after="50" w:line="360" w:lineRule="auto"/>
        <w:ind w:firstLine="1120" w:firstLineChars="400"/>
        <w:rPr>
          <w:rFonts w:ascii="宋体" w:hAnsi="宋体" w:cs="宋体"/>
          <w:bCs/>
          <w:sz w:val="28"/>
          <w:szCs w:val="28"/>
        </w:rPr>
      </w:pPr>
      <w:r>
        <w:rPr>
          <w:rFonts w:hint="eastAsia" w:ascii="宋体" w:hAnsi="宋体" w:cs="宋体"/>
          <w:bCs/>
          <w:sz w:val="28"/>
          <w:szCs w:val="28"/>
        </w:rPr>
        <w:t>在×年×月×日×时×分前不得启封（开标时才能启封）</w:t>
      </w:r>
    </w:p>
    <w:p>
      <w:pPr>
        <w:shd w:val="clear" w:color="auto" w:fill="FFFFFF"/>
        <w:snapToGrid w:val="0"/>
        <w:spacing w:beforeLines="50" w:after="50" w:line="360" w:lineRule="auto"/>
        <w:ind w:firstLine="4760" w:firstLineChars="1700"/>
        <w:rPr>
          <w:rFonts w:ascii="宋体" w:hAnsi="宋体" w:cs="宋体"/>
          <w:bCs/>
          <w:sz w:val="28"/>
          <w:szCs w:val="28"/>
        </w:rPr>
      </w:pPr>
    </w:p>
    <w:p>
      <w:pPr>
        <w:shd w:val="clear" w:color="auto" w:fill="FFFFFF"/>
        <w:snapToGrid w:val="0"/>
        <w:spacing w:beforeLines="50" w:after="50" w:line="360" w:lineRule="auto"/>
        <w:ind w:firstLine="645"/>
        <w:jc w:val="center"/>
        <w:rPr>
          <w:rFonts w:ascii="宋体" w:hAnsi="宋体" w:cs="宋体"/>
          <w:bCs/>
          <w:sz w:val="28"/>
          <w:szCs w:val="28"/>
        </w:rPr>
      </w:pPr>
      <w:r>
        <w:rPr>
          <w:rFonts w:hint="eastAsia" w:ascii="宋体" w:hAnsi="宋体" w:cs="宋体"/>
          <w:bCs/>
          <w:sz w:val="28"/>
          <w:szCs w:val="28"/>
        </w:rPr>
        <w:t xml:space="preserve">                        年  月  日</w:t>
      </w:r>
    </w:p>
    <w:p>
      <w:pPr>
        <w:shd w:val="clear" w:color="auto" w:fill="FFFFFF"/>
        <w:snapToGrid w:val="0"/>
        <w:spacing w:beforeLines="50" w:after="50" w:line="360" w:lineRule="auto"/>
        <w:ind w:firstLine="645"/>
        <w:rPr>
          <w:rFonts w:ascii="宋体" w:hAnsi="宋体" w:cs="宋体"/>
          <w:bCs/>
          <w:sz w:val="24"/>
        </w:rPr>
      </w:pPr>
    </w:p>
    <w:p>
      <w:pPr>
        <w:shd w:val="clear" w:color="auto" w:fill="FFFFFF"/>
        <w:snapToGrid w:val="0"/>
        <w:spacing w:beforeLines="50" w:after="50" w:line="360" w:lineRule="auto"/>
        <w:ind w:firstLine="645"/>
        <w:jc w:val="center"/>
        <w:rPr>
          <w:rFonts w:ascii="宋体" w:hAnsi="宋体" w:cs="宋体"/>
          <w:b/>
          <w:bCs/>
          <w:sz w:val="24"/>
        </w:rPr>
      </w:pPr>
      <w:r>
        <w:rPr>
          <w:rFonts w:hint="eastAsia" w:ascii="宋体" w:hAnsi="宋体" w:cs="宋体"/>
          <w:b/>
        </w:rPr>
        <w:br w:type="page"/>
      </w:r>
      <w:bookmarkStart w:id="319" w:name="_Toc301424942"/>
      <w:bookmarkStart w:id="320" w:name="_Toc254970698"/>
      <w:bookmarkStart w:id="321" w:name="_Toc293863333"/>
      <w:bookmarkStart w:id="322" w:name="_Toc293863063"/>
      <w:bookmarkStart w:id="323" w:name="_Toc254970557"/>
      <w:bookmarkStart w:id="324" w:name="_Toc326217568"/>
      <w:r>
        <w:rPr>
          <w:rFonts w:hint="eastAsia" w:ascii="宋体" w:hAnsi="宋体" w:cs="宋体"/>
          <w:b/>
          <w:bCs/>
          <w:sz w:val="24"/>
        </w:rPr>
        <w:t>二、响应文件格式</w:t>
      </w:r>
      <w:bookmarkEnd w:id="319"/>
      <w:bookmarkEnd w:id="320"/>
      <w:bookmarkEnd w:id="321"/>
      <w:bookmarkEnd w:id="322"/>
      <w:bookmarkEnd w:id="323"/>
      <w:bookmarkEnd w:id="324"/>
    </w:p>
    <w:p>
      <w:pPr>
        <w:shd w:val="clear" w:color="auto" w:fill="FFFFFF"/>
        <w:snapToGrid w:val="0"/>
        <w:spacing w:before="50" w:after="50" w:line="360" w:lineRule="auto"/>
        <w:rPr>
          <w:rFonts w:ascii="宋体" w:hAnsi="宋体" w:cs="宋体"/>
          <w:b/>
          <w:sz w:val="24"/>
        </w:rPr>
      </w:pPr>
    </w:p>
    <w:p>
      <w:pPr>
        <w:shd w:val="clear" w:color="auto" w:fill="FFFFFF"/>
        <w:snapToGrid w:val="0"/>
        <w:spacing w:before="50" w:after="50" w:line="360" w:lineRule="auto"/>
        <w:rPr>
          <w:rFonts w:ascii="宋体" w:hAnsi="宋体" w:cs="宋体"/>
          <w:b/>
          <w:szCs w:val="21"/>
        </w:rPr>
      </w:pPr>
      <w:r>
        <w:rPr>
          <w:rFonts w:hint="eastAsia" w:ascii="宋体" w:hAnsi="宋体" w:cs="宋体"/>
          <w:b/>
          <w:sz w:val="24"/>
        </w:rPr>
        <w:t xml:space="preserve">2.1 </w:t>
      </w:r>
      <w:r>
        <w:rPr>
          <w:rFonts w:hint="eastAsia" w:ascii="宋体" w:hAnsi="宋体" w:cs="宋体"/>
          <w:b/>
          <w:bCs/>
          <w:sz w:val="24"/>
        </w:rPr>
        <w:t>响应</w:t>
      </w:r>
      <w:r>
        <w:rPr>
          <w:rFonts w:hint="eastAsia" w:ascii="宋体" w:hAnsi="宋体" w:cs="宋体"/>
          <w:b/>
          <w:sz w:val="24"/>
        </w:rPr>
        <w:t>文件内封面格式：</w:t>
      </w:r>
    </w:p>
    <w:p>
      <w:pPr>
        <w:shd w:val="clear" w:color="auto" w:fill="FFFFFF"/>
        <w:snapToGrid w:val="0"/>
        <w:spacing w:beforeLines="50" w:after="50" w:line="360" w:lineRule="auto"/>
        <w:ind w:firstLine="645"/>
        <w:jc w:val="center"/>
        <w:rPr>
          <w:rFonts w:ascii="宋体" w:hAnsi="宋体" w:cs="宋体"/>
          <w:b/>
          <w:bCs/>
          <w:sz w:val="52"/>
          <w:szCs w:val="52"/>
        </w:rPr>
      </w:pPr>
      <w:r>
        <w:rPr>
          <w:rFonts w:hint="eastAsia" w:ascii="宋体" w:hAnsi="宋体" w:cs="宋体"/>
          <w:b/>
          <w:bCs/>
          <w:sz w:val="52"/>
          <w:szCs w:val="52"/>
        </w:rPr>
        <w:t>响应文件</w:t>
      </w:r>
    </w:p>
    <w:p>
      <w:pPr>
        <w:shd w:val="clear" w:color="auto" w:fill="FFFFFF"/>
        <w:snapToGrid w:val="0"/>
        <w:spacing w:beforeLines="50" w:after="50" w:line="360" w:lineRule="auto"/>
        <w:ind w:firstLine="943" w:firstLineChars="393"/>
        <w:rPr>
          <w:rFonts w:ascii="宋体" w:hAnsi="宋体" w:cs="宋体"/>
          <w:bCs/>
          <w:sz w:val="24"/>
          <w:szCs w:val="20"/>
        </w:rPr>
      </w:pPr>
      <w:r>
        <w:rPr>
          <w:rFonts w:hint="eastAsia" w:ascii="宋体" w:hAnsi="宋体" w:cs="宋体"/>
          <w:bCs/>
          <w:sz w:val="24"/>
        </w:rPr>
        <w:t>项目名称：</w:t>
      </w:r>
    </w:p>
    <w:p>
      <w:pPr>
        <w:shd w:val="clear" w:color="auto" w:fill="FFFFFF"/>
        <w:snapToGrid w:val="0"/>
        <w:spacing w:beforeLines="50" w:after="50" w:line="360" w:lineRule="auto"/>
        <w:ind w:firstLine="943" w:firstLineChars="393"/>
        <w:rPr>
          <w:rFonts w:ascii="宋体" w:hAnsi="宋体" w:cs="宋体"/>
          <w:bCs/>
          <w:sz w:val="24"/>
        </w:rPr>
      </w:pPr>
    </w:p>
    <w:p>
      <w:pPr>
        <w:shd w:val="clear" w:color="auto" w:fill="FFFFFF"/>
        <w:snapToGrid w:val="0"/>
        <w:spacing w:beforeLines="50" w:after="50" w:line="360" w:lineRule="auto"/>
        <w:ind w:firstLine="943" w:firstLineChars="393"/>
        <w:rPr>
          <w:rFonts w:ascii="宋体" w:hAnsi="宋体" w:cs="宋体"/>
          <w:bCs/>
          <w:sz w:val="24"/>
        </w:rPr>
      </w:pPr>
      <w:r>
        <w:rPr>
          <w:rFonts w:hint="eastAsia" w:ascii="宋体" w:hAnsi="宋体" w:cs="宋体"/>
          <w:bCs/>
          <w:sz w:val="24"/>
        </w:rPr>
        <w:t xml:space="preserve">项目编号： </w:t>
      </w:r>
    </w:p>
    <w:p>
      <w:pPr>
        <w:shd w:val="clear" w:color="auto" w:fill="FFFFFF"/>
        <w:snapToGrid w:val="0"/>
        <w:spacing w:beforeLines="50" w:after="50" w:line="360" w:lineRule="auto"/>
        <w:ind w:firstLine="480" w:firstLineChars="200"/>
        <w:rPr>
          <w:rFonts w:ascii="宋体" w:hAnsi="宋体" w:cs="宋体"/>
          <w:bCs/>
          <w:sz w:val="24"/>
        </w:rPr>
      </w:pPr>
    </w:p>
    <w:p>
      <w:pPr>
        <w:pStyle w:val="9"/>
        <w:shd w:val="clear" w:color="auto" w:fill="FFFFFF"/>
        <w:snapToGrid w:val="0"/>
        <w:spacing w:before="50" w:after="50" w:line="360" w:lineRule="auto"/>
        <w:ind w:firstLine="998" w:firstLineChars="416"/>
        <w:rPr>
          <w:rFonts w:ascii="宋体" w:hAnsi="宋体" w:cs="宋体"/>
          <w:bCs/>
          <w:sz w:val="24"/>
          <w:szCs w:val="24"/>
        </w:rPr>
      </w:pPr>
      <w:r>
        <w:rPr>
          <w:rFonts w:hint="eastAsia" w:ascii="宋体" w:hAnsi="宋体" w:cs="宋体"/>
          <w:bCs/>
          <w:sz w:val="24"/>
          <w:szCs w:val="24"/>
        </w:rPr>
        <w:t>供应商名称：                              （盖章）</w:t>
      </w:r>
    </w:p>
    <w:p>
      <w:pPr>
        <w:pStyle w:val="9"/>
        <w:shd w:val="clear" w:color="auto" w:fill="FFFFFF"/>
        <w:snapToGrid w:val="0"/>
        <w:spacing w:before="50" w:after="50" w:line="360" w:lineRule="auto"/>
        <w:ind w:firstLine="998" w:firstLineChars="416"/>
        <w:rPr>
          <w:rFonts w:ascii="宋体" w:hAnsi="宋体" w:cs="宋体"/>
          <w:bCs/>
          <w:sz w:val="24"/>
          <w:szCs w:val="24"/>
        </w:rPr>
      </w:pPr>
    </w:p>
    <w:p>
      <w:pPr>
        <w:pStyle w:val="9"/>
        <w:shd w:val="clear" w:color="auto" w:fill="FFFFFF"/>
        <w:snapToGrid w:val="0"/>
        <w:spacing w:before="50" w:after="50" w:line="360" w:lineRule="auto"/>
        <w:ind w:firstLine="998" w:firstLineChars="416"/>
        <w:rPr>
          <w:rFonts w:ascii="宋体" w:hAnsi="宋体" w:cs="宋体"/>
          <w:bCs/>
          <w:sz w:val="24"/>
          <w:szCs w:val="24"/>
        </w:rPr>
      </w:pPr>
      <w:r>
        <w:rPr>
          <w:rFonts w:hint="eastAsia" w:ascii="宋体" w:hAnsi="宋体" w:cs="宋体"/>
          <w:bCs/>
          <w:sz w:val="24"/>
          <w:szCs w:val="24"/>
        </w:rPr>
        <w:t>法定代表人或委托代理人签字：</w:t>
      </w:r>
    </w:p>
    <w:p>
      <w:pPr>
        <w:shd w:val="clear" w:color="auto" w:fill="FFFFFF"/>
        <w:snapToGrid w:val="0"/>
        <w:spacing w:beforeLines="50" w:after="50" w:line="360" w:lineRule="auto"/>
        <w:ind w:firstLine="960" w:firstLineChars="400"/>
        <w:rPr>
          <w:rFonts w:ascii="宋体" w:hAnsi="宋体" w:cs="宋体"/>
          <w:bCs/>
          <w:sz w:val="24"/>
          <w:szCs w:val="20"/>
        </w:rPr>
      </w:pPr>
    </w:p>
    <w:p>
      <w:pPr>
        <w:shd w:val="clear" w:color="auto" w:fill="FFFFFF"/>
        <w:snapToGrid w:val="0"/>
        <w:spacing w:beforeLines="50" w:after="50" w:line="360" w:lineRule="auto"/>
        <w:ind w:firstLine="645"/>
        <w:jc w:val="center"/>
        <w:rPr>
          <w:rFonts w:ascii="宋体" w:hAnsi="宋体" w:cs="宋体"/>
          <w:bCs/>
          <w:sz w:val="28"/>
          <w:szCs w:val="28"/>
        </w:rPr>
      </w:pPr>
      <w:r>
        <w:rPr>
          <w:rFonts w:hint="eastAsia" w:ascii="宋体" w:hAnsi="宋体" w:cs="宋体"/>
          <w:bCs/>
          <w:sz w:val="28"/>
          <w:szCs w:val="28"/>
        </w:rPr>
        <w:t xml:space="preserve">     年  月  日</w:t>
      </w:r>
    </w:p>
    <w:p>
      <w:pPr>
        <w:shd w:val="clear" w:color="auto" w:fill="FFFFFF"/>
        <w:snapToGrid w:val="0"/>
        <w:spacing w:beforeLines="50" w:after="50" w:line="360" w:lineRule="auto"/>
        <w:rPr>
          <w:rFonts w:ascii="宋体" w:hAnsi="宋体" w:cs="宋体"/>
          <w:b/>
          <w:sz w:val="24"/>
        </w:rPr>
      </w:pPr>
      <w:r>
        <w:rPr>
          <w:rFonts w:hint="eastAsia" w:ascii="宋体" w:hAnsi="宋体" w:cs="宋体"/>
          <w:sz w:val="24"/>
          <w:szCs w:val="20"/>
        </w:rPr>
        <w:br w:type="page"/>
      </w:r>
    </w:p>
    <w:p>
      <w:pPr>
        <w:shd w:val="clear" w:color="auto" w:fill="FFFFFF"/>
        <w:snapToGrid w:val="0"/>
        <w:spacing w:before="50" w:after="50" w:line="360" w:lineRule="auto"/>
        <w:rPr>
          <w:rFonts w:ascii="宋体" w:hAnsi="宋体" w:cs="宋体"/>
          <w:b/>
          <w:bCs/>
          <w:sz w:val="24"/>
        </w:rPr>
      </w:pPr>
      <w:r>
        <w:rPr>
          <w:rFonts w:hint="eastAsia" w:ascii="宋体" w:hAnsi="宋体" w:cs="宋体"/>
          <w:b/>
          <w:sz w:val="24"/>
        </w:rPr>
        <w:t>2.2 响应</w:t>
      </w:r>
      <w:r>
        <w:rPr>
          <w:rFonts w:hint="eastAsia" w:ascii="宋体" w:hAnsi="宋体" w:cs="宋体"/>
          <w:b/>
          <w:bCs/>
          <w:sz w:val="24"/>
        </w:rPr>
        <w:t>文件目录</w:t>
      </w:r>
    </w:p>
    <w:p>
      <w:pPr>
        <w:shd w:val="clear" w:color="auto" w:fill="FFFFFF"/>
        <w:snapToGrid w:val="0"/>
        <w:spacing w:before="50" w:after="50" w:line="360" w:lineRule="auto"/>
        <w:rPr>
          <w:rFonts w:ascii="宋体" w:hAnsi="宋体" w:cs="宋体"/>
          <w:b/>
          <w:sz w:val="24"/>
        </w:rPr>
      </w:pPr>
      <w:r>
        <w:rPr>
          <w:rFonts w:hint="eastAsia" w:ascii="宋体" w:hAnsi="宋体" w:cs="宋体"/>
          <w:sz w:val="24"/>
        </w:rPr>
        <w:t>按项目内容自行设置目录</w:t>
      </w:r>
      <w:r>
        <w:rPr>
          <w:rFonts w:hint="eastAsia" w:ascii="宋体" w:hAnsi="宋体" w:cs="宋体"/>
          <w:b/>
          <w:sz w:val="24"/>
        </w:rPr>
        <w:br w:type="page"/>
      </w:r>
      <w:r>
        <w:rPr>
          <w:rFonts w:hint="eastAsia" w:ascii="宋体" w:hAnsi="宋体" w:cs="宋体"/>
          <w:b/>
          <w:sz w:val="24"/>
        </w:rPr>
        <w:t>2.3.1 银行基本账户开户许可证明材料复印件</w:t>
      </w:r>
    </w:p>
    <w:p>
      <w:pPr>
        <w:shd w:val="clear" w:color="auto" w:fill="FFFFFF"/>
        <w:snapToGrid w:val="0"/>
        <w:spacing w:before="50" w:afterLines="50" w:line="360" w:lineRule="auto"/>
        <w:jc w:val="left"/>
        <w:rPr>
          <w:rFonts w:ascii="宋体" w:hAnsi="宋体" w:cs="宋体"/>
          <w:b/>
          <w:sz w:val="24"/>
        </w:rPr>
      </w:pPr>
    </w:p>
    <w:p>
      <w:pPr>
        <w:shd w:val="clear" w:color="auto" w:fill="FFFFFF"/>
        <w:snapToGrid w:val="0"/>
        <w:spacing w:before="50" w:afterLines="50" w:line="360" w:lineRule="auto"/>
        <w:jc w:val="left"/>
        <w:rPr>
          <w:rFonts w:ascii="宋体" w:hAnsi="宋体" w:cs="宋体"/>
          <w:b/>
          <w:sz w:val="24"/>
        </w:rPr>
      </w:pPr>
    </w:p>
    <w:p>
      <w:pPr>
        <w:shd w:val="clear" w:color="auto" w:fill="FFFFFF"/>
        <w:snapToGrid w:val="0"/>
        <w:spacing w:before="50" w:afterLines="50" w:line="360" w:lineRule="auto"/>
        <w:jc w:val="left"/>
        <w:rPr>
          <w:rFonts w:ascii="宋体" w:hAnsi="宋体" w:cs="宋体"/>
          <w:b/>
          <w:sz w:val="24"/>
        </w:rPr>
      </w:pPr>
      <w:r>
        <w:rPr>
          <w:rFonts w:hint="eastAsia" w:ascii="宋体" w:hAnsi="宋体" w:cs="宋体"/>
          <w:b/>
          <w:sz w:val="24"/>
        </w:rPr>
        <w:t>2.3.2谈判声明书格式：</w:t>
      </w:r>
    </w:p>
    <w:p>
      <w:pPr>
        <w:shd w:val="clear" w:color="auto" w:fill="FFFFFF"/>
        <w:snapToGrid w:val="0"/>
        <w:spacing w:beforeLines="50" w:after="50" w:line="360" w:lineRule="auto"/>
        <w:jc w:val="center"/>
        <w:rPr>
          <w:rFonts w:ascii="宋体" w:hAnsi="宋体" w:cs="宋体"/>
          <w:b/>
          <w:sz w:val="28"/>
          <w:szCs w:val="28"/>
        </w:rPr>
      </w:pPr>
      <w:r>
        <w:rPr>
          <w:rFonts w:hint="eastAsia" w:ascii="宋体" w:hAnsi="宋体" w:cs="宋体"/>
          <w:b/>
          <w:sz w:val="28"/>
          <w:szCs w:val="28"/>
        </w:rPr>
        <w:t>谈 判 声 明 书</w:t>
      </w:r>
    </w:p>
    <w:p>
      <w:pPr>
        <w:shd w:val="clear" w:color="auto" w:fill="FFFFFF"/>
        <w:snapToGrid w:val="0"/>
        <w:spacing w:beforeLines="50" w:after="50" w:line="360" w:lineRule="auto"/>
        <w:rPr>
          <w:rFonts w:ascii="宋体" w:hAnsi="宋体" w:cs="宋体"/>
          <w:sz w:val="24"/>
        </w:rPr>
      </w:pPr>
      <w:r>
        <w:rPr>
          <w:rFonts w:hint="eastAsia" w:ascii="宋体" w:hAnsi="宋体" w:cs="宋体"/>
          <w:sz w:val="24"/>
        </w:rPr>
        <w:t>致：（招标采购单位名称）：</w:t>
      </w:r>
    </w:p>
    <w:p>
      <w:pPr>
        <w:shd w:val="clear" w:color="auto" w:fill="FFFFFF"/>
        <w:snapToGrid w:val="0"/>
        <w:spacing w:beforeLines="50" w:after="50" w:line="360" w:lineRule="auto"/>
        <w:ind w:firstLine="720" w:firstLineChars="300"/>
        <w:rPr>
          <w:rFonts w:ascii="宋体" w:hAnsi="宋体" w:cs="宋体"/>
          <w:sz w:val="24"/>
        </w:rPr>
      </w:pPr>
      <w:r>
        <w:rPr>
          <w:rFonts w:hint="eastAsia" w:ascii="宋体" w:hAnsi="宋体" w:cs="宋体"/>
          <w:sz w:val="24"/>
        </w:rPr>
        <w:t>（供应商名称）系中华人民共和国合法企业，经营地址。</w:t>
      </w:r>
    </w:p>
    <w:p>
      <w:pPr>
        <w:shd w:val="clear" w:color="auto" w:fill="FFFFFF"/>
        <w:snapToGrid w:val="0"/>
        <w:spacing w:beforeLines="50" w:after="50" w:line="360" w:lineRule="auto"/>
        <w:ind w:firstLine="645"/>
        <w:rPr>
          <w:rFonts w:ascii="宋体" w:hAnsi="宋体" w:cs="宋体"/>
          <w:sz w:val="24"/>
        </w:rPr>
      </w:pPr>
      <w:r>
        <w:rPr>
          <w:rFonts w:hint="eastAsia" w:ascii="宋体" w:hAnsi="宋体" w:cs="宋体"/>
          <w:sz w:val="24"/>
        </w:rPr>
        <w:t>我（姓名）系（供应商名称）的法定代表人，我方愿意参加贵方组织的项目的谈判，为便于贵方公正、择优地确定成交供应商及其谈判产品和服务，我方就本次谈判有关事项郑重声明如下：</w:t>
      </w: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1. 我方向贵方提交的所有响应文件、资料都是准确的和真实的。</w:t>
      </w:r>
    </w:p>
    <w:p>
      <w:pPr>
        <w:shd w:val="clear" w:color="auto" w:fill="FFFFFF"/>
        <w:snapToGrid w:val="0"/>
        <w:spacing w:beforeLines="50" w:line="360" w:lineRule="auto"/>
        <w:ind w:firstLine="480" w:firstLineChars="200"/>
        <w:rPr>
          <w:rFonts w:ascii="宋体" w:hAnsi="宋体" w:cs="宋体"/>
          <w:sz w:val="24"/>
        </w:rPr>
      </w:pPr>
      <w:r>
        <w:rPr>
          <w:rFonts w:hint="eastAsia" w:ascii="宋体" w:hAnsi="宋体" w:cs="宋体"/>
          <w:sz w:val="24"/>
        </w:rPr>
        <w:t>2. 我方不是采购人的附属机构；在获知本项目采购信息后，与采购人聘请的为此项目提供咨询服务的公司及其附属机构没有任何联系。</w:t>
      </w:r>
    </w:p>
    <w:p>
      <w:pPr>
        <w:pStyle w:val="21"/>
        <w:shd w:val="clear" w:color="auto" w:fill="FFFFFF"/>
        <w:snapToGrid w:val="0"/>
        <w:spacing w:line="360" w:lineRule="auto"/>
        <w:ind w:firstLine="480" w:firstLineChars="200"/>
        <w:rPr>
          <w:rFonts w:ascii="宋体" w:hAnsi="宋体" w:eastAsia="宋体" w:cs="宋体"/>
          <w:sz w:val="24"/>
          <w:szCs w:val="24"/>
        </w:rPr>
      </w:pPr>
      <w:r>
        <w:rPr>
          <w:rFonts w:ascii="宋体" w:hAnsi="宋体" w:cs="宋体"/>
          <w:sz w:val="24"/>
        </w:rPr>
        <w:t>3</w:t>
      </w:r>
      <w:r>
        <w:rPr>
          <w:rFonts w:hint="eastAsia" w:ascii="宋体" w:hAnsi="宋体" w:eastAsia="宋体" w:cs="宋体"/>
          <w:sz w:val="24"/>
          <w:szCs w:val="24"/>
        </w:rPr>
        <w:t>. 我方及由本人担任法定代表人的其他机构最近三年内被通报或者被处罚的违法行为有：</w:t>
      </w:r>
    </w:p>
    <w:p>
      <w:pPr>
        <w:shd w:val="clear" w:color="auto" w:fill="FFFFFF"/>
        <w:snapToGrid w:val="0"/>
        <w:spacing w:beforeLines="50" w:line="360" w:lineRule="auto"/>
        <w:ind w:firstLine="480" w:firstLineChars="200"/>
        <w:rPr>
          <w:rFonts w:ascii="宋体" w:hAnsi="宋体" w:cs="宋体"/>
          <w:sz w:val="24"/>
          <w:u w:val="single"/>
        </w:rPr>
      </w:pPr>
      <w:r>
        <w:rPr>
          <w:rFonts w:hint="eastAsia" w:ascii="宋体" w:hAnsi="宋体" w:cs="宋体"/>
          <w:sz w:val="24"/>
          <w:u w:val="single"/>
        </w:rPr>
        <w:t>　　　　　　　　　　　　　　　　　　　　　　　　　　　</w:t>
      </w:r>
    </w:p>
    <w:p>
      <w:pPr>
        <w:shd w:val="clear" w:color="auto" w:fill="FFFFFF"/>
        <w:snapToGrid w:val="0"/>
        <w:spacing w:beforeLines="50" w:line="360" w:lineRule="auto"/>
        <w:ind w:firstLine="480" w:firstLineChars="200"/>
        <w:rPr>
          <w:rFonts w:ascii="宋体" w:hAnsi="宋体" w:cs="宋体"/>
          <w:sz w:val="24"/>
          <w:u w:val="single"/>
        </w:rPr>
      </w:pPr>
      <w:r>
        <w:rPr>
          <w:rFonts w:hint="eastAsia" w:ascii="宋体" w:hAnsi="宋体" w:cs="宋体"/>
          <w:sz w:val="24"/>
          <w:u w:val="single"/>
        </w:rPr>
        <w:t>　　　　　　　　　　　　　　　　　　　　　　　　　　　</w:t>
      </w:r>
    </w:p>
    <w:p>
      <w:pPr>
        <w:shd w:val="clear" w:color="auto" w:fill="FFFFFF"/>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 以上事项如有虚假或隐瞒，我方愿意承担一切后果，并不再寻求任何旨在减轻或免除法律责任的辩解。</w:t>
      </w:r>
    </w:p>
    <w:p>
      <w:pPr>
        <w:shd w:val="clear" w:color="auto" w:fill="FFFFFF"/>
        <w:snapToGrid w:val="0"/>
        <w:spacing w:beforeLines="50" w:line="360" w:lineRule="auto"/>
        <w:ind w:firstLine="5040" w:firstLineChars="2100"/>
        <w:rPr>
          <w:rFonts w:ascii="宋体" w:hAnsi="宋体" w:cs="宋体"/>
          <w:sz w:val="24"/>
          <w:u w:val="single"/>
        </w:rPr>
      </w:pPr>
      <w:r>
        <w:rPr>
          <w:rFonts w:hint="eastAsia" w:ascii="宋体" w:hAnsi="宋体" w:cs="宋体"/>
          <w:sz w:val="24"/>
        </w:rPr>
        <w:t>法定代表人签字或盖章：</w:t>
      </w:r>
    </w:p>
    <w:p>
      <w:pPr>
        <w:shd w:val="clear" w:color="auto" w:fill="FFFFFF"/>
        <w:snapToGrid w:val="0"/>
        <w:spacing w:beforeLines="50" w:after="50" w:line="360" w:lineRule="auto"/>
        <w:ind w:firstLine="6720" w:firstLineChars="2800"/>
        <w:rPr>
          <w:rFonts w:ascii="宋体" w:hAnsi="宋体" w:cs="宋体"/>
          <w:sz w:val="24"/>
        </w:rPr>
      </w:pPr>
      <w:r>
        <w:rPr>
          <w:rFonts w:hint="eastAsia" w:ascii="宋体" w:hAnsi="宋体" w:cs="宋体"/>
          <w:sz w:val="24"/>
        </w:rPr>
        <w:t>供应商公章：</w:t>
      </w:r>
    </w:p>
    <w:p>
      <w:pPr>
        <w:shd w:val="clear" w:color="auto" w:fill="FFFFFF"/>
        <w:snapToGrid w:val="0"/>
        <w:spacing w:beforeLines="50" w:after="50" w:line="360" w:lineRule="auto"/>
        <w:ind w:firstLine="7080" w:firstLineChars="2950"/>
        <w:rPr>
          <w:rFonts w:ascii="宋体" w:hAnsi="宋体" w:cs="宋体"/>
          <w:sz w:val="24"/>
        </w:rPr>
      </w:pPr>
      <w:r>
        <w:rPr>
          <w:rFonts w:hint="eastAsia" w:ascii="宋体" w:hAnsi="宋体" w:cs="宋体"/>
          <w:sz w:val="24"/>
        </w:rPr>
        <w:t xml:space="preserve"> 年    月    日</w:t>
      </w:r>
    </w:p>
    <w:p>
      <w:pPr>
        <w:shd w:val="clear" w:color="auto" w:fill="FFFFFF"/>
        <w:snapToGrid w:val="0"/>
        <w:spacing w:before="50" w:afterLines="50" w:line="360" w:lineRule="auto"/>
        <w:jc w:val="left"/>
        <w:rPr>
          <w:rFonts w:ascii="宋体" w:hAnsi="宋体" w:cs="宋体"/>
          <w:b/>
          <w:sz w:val="24"/>
        </w:rPr>
      </w:pPr>
      <w:r>
        <w:rPr>
          <w:rFonts w:hint="eastAsia" w:ascii="宋体" w:hAnsi="宋体" w:cs="宋体"/>
          <w:b/>
          <w:sz w:val="24"/>
        </w:rPr>
        <w:t>2.3.3有效的营业执照等证明文件复印件：</w:t>
      </w:r>
    </w:p>
    <w:p>
      <w:pPr>
        <w:shd w:val="clear" w:color="auto" w:fill="FFFFFF"/>
        <w:snapToGrid w:val="0"/>
        <w:spacing w:before="50" w:afterLines="50" w:line="360" w:lineRule="auto"/>
        <w:jc w:val="left"/>
        <w:rPr>
          <w:rFonts w:ascii="宋体" w:hAnsi="宋体" w:cs="宋体"/>
          <w:b/>
          <w:sz w:val="24"/>
        </w:rPr>
      </w:pPr>
      <w:r>
        <w:rPr>
          <w:rFonts w:hint="eastAsia" w:ascii="宋体" w:hAnsi="宋体" w:cs="宋体"/>
          <w:b/>
          <w:sz w:val="24"/>
        </w:rPr>
        <w:t>①有效的营业执照副本复印件；</w:t>
      </w:r>
    </w:p>
    <w:p>
      <w:pPr>
        <w:shd w:val="clear" w:color="auto" w:fill="FFFFFF"/>
        <w:snapToGrid w:val="0"/>
        <w:spacing w:before="50" w:afterLines="50" w:line="360" w:lineRule="auto"/>
        <w:jc w:val="left"/>
        <w:rPr>
          <w:rFonts w:ascii="宋体" w:hAnsi="宋体" w:cs="宋体"/>
          <w:b/>
          <w:sz w:val="24"/>
        </w:rPr>
      </w:pPr>
      <w:r>
        <w:rPr>
          <w:rFonts w:hint="eastAsia" w:ascii="宋体" w:hAnsi="宋体" w:cs="宋体"/>
          <w:b/>
          <w:sz w:val="24"/>
        </w:rPr>
        <w:t>②有效的资质证书复印件</w:t>
      </w:r>
    </w:p>
    <w:p>
      <w:pPr>
        <w:shd w:val="clear" w:color="auto" w:fill="FFFFFF"/>
        <w:snapToGrid w:val="0"/>
        <w:spacing w:before="50" w:afterLines="50" w:line="360" w:lineRule="auto"/>
        <w:jc w:val="left"/>
        <w:rPr>
          <w:rFonts w:ascii="宋体" w:hAnsi="宋体" w:cs="宋体"/>
          <w:b/>
          <w:sz w:val="24"/>
        </w:rPr>
      </w:pPr>
    </w:p>
    <w:p>
      <w:pPr>
        <w:shd w:val="clear" w:color="auto" w:fill="FFFFFF"/>
        <w:snapToGrid w:val="0"/>
        <w:spacing w:before="50" w:afterLines="50" w:line="360" w:lineRule="auto"/>
        <w:jc w:val="left"/>
        <w:rPr>
          <w:rFonts w:ascii="宋体" w:hAnsi="宋体" w:cs="宋体"/>
          <w:b/>
          <w:sz w:val="24"/>
        </w:rPr>
      </w:pPr>
      <w:r>
        <w:rPr>
          <w:rFonts w:hint="eastAsia" w:ascii="宋体" w:hAnsi="宋体" w:cs="宋体"/>
          <w:b/>
          <w:sz w:val="24"/>
        </w:rPr>
        <w:t>2.3.4 拟投入本项目项目总监理工程师简历表</w:t>
      </w:r>
    </w:p>
    <w:p>
      <w:pPr>
        <w:pStyle w:val="88"/>
        <w:jc w:val="center"/>
        <w:rPr>
          <w:sz w:val="30"/>
          <w:szCs w:val="30"/>
        </w:rPr>
      </w:pPr>
      <w:r>
        <w:rPr>
          <w:sz w:val="30"/>
          <w:szCs w:val="30"/>
        </w:rPr>
        <w:t>项目总监理工程师简历表</w:t>
      </w:r>
    </w:p>
    <w:p>
      <w:pPr>
        <w:pStyle w:val="89"/>
        <w:tabs>
          <w:tab w:val="left" w:pos="0"/>
          <w:tab w:val="left" w:pos="567"/>
          <w:tab w:val="left" w:pos="993"/>
          <w:tab w:val="left" w:pos="1134"/>
        </w:tabs>
        <w:snapToGrid w:val="0"/>
        <w:spacing w:line="300" w:lineRule="auto"/>
        <w:jc w:val="center"/>
        <w:rPr>
          <w:b/>
          <w:szCs w:val="21"/>
        </w:rPr>
      </w:pPr>
    </w:p>
    <w:tbl>
      <w:tblPr>
        <w:tblStyle w:val="4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70"/>
        <w:gridCol w:w="17"/>
        <w:gridCol w:w="1509"/>
        <w:gridCol w:w="991"/>
        <w:gridCol w:w="800"/>
        <w:gridCol w:w="400"/>
        <w:gridCol w:w="875"/>
        <w:gridCol w:w="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pStyle w:val="89"/>
              <w:spacing w:line="560" w:lineRule="exact"/>
              <w:jc w:val="center"/>
              <w:rPr>
                <w:szCs w:val="21"/>
              </w:rPr>
            </w:pPr>
            <w:r>
              <w:rPr>
                <w:rFonts w:hAnsi="宋体"/>
                <w:szCs w:val="21"/>
              </w:rPr>
              <w:t>姓名</w:t>
            </w:r>
          </w:p>
        </w:tc>
        <w:tc>
          <w:tcPr>
            <w:tcW w:w="1700" w:type="dxa"/>
            <w:gridSpan w:val="3"/>
            <w:vAlign w:val="center"/>
          </w:tcPr>
          <w:p>
            <w:pPr>
              <w:pStyle w:val="89"/>
              <w:spacing w:line="560" w:lineRule="exact"/>
              <w:ind w:firstLine="420"/>
              <w:rPr>
                <w:szCs w:val="21"/>
              </w:rPr>
            </w:pPr>
          </w:p>
        </w:tc>
        <w:tc>
          <w:tcPr>
            <w:tcW w:w="1509" w:type="dxa"/>
            <w:vAlign w:val="center"/>
          </w:tcPr>
          <w:p>
            <w:pPr>
              <w:pStyle w:val="89"/>
              <w:spacing w:line="560" w:lineRule="exact"/>
              <w:jc w:val="center"/>
              <w:rPr>
                <w:szCs w:val="21"/>
              </w:rPr>
            </w:pPr>
            <w:r>
              <w:rPr>
                <w:rFonts w:hAnsi="宋体"/>
                <w:szCs w:val="21"/>
              </w:rPr>
              <w:t>性别</w:t>
            </w:r>
          </w:p>
        </w:tc>
        <w:tc>
          <w:tcPr>
            <w:tcW w:w="1791" w:type="dxa"/>
            <w:gridSpan w:val="2"/>
            <w:vAlign w:val="center"/>
          </w:tcPr>
          <w:p>
            <w:pPr>
              <w:pStyle w:val="89"/>
              <w:spacing w:line="560" w:lineRule="exact"/>
              <w:ind w:firstLine="420"/>
              <w:rPr>
                <w:szCs w:val="21"/>
              </w:rPr>
            </w:pPr>
          </w:p>
        </w:tc>
        <w:tc>
          <w:tcPr>
            <w:tcW w:w="1275" w:type="dxa"/>
            <w:gridSpan w:val="2"/>
          </w:tcPr>
          <w:p>
            <w:pPr>
              <w:pStyle w:val="89"/>
              <w:spacing w:line="560" w:lineRule="exact"/>
              <w:jc w:val="center"/>
              <w:rPr>
                <w:szCs w:val="21"/>
              </w:rPr>
            </w:pPr>
            <w:r>
              <w:rPr>
                <w:rFonts w:hAnsi="宋体"/>
                <w:szCs w:val="21"/>
              </w:rPr>
              <w:t>年龄</w:t>
            </w:r>
          </w:p>
        </w:tc>
        <w:tc>
          <w:tcPr>
            <w:tcW w:w="1529" w:type="dxa"/>
            <w:gridSpan w:val="2"/>
          </w:tcPr>
          <w:p>
            <w:pPr>
              <w:pStyle w:val="89"/>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pStyle w:val="89"/>
              <w:spacing w:line="560" w:lineRule="exact"/>
              <w:jc w:val="center"/>
              <w:rPr>
                <w:szCs w:val="21"/>
              </w:rPr>
            </w:pPr>
            <w:r>
              <w:rPr>
                <w:rFonts w:hAnsi="宋体"/>
                <w:szCs w:val="21"/>
              </w:rPr>
              <w:t>职务</w:t>
            </w:r>
          </w:p>
        </w:tc>
        <w:tc>
          <w:tcPr>
            <w:tcW w:w="1700" w:type="dxa"/>
            <w:gridSpan w:val="3"/>
            <w:vAlign w:val="center"/>
          </w:tcPr>
          <w:p>
            <w:pPr>
              <w:pStyle w:val="89"/>
              <w:spacing w:line="560" w:lineRule="exact"/>
              <w:ind w:firstLine="420"/>
              <w:rPr>
                <w:szCs w:val="21"/>
              </w:rPr>
            </w:pPr>
          </w:p>
        </w:tc>
        <w:tc>
          <w:tcPr>
            <w:tcW w:w="1509" w:type="dxa"/>
            <w:vAlign w:val="center"/>
          </w:tcPr>
          <w:p>
            <w:pPr>
              <w:pStyle w:val="89"/>
              <w:spacing w:line="560" w:lineRule="exact"/>
              <w:jc w:val="center"/>
              <w:rPr>
                <w:szCs w:val="21"/>
              </w:rPr>
            </w:pPr>
            <w:r>
              <w:rPr>
                <w:rFonts w:hAnsi="宋体"/>
                <w:szCs w:val="21"/>
              </w:rPr>
              <w:t>职称</w:t>
            </w:r>
          </w:p>
        </w:tc>
        <w:tc>
          <w:tcPr>
            <w:tcW w:w="1791" w:type="dxa"/>
            <w:gridSpan w:val="2"/>
            <w:vAlign w:val="center"/>
          </w:tcPr>
          <w:p>
            <w:pPr>
              <w:pStyle w:val="89"/>
              <w:spacing w:line="560" w:lineRule="exact"/>
              <w:ind w:firstLine="420"/>
              <w:rPr>
                <w:szCs w:val="21"/>
              </w:rPr>
            </w:pPr>
          </w:p>
        </w:tc>
        <w:tc>
          <w:tcPr>
            <w:tcW w:w="1275" w:type="dxa"/>
            <w:gridSpan w:val="2"/>
          </w:tcPr>
          <w:p>
            <w:pPr>
              <w:pStyle w:val="89"/>
              <w:spacing w:line="560" w:lineRule="exact"/>
              <w:jc w:val="center"/>
              <w:rPr>
                <w:szCs w:val="21"/>
              </w:rPr>
            </w:pPr>
            <w:r>
              <w:rPr>
                <w:rFonts w:hAnsi="宋体"/>
                <w:szCs w:val="21"/>
              </w:rPr>
              <w:t>学历</w:t>
            </w:r>
          </w:p>
        </w:tc>
        <w:tc>
          <w:tcPr>
            <w:tcW w:w="1529" w:type="dxa"/>
            <w:gridSpan w:val="2"/>
          </w:tcPr>
          <w:p>
            <w:pPr>
              <w:pStyle w:val="89"/>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2800" w:type="dxa"/>
            <w:gridSpan w:val="4"/>
            <w:vAlign w:val="center"/>
          </w:tcPr>
          <w:p>
            <w:pPr>
              <w:pStyle w:val="89"/>
              <w:spacing w:line="560" w:lineRule="exact"/>
              <w:ind w:firstLine="420"/>
              <w:rPr>
                <w:szCs w:val="21"/>
              </w:rPr>
            </w:pPr>
            <w:r>
              <w:rPr>
                <w:rFonts w:hAnsi="宋体"/>
                <w:szCs w:val="21"/>
              </w:rPr>
              <w:t>参加工作时间</w:t>
            </w:r>
          </w:p>
        </w:tc>
        <w:tc>
          <w:tcPr>
            <w:tcW w:w="1509" w:type="dxa"/>
            <w:vAlign w:val="center"/>
          </w:tcPr>
          <w:p>
            <w:pPr>
              <w:pStyle w:val="89"/>
              <w:spacing w:line="560" w:lineRule="exact"/>
              <w:rPr>
                <w:szCs w:val="21"/>
              </w:rPr>
            </w:pPr>
          </w:p>
        </w:tc>
        <w:tc>
          <w:tcPr>
            <w:tcW w:w="3066" w:type="dxa"/>
            <w:gridSpan w:val="4"/>
            <w:vAlign w:val="center"/>
          </w:tcPr>
          <w:p>
            <w:pPr>
              <w:pStyle w:val="89"/>
              <w:spacing w:line="560" w:lineRule="exact"/>
              <w:ind w:firstLine="210" w:firstLineChars="100"/>
              <w:rPr>
                <w:szCs w:val="21"/>
              </w:rPr>
            </w:pPr>
            <w:r>
              <w:rPr>
                <w:rFonts w:hAnsi="宋体"/>
                <w:szCs w:val="21"/>
              </w:rPr>
              <w:t>担任项目总监理工程师年限</w:t>
            </w:r>
          </w:p>
        </w:tc>
        <w:tc>
          <w:tcPr>
            <w:tcW w:w="1529" w:type="dxa"/>
            <w:gridSpan w:val="2"/>
          </w:tcPr>
          <w:p>
            <w:pPr>
              <w:pStyle w:val="89"/>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4"/>
            <w:vAlign w:val="center"/>
          </w:tcPr>
          <w:p>
            <w:pPr>
              <w:pStyle w:val="89"/>
              <w:spacing w:line="560" w:lineRule="exact"/>
              <w:jc w:val="center"/>
              <w:rPr>
                <w:szCs w:val="21"/>
              </w:rPr>
            </w:pPr>
            <w:r>
              <w:rPr>
                <w:rFonts w:hAnsi="宋体"/>
                <w:szCs w:val="21"/>
              </w:rPr>
              <w:t>监理工程师职称证书号</w:t>
            </w:r>
          </w:p>
          <w:p>
            <w:pPr>
              <w:pStyle w:val="89"/>
              <w:spacing w:line="560" w:lineRule="exact"/>
              <w:jc w:val="center"/>
              <w:rPr>
                <w:szCs w:val="21"/>
              </w:rPr>
            </w:pPr>
          </w:p>
          <w:p>
            <w:pPr>
              <w:pStyle w:val="89"/>
              <w:spacing w:line="560" w:lineRule="exact"/>
              <w:jc w:val="center"/>
              <w:rPr>
                <w:szCs w:val="21"/>
              </w:rPr>
            </w:pPr>
            <w:r>
              <w:rPr>
                <w:rFonts w:hAnsi="宋体"/>
                <w:szCs w:val="21"/>
              </w:rPr>
              <w:t>程</w:t>
            </w:r>
          </w:p>
        </w:tc>
        <w:tc>
          <w:tcPr>
            <w:tcW w:w="1509" w:type="dxa"/>
            <w:vAlign w:val="center"/>
          </w:tcPr>
          <w:p>
            <w:pPr>
              <w:pStyle w:val="89"/>
              <w:spacing w:line="560" w:lineRule="exact"/>
              <w:ind w:firstLine="420"/>
              <w:jc w:val="center"/>
              <w:rPr>
                <w:szCs w:val="21"/>
              </w:rPr>
            </w:pPr>
          </w:p>
          <w:p>
            <w:pPr>
              <w:pStyle w:val="89"/>
              <w:spacing w:line="560" w:lineRule="exact"/>
              <w:ind w:firstLine="420"/>
              <w:jc w:val="center"/>
              <w:rPr>
                <w:szCs w:val="21"/>
              </w:rPr>
            </w:pPr>
          </w:p>
          <w:p>
            <w:pPr>
              <w:pStyle w:val="89"/>
              <w:spacing w:line="560" w:lineRule="exact"/>
              <w:ind w:firstLine="420"/>
              <w:jc w:val="center"/>
              <w:rPr>
                <w:szCs w:val="21"/>
              </w:rPr>
            </w:pPr>
          </w:p>
        </w:tc>
        <w:tc>
          <w:tcPr>
            <w:tcW w:w="3066" w:type="dxa"/>
            <w:gridSpan w:val="4"/>
            <w:vAlign w:val="center"/>
          </w:tcPr>
          <w:p>
            <w:pPr>
              <w:pStyle w:val="89"/>
              <w:spacing w:line="560" w:lineRule="exact"/>
              <w:jc w:val="center"/>
              <w:rPr>
                <w:szCs w:val="21"/>
              </w:rPr>
            </w:pPr>
            <w:r>
              <w:rPr>
                <w:rFonts w:hAnsi="宋体"/>
                <w:szCs w:val="21"/>
              </w:rPr>
              <w:t>监理工程师</w:t>
            </w:r>
            <w:r>
              <w:rPr>
                <w:rFonts w:hint="eastAsia" w:hAnsi="宋体"/>
                <w:szCs w:val="21"/>
              </w:rPr>
              <w:t>资格</w:t>
            </w:r>
            <w:r>
              <w:rPr>
                <w:rFonts w:hAnsi="宋体"/>
                <w:szCs w:val="21"/>
              </w:rPr>
              <w:t>证</w:t>
            </w:r>
            <w:r>
              <w:rPr>
                <w:rFonts w:hint="eastAsia" w:hAnsi="宋体"/>
                <w:szCs w:val="21"/>
              </w:rPr>
              <w:t>或注册证</w:t>
            </w:r>
            <w:r>
              <w:rPr>
                <w:rFonts w:hAnsi="宋体"/>
                <w:szCs w:val="21"/>
              </w:rPr>
              <w:t>书号</w:t>
            </w:r>
          </w:p>
        </w:tc>
        <w:tc>
          <w:tcPr>
            <w:tcW w:w="1529" w:type="dxa"/>
            <w:gridSpan w:val="2"/>
          </w:tcPr>
          <w:p>
            <w:pPr>
              <w:pStyle w:val="89"/>
              <w:spacing w:line="560" w:lineRule="exact"/>
              <w:ind w:firstLine="420"/>
              <w:rPr>
                <w:szCs w:val="21"/>
              </w:rPr>
            </w:pPr>
          </w:p>
          <w:p>
            <w:pPr>
              <w:pStyle w:val="89"/>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pStyle w:val="89"/>
              <w:ind w:firstLine="105" w:firstLineChars="50"/>
              <w:rPr>
                <w:szCs w:val="21"/>
              </w:rPr>
            </w:pPr>
            <w:r>
              <w:rPr>
                <w:rFonts w:hAnsi="宋体"/>
                <w:szCs w:val="21"/>
              </w:rPr>
              <w:t>主要工作</w:t>
            </w:r>
          </w:p>
          <w:p>
            <w:pPr>
              <w:pStyle w:val="89"/>
              <w:jc w:val="center"/>
              <w:rPr>
                <w:rFonts w:hAnsi="宋体"/>
                <w:szCs w:val="21"/>
              </w:rPr>
            </w:pPr>
            <w:r>
              <w:rPr>
                <w:rFonts w:hAnsi="宋体"/>
                <w:szCs w:val="21"/>
              </w:rPr>
              <w:t>经历</w:t>
            </w:r>
          </w:p>
        </w:tc>
        <w:tc>
          <w:tcPr>
            <w:tcW w:w="7591" w:type="dxa"/>
            <w:gridSpan w:val="9"/>
            <w:vAlign w:val="center"/>
          </w:tcPr>
          <w:p>
            <w:pPr>
              <w:pStyle w:val="89"/>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exact"/>
          <w:jc w:val="center"/>
        </w:trPr>
        <w:tc>
          <w:tcPr>
            <w:tcW w:w="8904" w:type="dxa"/>
            <w:gridSpan w:val="11"/>
            <w:vAlign w:val="center"/>
          </w:tcPr>
          <w:p>
            <w:pPr>
              <w:pStyle w:val="89"/>
              <w:jc w:val="center"/>
              <w:rPr>
                <w:rFonts w:hAnsi="宋体"/>
                <w:szCs w:val="21"/>
              </w:rPr>
            </w:pPr>
            <w:r>
              <w:rPr>
                <w:rFonts w:hAnsi="宋体"/>
                <w:szCs w:val="21"/>
              </w:rPr>
              <w:t>已完成的工程情况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exact"/>
          <w:jc w:val="center"/>
        </w:trPr>
        <w:tc>
          <w:tcPr>
            <w:tcW w:w="1313" w:type="dxa"/>
            <w:gridSpan w:val="2"/>
            <w:vAlign w:val="center"/>
          </w:tcPr>
          <w:p>
            <w:pPr>
              <w:pStyle w:val="89"/>
              <w:jc w:val="center"/>
              <w:rPr>
                <w:szCs w:val="21"/>
              </w:rPr>
            </w:pPr>
            <w:r>
              <w:rPr>
                <w:rFonts w:hAnsi="宋体"/>
                <w:szCs w:val="21"/>
              </w:rPr>
              <w:t>建设单位</w:t>
            </w:r>
          </w:p>
        </w:tc>
        <w:tc>
          <w:tcPr>
            <w:tcW w:w="1470" w:type="dxa"/>
            <w:vAlign w:val="center"/>
          </w:tcPr>
          <w:p>
            <w:pPr>
              <w:pStyle w:val="89"/>
              <w:jc w:val="center"/>
              <w:rPr>
                <w:szCs w:val="21"/>
              </w:rPr>
            </w:pPr>
            <w:r>
              <w:rPr>
                <w:rFonts w:hAnsi="宋体"/>
                <w:szCs w:val="21"/>
              </w:rPr>
              <w:t>项目名称</w:t>
            </w:r>
          </w:p>
        </w:tc>
        <w:tc>
          <w:tcPr>
            <w:tcW w:w="1526" w:type="dxa"/>
            <w:gridSpan w:val="2"/>
            <w:vAlign w:val="center"/>
          </w:tcPr>
          <w:p>
            <w:pPr>
              <w:pStyle w:val="89"/>
              <w:jc w:val="center"/>
              <w:rPr>
                <w:szCs w:val="21"/>
              </w:rPr>
            </w:pPr>
            <w:r>
              <w:rPr>
                <w:rFonts w:hAnsi="宋体"/>
                <w:szCs w:val="21"/>
              </w:rPr>
              <w:t>建设规模</w:t>
            </w:r>
          </w:p>
          <w:p>
            <w:pPr>
              <w:pStyle w:val="89"/>
              <w:jc w:val="center"/>
              <w:rPr>
                <w:szCs w:val="21"/>
              </w:rPr>
            </w:pPr>
            <w:r>
              <w:rPr>
                <w:rFonts w:hAnsi="宋体"/>
                <w:szCs w:val="21"/>
              </w:rPr>
              <w:t>（面积、层数等）</w:t>
            </w:r>
          </w:p>
        </w:tc>
        <w:tc>
          <w:tcPr>
            <w:tcW w:w="991" w:type="dxa"/>
            <w:vAlign w:val="center"/>
          </w:tcPr>
          <w:p>
            <w:pPr>
              <w:pStyle w:val="89"/>
              <w:jc w:val="center"/>
              <w:rPr>
                <w:szCs w:val="21"/>
              </w:rPr>
            </w:pPr>
            <w:r>
              <w:rPr>
                <w:rFonts w:hAnsi="宋体"/>
                <w:szCs w:val="21"/>
              </w:rPr>
              <w:t>开、竣工</w:t>
            </w:r>
          </w:p>
          <w:p>
            <w:pPr>
              <w:pStyle w:val="89"/>
              <w:jc w:val="center"/>
              <w:rPr>
                <w:szCs w:val="21"/>
              </w:rPr>
            </w:pPr>
            <w:r>
              <w:rPr>
                <w:rFonts w:hAnsi="宋体"/>
                <w:szCs w:val="21"/>
              </w:rPr>
              <w:t>日期</w:t>
            </w:r>
          </w:p>
        </w:tc>
        <w:tc>
          <w:tcPr>
            <w:tcW w:w="1200" w:type="dxa"/>
            <w:gridSpan w:val="2"/>
            <w:vAlign w:val="center"/>
          </w:tcPr>
          <w:p>
            <w:pPr>
              <w:pStyle w:val="89"/>
              <w:jc w:val="center"/>
              <w:rPr>
                <w:szCs w:val="21"/>
              </w:rPr>
            </w:pPr>
            <w:r>
              <w:rPr>
                <w:rFonts w:hAnsi="宋体"/>
                <w:szCs w:val="21"/>
              </w:rPr>
              <w:t>工程质量</w:t>
            </w:r>
          </w:p>
        </w:tc>
        <w:tc>
          <w:tcPr>
            <w:tcW w:w="1100" w:type="dxa"/>
            <w:gridSpan w:val="2"/>
            <w:vAlign w:val="center"/>
          </w:tcPr>
          <w:p>
            <w:pPr>
              <w:pStyle w:val="89"/>
              <w:jc w:val="center"/>
              <w:rPr>
                <w:szCs w:val="21"/>
              </w:rPr>
            </w:pPr>
            <w:r>
              <w:rPr>
                <w:rFonts w:hAnsi="宋体"/>
                <w:szCs w:val="21"/>
              </w:rPr>
              <w:t>在项目中</w:t>
            </w:r>
          </w:p>
          <w:p>
            <w:pPr>
              <w:pStyle w:val="89"/>
              <w:jc w:val="center"/>
              <w:rPr>
                <w:szCs w:val="21"/>
              </w:rPr>
            </w:pPr>
            <w:r>
              <w:rPr>
                <w:rFonts w:hAnsi="宋体"/>
                <w:szCs w:val="21"/>
              </w:rPr>
              <w:t>担任职务</w:t>
            </w:r>
          </w:p>
        </w:tc>
        <w:tc>
          <w:tcPr>
            <w:tcW w:w="1304" w:type="dxa"/>
            <w:vAlign w:val="center"/>
          </w:tcPr>
          <w:p>
            <w:pPr>
              <w:pStyle w:val="89"/>
              <w:jc w:val="center"/>
              <w:rPr>
                <w:szCs w:val="21"/>
              </w:rPr>
            </w:pPr>
            <w:r>
              <w:rPr>
                <w:rFonts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pStyle w:val="89"/>
              <w:spacing w:line="560" w:lineRule="exact"/>
              <w:ind w:firstLine="420"/>
              <w:jc w:val="center"/>
              <w:rPr>
                <w:szCs w:val="21"/>
              </w:rPr>
            </w:pPr>
          </w:p>
        </w:tc>
        <w:tc>
          <w:tcPr>
            <w:tcW w:w="1470" w:type="dxa"/>
            <w:vAlign w:val="center"/>
          </w:tcPr>
          <w:p>
            <w:pPr>
              <w:pStyle w:val="89"/>
              <w:spacing w:line="560" w:lineRule="exact"/>
              <w:ind w:firstLine="420"/>
              <w:jc w:val="center"/>
              <w:rPr>
                <w:szCs w:val="21"/>
              </w:rPr>
            </w:pPr>
          </w:p>
        </w:tc>
        <w:tc>
          <w:tcPr>
            <w:tcW w:w="1526" w:type="dxa"/>
            <w:gridSpan w:val="2"/>
            <w:vAlign w:val="center"/>
          </w:tcPr>
          <w:p>
            <w:pPr>
              <w:pStyle w:val="89"/>
              <w:spacing w:line="560" w:lineRule="exact"/>
              <w:ind w:firstLine="420"/>
              <w:jc w:val="center"/>
              <w:rPr>
                <w:szCs w:val="21"/>
              </w:rPr>
            </w:pPr>
          </w:p>
        </w:tc>
        <w:tc>
          <w:tcPr>
            <w:tcW w:w="991" w:type="dxa"/>
            <w:vAlign w:val="center"/>
          </w:tcPr>
          <w:p>
            <w:pPr>
              <w:pStyle w:val="89"/>
              <w:spacing w:line="560" w:lineRule="exact"/>
              <w:ind w:firstLine="420"/>
              <w:jc w:val="center"/>
              <w:rPr>
                <w:szCs w:val="21"/>
              </w:rPr>
            </w:pPr>
          </w:p>
        </w:tc>
        <w:tc>
          <w:tcPr>
            <w:tcW w:w="1200" w:type="dxa"/>
            <w:gridSpan w:val="2"/>
          </w:tcPr>
          <w:p>
            <w:pPr>
              <w:pStyle w:val="89"/>
              <w:spacing w:line="560" w:lineRule="exact"/>
              <w:ind w:firstLine="420"/>
              <w:jc w:val="center"/>
              <w:rPr>
                <w:szCs w:val="21"/>
              </w:rPr>
            </w:pPr>
          </w:p>
        </w:tc>
        <w:tc>
          <w:tcPr>
            <w:tcW w:w="1100" w:type="dxa"/>
            <w:gridSpan w:val="2"/>
          </w:tcPr>
          <w:p>
            <w:pPr>
              <w:pStyle w:val="89"/>
              <w:spacing w:line="560" w:lineRule="exact"/>
              <w:ind w:firstLine="420"/>
              <w:jc w:val="center"/>
              <w:rPr>
                <w:szCs w:val="21"/>
              </w:rPr>
            </w:pPr>
          </w:p>
        </w:tc>
        <w:tc>
          <w:tcPr>
            <w:tcW w:w="1304" w:type="dxa"/>
          </w:tcPr>
          <w:p>
            <w:pPr>
              <w:pStyle w:val="89"/>
              <w:spacing w:line="560" w:lineRule="exact"/>
              <w:ind w:firstLine="4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pStyle w:val="89"/>
              <w:spacing w:line="560" w:lineRule="exact"/>
              <w:ind w:firstLine="420"/>
              <w:jc w:val="center"/>
              <w:rPr>
                <w:szCs w:val="21"/>
              </w:rPr>
            </w:pPr>
          </w:p>
        </w:tc>
        <w:tc>
          <w:tcPr>
            <w:tcW w:w="1470" w:type="dxa"/>
            <w:vAlign w:val="center"/>
          </w:tcPr>
          <w:p>
            <w:pPr>
              <w:pStyle w:val="89"/>
              <w:spacing w:line="560" w:lineRule="exact"/>
              <w:ind w:firstLine="420"/>
              <w:jc w:val="center"/>
              <w:rPr>
                <w:szCs w:val="21"/>
              </w:rPr>
            </w:pPr>
          </w:p>
        </w:tc>
        <w:tc>
          <w:tcPr>
            <w:tcW w:w="1526" w:type="dxa"/>
            <w:gridSpan w:val="2"/>
            <w:vAlign w:val="center"/>
          </w:tcPr>
          <w:p>
            <w:pPr>
              <w:pStyle w:val="89"/>
              <w:spacing w:line="560" w:lineRule="exact"/>
              <w:ind w:firstLine="420"/>
              <w:jc w:val="center"/>
              <w:rPr>
                <w:szCs w:val="21"/>
              </w:rPr>
            </w:pPr>
          </w:p>
        </w:tc>
        <w:tc>
          <w:tcPr>
            <w:tcW w:w="991" w:type="dxa"/>
            <w:vAlign w:val="center"/>
          </w:tcPr>
          <w:p>
            <w:pPr>
              <w:pStyle w:val="89"/>
              <w:spacing w:line="560" w:lineRule="exact"/>
              <w:ind w:firstLine="420"/>
              <w:jc w:val="center"/>
              <w:rPr>
                <w:szCs w:val="21"/>
              </w:rPr>
            </w:pPr>
          </w:p>
        </w:tc>
        <w:tc>
          <w:tcPr>
            <w:tcW w:w="1200" w:type="dxa"/>
            <w:gridSpan w:val="2"/>
          </w:tcPr>
          <w:p>
            <w:pPr>
              <w:pStyle w:val="89"/>
              <w:spacing w:line="560" w:lineRule="exact"/>
              <w:ind w:firstLine="420"/>
              <w:jc w:val="center"/>
              <w:rPr>
                <w:szCs w:val="21"/>
              </w:rPr>
            </w:pPr>
          </w:p>
        </w:tc>
        <w:tc>
          <w:tcPr>
            <w:tcW w:w="1100" w:type="dxa"/>
            <w:gridSpan w:val="2"/>
          </w:tcPr>
          <w:p>
            <w:pPr>
              <w:pStyle w:val="89"/>
              <w:spacing w:line="560" w:lineRule="exact"/>
              <w:ind w:firstLine="420"/>
              <w:jc w:val="center"/>
              <w:rPr>
                <w:szCs w:val="21"/>
              </w:rPr>
            </w:pPr>
          </w:p>
        </w:tc>
        <w:tc>
          <w:tcPr>
            <w:tcW w:w="1304" w:type="dxa"/>
          </w:tcPr>
          <w:p>
            <w:pPr>
              <w:pStyle w:val="89"/>
              <w:spacing w:line="560" w:lineRule="exact"/>
              <w:ind w:firstLine="4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pStyle w:val="89"/>
              <w:spacing w:line="560" w:lineRule="exact"/>
              <w:ind w:firstLine="420"/>
              <w:jc w:val="center"/>
              <w:rPr>
                <w:szCs w:val="21"/>
              </w:rPr>
            </w:pPr>
          </w:p>
        </w:tc>
        <w:tc>
          <w:tcPr>
            <w:tcW w:w="1470" w:type="dxa"/>
            <w:vAlign w:val="center"/>
          </w:tcPr>
          <w:p>
            <w:pPr>
              <w:pStyle w:val="89"/>
              <w:spacing w:line="560" w:lineRule="exact"/>
              <w:ind w:firstLine="420"/>
              <w:jc w:val="center"/>
              <w:rPr>
                <w:szCs w:val="21"/>
              </w:rPr>
            </w:pPr>
          </w:p>
        </w:tc>
        <w:tc>
          <w:tcPr>
            <w:tcW w:w="1526" w:type="dxa"/>
            <w:gridSpan w:val="2"/>
            <w:vAlign w:val="center"/>
          </w:tcPr>
          <w:p>
            <w:pPr>
              <w:pStyle w:val="89"/>
              <w:spacing w:line="560" w:lineRule="exact"/>
              <w:ind w:firstLine="420"/>
              <w:jc w:val="center"/>
              <w:rPr>
                <w:szCs w:val="21"/>
              </w:rPr>
            </w:pPr>
          </w:p>
        </w:tc>
        <w:tc>
          <w:tcPr>
            <w:tcW w:w="991" w:type="dxa"/>
            <w:vAlign w:val="center"/>
          </w:tcPr>
          <w:p>
            <w:pPr>
              <w:pStyle w:val="89"/>
              <w:spacing w:line="560" w:lineRule="exact"/>
              <w:ind w:firstLine="420"/>
              <w:jc w:val="center"/>
              <w:rPr>
                <w:szCs w:val="21"/>
              </w:rPr>
            </w:pPr>
          </w:p>
        </w:tc>
        <w:tc>
          <w:tcPr>
            <w:tcW w:w="1200" w:type="dxa"/>
            <w:gridSpan w:val="2"/>
          </w:tcPr>
          <w:p>
            <w:pPr>
              <w:pStyle w:val="89"/>
              <w:spacing w:line="560" w:lineRule="exact"/>
              <w:ind w:firstLine="420"/>
              <w:jc w:val="center"/>
              <w:rPr>
                <w:szCs w:val="21"/>
              </w:rPr>
            </w:pPr>
          </w:p>
        </w:tc>
        <w:tc>
          <w:tcPr>
            <w:tcW w:w="1100" w:type="dxa"/>
            <w:gridSpan w:val="2"/>
          </w:tcPr>
          <w:p>
            <w:pPr>
              <w:pStyle w:val="89"/>
              <w:spacing w:line="560" w:lineRule="exact"/>
              <w:ind w:firstLine="420"/>
              <w:jc w:val="center"/>
              <w:rPr>
                <w:szCs w:val="21"/>
              </w:rPr>
            </w:pPr>
          </w:p>
        </w:tc>
        <w:tc>
          <w:tcPr>
            <w:tcW w:w="1304" w:type="dxa"/>
          </w:tcPr>
          <w:p>
            <w:pPr>
              <w:pStyle w:val="89"/>
              <w:spacing w:line="560" w:lineRule="exact"/>
              <w:ind w:firstLine="4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pStyle w:val="89"/>
              <w:spacing w:line="560" w:lineRule="exact"/>
              <w:ind w:firstLine="420"/>
              <w:jc w:val="center"/>
              <w:rPr>
                <w:szCs w:val="21"/>
              </w:rPr>
            </w:pPr>
          </w:p>
        </w:tc>
        <w:tc>
          <w:tcPr>
            <w:tcW w:w="1470" w:type="dxa"/>
            <w:vAlign w:val="center"/>
          </w:tcPr>
          <w:p>
            <w:pPr>
              <w:pStyle w:val="89"/>
              <w:spacing w:line="560" w:lineRule="exact"/>
              <w:ind w:firstLine="420"/>
              <w:jc w:val="center"/>
              <w:rPr>
                <w:szCs w:val="21"/>
              </w:rPr>
            </w:pPr>
          </w:p>
        </w:tc>
        <w:tc>
          <w:tcPr>
            <w:tcW w:w="1526" w:type="dxa"/>
            <w:gridSpan w:val="2"/>
            <w:vAlign w:val="center"/>
          </w:tcPr>
          <w:p>
            <w:pPr>
              <w:pStyle w:val="89"/>
              <w:spacing w:line="560" w:lineRule="exact"/>
              <w:ind w:firstLine="420"/>
              <w:jc w:val="center"/>
              <w:rPr>
                <w:szCs w:val="21"/>
              </w:rPr>
            </w:pPr>
          </w:p>
        </w:tc>
        <w:tc>
          <w:tcPr>
            <w:tcW w:w="991" w:type="dxa"/>
            <w:vAlign w:val="center"/>
          </w:tcPr>
          <w:p>
            <w:pPr>
              <w:pStyle w:val="89"/>
              <w:spacing w:line="560" w:lineRule="exact"/>
              <w:ind w:firstLine="420"/>
              <w:jc w:val="center"/>
              <w:rPr>
                <w:szCs w:val="21"/>
              </w:rPr>
            </w:pPr>
          </w:p>
        </w:tc>
        <w:tc>
          <w:tcPr>
            <w:tcW w:w="1200" w:type="dxa"/>
            <w:gridSpan w:val="2"/>
          </w:tcPr>
          <w:p>
            <w:pPr>
              <w:pStyle w:val="89"/>
              <w:spacing w:line="560" w:lineRule="exact"/>
              <w:ind w:firstLine="420"/>
              <w:jc w:val="center"/>
              <w:rPr>
                <w:szCs w:val="21"/>
              </w:rPr>
            </w:pPr>
          </w:p>
        </w:tc>
        <w:tc>
          <w:tcPr>
            <w:tcW w:w="1100" w:type="dxa"/>
            <w:gridSpan w:val="2"/>
          </w:tcPr>
          <w:p>
            <w:pPr>
              <w:pStyle w:val="89"/>
              <w:spacing w:line="560" w:lineRule="exact"/>
              <w:ind w:firstLine="420"/>
              <w:jc w:val="center"/>
              <w:rPr>
                <w:szCs w:val="21"/>
              </w:rPr>
            </w:pPr>
          </w:p>
        </w:tc>
        <w:tc>
          <w:tcPr>
            <w:tcW w:w="1304" w:type="dxa"/>
          </w:tcPr>
          <w:p>
            <w:pPr>
              <w:pStyle w:val="89"/>
              <w:spacing w:line="560" w:lineRule="exact"/>
              <w:ind w:firstLine="4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pStyle w:val="89"/>
              <w:spacing w:line="560" w:lineRule="exact"/>
              <w:ind w:firstLine="420"/>
              <w:jc w:val="center"/>
              <w:rPr>
                <w:szCs w:val="21"/>
              </w:rPr>
            </w:pPr>
          </w:p>
        </w:tc>
        <w:tc>
          <w:tcPr>
            <w:tcW w:w="1470" w:type="dxa"/>
            <w:vAlign w:val="center"/>
          </w:tcPr>
          <w:p>
            <w:pPr>
              <w:pStyle w:val="89"/>
              <w:spacing w:line="560" w:lineRule="exact"/>
              <w:ind w:firstLine="420"/>
              <w:jc w:val="center"/>
              <w:rPr>
                <w:szCs w:val="21"/>
              </w:rPr>
            </w:pPr>
          </w:p>
        </w:tc>
        <w:tc>
          <w:tcPr>
            <w:tcW w:w="1526" w:type="dxa"/>
            <w:gridSpan w:val="2"/>
            <w:vAlign w:val="center"/>
          </w:tcPr>
          <w:p>
            <w:pPr>
              <w:pStyle w:val="89"/>
              <w:spacing w:line="560" w:lineRule="exact"/>
              <w:ind w:firstLine="420"/>
              <w:jc w:val="center"/>
              <w:rPr>
                <w:szCs w:val="21"/>
              </w:rPr>
            </w:pPr>
          </w:p>
        </w:tc>
        <w:tc>
          <w:tcPr>
            <w:tcW w:w="991" w:type="dxa"/>
            <w:vAlign w:val="center"/>
          </w:tcPr>
          <w:p>
            <w:pPr>
              <w:pStyle w:val="89"/>
              <w:spacing w:line="560" w:lineRule="exact"/>
              <w:ind w:firstLine="420"/>
              <w:jc w:val="center"/>
              <w:rPr>
                <w:szCs w:val="21"/>
              </w:rPr>
            </w:pPr>
          </w:p>
        </w:tc>
        <w:tc>
          <w:tcPr>
            <w:tcW w:w="1200" w:type="dxa"/>
            <w:gridSpan w:val="2"/>
          </w:tcPr>
          <w:p>
            <w:pPr>
              <w:pStyle w:val="89"/>
              <w:spacing w:line="560" w:lineRule="exact"/>
              <w:ind w:firstLine="420"/>
              <w:jc w:val="center"/>
              <w:rPr>
                <w:szCs w:val="21"/>
              </w:rPr>
            </w:pPr>
          </w:p>
        </w:tc>
        <w:tc>
          <w:tcPr>
            <w:tcW w:w="1100" w:type="dxa"/>
            <w:gridSpan w:val="2"/>
          </w:tcPr>
          <w:p>
            <w:pPr>
              <w:pStyle w:val="89"/>
              <w:spacing w:line="560" w:lineRule="exact"/>
              <w:ind w:firstLine="420"/>
              <w:jc w:val="center"/>
              <w:rPr>
                <w:szCs w:val="21"/>
              </w:rPr>
            </w:pPr>
          </w:p>
        </w:tc>
        <w:tc>
          <w:tcPr>
            <w:tcW w:w="1304" w:type="dxa"/>
          </w:tcPr>
          <w:p>
            <w:pPr>
              <w:pStyle w:val="89"/>
              <w:spacing w:line="560" w:lineRule="exact"/>
              <w:ind w:firstLine="4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pStyle w:val="89"/>
              <w:spacing w:line="560" w:lineRule="exact"/>
              <w:ind w:firstLine="420"/>
              <w:jc w:val="center"/>
              <w:rPr>
                <w:szCs w:val="21"/>
              </w:rPr>
            </w:pPr>
          </w:p>
        </w:tc>
        <w:tc>
          <w:tcPr>
            <w:tcW w:w="1470" w:type="dxa"/>
            <w:vAlign w:val="center"/>
          </w:tcPr>
          <w:p>
            <w:pPr>
              <w:pStyle w:val="89"/>
              <w:spacing w:line="560" w:lineRule="exact"/>
              <w:ind w:firstLine="420"/>
              <w:jc w:val="center"/>
              <w:rPr>
                <w:szCs w:val="21"/>
              </w:rPr>
            </w:pPr>
          </w:p>
        </w:tc>
        <w:tc>
          <w:tcPr>
            <w:tcW w:w="1526" w:type="dxa"/>
            <w:gridSpan w:val="2"/>
            <w:vAlign w:val="center"/>
          </w:tcPr>
          <w:p>
            <w:pPr>
              <w:pStyle w:val="89"/>
              <w:spacing w:line="560" w:lineRule="exact"/>
              <w:ind w:firstLine="420"/>
              <w:jc w:val="center"/>
              <w:rPr>
                <w:szCs w:val="21"/>
              </w:rPr>
            </w:pPr>
          </w:p>
        </w:tc>
        <w:tc>
          <w:tcPr>
            <w:tcW w:w="991" w:type="dxa"/>
            <w:vAlign w:val="center"/>
          </w:tcPr>
          <w:p>
            <w:pPr>
              <w:pStyle w:val="89"/>
              <w:spacing w:line="560" w:lineRule="exact"/>
              <w:ind w:firstLine="420"/>
              <w:jc w:val="center"/>
              <w:rPr>
                <w:szCs w:val="21"/>
              </w:rPr>
            </w:pPr>
          </w:p>
        </w:tc>
        <w:tc>
          <w:tcPr>
            <w:tcW w:w="1200" w:type="dxa"/>
            <w:gridSpan w:val="2"/>
          </w:tcPr>
          <w:p>
            <w:pPr>
              <w:pStyle w:val="89"/>
              <w:spacing w:line="560" w:lineRule="exact"/>
              <w:ind w:firstLine="420"/>
              <w:jc w:val="center"/>
              <w:rPr>
                <w:szCs w:val="21"/>
              </w:rPr>
            </w:pPr>
          </w:p>
        </w:tc>
        <w:tc>
          <w:tcPr>
            <w:tcW w:w="1100" w:type="dxa"/>
            <w:gridSpan w:val="2"/>
          </w:tcPr>
          <w:p>
            <w:pPr>
              <w:pStyle w:val="89"/>
              <w:spacing w:line="560" w:lineRule="exact"/>
              <w:ind w:firstLine="420"/>
              <w:jc w:val="center"/>
              <w:rPr>
                <w:szCs w:val="21"/>
              </w:rPr>
            </w:pPr>
          </w:p>
        </w:tc>
        <w:tc>
          <w:tcPr>
            <w:tcW w:w="1304" w:type="dxa"/>
          </w:tcPr>
          <w:p>
            <w:pPr>
              <w:pStyle w:val="89"/>
              <w:spacing w:line="560" w:lineRule="exact"/>
              <w:ind w:firstLine="4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pStyle w:val="89"/>
              <w:spacing w:line="560" w:lineRule="exact"/>
              <w:ind w:firstLine="420"/>
              <w:jc w:val="center"/>
              <w:rPr>
                <w:szCs w:val="21"/>
              </w:rPr>
            </w:pPr>
          </w:p>
        </w:tc>
        <w:tc>
          <w:tcPr>
            <w:tcW w:w="1470" w:type="dxa"/>
            <w:vAlign w:val="center"/>
          </w:tcPr>
          <w:p>
            <w:pPr>
              <w:pStyle w:val="89"/>
              <w:spacing w:line="560" w:lineRule="exact"/>
              <w:ind w:firstLine="420"/>
              <w:jc w:val="center"/>
              <w:rPr>
                <w:szCs w:val="21"/>
              </w:rPr>
            </w:pPr>
          </w:p>
        </w:tc>
        <w:tc>
          <w:tcPr>
            <w:tcW w:w="1526" w:type="dxa"/>
            <w:gridSpan w:val="2"/>
            <w:vAlign w:val="center"/>
          </w:tcPr>
          <w:p>
            <w:pPr>
              <w:pStyle w:val="89"/>
              <w:spacing w:line="560" w:lineRule="exact"/>
              <w:ind w:firstLine="420"/>
              <w:jc w:val="center"/>
              <w:rPr>
                <w:szCs w:val="21"/>
              </w:rPr>
            </w:pPr>
          </w:p>
        </w:tc>
        <w:tc>
          <w:tcPr>
            <w:tcW w:w="991" w:type="dxa"/>
            <w:vAlign w:val="center"/>
          </w:tcPr>
          <w:p>
            <w:pPr>
              <w:pStyle w:val="89"/>
              <w:spacing w:line="560" w:lineRule="exact"/>
              <w:ind w:firstLine="420"/>
              <w:jc w:val="center"/>
              <w:rPr>
                <w:szCs w:val="21"/>
              </w:rPr>
            </w:pPr>
          </w:p>
        </w:tc>
        <w:tc>
          <w:tcPr>
            <w:tcW w:w="1200" w:type="dxa"/>
            <w:gridSpan w:val="2"/>
          </w:tcPr>
          <w:p>
            <w:pPr>
              <w:pStyle w:val="89"/>
              <w:spacing w:line="560" w:lineRule="exact"/>
              <w:ind w:firstLine="420"/>
              <w:jc w:val="center"/>
              <w:rPr>
                <w:szCs w:val="21"/>
              </w:rPr>
            </w:pPr>
          </w:p>
        </w:tc>
        <w:tc>
          <w:tcPr>
            <w:tcW w:w="1100" w:type="dxa"/>
            <w:gridSpan w:val="2"/>
          </w:tcPr>
          <w:p>
            <w:pPr>
              <w:pStyle w:val="89"/>
              <w:spacing w:line="560" w:lineRule="exact"/>
              <w:ind w:firstLine="420"/>
              <w:jc w:val="center"/>
              <w:rPr>
                <w:szCs w:val="21"/>
              </w:rPr>
            </w:pPr>
          </w:p>
        </w:tc>
        <w:tc>
          <w:tcPr>
            <w:tcW w:w="1304" w:type="dxa"/>
          </w:tcPr>
          <w:p>
            <w:pPr>
              <w:pStyle w:val="89"/>
              <w:spacing w:line="560" w:lineRule="exact"/>
              <w:ind w:firstLine="420"/>
              <w:jc w:val="center"/>
              <w:rPr>
                <w:szCs w:val="21"/>
              </w:rPr>
            </w:pPr>
          </w:p>
        </w:tc>
      </w:tr>
    </w:tbl>
    <w:p>
      <w:pPr>
        <w:pStyle w:val="161"/>
        <w:ind w:left="315" w:leftChars="150" w:right="399" w:rightChars="190" w:firstLine="210" w:firstLineChars="100"/>
        <w:rPr>
          <w:rFonts w:ascii="宋体" w:hAnsi="宋体" w:cs="宋体"/>
        </w:rPr>
      </w:pPr>
      <w:r>
        <w:rPr>
          <w:rFonts w:hint="eastAsia" w:ascii="宋体" w:hAnsi="宋体" w:cs="宋体"/>
        </w:rPr>
        <w:t>备注：附总监理工程师资格证书、已完工程监理中标通知书（如有）、工程监理合同协议书、竣工验收证明材料的复印件以及投标人认为需要增加的其他证明材料并加盖单位公章。</w:t>
      </w:r>
    </w:p>
    <w:p>
      <w:pPr>
        <w:shd w:val="clear" w:color="auto" w:fill="FFFFFF"/>
        <w:snapToGrid w:val="0"/>
        <w:spacing w:before="50" w:afterLines="50" w:line="360" w:lineRule="auto"/>
        <w:jc w:val="left"/>
        <w:rPr>
          <w:rFonts w:ascii="宋体" w:hAnsi="宋体" w:cs="宋体"/>
          <w:b/>
          <w:sz w:val="24"/>
        </w:rPr>
      </w:pPr>
      <w:r>
        <w:rPr>
          <w:rFonts w:hint="eastAsia" w:ascii="宋体" w:hAnsi="宋体" w:cs="宋体"/>
          <w:b/>
          <w:sz w:val="24"/>
        </w:rPr>
        <w:br w:type="page"/>
      </w:r>
      <w:r>
        <w:rPr>
          <w:rFonts w:hint="eastAsia" w:ascii="宋体" w:hAnsi="宋体" w:cs="宋体"/>
          <w:b/>
          <w:sz w:val="24"/>
        </w:rPr>
        <w:t>2.3.5 拟投入本项目人员情况汇总表（附项目总监、监理工程师、监理员近3个月（2019年5-2019年7月）依法缴纳社会保险证明材料复印件）</w:t>
      </w:r>
    </w:p>
    <w:tbl>
      <w:tblPr>
        <w:tblStyle w:val="47"/>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008"/>
        <w:gridCol w:w="1009"/>
        <w:gridCol w:w="1008"/>
        <w:gridCol w:w="1009"/>
        <w:gridCol w:w="1008"/>
        <w:gridCol w:w="1252"/>
        <w:gridCol w:w="101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010" w:type="dxa"/>
            <w:vMerge w:val="restart"/>
            <w:vAlign w:val="center"/>
          </w:tcPr>
          <w:p>
            <w:pPr>
              <w:pStyle w:val="89"/>
              <w:jc w:val="center"/>
              <w:rPr>
                <w:szCs w:val="21"/>
              </w:rPr>
            </w:pPr>
            <w:r>
              <w:rPr>
                <w:rFonts w:hAnsi="宋体"/>
                <w:szCs w:val="21"/>
              </w:rPr>
              <w:t>序号</w:t>
            </w:r>
          </w:p>
        </w:tc>
        <w:tc>
          <w:tcPr>
            <w:tcW w:w="1008" w:type="dxa"/>
            <w:vMerge w:val="restart"/>
            <w:vAlign w:val="center"/>
          </w:tcPr>
          <w:p>
            <w:pPr>
              <w:pStyle w:val="89"/>
              <w:jc w:val="center"/>
              <w:rPr>
                <w:szCs w:val="21"/>
              </w:rPr>
            </w:pPr>
            <w:r>
              <w:rPr>
                <w:rFonts w:hAnsi="宋体"/>
                <w:szCs w:val="21"/>
              </w:rPr>
              <w:t>姓名</w:t>
            </w:r>
          </w:p>
        </w:tc>
        <w:tc>
          <w:tcPr>
            <w:tcW w:w="1009" w:type="dxa"/>
            <w:vMerge w:val="restart"/>
            <w:vAlign w:val="center"/>
          </w:tcPr>
          <w:p>
            <w:pPr>
              <w:pStyle w:val="89"/>
              <w:jc w:val="center"/>
              <w:rPr>
                <w:szCs w:val="21"/>
              </w:rPr>
            </w:pPr>
            <w:r>
              <w:rPr>
                <w:rFonts w:hAnsi="宋体"/>
                <w:szCs w:val="21"/>
              </w:rPr>
              <w:t>拟担任职务</w:t>
            </w:r>
          </w:p>
        </w:tc>
        <w:tc>
          <w:tcPr>
            <w:tcW w:w="1008" w:type="dxa"/>
            <w:vMerge w:val="restart"/>
            <w:vAlign w:val="center"/>
          </w:tcPr>
          <w:p>
            <w:pPr>
              <w:pStyle w:val="89"/>
              <w:jc w:val="center"/>
              <w:rPr>
                <w:szCs w:val="21"/>
              </w:rPr>
            </w:pPr>
            <w:r>
              <w:rPr>
                <w:rFonts w:hAnsi="宋体"/>
                <w:szCs w:val="21"/>
              </w:rPr>
              <w:t>学历</w:t>
            </w:r>
          </w:p>
        </w:tc>
        <w:tc>
          <w:tcPr>
            <w:tcW w:w="1009" w:type="dxa"/>
            <w:vMerge w:val="restart"/>
            <w:vAlign w:val="center"/>
          </w:tcPr>
          <w:p>
            <w:pPr>
              <w:pStyle w:val="89"/>
              <w:jc w:val="center"/>
              <w:rPr>
                <w:szCs w:val="21"/>
              </w:rPr>
            </w:pPr>
            <w:r>
              <w:rPr>
                <w:rFonts w:hAnsi="宋体"/>
                <w:szCs w:val="21"/>
              </w:rPr>
              <w:t>职称</w:t>
            </w:r>
          </w:p>
        </w:tc>
        <w:tc>
          <w:tcPr>
            <w:tcW w:w="1008" w:type="dxa"/>
            <w:vMerge w:val="restart"/>
            <w:vAlign w:val="center"/>
          </w:tcPr>
          <w:p>
            <w:pPr>
              <w:pStyle w:val="89"/>
              <w:jc w:val="center"/>
              <w:rPr>
                <w:szCs w:val="21"/>
              </w:rPr>
            </w:pPr>
            <w:r>
              <w:rPr>
                <w:rFonts w:hAnsi="宋体"/>
                <w:szCs w:val="21"/>
              </w:rPr>
              <w:t>专业</w:t>
            </w:r>
          </w:p>
        </w:tc>
        <w:tc>
          <w:tcPr>
            <w:tcW w:w="2262" w:type="dxa"/>
            <w:gridSpan w:val="2"/>
            <w:vAlign w:val="center"/>
          </w:tcPr>
          <w:p>
            <w:pPr>
              <w:pStyle w:val="89"/>
              <w:jc w:val="center"/>
              <w:rPr>
                <w:rFonts w:hAnsi="宋体"/>
                <w:szCs w:val="21"/>
              </w:rPr>
            </w:pPr>
            <w:r>
              <w:rPr>
                <w:rFonts w:hAnsi="宋体"/>
                <w:szCs w:val="21"/>
              </w:rPr>
              <w:t>执业资格或岗位</w:t>
            </w:r>
          </w:p>
          <w:p>
            <w:pPr>
              <w:pStyle w:val="89"/>
              <w:jc w:val="center"/>
              <w:rPr>
                <w:szCs w:val="21"/>
              </w:rPr>
            </w:pPr>
            <w:r>
              <w:rPr>
                <w:rFonts w:hAnsi="宋体"/>
                <w:szCs w:val="21"/>
              </w:rPr>
              <w:t>证书</w:t>
            </w:r>
          </w:p>
        </w:tc>
        <w:tc>
          <w:tcPr>
            <w:tcW w:w="1106" w:type="dxa"/>
            <w:vMerge w:val="restart"/>
            <w:vAlign w:val="center"/>
          </w:tcPr>
          <w:p>
            <w:pPr>
              <w:pStyle w:val="89"/>
              <w:jc w:val="center"/>
              <w:rPr>
                <w:szCs w:val="21"/>
              </w:rPr>
            </w:pPr>
            <w:r>
              <w:rPr>
                <w:rFonts w:hAnsi="宋体"/>
                <w:szCs w:val="21"/>
              </w:rPr>
              <w:t>工程监理（服务）工作年限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010" w:type="dxa"/>
            <w:vMerge w:val="continue"/>
            <w:vAlign w:val="center"/>
          </w:tcPr>
          <w:p>
            <w:pPr>
              <w:pStyle w:val="89"/>
              <w:jc w:val="center"/>
              <w:rPr>
                <w:szCs w:val="21"/>
              </w:rPr>
            </w:pPr>
          </w:p>
        </w:tc>
        <w:tc>
          <w:tcPr>
            <w:tcW w:w="1008" w:type="dxa"/>
            <w:vMerge w:val="continue"/>
            <w:vAlign w:val="center"/>
          </w:tcPr>
          <w:p>
            <w:pPr>
              <w:pStyle w:val="89"/>
              <w:jc w:val="center"/>
              <w:rPr>
                <w:szCs w:val="21"/>
              </w:rPr>
            </w:pPr>
          </w:p>
        </w:tc>
        <w:tc>
          <w:tcPr>
            <w:tcW w:w="1009" w:type="dxa"/>
            <w:vMerge w:val="continue"/>
            <w:vAlign w:val="center"/>
          </w:tcPr>
          <w:p>
            <w:pPr>
              <w:pStyle w:val="89"/>
              <w:jc w:val="center"/>
              <w:rPr>
                <w:szCs w:val="21"/>
              </w:rPr>
            </w:pPr>
          </w:p>
        </w:tc>
        <w:tc>
          <w:tcPr>
            <w:tcW w:w="1008" w:type="dxa"/>
            <w:vMerge w:val="continue"/>
            <w:vAlign w:val="center"/>
          </w:tcPr>
          <w:p>
            <w:pPr>
              <w:pStyle w:val="89"/>
              <w:jc w:val="center"/>
              <w:rPr>
                <w:szCs w:val="21"/>
              </w:rPr>
            </w:pPr>
          </w:p>
        </w:tc>
        <w:tc>
          <w:tcPr>
            <w:tcW w:w="1009" w:type="dxa"/>
            <w:vMerge w:val="continue"/>
            <w:vAlign w:val="center"/>
          </w:tcPr>
          <w:p>
            <w:pPr>
              <w:pStyle w:val="89"/>
              <w:jc w:val="center"/>
              <w:rPr>
                <w:szCs w:val="21"/>
              </w:rPr>
            </w:pPr>
          </w:p>
        </w:tc>
        <w:tc>
          <w:tcPr>
            <w:tcW w:w="1008" w:type="dxa"/>
            <w:vMerge w:val="continue"/>
            <w:vAlign w:val="center"/>
          </w:tcPr>
          <w:p>
            <w:pPr>
              <w:pStyle w:val="89"/>
              <w:jc w:val="center"/>
              <w:rPr>
                <w:szCs w:val="21"/>
              </w:rPr>
            </w:pPr>
          </w:p>
        </w:tc>
        <w:tc>
          <w:tcPr>
            <w:tcW w:w="1252" w:type="dxa"/>
            <w:vAlign w:val="center"/>
          </w:tcPr>
          <w:p>
            <w:pPr>
              <w:pStyle w:val="89"/>
              <w:jc w:val="center"/>
              <w:rPr>
                <w:szCs w:val="21"/>
              </w:rPr>
            </w:pPr>
            <w:r>
              <w:rPr>
                <w:rFonts w:hAnsi="宋体"/>
                <w:szCs w:val="21"/>
              </w:rPr>
              <w:t>证书名称及专业</w:t>
            </w:r>
          </w:p>
        </w:tc>
        <w:tc>
          <w:tcPr>
            <w:tcW w:w="1010" w:type="dxa"/>
            <w:vAlign w:val="center"/>
          </w:tcPr>
          <w:p>
            <w:pPr>
              <w:pStyle w:val="89"/>
              <w:jc w:val="center"/>
              <w:rPr>
                <w:szCs w:val="21"/>
              </w:rPr>
            </w:pPr>
            <w:r>
              <w:rPr>
                <w:rFonts w:hAnsi="宋体"/>
                <w:szCs w:val="21"/>
              </w:rPr>
              <w:t>证书</w:t>
            </w:r>
          </w:p>
          <w:p>
            <w:pPr>
              <w:pStyle w:val="89"/>
              <w:jc w:val="center"/>
              <w:rPr>
                <w:szCs w:val="21"/>
              </w:rPr>
            </w:pPr>
            <w:r>
              <w:rPr>
                <w:rFonts w:hAnsi="宋体"/>
                <w:szCs w:val="21"/>
              </w:rPr>
              <w:t>编号</w:t>
            </w:r>
            <w:r>
              <w:rPr>
                <w:rFonts w:hint="eastAsia" w:hAnsi="宋体"/>
                <w:szCs w:val="21"/>
              </w:rPr>
              <w:t>（和/或注册编号）</w:t>
            </w:r>
          </w:p>
        </w:tc>
        <w:tc>
          <w:tcPr>
            <w:tcW w:w="1106" w:type="dxa"/>
            <w:vMerge w:val="continue"/>
            <w:vAlign w:val="center"/>
          </w:tcPr>
          <w:p>
            <w:pPr>
              <w:pStyle w:val="89"/>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10" w:type="dxa"/>
            <w:vAlign w:val="center"/>
          </w:tcPr>
          <w:p>
            <w:pPr>
              <w:pStyle w:val="89"/>
              <w:jc w:val="center"/>
              <w:rPr>
                <w:szCs w:val="21"/>
              </w:rPr>
            </w:pPr>
          </w:p>
        </w:tc>
        <w:tc>
          <w:tcPr>
            <w:tcW w:w="1008" w:type="dxa"/>
            <w:vAlign w:val="center"/>
          </w:tcPr>
          <w:p>
            <w:pPr>
              <w:pStyle w:val="89"/>
              <w:jc w:val="center"/>
              <w:rPr>
                <w:szCs w:val="21"/>
              </w:rPr>
            </w:pPr>
          </w:p>
        </w:tc>
        <w:tc>
          <w:tcPr>
            <w:tcW w:w="1009" w:type="dxa"/>
            <w:vAlign w:val="center"/>
          </w:tcPr>
          <w:p>
            <w:pPr>
              <w:pStyle w:val="89"/>
              <w:jc w:val="center"/>
              <w:rPr>
                <w:szCs w:val="21"/>
              </w:rPr>
            </w:pPr>
          </w:p>
        </w:tc>
        <w:tc>
          <w:tcPr>
            <w:tcW w:w="1008" w:type="dxa"/>
            <w:vAlign w:val="center"/>
          </w:tcPr>
          <w:p>
            <w:pPr>
              <w:pStyle w:val="89"/>
              <w:jc w:val="center"/>
              <w:rPr>
                <w:szCs w:val="21"/>
              </w:rPr>
            </w:pPr>
          </w:p>
        </w:tc>
        <w:tc>
          <w:tcPr>
            <w:tcW w:w="1009" w:type="dxa"/>
            <w:vAlign w:val="center"/>
          </w:tcPr>
          <w:p>
            <w:pPr>
              <w:pStyle w:val="89"/>
              <w:jc w:val="center"/>
              <w:rPr>
                <w:szCs w:val="21"/>
              </w:rPr>
            </w:pPr>
          </w:p>
        </w:tc>
        <w:tc>
          <w:tcPr>
            <w:tcW w:w="1008" w:type="dxa"/>
            <w:vAlign w:val="center"/>
          </w:tcPr>
          <w:p>
            <w:pPr>
              <w:pStyle w:val="89"/>
              <w:jc w:val="center"/>
              <w:rPr>
                <w:szCs w:val="21"/>
              </w:rPr>
            </w:pPr>
          </w:p>
        </w:tc>
        <w:tc>
          <w:tcPr>
            <w:tcW w:w="1252" w:type="dxa"/>
            <w:vAlign w:val="center"/>
          </w:tcPr>
          <w:p>
            <w:pPr>
              <w:pStyle w:val="89"/>
              <w:jc w:val="center"/>
              <w:rPr>
                <w:szCs w:val="21"/>
              </w:rPr>
            </w:pPr>
          </w:p>
        </w:tc>
        <w:tc>
          <w:tcPr>
            <w:tcW w:w="1010" w:type="dxa"/>
            <w:vAlign w:val="center"/>
          </w:tcPr>
          <w:p>
            <w:pPr>
              <w:pStyle w:val="89"/>
              <w:jc w:val="center"/>
              <w:rPr>
                <w:szCs w:val="21"/>
              </w:rPr>
            </w:pPr>
          </w:p>
        </w:tc>
        <w:tc>
          <w:tcPr>
            <w:tcW w:w="1106" w:type="dxa"/>
            <w:vAlign w:val="center"/>
          </w:tcPr>
          <w:p>
            <w:pPr>
              <w:pStyle w:val="89"/>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10" w:type="dxa"/>
            <w:vAlign w:val="center"/>
          </w:tcPr>
          <w:p>
            <w:pPr>
              <w:pStyle w:val="89"/>
              <w:rPr>
                <w:szCs w:val="21"/>
              </w:rPr>
            </w:pPr>
          </w:p>
        </w:tc>
        <w:tc>
          <w:tcPr>
            <w:tcW w:w="1008" w:type="dxa"/>
            <w:vAlign w:val="center"/>
          </w:tcPr>
          <w:p>
            <w:pPr>
              <w:pStyle w:val="89"/>
              <w:rPr>
                <w:szCs w:val="21"/>
              </w:rPr>
            </w:pPr>
          </w:p>
        </w:tc>
        <w:tc>
          <w:tcPr>
            <w:tcW w:w="1009" w:type="dxa"/>
            <w:vAlign w:val="center"/>
          </w:tcPr>
          <w:p>
            <w:pPr>
              <w:pStyle w:val="89"/>
              <w:rPr>
                <w:szCs w:val="21"/>
              </w:rPr>
            </w:pPr>
          </w:p>
        </w:tc>
        <w:tc>
          <w:tcPr>
            <w:tcW w:w="1008" w:type="dxa"/>
            <w:vAlign w:val="center"/>
          </w:tcPr>
          <w:p>
            <w:pPr>
              <w:pStyle w:val="89"/>
              <w:rPr>
                <w:szCs w:val="21"/>
              </w:rPr>
            </w:pPr>
          </w:p>
        </w:tc>
        <w:tc>
          <w:tcPr>
            <w:tcW w:w="1009" w:type="dxa"/>
            <w:vAlign w:val="center"/>
          </w:tcPr>
          <w:p>
            <w:pPr>
              <w:pStyle w:val="89"/>
              <w:rPr>
                <w:szCs w:val="21"/>
              </w:rPr>
            </w:pPr>
          </w:p>
        </w:tc>
        <w:tc>
          <w:tcPr>
            <w:tcW w:w="1008" w:type="dxa"/>
            <w:vAlign w:val="center"/>
          </w:tcPr>
          <w:p>
            <w:pPr>
              <w:pStyle w:val="89"/>
              <w:rPr>
                <w:szCs w:val="21"/>
              </w:rPr>
            </w:pPr>
          </w:p>
        </w:tc>
        <w:tc>
          <w:tcPr>
            <w:tcW w:w="1252" w:type="dxa"/>
            <w:vAlign w:val="center"/>
          </w:tcPr>
          <w:p>
            <w:pPr>
              <w:pStyle w:val="89"/>
              <w:rPr>
                <w:szCs w:val="21"/>
              </w:rPr>
            </w:pPr>
          </w:p>
        </w:tc>
        <w:tc>
          <w:tcPr>
            <w:tcW w:w="1010" w:type="dxa"/>
            <w:vAlign w:val="center"/>
          </w:tcPr>
          <w:p>
            <w:pPr>
              <w:pStyle w:val="89"/>
              <w:rPr>
                <w:szCs w:val="21"/>
              </w:rPr>
            </w:pPr>
          </w:p>
        </w:tc>
        <w:tc>
          <w:tcPr>
            <w:tcW w:w="1106" w:type="dxa"/>
            <w:vAlign w:val="center"/>
          </w:tcPr>
          <w:p>
            <w:pPr>
              <w:pStyle w:val="8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10" w:type="dxa"/>
            <w:vAlign w:val="center"/>
          </w:tcPr>
          <w:p>
            <w:pPr>
              <w:pStyle w:val="89"/>
              <w:rPr>
                <w:szCs w:val="21"/>
              </w:rPr>
            </w:pPr>
          </w:p>
        </w:tc>
        <w:tc>
          <w:tcPr>
            <w:tcW w:w="1008" w:type="dxa"/>
            <w:vAlign w:val="center"/>
          </w:tcPr>
          <w:p>
            <w:pPr>
              <w:pStyle w:val="89"/>
              <w:rPr>
                <w:szCs w:val="21"/>
              </w:rPr>
            </w:pPr>
          </w:p>
        </w:tc>
        <w:tc>
          <w:tcPr>
            <w:tcW w:w="1009" w:type="dxa"/>
            <w:vAlign w:val="center"/>
          </w:tcPr>
          <w:p>
            <w:pPr>
              <w:pStyle w:val="89"/>
              <w:rPr>
                <w:szCs w:val="21"/>
              </w:rPr>
            </w:pPr>
          </w:p>
        </w:tc>
        <w:tc>
          <w:tcPr>
            <w:tcW w:w="1008" w:type="dxa"/>
            <w:vAlign w:val="center"/>
          </w:tcPr>
          <w:p>
            <w:pPr>
              <w:pStyle w:val="89"/>
              <w:rPr>
                <w:szCs w:val="21"/>
              </w:rPr>
            </w:pPr>
          </w:p>
        </w:tc>
        <w:tc>
          <w:tcPr>
            <w:tcW w:w="1009" w:type="dxa"/>
            <w:vAlign w:val="center"/>
          </w:tcPr>
          <w:p>
            <w:pPr>
              <w:pStyle w:val="89"/>
              <w:rPr>
                <w:szCs w:val="21"/>
              </w:rPr>
            </w:pPr>
          </w:p>
        </w:tc>
        <w:tc>
          <w:tcPr>
            <w:tcW w:w="1008" w:type="dxa"/>
            <w:vAlign w:val="center"/>
          </w:tcPr>
          <w:p>
            <w:pPr>
              <w:pStyle w:val="89"/>
              <w:rPr>
                <w:szCs w:val="21"/>
              </w:rPr>
            </w:pPr>
          </w:p>
        </w:tc>
        <w:tc>
          <w:tcPr>
            <w:tcW w:w="1252" w:type="dxa"/>
            <w:vAlign w:val="center"/>
          </w:tcPr>
          <w:p>
            <w:pPr>
              <w:pStyle w:val="89"/>
              <w:rPr>
                <w:szCs w:val="21"/>
              </w:rPr>
            </w:pPr>
          </w:p>
        </w:tc>
        <w:tc>
          <w:tcPr>
            <w:tcW w:w="1010" w:type="dxa"/>
            <w:vAlign w:val="center"/>
          </w:tcPr>
          <w:p>
            <w:pPr>
              <w:pStyle w:val="89"/>
              <w:rPr>
                <w:szCs w:val="21"/>
              </w:rPr>
            </w:pPr>
          </w:p>
        </w:tc>
        <w:tc>
          <w:tcPr>
            <w:tcW w:w="1106" w:type="dxa"/>
            <w:vAlign w:val="center"/>
          </w:tcPr>
          <w:p>
            <w:pPr>
              <w:pStyle w:val="8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10" w:type="dxa"/>
            <w:vAlign w:val="center"/>
          </w:tcPr>
          <w:p>
            <w:pPr>
              <w:pStyle w:val="89"/>
              <w:jc w:val="center"/>
              <w:rPr>
                <w:szCs w:val="21"/>
              </w:rPr>
            </w:pPr>
          </w:p>
        </w:tc>
        <w:tc>
          <w:tcPr>
            <w:tcW w:w="1008" w:type="dxa"/>
            <w:vAlign w:val="center"/>
          </w:tcPr>
          <w:p>
            <w:pPr>
              <w:pStyle w:val="89"/>
              <w:jc w:val="center"/>
              <w:rPr>
                <w:szCs w:val="21"/>
              </w:rPr>
            </w:pPr>
          </w:p>
        </w:tc>
        <w:tc>
          <w:tcPr>
            <w:tcW w:w="1009" w:type="dxa"/>
            <w:vAlign w:val="center"/>
          </w:tcPr>
          <w:p>
            <w:pPr>
              <w:pStyle w:val="89"/>
              <w:jc w:val="center"/>
              <w:rPr>
                <w:szCs w:val="21"/>
              </w:rPr>
            </w:pPr>
          </w:p>
        </w:tc>
        <w:tc>
          <w:tcPr>
            <w:tcW w:w="1008" w:type="dxa"/>
            <w:vAlign w:val="center"/>
          </w:tcPr>
          <w:p>
            <w:pPr>
              <w:pStyle w:val="89"/>
              <w:jc w:val="center"/>
              <w:rPr>
                <w:szCs w:val="21"/>
              </w:rPr>
            </w:pPr>
          </w:p>
        </w:tc>
        <w:tc>
          <w:tcPr>
            <w:tcW w:w="1009" w:type="dxa"/>
            <w:vAlign w:val="center"/>
          </w:tcPr>
          <w:p>
            <w:pPr>
              <w:pStyle w:val="89"/>
              <w:jc w:val="center"/>
              <w:rPr>
                <w:szCs w:val="21"/>
              </w:rPr>
            </w:pPr>
          </w:p>
        </w:tc>
        <w:tc>
          <w:tcPr>
            <w:tcW w:w="1008" w:type="dxa"/>
            <w:vAlign w:val="center"/>
          </w:tcPr>
          <w:p>
            <w:pPr>
              <w:pStyle w:val="89"/>
              <w:jc w:val="center"/>
              <w:rPr>
                <w:szCs w:val="21"/>
              </w:rPr>
            </w:pPr>
          </w:p>
        </w:tc>
        <w:tc>
          <w:tcPr>
            <w:tcW w:w="1252" w:type="dxa"/>
            <w:vAlign w:val="center"/>
          </w:tcPr>
          <w:p>
            <w:pPr>
              <w:pStyle w:val="89"/>
              <w:jc w:val="center"/>
              <w:rPr>
                <w:szCs w:val="21"/>
              </w:rPr>
            </w:pPr>
          </w:p>
        </w:tc>
        <w:tc>
          <w:tcPr>
            <w:tcW w:w="1010" w:type="dxa"/>
            <w:vAlign w:val="center"/>
          </w:tcPr>
          <w:p>
            <w:pPr>
              <w:pStyle w:val="89"/>
              <w:jc w:val="center"/>
              <w:rPr>
                <w:szCs w:val="21"/>
              </w:rPr>
            </w:pPr>
          </w:p>
        </w:tc>
        <w:tc>
          <w:tcPr>
            <w:tcW w:w="1106" w:type="dxa"/>
            <w:vAlign w:val="center"/>
          </w:tcPr>
          <w:p>
            <w:pPr>
              <w:pStyle w:val="89"/>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10" w:type="dxa"/>
            <w:vAlign w:val="center"/>
          </w:tcPr>
          <w:p>
            <w:pPr>
              <w:pStyle w:val="89"/>
              <w:jc w:val="center"/>
              <w:rPr>
                <w:szCs w:val="21"/>
              </w:rPr>
            </w:pPr>
          </w:p>
        </w:tc>
        <w:tc>
          <w:tcPr>
            <w:tcW w:w="1008" w:type="dxa"/>
            <w:vAlign w:val="center"/>
          </w:tcPr>
          <w:p>
            <w:pPr>
              <w:pStyle w:val="89"/>
              <w:jc w:val="center"/>
              <w:rPr>
                <w:szCs w:val="21"/>
              </w:rPr>
            </w:pPr>
          </w:p>
        </w:tc>
        <w:tc>
          <w:tcPr>
            <w:tcW w:w="1009" w:type="dxa"/>
            <w:vAlign w:val="center"/>
          </w:tcPr>
          <w:p>
            <w:pPr>
              <w:pStyle w:val="89"/>
              <w:jc w:val="center"/>
              <w:rPr>
                <w:szCs w:val="21"/>
              </w:rPr>
            </w:pPr>
          </w:p>
        </w:tc>
        <w:tc>
          <w:tcPr>
            <w:tcW w:w="1008" w:type="dxa"/>
            <w:vAlign w:val="center"/>
          </w:tcPr>
          <w:p>
            <w:pPr>
              <w:pStyle w:val="89"/>
              <w:jc w:val="center"/>
              <w:rPr>
                <w:szCs w:val="21"/>
              </w:rPr>
            </w:pPr>
          </w:p>
        </w:tc>
        <w:tc>
          <w:tcPr>
            <w:tcW w:w="1009" w:type="dxa"/>
            <w:vAlign w:val="center"/>
          </w:tcPr>
          <w:p>
            <w:pPr>
              <w:pStyle w:val="89"/>
              <w:jc w:val="center"/>
              <w:rPr>
                <w:szCs w:val="21"/>
              </w:rPr>
            </w:pPr>
          </w:p>
        </w:tc>
        <w:tc>
          <w:tcPr>
            <w:tcW w:w="1008" w:type="dxa"/>
            <w:vAlign w:val="center"/>
          </w:tcPr>
          <w:p>
            <w:pPr>
              <w:pStyle w:val="89"/>
              <w:jc w:val="center"/>
              <w:rPr>
                <w:szCs w:val="21"/>
              </w:rPr>
            </w:pPr>
          </w:p>
        </w:tc>
        <w:tc>
          <w:tcPr>
            <w:tcW w:w="1252" w:type="dxa"/>
            <w:vAlign w:val="center"/>
          </w:tcPr>
          <w:p>
            <w:pPr>
              <w:pStyle w:val="89"/>
              <w:jc w:val="center"/>
              <w:rPr>
                <w:szCs w:val="21"/>
              </w:rPr>
            </w:pPr>
          </w:p>
        </w:tc>
        <w:tc>
          <w:tcPr>
            <w:tcW w:w="1010" w:type="dxa"/>
            <w:vAlign w:val="center"/>
          </w:tcPr>
          <w:p>
            <w:pPr>
              <w:pStyle w:val="89"/>
              <w:jc w:val="center"/>
              <w:rPr>
                <w:szCs w:val="21"/>
              </w:rPr>
            </w:pPr>
          </w:p>
        </w:tc>
        <w:tc>
          <w:tcPr>
            <w:tcW w:w="1106" w:type="dxa"/>
            <w:vAlign w:val="center"/>
          </w:tcPr>
          <w:p>
            <w:pPr>
              <w:pStyle w:val="89"/>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10" w:type="dxa"/>
            <w:vAlign w:val="center"/>
          </w:tcPr>
          <w:p>
            <w:pPr>
              <w:pStyle w:val="89"/>
              <w:jc w:val="center"/>
              <w:rPr>
                <w:szCs w:val="21"/>
              </w:rPr>
            </w:pPr>
          </w:p>
        </w:tc>
        <w:tc>
          <w:tcPr>
            <w:tcW w:w="1008" w:type="dxa"/>
            <w:vAlign w:val="center"/>
          </w:tcPr>
          <w:p>
            <w:pPr>
              <w:pStyle w:val="89"/>
              <w:jc w:val="center"/>
              <w:rPr>
                <w:szCs w:val="21"/>
              </w:rPr>
            </w:pPr>
          </w:p>
        </w:tc>
        <w:tc>
          <w:tcPr>
            <w:tcW w:w="1009" w:type="dxa"/>
            <w:vAlign w:val="center"/>
          </w:tcPr>
          <w:p>
            <w:pPr>
              <w:pStyle w:val="89"/>
              <w:jc w:val="center"/>
              <w:rPr>
                <w:szCs w:val="21"/>
              </w:rPr>
            </w:pPr>
          </w:p>
        </w:tc>
        <w:tc>
          <w:tcPr>
            <w:tcW w:w="1008" w:type="dxa"/>
            <w:vAlign w:val="center"/>
          </w:tcPr>
          <w:p>
            <w:pPr>
              <w:pStyle w:val="89"/>
              <w:jc w:val="center"/>
              <w:rPr>
                <w:szCs w:val="21"/>
              </w:rPr>
            </w:pPr>
          </w:p>
        </w:tc>
        <w:tc>
          <w:tcPr>
            <w:tcW w:w="1009" w:type="dxa"/>
            <w:vAlign w:val="center"/>
          </w:tcPr>
          <w:p>
            <w:pPr>
              <w:pStyle w:val="89"/>
              <w:jc w:val="center"/>
              <w:rPr>
                <w:szCs w:val="21"/>
              </w:rPr>
            </w:pPr>
          </w:p>
        </w:tc>
        <w:tc>
          <w:tcPr>
            <w:tcW w:w="1008" w:type="dxa"/>
            <w:vAlign w:val="center"/>
          </w:tcPr>
          <w:p>
            <w:pPr>
              <w:pStyle w:val="89"/>
              <w:jc w:val="center"/>
              <w:rPr>
                <w:szCs w:val="21"/>
              </w:rPr>
            </w:pPr>
          </w:p>
        </w:tc>
        <w:tc>
          <w:tcPr>
            <w:tcW w:w="1252" w:type="dxa"/>
            <w:vAlign w:val="center"/>
          </w:tcPr>
          <w:p>
            <w:pPr>
              <w:pStyle w:val="89"/>
              <w:jc w:val="center"/>
              <w:rPr>
                <w:szCs w:val="21"/>
              </w:rPr>
            </w:pPr>
          </w:p>
        </w:tc>
        <w:tc>
          <w:tcPr>
            <w:tcW w:w="1010" w:type="dxa"/>
            <w:vAlign w:val="center"/>
          </w:tcPr>
          <w:p>
            <w:pPr>
              <w:pStyle w:val="89"/>
              <w:jc w:val="center"/>
              <w:rPr>
                <w:szCs w:val="21"/>
              </w:rPr>
            </w:pPr>
          </w:p>
        </w:tc>
        <w:tc>
          <w:tcPr>
            <w:tcW w:w="1106" w:type="dxa"/>
            <w:vAlign w:val="center"/>
          </w:tcPr>
          <w:p>
            <w:pPr>
              <w:pStyle w:val="89"/>
              <w:jc w:val="center"/>
              <w:rPr>
                <w:szCs w:val="21"/>
              </w:rPr>
            </w:pPr>
          </w:p>
        </w:tc>
      </w:tr>
    </w:tbl>
    <w:p>
      <w:pPr>
        <w:shd w:val="clear" w:color="auto" w:fill="FFFFFF"/>
        <w:snapToGrid w:val="0"/>
        <w:spacing w:before="50" w:afterLines="50" w:line="400" w:lineRule="exact"/>
        <w:jc w:val="left"/>
        <w:rPr>
          <w:rFonts w:ascii="宋体" w:hAnsi="宋体" w:cs="宋体"/>
          <w:b/>
          <w:sz w:val="24"/>
        </w:rPr>
      </w:pPr>
      <w:r>
        <w:rPr>
          <w:rFonts w:hint="eastAsia" w:ascii="宋体" w:hAnsi="宋体" w:cs="宋体"/>
          <w:bCs/>
          <w:szCs w:val="21"/>
        </w:rPr>
        <w:t>（附1、附以上监理人员的监理岗位证、职称证等相关证件的复印件并加盖单位公章；2、项目总监、监理工程师、监理员近3个月（2019年5-2019年7月）依法缴纳社会保险证明材料复印件并加盖单位公章。）</w:t>
      </w:r>
      <w:r>
        <w:rPr>
          <w:rFonts w:hint="eastAsia" w:ascii="宋体" w:hAnsi="宋体" w:cs="宋体"/>
          <w:b/>
          <w:sz w:val="24"/>
        </w:rPr>
        <w:br w:type="page"/>
      </w:r>
    </w:p>
    <w:p>
      <w:pPr>
        <w:shd w:val="clear" w:color="auto" w:fill="FFFFFF"/>
        <w:snapToGrid w:val="0"/>
        <w:spacing w:beforeLines="50" w:after="50" w:line="360" w:lineRule="auto"/>
        <w:rPr>
          <w:rFonts w:ascii="宋体" w:hAnsi="宋体" w:cs="宋体"/>
          <w:b/>
          <w:sz w:val="24"/>
        </w:rPr>
      </w:pPr>
      <w:r>
        <w:rPr>
          <w:rFonts w:hint="eastAsia" w:ascii="宋体" w:hAnsi="宋体" w:cs="宋体"/>
          <w:b/>
          <w:sz w:val="24"/>
        </w:rPr>
        <w:t>2.3.6  有效的法定代表人身份证正反面复印件（如法定代表人非中国国籍应提交护照复印件，要求证件有效并与营业执照中的法定代表人相符）</w:t>
      </w:r>
    </w:p>
    <w:p>
      <w:pPr>
        <w:shd w:val="clear" w:color="auto" w:fill="FFFFFF"/>
        <w:snapToGrid w:val="0"/>
        <w:spacing w:beforeLines="50" w:after="50" w:line="360" w:lineRule="auto"/>
        <w:rPr>
          <w:rFonts w:ascii="宋体" w:hAnsi="宋体" w:cs="宋体"/>
          <w:sz w:val="24"/>
        </w:rPr>
      </w:pPr>
      <w:r>
        <w:rPr>
          <w:rFonts w:hint="eastAsia" w:ascii="宋体" w:hAnsi="宋体" w:cs="宋体"/>
          <w:b/>
          <w:sz w:val="24"/>
        </w:rPr>
        <w:t>2.3.7法定代表人授权委托书格式（委托代理时提供）：</w:t>
      </w:r>
    </w:p>
    <w:p>
      <w:pPr>
        <w:shd w:val="clear" w:color="auto" w:fill="FFFFFF"/>
        <w:snapToGrid w:val="0"/>
        <w:spacing w:beforeLines="50" w:after="50" w:line="360" w:lineRule="auto"/>
        <w:jc w:val="center"/>
        <w:rPr>
          <w:rFonts w:ascii="宋体" w:hAnsi="宋体" w:cs="宋体"/>
          <w:b/>
          <w:sz w:val="24"/>
        </w:rPr>
      </w:pPr>
      <w:r>
        <w:rPr>
          <w:rFonts w:hint="eastAsia" w:ascii="宋体" w:hAnsi="宋体" w:cs="宋体"/>
          <w:b/>
          <w:sz w:val="24"/>
        </w:rPr>
        <w:t>法定代表人授权委托书</w:t>
      </w:r>
    </w:p>
    <w:p>
      <w:pPr>
        <w:shd w:val="clear" w:color="auto" w:fill="FFFFFF"/>
        <w:snapToGrid w:val="0"/>
        <w:spacing w:beforeLines="50" w:after="50" w:line="360" w:lineRule="auto"/>
        <w:rPr>
          <w:rFonts w:ascii="宋体" w:hAnsi="宋体" w:cs="宋体"/>
          <w:b/>
          <w:bCs/>
          <w:sz w:val="24"/>
        </w:rPr>
      </w:pPr>
      <w:r>
        <w:rPr>
          <w:rFonts w:hint="eastAsia" w:ascii="宋体" w:hAnsi="宋体" w:cs="宋体"/>
          <w:bCs/>
          <w:sz w:val="24"/>
        </w:rPr>
        <w:t>致：</w:t>
      </w:r>
      <w:r>
        <w:rPr>
          <w:rFonts w:hint="eastAsia" w:ascii="宋体" w:hAnsi="宋体" w:cs="宋体"/>
          <w:sz w:val="24"/>
        </w:rPr>
        <w:t>（招标采购单位名称）：</w:t>
      </w:r>
    </w:p>
    <w:p>
      <w:pPr>
        <w:shd w:val="clear" w:color="auto" w:fill="FFFFFF"/>
        <w:snapToGrid w:val="0"/>
        <w:spacing w:beforeLines="50" w:after="50" w:line="360" w:lineRule="auto"/>
        <w:ind w:firstLine="720" w:firstLineChars="300"/>
        <w:rPr>
          <w:rFonts w:ascii="宋体" w:hAnsi="宋体" w:cs="宋体"/>
          <w:sz w:val="24"/>
        </w:rPr>
      </w:pPr>
      <w:r>
        <w:rPr>
          <w:rFonts w:hint="eastAsia" w:ascii="宋体" w:hAnsi="宋体" w:cs="宋体"/>
          <w:sz w:val="24"/>
        </w:rPr>
        <w:t>我（姓名）系（供应商名称）的法定代表人，现授权委托本单位在职职工 （姓名）以我方的名义参加项目的谈判活动，并代表我方全权办理针对上述项目的谈判、开标、评审、签约等具体事务和签署相关文件。</w:t>
      </w:r>
    </w:p>
    <w:p>
      <w:pPr>
        <w:shd w:val="clear" w:color="auto" w:fill="FFFFFF"/>
        <w:snapToGrid w:val="0"/>
        <w:spacing w:beforeLines="50" w:after="50" w:line="360" w:lineRule="auto"/>
        <w:rPr>
          <w:rFonts w:ascii="宋体" w:hAnsi="宋体" w:cs="宋体"/>
          <w:sz w:val="24"/>
        </w:rPr>
      </w:pPr>
      <w:r>
        <w:rPr>
          <w:rFonts w:hint="eastAsia" w:ascii="宋体" w:hAnsi="宋体" w:cs="宋体"/>
          <w:sz w:val="24"/>
        </w:rPr>
        <w:t xml:space="preserve">    我方对被授权人的签名事项负全部责任。</w:t>
      </w:r>
    </w:p>
    <w:p>
      <w:pPr>
        <w:shd w:val="clear" w:color="auto" w:fill="FFFFFF"/>
        <w:snapToGrid w:val="0"/>
        <w:spacing w:beforeLines="50" w:after="50" w:line="360" w:lineRule="auto"/>
        <w:ind w:firstLine="480"/>
        <w:rPr>
          <w:rFonts w:ascii="宋体" w:hAnsi="宋体" w:cs="宋体"/>
          <w:sz w:val="24"/>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pPr>
        <w:shd w:val="clear" w:color="auto" w:fill="FFFFFF"/>
        <w:snapToGrid w:val="0"/>
        <w:spacing w:beforeLines="50" w:after="50" w:line="360" w:lineRule="auto"/>
        <w:ind w:firstLine="480"/>
        <w:rPr>
          <w:rFonts w:ascii="宋体" w:hAnsi="宋体" w:cs="宋体"/>
          <w:sz w:val="24"/>
        </w:rPr>
      </w:pPr>
      <w:r>
        <w:rPr>
          <w:rFonts w:hint="eastAsia" w:ascii="宋体" w:hAnsi="宋体" w:cs="宋体"/>
          <w:sz w:val="24"/>
        </w:rPr>
        <w:t>被授权人无转委托权，特此委托。</w:t>
      </w:r>
    </w:p>
    <w:p>
      <w:pPr>
        <w:shd w:val="clear" w:color="auto" w:fill="FFFFFF"/>
        <w:snapToGrid w:val="0"/>
        <w:spacing w:beforeLines="50" w:after="50" w:line="360" w:lineRule="auto"/>
        <w:rPr>
          <w:rFonts w:ascii="宋体" w:hAnsi="宋体" w:cs="宋体"/>
          <w:sz w:val="24"/>
          <w:u w:val="single"/>
        </w:rPr>
      </w:pPr>
      <w:r>
        <w:rPr>
          <w:rFonts w:hint="eastAsia" w:ascii="宋体" w:hAnsi="宋体" w:cs="宋体"/>
          <w:sz w:val="24"/>
        </w:rPr>
        <w:t>被授权人签名：                 法定代表人签名：</w:t>
      </w:r>
    </w:p>
    <w:p>
      <w:pPr>
        <w:shd w:val="clear" w:color="auto" w:fill="FFFFFF"/>
        <w:snapToGrid w:val="0"/>
        <w:spacing w:beforeLines="50" w:after="50" w:line="360" w:lineRule="auto"/>
        <w:rPr>
          <w:rFonts w:ascii="宋体" w:hAnsi="宋体" w:cs="宋体"/>
          <w:sz w:val="24"/>
        </w:rPr>
      </w:pPr>
      <w:r>
        <w:rPr>
          <w:rFonts w:hint="eastAsia" w:ascii="宋体" w:hAnsi="宋体" w:cs="宋体"/>
          <w:sz w:val="24"/>
        </w:rPr>
        <w:t>所在部门职务：                         职  务：</w:t>
      </w:r>
    </w:p>
    <w:p>
      <w:pPr>
        <w:shd w:val="clear" w:color="auto" w:fill="FFFFFF"/>
        <w:snapToGrid w:val="0"/>
        <w:spacing w:beforeLines="50" w:after="50" w:line="360" w:lineRule="auto"/>
        <w:rPr>
          <w:rFonts w:ascii="宋体" w:hAnsi="宋体" w:cs="宋体"/>
          <w:sz w:val="24"/>
        </w:rPr>
      </w:pPr>
      <w:r>
        <w:rPr>
          <w:rFonts w:hint="eastAsia" w:ascii="宋体" w:hAnsi="宋体" w:cs="宋体"/>
          <w:sz w:val="24"/>
        </w:rPr>
        <w:t>被授权人身份证号码：</w:t>
      </w:r>
    </w:p>
    <w:p>
      <w:pPr>
        <w:shd w:val="clear" w:color="auto" w:fill="FFFFFF"/>
        <w:snapToGrid w:val="0"/>
        <w:spacing w:beforeLines="50" w:after="50" w:line="360" w:lineRule="auto"/>
        <w:rPr>
          <w:rFonts w:ascii="宋体" w:hAnsi="宋体" w:cs="宋体"/>
          <w:sz w:val="24"/>
        </w:rPr>
      </w:pPr>
      <w:r>
        <w:rPr>
          <w:rFonts w:hint="eastAsia" w:ascii="宋体" w:hAnsi="宋体" w:cs="宋体"/>
          <w:sz w:val="24"/>
        </w:rPr>
        <w:t xml:space="preserve">                                                            供应商公章：</w:t>
      </w:r>
    </w:p>
    <w:p>
      <w:pPr>
        <w:shd w:val="clear" w:color="auto" w:fill="FFFFFF"/>
        <w:snapToGrid w:val="0"/>
        <w:spacing w:beforeLines="50" w:after="50" w:line="360" w:lineRule="auto"/>
        <w:jc w:val="center"/>
        <w:rPr>
          <w:rFonts w:ascii="宋体" w:hAnsi="宋体" w:cs="宋体"/>
          <w:sz w:val="24"/>
        </w:rPr>
      </w:pPr>
      <w:r>
        <w:rPr>
          <w:rFonts w:hint="eastAsia" w:ascii="宋体" w:hAnsi="宋体" w:cs="宋体"/>
          <w:sz w:val="24"/>
        </w:rPr>
        <w:t xml:space="preserve">                                       年    月    日</w:t>
      </w:r>
    </w:p>
    <w:p>
      <w:pPr>
        <w:shd w:val="clear" w:color="auto" w:fill="FFFFFF"/>
        <w:snapToGrid w:val="0"/>
        <w:spacing w:afterLines="50" w:line="360" w:lineRule="auto"/>
        <w:jc w:val="left"/>
        <w:rPr>
          <w:rFonts w:ascii="宋体" w:hAnsi="宋体" w:cs="宋体"/>
          <w:b/>
          <w:sz w:val="24"/>
        </w:rPr>
      </w:pPr>
    </w:p>
    <w:p>
      <w:pPr>
        <w:shd w:val="clear" w:color="auto" w:fill="FFFFFF"/>
        <w:snapToGrid w:val="0"/>
        <w:spacing w:afterLines="50" w:line="360" w:lineRule="auto"/>
        <w:jc w:val="left"/>
        <w:rPr>
          <w:rFonts w:ascii="宋体" w:hAnsi="宋体" w:cs="宋体"/>
          <w:b/>
          <w:sz w:val="24"/>
        </w:rPr>
      </w:pPr>
    </w:p>
    <w:p>
      <w:pPr>
        <w:shd w:val="clear" w:color="auto" w:fill="FFFFFF"/>
        <w:snapToGrid w:val="0"/>
        <w:spacing w:afterLines="50" w:line="360" w:lineRule="auto"/>
        <w:jc w:val="left"/>
        <w:rPr>
          <w:rFonts w:ascii="宋体" w:hAnsi="宋体" w:cs="宋体"/>
          <w:b/>
          <w:sz w:val="24"/>
        </w:rPr>
      </w:pPr>
    </w:p>
    <w:p>
      <w:pPr>
        <w:shd w:val="clear" w:color="auto" w:fill="FFFFFF"/>
        <w:snapToGrid w:val="0"/>
        <w:spacing w:afterLines="50" w:line="360" w:lineRule="auto"/>
        <w:jc w:val="left"/>
        <w:rPr>
          <w:rFonts w:ascii="宋体" w:hAnsi="宋体" w:cs="宋体"/>
          <w:sz w:val="24"/>
        </w:rPr>
      </w:pPr>
      <w:r>
        <w:rPr>
          <w:rFonts w:hint="eastAsia" w:ascii="宋体" w:hAnsi="宋体" w:cs="宋体"/>
          <w:b/>
          <w:sz w:val="24"/>
        </w:rPr>
        <w:t>2.3.8有效的委托代理人身份证正反面复印件（委托代理时提供，如委托代理人非中国国籍应提交护照复印件，要求证件有效并与法定代表人授权委托书中的授权人相符）</w:t>
      </w:r>
      <w:r>
        <w:rPr>
          <w:rFonts w:hint="eastAsia" w:ascii="宋体" w:hAnsi="宋体" w:cs="宋体"/>
          <w:sz w:val="24"/>
        </w:rPr>
        <w:t>；</w:t>
      </w:r>
    </w:p>
    <w:p>
      <w:pPr>
        <w:shd w:val="clear" w:color="auto" w:fill="FFFFFF"/>
        <w:snapToGrid w:val="0"/>
        <w:spacing w:line="360" w:lineRule="auto"/>
        <w:jc w:val="left"/>
        <w:rPr>
          <w:rFonts w:ascii="宋体" w:hAnsi="宋体" w:cs="宋体"/>
          <w:sz w:val="24"/>
        </w:rPr>
      </w:pPr>
    </w:p>
    <w:p>
      <w:pPr>
        <w:shd w:val="clear" w:color="auto" w:fill="FFFFFF"/>
        <w:snapToGrid w:val="0"/>
        <w:spacing w:afterLines="50" w:line="360" w:lineRule="auto"/>
        <w:jc w:val="left"/>
        <w:rPr>
          <w:rFonts w:ascii="宋体" w:hAnsi="宋体" w:cs="宋体"/>
          <w:b/>
          <w:sz w:val="24"/>
        </w:rPr>
      </w:pPr>
    </w:p>
    <w:p>
      <w:pPr>
        <w:shd w:val="clear" w:color="auto" w:fill="FFFFFF"/>
        <w:snapToGrid w:val="0"/>
        <w:spacing w:afterLines="50" w:line="360" w:lineRule="auto"/>
        <w:jc w:val="left"/>
        <w:rPr>
          <w:rFonts w:ascii="宋体" w:hAnsi="宋体" w:cs="宋体"/>
          <w:b/>
          <w:sz w:val="24"/>
        </w:rPr>
      </w:pPr>
    </w:p>
    <w:p>
      <w:pPr>
        <w:shd w:val="clear" w:color="auto" w:fill="FFFFFF"/>
        <w:snapToGrid w:val="0"/>
        <w:spacing w:afterLines="50" w:line="360" w:lineRule="auto"/>
        <w:jc w:val="left"/>
        <w:rPr>
          <w:rFonts w:ascii="宋体" w:hAnsi="宋体" w:cs="宋体"/>
          <w:b/>
          <w:sz w:val="24"/>
        </w:rPr>
      </w:pPr>
    </w:p>
    <w:p>
      <w:pPr>
        <w:shd w:val="clear" w:color="auto" w:fill="FFFFFF"/>
        <w:snapToGrid w:val="0"/>
        <w:spacing w:afterLines="50" w:line="360" w:lineRule="auto"/>
        <w:jc w:val="left"/>
        <w:rPr>
          <w:rFonts w:ascii="宋体" w:hAnsi="宋体" w:cs="宋体"/>
          <w:b/>
          <w:sz w:val="24"/>
        </w:rPr>
      </w:pPr>
      <w:r>
        <w:rPr>
          <w:rFonts w:hint="eastAsia" w:ascii="宋体" w:hAnsi="宋体" w:cs="宋体"/>
          <w:b/>
          <w:sz w:val="24"/>
        </w:rPr>
        <w:t>2.3.9谈判人在“信用中国”网站(www.creditchina.gov.cn)、中国政府采购网 (www.ccgp.gov.cn) 查询主体信用记录，并截图查询结果（其中，“信用中国”查询内容包括：失信被执行人、重大税收违法案件当事人名单、政府采购严重违法失信行为 记录名单共三个网页页面，网页页面须显示供应商名称以及查询结果。“中国政府采购网”的查询内容包括：政府采购严重违法失信行为信息记录网页，网页须显示供应商名称以及查询结果。网页中的处罚日期不允许设置起始时间，只能设置截止时间， 截止时间为本项目竞争性谈判公告发布之日起至谈判截止时间中任意一天）；</w:t>
      </w:r>
    </w:p>
    <w:p>
      <w:pPr>
        <w:shd w:val="clear" w:color="auto" w:fill="FFFFFF"/>
        <w:snapToGrid w:val="0"/>
        <w:spacing w:afterLines="50" w:line="360" w:lineRule="auto"/>
        <w:jc w:val="left"/>
        <w:rPr>
          <w:rFonts w:ascii="宋体" w:hAnsi="宋体" w:cs="宋体"/>
          <w:sz w:val="24"/>
        </w:rPr>
      </w:pPr>
    </w:p>
    <w:p>
      <w:pPr>
        <w:shd w:val="clear" w:color="auto" w:fill="FFFFFF"/>
        <w:snapToGrid w:val="0"/>
        <w:spacing w:afterLines="50" w:line="360" w:lineRule="auto"/>
        <w:jc w:val="left"/>
        <w:rPr>
          <w:rFonts w:ascii="宋体" w:hAnsi="宋体" w:cs="宋体"/>
          <w:b/>
          <w:sz w:val="24"/>
        </w:rPr>
      </w:pPr>
      <w:r>
        <w:rPr>
          <w:rFonts w:hint="eastAsia" w:ascii="宋体" w:hAnsi="宋体" w:cs="宋体"/>
          <w:b/>
          <w:sz w:val="24"/>
        </w:rPr>
        <w:t>2.3.10 谈判截止时间前半年内连续三个月的依法缴纳税费或依法免缴税费的证明（复印件，格式自拟），无纳税记录的，应提供由谈判人所在地主管国税或地税部门出具的《依法纳税或依法免税证明》；</w:t>
      </w:r>
    </w:p>
    <w:p>
      <w:pPr>
        <w:pStyle w:val="2"/>
      </w:pPr>
    </w:p>
    <w:p>
      <w:pPr>
        <w:shd w:val="clear" w:color="auto" w:fill="FFFFFF"/>
        <w:snapToGrid w:val="0"/>
        <w:spacing w:afterLines="50" w:line="360" w:lineRule="auto"/>
        <w:jc w:val="left"/>
        <w:rPr>
          <w:rFonts w:ascii="宋体" w:hAnsi="宋体" w:cs="宋体"/>
          <w:b/>
          <w:sz w:val="24"/>
        </w:rPr>
      </w:pPr>
    </w:p>
    <w:p>
      <w:pPr>
        <w:shd w:val="clear" w:color="auto" w:fill="FFFFFF"/>
        <w:snapToGrid w:val="0"/>
        <w:spacing w:afterLines="50" w:line="360" w:lineRule="auto"/>
        <w:jc w:val="left"/>
        <w:rPr>
          <w:rFonts w:ascii="宋体" w:hAnsi="宋体" w:cs="宋体"/>
          <w:b/>
          <w:sz w:val="24"/>
        </w:rPr>
      </w:pPr>
      <w:r>
        <w:rPr>
          <w:rFonts w:hint="eastAsia" w:ascii="宋体" w:hAnsi="宋体" w:cs="宋体"/>
          <w:b/>
          <w:sz w:val="24"/>
        </w:rPr>
        <w:t>2.3.11 供应商针对本项目的服务承诺书（格式自拟）</w:t>
      </w:r>
    </w:p>
    <w:p>
      <w:pPr>
        <w:shd w:val="clear" w:color="auto" w:fill="FFFFFF"/>
        <w:snapToGrid w:val="0"/>
        <w:spacing w:afterLines="50" w:line="360" w:lineRule="auto"/>
        <w:jc w:val="left"/>
        <w:rPr>
          <w:rFonts w:ascii="宋体" w:hAnsi="宋体" w:cs="宋体"/>
          <w:b/>
          <w:sz w:val="24"/>
        </w:rPr>
      </w:pPr>
    </w:p>
    <w:p>
      <w:pPr>
        <w:shd w:val="clear" w:color="auto" w:fill="FFFFFF"/>
        <w:snapToGrid w:val="0"/>
        <w:spacing w:afterLines="50" w:line="360" w:lineRule="auto"/>
        <w:jc w:val="left"/>
        <w:rPr>
          <w:rFonts w:ascii="宋体" w:hAnsi="宋体" w:cs="宋体"/>
          <w:b/>
          <w:sz w:val="24"/>
        </w:rPr>
      </w:pPr>
      <w:r>
        <w:rPr>
          <w:rFonts w:hint="eastAsia" w:ascii="宋体" w:hAnsi="宋体" w:cs="宋体"/>
          <w:b/>
          <w:sz w:val="24"/>
        </w:rPr>
        <w:t>2.3.12 供应商针对本项目的技术方案（如监理大纲，仪器设备配置等等，格式自拟）</w:t>
      </w:r>
    </w:p>
    <w:p>
      <w:pPr>
        <w:shd w:val="clear" w:color="auto" w:fill="FFFFFF"/>
        <w:snapToGrid w:val="0"/>
        <w:jc w:val="left"/>
        <w:rPr>
          <w:rFonts w:ascii="宋体" w:hAnsi="宋体" w:cs="宋体"/>
          <w:b/>
          <w:sz w:val="24"/>
        </w:rPr>
      </w:pPr>
    </w:p>
    <w:p>
      <w:pPr>
        <w:shd w:val="clear" w:color="auto" w:fill="FFFFFF"/>
        <w:snapToGrid w:val="0"/>
        <w:jc w:val="left"/>
        <w:rPr>
          <w:rFonts w:ascii="宋体" w:hAnsi="宋体" w:cs="宋体"/>
          <w:b/>
          <w:sz w:val="24"/>
        </w:rPr>
      </w:pPr>
      <w:r>
        <w:rPr>
          <w:rFonts w:ascii="宋体" w:hAnsi="宋体" w:cs="宋体"/>
          <w:b/>
          <w:sz w:val="24"/>
        </w:rPr>
        <w:t>2.3.</w:t>
      </w:r>
      <w:r>
        <w:rPr>
          <w:rFonts w:hint="eastAsia" w:ascii="宋体" w:hAnsi="宋体" w:cs="宋体"/>
          <w:b/>
          <w:sz w:val="24"/>
        </w:rPr>
        <w:t>13可作为供应商资信评分的资质证明材料（如有）</w:t>
      </w:r>
    </w:p>
    <w:p>
      <w:pPr>
        <w:shd w:val="clear" w:color="auto" w:fill="FFFFFF"/>
        <w:snapToGrid w:val="0"/>
        <w:jc w:val="left"/>
        <w:rPr>
          <w:rFonts w:ascii="宋体" w:hAnsi="宋体" w:cs="宋体"/>
          <w:b/>
          <w:sz w:val="24"/>
        </w:rPr>
      </w:pPr>
    </w:p>
    <w:p>
      <w:pPr>
        <w:shd w:val="clear" w:color="auto" w:fill="FFFFFF"/>
        <w:snapToGrid w:val="0"/>
        <w:jc w:val="left"/>
        <w:rPr>
          <w:rFonts w:ascii="宋体" w:hAnsi="宋体" w:cs="宋体"/>
          <w:b/>
          <w:sz w:val="24"/>
        </w:rPr>
      </w:pPr>
    </w:p>
    <w:p>
      <w:pPr>
        <w:shd w:val="clear" w:color="auto" w:fill="FFFFFF"/>
        <w:snapToGrid w:val="0"/>
        <w:jc w:val="left"/>
        <w:rPr>
          <w:rFonts w:ascii="宋体" w:hAnsi="宋体" w:cs="宋体"/>
          <w:b/>
          <w:sz w:val="24"/>
        </w:rPr>
      </w:pPr>
    </w:p>
    <w:p>
      <w:pPr>
        <w:shd w:val="clear" w:color="auto" w:fill="FFFFFF"/>
        <w:snapToGrid w:val="0"/>
        <w:jc w:val="left"/>
        <w:rPr>
          <w:rFonts w:ascii="宋体" w:hAnsi="宋体" w:cs="宋体"/>
          <w:b/>
          <w:sz w:val="24"/>
        </w:rPr>
      </w:pPr>
    </w:p>
    <w:p>
      <w:pPr>
        <w:shd w:val="clear" w:color="auto" w:fill="FFFFFF"/>
        <w:snapToGrid w:val="0"/>
        <w:jc w:val="left"/>
        <w:rPr>
          <w:rFonts w:ascii="宋体" w:hAnsi="宋体" w:cs="宋体"/>
          <w:b/>
          <w:sz w:val="24"/>
        </w:rPr>
      </w:pPr>
    </w:p>
    <w:p>
      <w:pPr>
        <w:shd w:val="clear" w:color="auto" w:fill="FFFFFF"/>
        <w:snapToGrid w:val="0"/>
        <w:jc w:val="left"/>
        <w:rPr>
          <w:rFonts w:ascii="宋体" w:hAnsi="宋体" w:cs="宋体"/>
          <w:b/>
          <w:sz w:val="24"/>
        </w:rPr>
      </w:pPr>
    </w:p>
    <w:p>
      <w:pPr>
        <w:shd w:val="clear" w:color="auto" w:fill="FFFFFF"/>
        <w:snapToGrid w:val="0"/>
        <w:jc w:val="left"/>
        <w:rPr>
          <w:rFonts w:ascii="宋体" w:hAnsi="宋体" w:cs="宋体"/>
          <w:b/>
          <w:sz w:val="24"/>
        </w:rPr>
      </w:pPr>
    </w:p>
    <w:p>
      <w:pPr>
        <w:shd w:val="clear" w:color="auto" w:fill="FFFFFF"/>
        <w:snapToGrid w:val="0"/>
        <w:jc w:val="left"/>
        <w:rPr>
          <w:rFonts w:ascii="宋体" w:hAnsi="宋体" w:cs="宋体"/>
          <w:b/>
          <w:sz w:val="24"/>
        </w:rPr>
      </w:pPr>
    </w:p>
    <w:p>
      <w:pPr>
        <w:shd w:val="clear" w:color="auto" w:fill="FFFFFF"/>
        <w:snapToGrid w:val="0"/>
        <w:jc w:val="left"/>
        <w:rPr>
          <w:rFonts w:ascii="宋体" w:hAnsi="宋体" w:cs="宋体"/>
          <w:b/>
          <w:sz w:val="24"/>
        </w:rPr>
      </w:pPr>
    </w:p>
    <w:p>
      <w:pPr>
        <w:pStyle w:val="2"/>
      </w:pPr>
    </w:p>
    <w:p>
      <w:pPr>
        <w:shd w:val="clear" w:color="auto" w:fill="FFFFFF"/>
        <w:snapToGrid w:val="0"/>
        <w:jc w:val="left"/>
        <w:rPr>
          <w:rFonts w:ascii="宋体" w:hAnsi="宋体" w:cs="宋体"/>
          <w:b/>
          <w:sz w:val="24"/>
        </w:rPr>
      </w:pPr>
    </w:p>
    <w:p>
      <w:pPr>
        <w:pStyle w:val="2"/>
        <w:rPr>
          <w:rFonts w:ascii="宋体" w:hAnsi="宋体" w:cs="宋体"/>
          <w:b/>
          <w:sz w:val="24"/>
        </w:rPr>
      </w:pPr>
    </w:p>
    <w:p>
      <w:pPr>
        <w:pStyle w:val="2"/>
        <w:rPr>
          <w:rFonts w:ascii="宋体" w:hAnsi="宋体" w:cs="宋体"/>
          <w:b/>
          <w:sz w:val="24"/>
        </w:rPr>
      </w:pPr>
    </w:p>
    <w:p>
      <w:pPr>
        <w:pStyle w:val="2"/>
        <w:rPr>
          <w:rFonts w:ascii="宋体" w:hAnsi="宋体" w:cs="宋体"/>
          <w:b/>
          <w:sz w:val="24"/>
        </w:rPr>
      </w:pPr>
    </w:p>
    <w:p>
      <w:pPr>
        <w:shd w:val="clear" w:color="auto" w:fill="FFFFFF"/>
        <w:snapToGrid w:val="0"/>
        <w:jc w:val="left"/>
        <w:rPr>
          <w:rFonts w:ascii="宋体" w:hAnsi="宋体" w:cs="宋体"/>
          <w:b/>
          <w:sz w:val="24"/>
        </w:rPr>
      </w:pPr>
    </w:p>
    <w:p>
      <w:pPr>
        <w:shd w:val="clear" w:color="auto" w:fill="FFFFFF"/>
        <w:snapToGrid w:val="0"/>
        <w:jc w:val="left"/>
        <w:rPr>
          <w:rFonts w:ascii="宋体" w:hAnsi="宋体" w:cs="宋体"/>
          <w:b/>
          <w:sz w:val="24"/>
        </w:rPr>
      </w:pPr>
    </w:p>
    <w:p>
      <w:pPr>
        <w:shd w:val="clear" w:color="auto" w:fill="FFFFFF"/>
        <w:snapToGrid w:val="0"/>
        <w:jc w:val="left"/>
        <w:rPr>
          <w:rFonts w:ascii="宋体" w:hAnsi="宋体" w:cs="宋体"/>
          <w:b/>
          <w:sz w:val="24"/>
        </w:rPr>
      </w:pPr>
    </w:p>
    <w:p>
      <w:pPr>
        <w:shd w:val="clear" w:color="auto" w:fill="FFFFFF"/>
        <w:snapToGrid w:val="0"/>
        <w:jc w:val="left"/>
        <w:rPr>
          <w:rFonts w:ascii="宋体" w:hAnsi="宋体" w:cs="宋体"/>
          <w:b/>
          <w:sz w:val="24"/>
        </w:rPr>
      </w:pPr>
      <w:r>
        <w:rPr>
          <w:rFonts w:ascii="宋体" w:hAnsi="宋体" w:cs="宋体"/>
          <w:b/>
          <w:sz w:val="24"/>
        </w:rPr>
        <w:t>2.3.1</w:t>
      </w:r>
      <w:r>
        <w:rPr>
          <w:rFonts w:hint="eastAsia" w:ascii="宋体" w:hAnsi="宋体" w:cs="宋体"/>
          <w:b/>
          <w:sz w:val="24"/>
        </w:rPr>
        <w:t>4可作为供应商的类似成功案例的业绩证明一览表（如有）</w:t>
      </w:r>
    </w:p>
    <w:p>
      <w:pPr>
        <w:shd w:val="clear" w:color="auto" w:fill="FFFFFF"/>
        <w:snapToGrid w:val="0"/>
        <w:jc w:val="center"/>
        <w:rPr>
          <w:rFonts w:ascii="宋体" w:hAnsi="宋体" w:cs="宋体"/>
          <w:b/>
          <w:sz w:val="24"/>
        </w:rPr>
      </w:pPr>
      <w:r>
        <w:rPr>
          <w:rFonts w:hint="eastAsia" w:ascii="宋体" w:hAnsi="宋体" w:cs="宋体"/>
          <w:sz w:val="24"/>
        </w:rPr>
        <w:t>参考格式，可根据项目情况自行增加</w:t>
      </w:r>
    </w:p>
    <w:p>
      <w:pPr>
        <w:shd w:val="clear" w:color="auto" w:fill="FFFFFF"/>
        <w:snapToGrid w:val="0"/>
        <w:jc w:val="left"/>
        <w:rPr>
          <w:rFonts w:ascii="宋体" w:hAnsi="宋体" w:cs="宋体"/>
          <w:b/>
          <w:sz w:val="24"/>
        </w:rPr>
      </w:pPr>
    </w:p>
    <w:tbl>
      <w:tblPr>
        <w:tblStyle w:val="47"/>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00"/>
        <w:gridCol w:w="3573"/>
        <w:gridCol w:w="24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3800" w:type="dxa"/>
            <w:vMerge w:val="restart"/>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cs="宋体"/>
                <w:sz w:val="24"/>
              </w:rPr>
            </w:pPr>
            <w:r>
              <w:rPr>
                <w:rFonts w:hint="eastAsia" w:ascii="宋体" w:hAnsi="宋体" w:cs="宋体"/>
                <w:sz w:val="24"/>
              </w:rPr>
              <w:t>采购单位名称</w:t>
            </w:r>
          </w:p>
        </w:tc>
        <w:tc>
          <w:tcPr>
            <w:tcW w:w="3573" w:type="dxa"/>
            <w:vMerge w:val="restart"/>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cs="宋体"/>
                <w:sz w:val="24"/>
              </w:rPr>
            </w:pPr>
            <w:r>
              <w:rPr>
                <w:rFonts w:hint="eastAsia" w:ascii="宋体" w:hAnsi="宋体" w:cs="宋体"/>
                <w:sz w:val="24"/>
              </w:rPr>
              <w:t>服务名称</w:t>
            </w:r>
          </w:p>
        </w:tc>
        <w:tc>
          <w:tcPr>
            <w:tcW w:w="2481" w:type="dxa"/>
            <w:vMerge w:val="restart"/>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jc w:val="center"/>
              <w:rPr>
                <w:rFonts w:ascii="宋体" w:hAnsi="宋体" w:cs="宋体"/>
                <w:sz w:val="24"/>
              </w:rPr>
            </w:pPr>
            <w:r>
              <w:rPr>
                <w:rFonts w:hint="eastAsia" w:ascii="宋体" w:hAnsi="宋体" w:cs="宋体"/>
                <w:sz w:val="24"/>
              </w:rPr>
              <w:t>合同金额</w:t>
            </w:r>
          </w:p>
          <w:p>
            <w:pPr>
              <w:shd w:val="clear" w:color="auto" w:fill="FFFFFF"/>
              <w:snapToGrid w:val="0"/>
              <w:spacing w:line="360" w:lineRule="auto"/>
              <w:jc w:val="center"/>
              <w:rPr>
                <w:rFonts w:ascii="宋体" w:hAnsi="宋体" w:cs="宋体"/>
                <w:sz w:val="24"/>
              </w:rPr>
            </w:pPr>
            <w:r>
              <w:rPr>
                <w:rFonts w:hint="eastAsia" w:ascii="宋体" w:hAnsi="宋体" w:cs="宋体"/>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jc w:val="center"/>
        </w:trPr>
        <w:tc>
          <w:tcPr>
            <w:tcW w:w="3800"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sz w:val="24"/>
              </w:rPr>
            </w:pPr>
          </w:p>
        </w:tc>
        <w:tc>
          <w:tcPr>
            <w:tcW w:w="357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sz w:val="24"/>
              </w:rPr>
            </w:pPr>
          </w:p>
        </w:tc>
        <w:tc>
          <w:tcPr>
            <w:tcW w:w="248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3800" w:type="dxa"/>
            <w:tcBorders>
              <w:top w:val="single" w:color="auto" w:sz="4" w:space="0"/>
              <w:left w:val="single" w:color="auto" w:sz="4" w:space="0"/>
              <w:bottom w:val="single" w:color="auto" w:sz="4" w:space="0"/>
              <w:right w:val="single" w:color="auto" w:sz="4" w:space="0"/>
            </w:tcBorders>
          </w:tcPr>
          <w:p>
            <w:pPr>
              <w:shd w:val="clear" w:color="auto" w:fill="FFFFFF"/>
              <w:snapToGrid w:val="0"/>
              <w:spacing w:line="360" w:lineRule="auto"/>
              <w:jc w:val="left"/>
              <w:rPr>
                <w:rFonts w:ascii="宋体" w:hAnsi="宋体" w:cs="宋体"/>
                <w:sz w:val="24"/>
              </w:rPr>
            </w:pPr>
          </w:p>
        </w:tc>
        <w:tc>
          <w:tcPr>
            <w:tcW w:w="3573" w:type="dxa"/>
            <w:tcBorders>
              <w:top w:val="single" w:color="auto" w:sz="4" w:space="0"/>
              <w:left w:val="single" w:color="auto" w:sz="4" w:space="0"/>
              <w:bottom w:val="single" w:color="auto" w:sz="4" w:space="0"/>
              <w:right w:val="single" w:color="auto" w:sz="4" w:space="0"/>
            </w:tcBorders>
          </w:tcPr>
          <w:p>
            <w:pPr>
              <w:shd w:val="clear" w:color="auto" w:fill="FFFFFF"/>
              <w:snapToGrid w:val="0"/>
              <w:spacing w:line="360" w:lineRule="auto"/>
              <w:jc w:val="left"/>
              <w:rPr>
                <w:rFonts w:ascii="宋体" w:hAnsi="宋体" w:cs="宋体"/>
                <w:sz w:val="24"/>
              </w:rPr>
            </w:pPr>
          </w:p>
        </w:tc>
        <w:tc>
          <w:tcPr>
            <w:tcW w:w="2481" w:type="dxa"/>
            <w:tcBorders>
              <w:top w:val="single" w:color="auto" w:sz="4" w:space="0"/>
              <w:left w:val="single" w:color="auto" w:sz="4" w:space="0"/>
              <w:bottom w:val="single" w:color="auto" w:sz="4" w:space="0"/>
              <w:right w:val="single" w:color="auto" w:sz="4" w:space="0"/>
            </w:tcBorders>
          </w:tcPr>
          <w:p>
            <w:pPr>
              <w:shd w:val="clear" w:color="auto" w:fill="FFFFFF"/>
              <w:snapToGrid w:val="0"/>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3800" w:type="dxa"/>
            <w:tcBorders>
              <w:top w:val="single" w:color="auto" w:sz="4" w:space="0"/>
              <w:left w:val="single" w:color="auto" w:sz="4" w:space="0"/>
              <w:bottom w:val="single" w:color="auto" w:sz="4" w:space="0"/>
              <w:right w:val="single" w:color="auto" w:sz="4" w:space="0"/>
            </w:tcBorders>
          </w:tcPr>
          <w:p>
            <w:pPr>
              <w:shd w:val="clear" w:color="auto" w:fill="FFFFFF"/>
              <w:snapToGrid w:val="0"/>
              <w:spacing w:before="50" w:afterLines="50" w:line="360" w:lineRule="auto"/>
              <w:jc w:val="left"/>
              <w:rPr>
                <w:rFonts w:ascii="宋体" w:hAnsi="宋体" w:cs="宋体"/>
                <w:sz w:val="24"/>
              </w:rPr>
            </w:pPr>
          </w:p>
        </w:tc>
        <w:tc>
          <w:tcPr>
            <w:tcW w:w="3573" w:type="dxa"/>
            <w:tcBorders>
              <w:top w:val="single" w:color="auto" w:sz="4" w:space="0"/>
              <w:left w:val="single" w:color="auto" w:sz="4" w:space="0"/>
              <w:bottom w:val="single" w:color="auto" w:sz="4" w:space="0"/>
              <w:right w:val="single" w:color="auto" w:sz="4" w:space="0"/>
            </w:tcBorders>
          </w:tcPr>
          <w:p>
            <w:pPr>
              <w:shd w:val="clear" w:color="auto" w:fill="FFFFFF"/>
              <w:snapToGrid w:val="0"/>
              <w:spacing w:before="50" w:afterLines="50" w:line="360" w:lineRule="auto"/>
              <w:jc w:val="left"/>
              <w:rPr>
                <w:rFonts w:ascii="宋体" w:hAnsi="宋体" w:cs="宋体"/>
                <w:sz w:val="24"/>
              </w:rPr>
            </w:pPr>
          </w:p>
        </w:tc>
        <w:tc>
          <w:tcPr>
            <w:tcW w:w="2481" w:type="dxa"/>
            <w:tcBorders>
              <w:top w:val="single" w:color="auto" w:sz="4" w:space="0"/>
              <w:left w:val="single" w:color="auto" w:sz="4" w:space="0"/>
              <w:bottom w:val="single" w:color="auto" w:sz="4" w:space="0"/>
              <w:right w:val="single" w:color="auto" w:sz="4" w:space="0"/>
            </w:tcBorders>
          </w:tcPr>
          <w:p>
            <w:pPr>
              <w:shd w:val="clear" w:color="auto" w:fill="FFFFFF"/>
              <w:snapToGrid w:val="0"/>
              <w:spacing w:before="50" w:afterLines="50"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3800" w:type="dxa"/>
            <w:tcBorders>
              <w:top w:val="single" w:color="auto" w:sz="4" w:space="0"/>
              <w:left w:val="single" w:color="auto" w:sz="4" w:space="0"/>
              <w:bottom w:val="single" w:color="auto" w:sz="4" w:space="0"/>
              <w:right w:val="single" w:color="auto" w:sz="4" w:space="0"/>
            </w:tcBorders>
          </w:tcPr>
          <w:p>
            <w:pPr>
              <w:shd w:val="clear" w:color="auto" w:fill="FFFFFF"/>
              <w:snapToGrid w:val="0"/>
              <w:spacing w:before="50" w:afterLines="50" w:line="360" w:lineRule="auto"/>
              <w:jc w:val="left"/>
              <w:rPr>
                <w:rFonts w:ascii="宋体" w:hAnsi="宋体" w:cs="宋体"/>
                <w:sz w:val="24"/>
              </w:rPr>
            </w:pPr>
          </w:p>
        </w:tc>
        <w:tc>
          <w:tcPr>
            <w:tcW w:w="3573" w:type="dxa"/>
            <w:tcBorders>
              <w:top w:val="single" w:color="auto" w:sz="4" w:space="0"/>
              <w:left w:val="single" w:color="auto" w:sz="4" w:space="0"/>
              <w:bottom w:val="single" w:color="auto" w:sz="4" w:space="0"/>
              <w:right w:val="single" w:color="auto" w:sz="4" w:space="0"/>
            </w:tcBorders>
          </w:tcPr>
          <w:p>
            <w:pPr>
              <w:shd w:val="clear" w:color="auto" w:fill="FFFFFF"/>
              <w:snapToGrid w:val="0"/>
              <w:spacing w:before="50" w:afterLines="50" w:line="360" w:lineRule="auto"/>
              <w:jc w:val="left"/>
              <w:rPr>
                <w:rFonts w:ascii="宋体" w:hAnsi="宋体" w:cs="宋体"/>
                <w:sz w:val="24"/>
              </w:rPr>
            </w:pPr>
          </w:p>
        </w:tc>
        <w:tc>
          <w:tcPr>
            <w:tcW w:w="2481" w:type="dxa"/>
            <w:tcBorders>
              <w:top w:val="single" w:color="auto" w:sz="4" w:space="0"/>
              <w:left w:val="single" w:color="auto" w:sz="4" w:space="0"/>
              <w:bottom w:val="single" w:color="auto" w:sz="4" w:space="0"/>
              <w:right w:val="single" w:color="auto" w:sz="4" w:space="0"/>
            </w:tcBorders>
          </w:tcPr>
          <w:p>
            <w:pPr>
              <w:shd w:val="clear" w:color="auto" w:fill="FFFFFF"/>
              <w:snapToGrid w:val="0"/>
              <w:spacing w:before="50" w:afterLines="50"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3800" w:type="dxa"/>
            <w:tcBorders>
              <w:top w:val="single" w:color="auto" w:sz="4" w:space="0"/>
              <w:left w:val="single" w:color="auto" w:sz="4" w:space="0"/>
              <w:bottom w:val="single" w:color="auto" w:sz="4" w:space="0"/>
              <w:right w:val="single" w:color="auto" w:sz="4" w:space="0"/>
            </w:tcBorders>
          </w:tcPr>
          <w:p>
            <w:pPr>
              <w:shd w:val="clear" w:color="auto" w:fill="FFFFFF"/>
              <w:snapToGrid w:val="0"/>
              <w:spacing w:before="50" w:afterLines="50" w:line="360" w:lineRule="auto"/>
              <w:jc w:val="left"/>
              <w:rPr>
                <w:rFonts w:ascii="宋体" w:hAnsi="宋体" w:cs="宋体"/>
                <w:sz w:val="24"/>
              </w:rPr>
            </w:pPr>
          </w:p>
        </w:tc>
        <w:tc>
          <w:tcPr>
            <w:tcW w:w="3573" w:type="dxa"/>
            <w:tcBorders>
              <w:top w:val="single" w:color="auto" w:sz="4" w:space="0"/>
              <w:left w:val="single" w:color="auto" w:sz="4" w:space="0"/>
              <w:bottom w:val="single" w:color="auto" w:sz="4" w:space="0"/>
              <w:right w:val="single" w:color="auto" w:sz="4" w:space="0"/>
            </w:tcBorders>
          </w:tcPr>
          <w:p>
            <w:pPr>
              <w:shd w:val="clear" w:color="auto" w:fill="FFFFFF"/>
              <w:snapToGrid w:val="0"/>
              <w:spacing w:before="50" w:afterLines="50" w:line="360" w:lineRule="auto"/>
              <w:jc w:val="left"/>
              <w:rPr>
                <w:rFonts w:ascii="宋体" w:hAnsi="宋体" w:cs="宋体"/>
                <w:sz w:val="24"/>
              </w:rPr>
            </w:pPr>
          </w:p>
        </w:tc>
        <w:tc>
          <w:tcPr>
            <w:tcW w:w="2481" w:type="dxa"/>
            <w:tcBorders>
              <w:top w:val="single" w:color="auto" w:sz="4" w:space="0"/>
              <w:left w:val="single" w:color="auto" w:sz="4" w:space="0"/>
              <w:bottom w:val="single" w:color="auto" w:sz="4" w:space="0"/>
              <w:right w:val="single" w:color="auto" w:sz="4" w:space="0"/>
            </w:tcBorders>
          </w:tcPr>
          <w:p>
            <w:pPr>
              <w:shd w:val="clear" w:color="auto" w:fill="FFFFFF"/>
              <w:snapToGrid w:val="0"/>
              <w:spacing w:before="50" w:afterLines="50" w:line="360" w:lineRule="auto"/>
              <w:jc w:val="left"/>
              <w:rPr>
                <w:rFonts w:ascii="宋体" w:hAnsi="宋体" w:cs="宋体"/>
                <w:sz w:val="24"/>
              </w:rPr>
            </w:pPr>
          </w:p>
        </w:tc>
      </w:tr>
    </w:tbl>
    <w:p>
      <w:pPr>
        <w:shd w:val="clear" w:color="auto" w:fill="FFFFFF"/>
        <w:snapToGrid w:val="0"/>
        <w:jc w:val="left"/>
        <w:rPr>
          <w:rFonts w:ascii="宋体" w:hAnsi="宋体" w:cs="宋体"/>
          <w:b/>
          <w:sz w:val="24"/>
        </w:rPr>
      </w:pPr>
    </w:p>
    <w:p>
      <w:pPr>
        <w:pStyle w:val="15"/>
        <w:shd w:val="clear" w:color="auto" w:fill="FFFFFF"/>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附件：中标（成交）通知书复印件（如有）或合同关键页（要点包括项目名称、签约时间、合同金额/项目规模、项目主要内容和双方盖章页。</w:t>
      </w:r>
    </w:p>
    <w:p>
      <w:pPr>
        <w:pStyle w:val="15"/>
        <w:shd w:val="clear" w:color="auto" w:fill="FFFFFF"/>
        <w:snapToGrid w:val="0"/>
        <w:spacing w:line="360" w:lineRule="auto"/>
        <w:ind w:firstLine="4620" w:firstLineChars="1925"/>
        <w:rPr>
          <w:rFonts w:ascii="宋体" w:hAnsi="宋体" w:eastAsia="宋体" w:cs="宋体"/>
          <w:sz w:val="24"/>
          <w:szCs w:val="24"/>
          <w:u w:val="single"/>
        </w:rPr>
      </w:pPr>
      <w:r>
        <w:rPr>
          <w:rFonts w:hint="eastAsia" w:ascii="宋体" w:hAnsi="宋体" w:eastAsia="宋体" w:cs="宋体"/>
          <w:sz w:val="24"/>
          <w:szCs w:val="24"/>
        </w:rPr>
        <w:t>法定代表人签字或盖章：</w:t>
      </w:r>
      <w:r>
        <w:rPr>
          <w:rFonts w:hint="eastAsia" w:ascii="宋体" w:hAnsi="宋体" w:eastAsia="宋体" w:cs="宋体"/>
          <w:sz w:val="24"/>
          <w:szCs w:val="24"/>
          <w:u w:val="single"/>
        </w:rPr>
        <w:t>　　　　　</w:t>
      </w:r>
    </w:p>
    <w:p>
      <w:pPr>
        <w:shd w:val="clear" w:color="auto" w:fill="FFFFFF"/>
        <w:snapToGrid w:val="0"/>
        <w:ind w:firstLine="4620" w:firstLineChars="1925"/>
        <w:jc w:val="left"/>
        <w:rPr>
          <w:rFonts w:ascii="宋体" w:hAnsi="宋体" w:cs="宋体"/>
          <w:sz w:val="24"/>
          <w:u w:val="single"/>
        </w:rPr>
      </w:pPr>
      <w:r>
        <w:rPr>
          <w:rFonts w:hint="eastAsia" w:ascii="宋体" w:hAnsi="宋体" w:cs="宋体"/>
          <w:sz w:val="24"/>
        </w:rPr>
        <w:t>供应商公章：</w:t>
      </w:r>
    </w:p>
    <w:p>
      <w:pPr>
        <w:shd w:val="clear" w:color="auto" w:fill="FFFFFF"/>
        <w:snapToGrid w:val="0"/>
        <w:ind w:firstLine="4620" w:firstLineChars="1925"/>
        <w:jc w:val="left"/>
        <w:rPr>
          <w:rFonts w:ascii="宋体" w:hAnsi="宋体" w:cs="宋体"/>
          <w:sz w:val="24"/>
        </w:rPr>
      </w:pPr>
    </w:p>
    <w:p>
      <w:pPr>
        <w:shd w:val="clear" w:color="auto" w:fill="FFFFFF"/>
        <w:snapToGrid w:val="0"/>
        <w:ind w:firstLine="4620" w:firstLineChars="1925"/>
        <w:jc w:val="left"/>
        <w:rPr>
          <w:rFonts w:ascii="宋体" w:hAnsi="宋体" w:cs="宋体"/>
          <w:sz w:val="24"/>
          <w:u w:val="single"/>
        </w:rPr>
      </w:pPr>
      <w:r>
        <w:rPr>
          <w:rFonts w:hint="eastAsia" w:ascii="宋体" w:hAnsi="宋体" w:cs="宋体"/>
          <w:sz w:val="24"/>
        </w:rPr>
        <w:t>年    月   日</w:t>
      </w:r>
    </w:p>
    <w:p>
      <w:pPr>
        <w:shd w:val="clear" w:color="auto" w:fill="FFFFFF"/>
        <w:snapToGrid w:val="0"/>
        <w:jc w:val="left"/>
        <w:rPr>
          <w:rFonts w:ascii="宋体" w:hAnsi="宋体" w:cs="宋体"/>
          <w:b/>
          <w:sz w:val="24"/>
        </w:rPr>
      </w:pPr>
    </w:p>
    <w:p>
      <w:pPr>
        <w:shd w:val="clear" w:color="auto" w:fill="FFFFFF"/>
        <w:snapToGrid w:val="0"/>
        <w:jc w:val="left"/>
        <w:rPr>
          <w:rFonts w:ascii="宋体" w:hAnsi="宋体" w:cs="宋体"/>
          <w:b/>
          <w:sz w:val="24"/>
        </w:rPr>
      </w:pPr>
    </w:p>
    <w:p>
      <w:pPr>
        <w:shd w:val="clear" w:color="auto" w:fill="FFFFFF"/>
        <w:snapToGrid w:val="0"/>
        <w:jc w:val="left"/>
        <w:rPr>
          <w:rFonts w:ascii="宋体" w:hAnsi="宋体" w:cs="宋体"/>
          <w:b/>
          <w:sz w:val="24"/>
        </w:rPr>
      </w:pPr>
    </w:p>
    <w:p>
      <w:pPr>
        <w:shd w:val="clear" w:color="auto" w:fill="FFFFFF"/>
        <w:snapToGrid w:val="0"/>
        <w:jc w:val="left"/>
        <w:rPr>
          <w:rFonts w:ascii="宋体" w:hAnsi="宋体" w:cs="宋体"/>
          <w:b/>
          <w:sz w:val="24"/>
        </w:rPr>
      </w:pPr>
    </w:p>
    <w:p>
      <w:pPr>
        <w:shd w:val="clear" w:color="auto" w:fill="FFFFFF"/>
        <w:snapToGrid w:val="0"/>
        <w:jc w:val="left"/>
        <w:rPr>
          <w:rFonts w:ascii="宋体" w:hAnsi="宋体" w:cs="宋体"/>
          <w:b/>
          <w:sz w:val="24"/>
        </w:rPr>
      </w:pPr>
    </w:p>
    <w:p>
      <w:pPr>
        <w:shd w:val="clear" w:color="auto" w:fill="FFFFFF"/>
        <w:snapToGrid w:val="0"/>
        <w:jc w:val="left"/>
        <w:rPr>
          <w:rFonts w:ascii="宋体" w:hAnsi="宋体" w:cs="宋体"/>
          <w:b/>
          <w:sz w:val="24"/>
        </w:rPr>
      </w:pPr>
    </w:p>
    <w:p>
      <w:pPr>
        <w:shd w:val="clear" w:color="auto" w:fill="FFFFFF"/>
        <w:snapToGrid w:val="0"/>
        <w:jc w:val="left"/>
        <w:rPr>
          <w:rFonts w:ascii="宋体" w:hAnsi="宋体" w:cs="宋体"/>
          <w:b/>
          <w:sz w:val="24"/>
        </w:rPr>
      </w:pPr>
    </w:p>
    <w:p>
      <w:pPr>
        <w:shd w:val="clear" w:color="auto" w:fill="FFFFFF"/>
        <w:snapToGrid w:val="0"/>
        <w:jc w:val="left"/>
        <w:rPr>
          <w:rFonts w:ascii="宋体" w:hAnsi="宋体" w:cs="宋体"/>
          <w:b/>
          <w:sz w:val="24"/>
        </w:rPr>
      </w:pPr>
    </w:p>
    <w:p>
      <w:pPr>
        <w:shd w:val="clear" w:color="auto" w:fill="FFFFFF"/>
        <w:snapToGrid w:val="0"/>
        <w:spacing w:afterLines="50" w:line="360" w:lineRule="auto"/>
        <w:jc w:val="left"/>
        <w:rPr>
          <w:rFonts w:ascii="宋体" w:hAnsi="宋体" w:cs="宋体"/>
          <w:b/>
          <w:sz w:val="24"/>
        </w:rPr>
      </w:pPr>
      <w:r>
        <w:rPr>
          <w:rFonts w:hint="eastAsia" w:ascii="宋体" w:hAnsi="宋体" w:cs="宋体"/>
          <w:b/>
          <w:sz w:val="24"/>
        </w:rPr>
        <w:t>2.3.15企业信用等级证书复印件；</w:t>
      </w:r>
    </w:p>
    <w:p>
      <w:pPr>
        <w:shd w:val="clear" w:color="auto" w:fill="FFFFFF"/>
        <w:snapToGrid w:val="0"/>
        <w:spacing w:afterLines="50" w:line="360" w:lineRule="auto"/>
        <w:jc w:val="left"/>
        <w:rPr>
          <w:rFonts w:ascii="宋体" w:hAnsi="宋体" w:cs="宋体"/>
          <w:b/>
          <w:sz w:val="24"/>
        </w:rPr>
      </w:pPr>
      <w:r>
        <w:rPr>
          <w:rFonts w:hint="eastAsia" w:ascii="宋体" w:hAnsi="宋体" w:cs="宋体"/>
          <w:b/>
          <w:sz w:val="24"/>
        </w:rPr>
        <w:t>2.3.16供应商管理体系认证证书复印件；</w:t>
      </w:r>
    </w:p>
    <w:p>
      <w:pPr>
        <w:shd w:val="clear" w:color="auto" w:fill="FFFFFF"/>
        <w:snapToGrid w:val="0"/>
        <w:spacing w:before="50" w:afterLines="50" w:line="360" w:lineRule="auto"/>
        <w:jc w:val="left"/>
        <w:rPr>
          <w:rFonts w:ascii="宋体" w:hAnsi="宋体" w:cs="宋体"/>
          <w:b/>
          <w:sz w:val="24"/>
        </w:rPr>
      </w:pPr>
      <w:r>
        <w:rPr>
          <w:rFonts w:hint="eastAsia" w:ascii="宋体" w:hAnsi="宋体" w:cs="宋体"/>
          <w:b/>
          <w:sz w:val="24"/>
        </w:rPr>
        <w:t>2.3.17供应商认为可以证明其能力或业绩的其它材料；</w:t>
      </w:r>
    </w:p>
    <w:p>
      <w:pPr>
        <w:shd w:val="clear" w:color="auto" w:fill="FFFFFF"/>
        <w:snapToGrid w:val="0"/>
        <w:spacing w:before="50" w:afterLines="50" w:line="360" w:lineRule="auto"/>
        <w:jc w:val="left"/>
        <w:rPr>
          <w:rFonts w:ascii="宋体" w:hAnsi="宋体" w:cs="宋体"/>
          <w:b/>
          <w:sz w:val="24"/>
        </w:rPr>
      </w:pPr>
      <w:r>
        <w:rPr>
          <w:rFonts w:hint="eastAsia" w:ascii="宋体" w:hAnsi="宋体" w:cs="宋体"/>
          <w:b/>
          <w:sz w:val="24"/>
        </w:rPr>
        <w:t>2.3.18谈判供应商可结合本项目的评审办法视自身情况自行提交相关证明材料。</w:t>
      </w:r>
    </w:p>
    <w:p>
      <w:pPr>
        <w:rPr>
          <w:rFonts w:ascii="宋体" w:hAnsi="宋体" w:cs="宋体"/>
          <w:b/>
          <w:sz w:val="24"/>
        </w:rPr>
      </w:pPr>
      <w:r>
        <w:rPr>
          <w:rFonts w:hint="eastAsia" w:ascii="宋体" w:hAnsi="宋体" w:cs="宋体"/>
          <w:b/>
          <w:sz w:val="24"/>
        </w:rPr>
        <w:br w:type="page"/>
      </w:r>
    </w:p>
    <w:p>
      <w:pPr>
        <w:pStyle w:val="27"/>
        <w:jc w:val="center"/>
        <w:rPr>
          <w:rFonts w:ascii="Times New Roman" w:hAnsi="Times New Roman"/>
          <w:b/>
          <w:sz w:val="30"/>
          <w:szCs w:val="30"/>
        </w:rPr>
      </w:pPr>
    </w:p>
    <w:p>
      <w:pPr>
        <w:pStyle w:val="27"/>
        <w:jc w:val="center"/>
        <w:rPr>
          <w:rFonts w:ascii="Times New Roman" w:hAnsi="Times New Roman"/>
          <w:b/>
          <w:sz w:val="30"/>
          <w:szCs w:val="30"/>
        </w:rPr>
      </w:pPr>
      <w:r>
        <w:rPr>
          <w:rFonts w:ascii="Times New Roman" w:hAnsi="Times New Roman"/>
          <w:b/>
          <w:sz w:val="30"/>
          <w:szCs w:val="30"/>
        </w:rPr>
        <w:t>中小企业声明函（格式）</w:t>
      </w:r>
    </w:p>
    <w:p>
      <w:pPr>
        <w:pStyle w:val="21"/>
        <w:ind w:firstLine="0" w:firstLineChars="0"/>
        <w:rPr>
          <w:rFonts w:ascii="宋体" w:hAnsi="宋体" w:eastAsia="宋体" w:cs="宋体"/>
          <w:sz w:val="21"/>
          <w:szCs w:val="21"/>
        </w:rPr>
      </w:pPr>
    </w:p>
    <w:p>
      <w:pPr>
        <w:pStyle w:val="21"/>
        <w:ind w:firstLine="0" w:firstLineChars="0"/>
        <w:rPr>
          <w:rFonts w:ascii="宋体" w:hAnsi="宋体" w:eastAsia="宋体" w:cs="宋体"/>
          <w:sz w:val="21"/>
          <w:szCs w:val="21"/>
        </w:rPr>
      </w:pPr>
      <w:r>
        <w:rPr>
          <w:rFonts w:hint="eastAsia" w:ascii="宋体" w:hAnsi="宋体" w:eastAsia="宋体" w:cs="宋体"/>
          <w:sz w:val="21"/>
          <w:szCs w:val="21"/>
        </w:rPr>
        <w:t>说明：</w:t>
      </w:r>
    </w:p>
    <w:p>
      <w:pPr>
        <w:pStyle w:val="21"/>
        <w:ind w:firstLine="420" w:firstLineChars="200"/>
        <w:rPr>
          <w:rFonts w:ascii="宋体" w:hAnsi="宋体" w:eastAsia="宋体" w:cs="宋体"/>
          <w:sz w:val="21"/>
          <w:szCs w:val="21"/>
        </w:rPr>
      </w:pPr>
      <w:r>
        <w:rPr>
          <w:rFonts w:hint="eastAsia" w:ascii="宋体" w:hAnsi="宋体" w:eastAsia="宋体" w:cs="宋体"/>
          <w:sz w:val="21"/>
          <w:szCs w:val="21"/>
        </w:rPr>
        <w:t>1、本声明函主要供参加政府采购活动的中小企业填写，非中小企业无需填写。</w:t>
      </w:r>
    </w:p>
    <w:p>
      <w:pPr>
        <w:pStyle w:val="21"/>
        <w:ind w:firstLine="420" w:firstLineChars="200"/>
        <w:rPr>
          <w:rFonts w:ascii="宋体" w:hAnsi="宋体" w:eastAsia="宋体" w:cs="宋体"/>
          <w:sz w:val="21"/>
          <w:szCs w:val="21"/>
        </w:rPr>
      </w:pPr>
      <w:r>
        <w:rPr>
          <w:rFonts w:hint="eastAsia" w:ascii="宋体" w:hAnsi="宋体" w:eastAsia="宋体" w:cs="宋体"/>
          <w:sz w:val="21"/>
          <w:szCs w:val="21"/>
        </w:rPr>
        <w:t>2、小型、微型企业提供中型企业服务的，视同为中型企业。</w:t>
      </w:r>
    </w:p>
    <w:p>
      <w:pPr>
        <w:pStyle w:val="21"/>
        <w:ind w:firstLine="420" w:firstLineChars="200"/>
        <w:rPr>
          <w:rFonts w:ascii="宋体" w:hAnsi="宋体" w:eastAsia="宋体" w:cs="宋体"/>
          <w:sz w:val="21"/>
          <w:szCs w:val="21"/>
        </w:rPr>
      </w:pPr>
      <w:r>
        <w:rPr>
          <w:rFonts w:hint="eastAsia" w:ascii="宋体" w:hAnsi="宋体" w:eastAsia="宋体" w:cs="宋体"/>
          <w:sz w:val="21"/>
          <w:szCs w:val="21"/>
        </w:rPr>
        <w:t>3、谈判供应商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21"/>
        <w:spacing w:line="360" w:lineRule="auto"/>
        <w:ind w:firstLine="420" w:firstLineChars="200"/>
        <w:rPr>
          <w:rFonts w:ascii="宋体" w:hAnsi="宋体" w:eastAsia="宋体" w:cs="宋体"/>
          <w:sz w:val="21"/>
          <w:szCs w:val="21"/>
        </w:rPr>
      </w:pPr>
    </w:p>
    <w:p>
      <w:pPr>
        <w:pStyle w:val="27"/>
        <w:spacing w:line="360" w:lineRule="auto"/>
        <w:ind w:firstLine="420" w:firstLineChars="200"/>
        <w:rPr>
          <w:rFonts w:hAnsi="宋体" w:cs="宋体"/>
          <w:sz w:val="21"/>
        </w:rPr>
      </w:pPr>
      <w:r>
        <w:rPr>
          <w:rFonts w:hint="eastAsia" w:hAnsi="宋体" w:cs="宋体"/>
          <w:sz w:val="21"/>
        </w:rPr>
        <w:t>本公司郑重声明，根据《政府采购促进中小企业发展暂行办法》（财库〔2011〕181号）的规定，本公司为______（请填写：中型、小型、微型）企业(</w:t>
      </w:r>
      <w:r>
        <w:rPr>
          <w:rFonts w:hint="eastAsia" w:hAnsi="宋体" w:cs="宋体"/>
          <w:b/>
          <w:sz w:val="21"/>
        </w:rPr>
        <w:t>出具相关的证明文件</w:t>
      </w:r>
      <w:r>
        <w:rPr>
          <w:rFonts w:hint="eastAsia" w:hAnsi="宋体" w:cs="宋体"/>
          <w:sz w:val="21"/>
        </w:rPr>
        <w:t>)。即，本公司同时满足以下条件：</w:t>
      </w:r>
    </w:p>
    <w:p>
      <w:pPr>
        <w:pStyle w:val="27"/>
        <w:spacing w:line="360" w:lineRule="auto"/>
        <w:ind w:firstLine="420" w:firstLineChars="200"/>
        <w:rPr>
          <w:rFonts w:hAnsi="宋体" w:cs="宋体"/>
          <w:sz w:val="21"/>
        </w:rPr>
      </w:pPr>
      <w:r>
        <w:rPr>
          <w:rFonts w:hint="eastAsia" w:hAnsi="宋体" w:cs="宋体"/>
          <w:sz w:val="21"/>
        </w:rPr>
        <w:t>1．根据《工业和信息化部、国家统计局、国家发展和改革委员会、财政部关于印发中小企业划型标准规定的通知》（工信部联企业〔2011〕300号）规定的划分标准，本公司为______（请填写：中型、小型、微型）企业。</w:t>
      </w:r>
    </w:p>
    <w:p>
      <w:pPr>
        <w:pStyle w:val="27"/>
        <w:spacing w:line="360" w:lineRule="auto"/>
        <w:ind w:firstLine="420" w:firstLineChars="200"/>
        <w:rPr>
          <w:rFonts w:hAnsi="宋体" w:cs="宋体"/>
          <w:sz w:val="21"/>
        </w:rPr>
      </w:pPr>
      <w:r>
        <w:rPr>
          <w:rFonts w:hint="eastAsia" w:hAnsi="宋体" w:cs="宋体"/>
          <w:sz w:val="21"/>
        </w:rPr>
        <w:t>2．本公司参加______单位的______项目采购活动提供本企业服务。</w:t>
      </w:r>
    </w:p>
    <w:p>
      <w:pPr>
        <w:pStyle w:val="27"/>
        <w:spacing w:line="360" w:lineRule="auto"/>
        <w:ind w:firstLine="420" w:firstLineChars="200"/>
        <w:rPr>
          <w:rFonts w:hAnsi="宋体" w:cs="宋体"/>
          <w:sz w:val="21"/>
        </w:rPr>
      </w:pPr>
      <w:r>
        <w:rPr>
          <w:rFonts w:hint="eastAsia" w:hAnsi="宋体" w:cs="宋体"/>
          <w:sz w:val="21"/>
        </w:rPr>
        <w:t>本公司对上述声明的真实性负责。如有虚假，将依法承担相应责任。</w:t>
      </w:r>
    </w:p>
    <w:p>
      <w:pPr>
        <w:pStyle w:val="27"/>
        <w:spacing w:line="360" w:lineRule="auto"/>
        <w:ind w:firstLine="420" w:firstLineChars="200"/>
        <w:rPr>
          <w:rFonts w:hAnsi="宋体" w:cs="宋体"/>
          <w:sz w:val="21"/>
        </w:rPr>
      </w:pPr>
    </w:p>
    <w:p>
      <w:pPr>
        <w:pStyle w:val="27"/>
        <w:spacing w:line="360" w:lineRule="auto"/>
        <w:ind w:firstLine="420" w:firstLineChars="200"/>
        <w:rPr>
          <w:rFonts w:hAnsi="宋体" w:cs="宋体"/>
          <w:sz w:val="21"/>
        </w:rPr>
      </w:pPr>
    </w:p>
    <w:p>
      <w:pPr>
        <w:pStyle w:val="27"/>
        <w:spacing w:line="360" w:lineRule="auto"/>
        <w:ind w:firstLine="420" w:firstLineChars="200"/>
        <w:rPr>
          <w:rFonts w:hAnsi="宋体" w:cs="宋体"/>
          <w:sz w:val="21"/>
        </w:rPr>
      </w:pPr>
    </w:p>
    <w:p>
      <w:pPr>
        <w:pStyle w:val="27"/>
        <w:spacing w:line="600" w:lineRule="exact"/>
        <w:rPr>
          <w:rFonts w:hAnsi="宋体" w:cs="宋体"/>
          <w:sz w:val="21"/>
          <w:u w:val="single"/>
        </w:rPr>
      </w:pPr>
      <w:r>
        <w:rPr>
          <w:rFonts w:hint="eastAsia" w:hAnsi="宋体" w:cs="宋体"/>
          <w:sz w:val="21"/>
        </w:rPr>
        <w:t>谈判供应商（盖单位公章）：</w:t>
      </w:r>
    </w:p>
    <w:p>
      <w:pPr>
        <w:pStyle w:val="27"/>
        <w:spacing w:line="600" w:lineRule="exact"/>
        <w:rPr>
          <w:rFonts w:hAnsi="宋体" w:cs="宋体"/>
          <w:sz w:val="21"/>
          <w:u w:val="single"/>
        </w:rPr>
      </w:pPr>
    </w:p>
    <w:p>
      <w:pPr>
        <w:pStyle w:val="27"/>
        <w:spacing w:line="500" w:lineRule="exact"/>
        <w:rPr>
          <w:rFonts w:hAnsi="宋体" w:cs="宋体"/>
          <w:sz w:val="21"/>
          <w:u w:val="single"/>
        </w:rPr>
      </w:pPr>
      <w:r>
        <w:rPr>
          <w:rFonts w:hint="eastAsia" w:hAnsi="宋体" w:cs="宋体"/>
          <w:sz w:val="21"/>
        </w:rPr>
        <w:t>法定代表人或其委托代理人（签字）：</w:t>
      </w:r>
    </w:p>
    <w:p>
      <w:pPr>
        <w:pStyle w:val="27"/>
        <w:spacing w:line="500" w:lineRule="exact"/>
        <w:rPr>
          <w:rFonts w:ascii="Times New Roman" w:hAnsi="Times New Roman"/>
          <w:u w:val="single"/>
        </w:rPr>
      </w:pPr>
    </w:p>
    <w:p>
      <w:pPr>
        <w:pStyle w:val="27"/>
        <w:spacing w:line="360" w:lineRule="auto"/>
        <w:jc w:val="left"/>
        <w:rPr>
          <w:u w:val="single"/>
        </w:rPr>
      </w:pPr>
      <w:r>
        <w:rPr>
          <w:rFonts w:hint="eastAsia"/>
          <w:bCs/>
        </w:rPr>
        <w:t>年月日</w:t>
      </w:r>
    </w:p>
    <w:p>
      <w:pPr>
        <w:pStyle w:val="27"/>
        <w:spacing w:line="500" w:lineRule="exact"/>
        <w:rPr>
          <w:rFonts w:ascii="Times New Roman" w:hAnsi="Times New Roman"/>
          <w:u w:val="single"/>
        </w:rPr>
      </w:pPr>
    </w:p>
    <w:p>
      <w:pPr>
        <w:pStyle w:val="27"/>
        <w:spacing w:line="500" w:lineRule="exact"/>
      </w:pPr>
    </w:p>
    <w:p>
      <w:pPr>
        <w:pStyle w:val="27"/>
        <w:spacing w:line="500" w:lineRule="exact"/>
      </w:pPr>
    </w:p>
    <w:p>
      <w:pPr>
        <w:pStyle w:val="27"/>
        <w:spacing w:line="500" w:lineRule="exact"/>
      </w:pPr>
    </w:p>
    <w:p>
      <w:pPr>
        <w:pStyle w:val="27"/>
        <w:spacing w:line="500" w:lineRule="exact"/>
      </w:pPr>
    </w:p>
    <w:p>
      <w:pPr>
        <w:spacing w:line="588" w:lineRule="exact"/>
        <w:jc w:val="center"/>
        <w:rPr>
          <w:rFonts w:ascii="宋体" w:hAnsi="宋体"/>
          <w:b/>
          <w:spacing w:val="6"/>
          <w:sz w:val="32"/>
          <w:szCs w:val="32"/>
        </w:rPr>
      </w:pPr>
    </w:p>
    <w:p>
      <w:pPr>
        <w:spacing w:line="588" w:lineRule="exact"/>
        <w:jc w:val="center"/>
        <w:rPr>
          <w:rFonts w:ascii="宋体" w:hAnsi="宋体"/>
          <w:b/>
          <w:spacing w:val="6"/>
          <w:sz w:val="32"/>
          <w:szCs w:val="32"/>
        </w:rPr>
      </w:pPr>
    </w:p>
    <w:p>
      <w:pPr>
        <w:spacing w:line="588" w:lineRule="exact"/>
        <w:jc w:val="center"/>
        <w:rPr>
          <w:rFonts w:ascii="宋体" w:hAnsi="宋体"/>
          <w:b/>
          <w:spacing w:val="6"/>
          <w:sz w:val="32"/>
          <w:szCs w:val="32"/>
        </w:rPr>
      </w:pPr>
    </w:p>
    <w:p>
      <w:pPr>
        <w:spacing w:line="588" w:lineRule="exact"/>
        <w:jc w:val="center"/>
        <w:rPr>
          <w:rFonts w:ascii="宋体" w:hAnsi="宋体"/>
          <w:b/>
          <w:spacing w:val="6"/>
          <w:sz w:val="32"/>
          <w:szCs w:val="32"/>
        </w:rPr>
      </w:pP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残疾人福利性单位声明函（格式）</w:t>
      </w:r>
    </w:p>
    <w:p>
      <w:pPr>
        <w:spacing w:line="588" w:lineRule="exact"/>
        <w:rPr>
          <w:rFonts w:ascii="宋体" w:hAnsi="宋体"/>
          <w:b/>
          <w:spacing w:val="6"/>
          <w:sz w:val="30"/>
          <w:szCs w:val="30"/>
        </w:rPr>
      </w:pPr>
    </w:p>
    <w:p>
      <w:pPr>
        <w:pStyle w:val="27"/>
        <w:spacing w:line="360" w:lineRule="auto"/>
        <w:ind w:firstLine="420" w:firstLineChars="200"/>
        <w:rPr>
          <w:rFonts w:hAnsi="宋体"/>
          <w:sz w:val="21"/>
        </w:rPr>
      </w:pPr>
      <w:r>
        <w:rPr>
          <w:rFonts w:hAnsi="宋体"/>
          <w:sz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spacing w:line="360" w:lineRule="auto"/>
        <w:ind w:firstLine="420" w:firstLineChars="200"/>
        <w:rPr>
          <w:rFonts w:hAnsi="宋体"/>
          <w:sz w:val="21"/>
        </w:rPr>
      </w:pPr>
      <w:r>
        <w:rPr>
          <w:rFonts w:hAnsi="宋体"/>
          <w:sz w:val="21"/>
        </w:rPr>
        <w:t>本单位对上述声明的真实性负责。如有虚假，将依法承担相应责任。</w:t>
      </w:r>
    </w:p>
    <w:p>
      <w:pPr>
        <w:pStyle w:val="27"/>
        <w:spacing w:line="360" w:lineRule="auto"/>
        <w:ind w:firstLine="420" w:firstLineChars="200"/>
        <w:rPr>
          <w:rFonts w:hAnsi="宋体"/>
          <w:sz w:val="21"/>
        </w:rPr>
      </w:pPr>
    </w:p>
    <w:p>
      <w:pPr>
        <w:pStyle w:val="27"/>
        <w:spacing w:line="360" w:lineRule="auto"/>
        <w:ind w:firstLine="420" w:firstLineChars="200"/>
        <w:rPr>
          <w:rFonts w:hAnsi="宋体"/>
          <w:sz w:val="21"/>
        </w:rPr>
      </w:pPr>
    </w:p>
    <w:p>
      <w:pPr>
        <w:pStyle w:val="27"/>
        <w:spacing w:line="360" w:lineRule="auto"/>
        <w:ind w:firstLine="420" w:firstLineChars="200"/>
        <w:rPr>
          <w:rFonts w:hAnsi="宋体"/>
          <w:sz w:val="21"/>
        </w:rPr>
      </w:pPr>
      <w:r>
        <w:rPr>
          <w:rFonts w:hAnsi="宋体"/>
          <w:sz w:val="21"/>
        </w:rPr>
        <w:t xml:space="preserve">                                       单位名称（盖章）：</w:t>
      </w:r>
    </w:p>
    <w:p>
      <w:pPr>
        <w:pStyle w:val="27"/>
        <w:spacing w:line="360" w:lineRule="auto"/>
        <w:ind w:firstLine="420" w:firstLineChars="200"/>
        <w:rPr>
          <w:rFonts w:hAnsi="宋体"/>
          <w:sz w:val="21"/>
        </w:rPr>
      </w:pPr>
      <w:r>
        <w:rPr>
          <w:rFonts w:hAnsi="宋体"/>
          <w:sz w:val="21"/>
        </w:rPr>
        <w:t xml:space="preserve">                                       日  期：</w:t>
      </w:r>
    </w:p>
    <w:p>
      <w:pPr>
        <w:widowControl/>
        <w:jc w:val="left"/>
        <w:rPr>
          <w:rFonts w:ascii="宋体" w:hAnsi="宋体"/>
          <w:szCs w:val="21"/>
        </w:rPr>
      </w:pPr>
    </w:p>
    <w:p>
      <w:pPr>
        <w:shd w:val="clear" w:color="auto" w:fill="FFFFFF"/>
        <w:snapToGrid w:val="0"/>
        <w:spacing w:before="50" w:afterLines="50" w:line="360" w:lineRule="auto"/>
        <w:jc w:val="left"/>
        <w:rPr>
          <w:rFonts w:ascii="宋体" w:hAnsi="宋体" w:cs="宋体"/>
          <w:b/>
          <w:bCs/>
          <w:sz w:val="24"/>
        </w:rPr>
      </w:pPr>
      <w:r>
        <w:rPr>
          <w:rFonts w:hint="eastAsia" w:ascii="宋体" w:hAnsi="宋体" w:cs="宋体"/>
          <w:b/>
          <w:sz w:val="24"/>
        </w:rPr>
        <w:br w:type="page"/>
      </w:r>
    </w:p>
    <w:p>
      <w:pPr>
        <w:shd w:val="clear" w:color="auto" w:fill="FFFFFF"/>
        <w:snapToGrid w:val="0"/>
        <w:spacing w:before="50" w:afterLines="50" w:line="360" w:lineRule="auto"/>
        <w:jc w:val="left"/>
        <w:rPr>
          <w:rFonts w:ascii="宋体" w:hAnsi="宋体" w:cs="宋体"/>
          <w:b/>
          <w:sz w:val="24"/>
        </w:rPr>
      </w:pPr>
      <w:r>
        <w:rPr>
          <w:rFonts w:hint="eastAsia" w:ascii="宋体" w:hAnsi="宋体" w:cs="宋体"/>
          <w:b/>
          <w:bCs/>
          <w:sz w:val="24"/>
        </w:rPr>
        <w:t>三、报价文件格式</w:t>
      </w:r>
    </w:p>
    <w:p>
      <w:pPr>
        <w:widowControl/>
        <w:shd w:val="clear" w:color="auto" w:fill="FFFFFF"/>
        <w:spacing w:line="360" w:lineRule="auto"/>
        <w:jc w:val="left"/>
        <w:rPr>
          <w:rFonts w:ascii="宋体" w:hAnsi="宋体" w:cs="宋体"/>
          <w:b/>
          <w:sz w:val="24"/>
        </w:rPr>
      </w:pPr>
      <w:r>
        <w:rPr>
          <w:rFonts w:hint="eastAsia" w:ascii="宋体" w:hAnsi="宋体" w:cs="宋体"/>
          <w:b/>
          <w:sz w:val="24"/>
        </w:rPr>
        <w:t xml:space="preserve">3.1 报价文件内封面格式： </w:t>
      </w:r>
    </w:p>
    <w:p>
      <w:pPr>
        <w:shd w:val="clear" w:color="auto" w:fill="FFFFFF"/>
        <w:snapToGrid w:val="0"/>
        <w:spacing w:beforeLines="50" w:after="50" w:line="360" w:lineRule="auto"/>
        <w:jc w:val="center"/>
        <w:rPr>
          <w:rFonts w:ascii="宋体" w:hAnsi="宋体" w:cs="宋体"/>
          <w:b/>
          <w:bCs/>
          <w:sz w:val="52"/>
          <w:szCs w:val="52"/>
        </w:rPr>
      </w:pPr>
      <w:r>
        <w:rPr>
          <w:rFonts w:hint="eastAsia" w:ascii="宋体" w:hAnsi="宋体" w:cs="宋体"/>
          <w:b/>
          <w:bCs/>
          <w:sz w:val="52"/>
          <w:szCs w:val="52"/>
        </w:rPr>
        <w:t>报 价 文 件</w:t>
      </w:r>
    </w:p>
    <w:p>
      <w:pPr>
        <w:shd w:val="clear" w:color="auto" w:fill="FFFFFF"/>
        <w:snapToGrid w:val="0"/>
        <w:spacing w:line="360" w:lineRule="auto"/>
        <w:ind w:firstLine="943" w:firstLineChars="393"/>
        <w:rPr>
          <w:rFonts w:ascii="宋体" w:hAnsi="宋体" w:cs="宋体"/>
          <w:bCs/>
          <w:sz w:val="24"/>
          <w:szCs w:val="20"/>
        </w:rPr>
      </w:pPr>
      <w:r>
        <w:rPr>
          <w:rFonts w:hint="eastAsia" w:ascii="宋体" w:hAnsi="宋体" w:cs="宋体"/>
          <w:bCs/>
          <w:sz w:val="24"/>
        </w:rPr>
        <w:t>项目名称：</w:t>
      </w:r>
    </w:p>
    <w:p>
      <w:pPr>
        <w:shd w:val="clear" w:color="auto" w:fill="FFFFFF"/>
        <w:snapToGrid w:val="0"/>
        <w:spacing w:line="360" w:lineRule="auto"/>
        <w:ind w:firstLine="943" w:firstLineChars="393"/>
        <w:rPr>
          <w:rFonts w:ascii="宋体" w:hAnsi="宋体" w:cs="宋体"/>
          <w:bCs/>
          <w:sz w:val="24"/>
        </w:rPr>
      </w:pPr>
    </w:p>
    <w:p>
      <w:pPr>
        <w:shd w:val="clear" w:color="auto" w:fill="FFFFFF"/>
        <w:snapToGrid w:val="0"/>
        <w:spacing w:line="360" w:lineRule="auto"/>
        <w:ind w:firstLine="943" w:firstLineChars="393"/>
        <w:rPr>
          <w:rFonts w:ascii="宋体" w:hAnsi="宋体" w:cs="宋体"/>
          <w:bCs/>
          <w:sz w:val="24"/>
        </w:rPr>
      </w:pPr>
      <w:r>
        <w:rPr>
          <w:rFonts w:hint="eastAsia" w:ascii="宋体" w:hAnsi="宋体" w:cs="宋体"/>
          <w:bCs/>
          <w:sz w:val="24"/>
        </w:rPr>
        <w:t>项目编号：</w:t>
      </w:r>
    </w:p>
    <w:p>
      <w:pPr>
        <w:shd w:val="clear" w:color="auto" w:fill="FFFFFF"/>
        <w:snapToGrid w:val="0"/>
        <w:spacing w:line="360" w:lineRule="auto"/>
        <w:ind w:firstLine="943" w:firstLineChars="393"/>
        <w:rPr>
          <w:rFonts w:ascii="宋体" w:hAnsi="宋体" w:cs="宋体"/>
          <w:bCs/>
          <w:sz w:val="24"/>
        </w:rPr>
      </w:pPr>
    </w:p>
    <w:p>
      <w:pPr>
        <w:pStyle w:val="2"/>
        <w:rPr>
          <w:rFonts w:ascii="宋体" w:hAnsi="宋体" w:cs="宋体"/>
          <w:bCs/>
          <w:sz w:val="24"/>
        </w:rPr>
      </w:pPr>
    </w:p>
    <w:p>
      <w:pPr>
        <w:pStyle w:val="9"/>
        <w:shd w:val="clear" w:color="auto" w:fill="FFFFFF"/>
        <w:snapToGrid w:val="0"/>
        <w:spacing w:before="50" w:after="50" w:line="360" w:lineRule="auto"/>
        <w:ind w:firstLine="998" w:firstLineChars="416"/>
        <w:rPr>
          <w:rFonts w:ascii="宋体" w:hAnsi="宋体" w:cs="宋体"/>
          <w:bCs/>
          <w:sz w:val="24"/>
          <w:szCs w:val="24"/>
        </w:rPr>
      </w:pPr>
      <w:r>
        <w:rPr>
          <w:rFonts w:hint="eastAsia" w:ascii="宋体" w:hAnsi="宋体" w:cs="宋体"/>
          <w:bCs/>
          <w:sz w:val="24"/>
          <w:szCs w:val="24"/>
        </w:rPr>
        <w:t>供应商名称：                                 （盖章）</w:t>
      </w:r>
    </w:p>
    <w:p>
      <w:pPr>
        <w:pStyle w:val="9"/>
        <w:shd w:val="clear" w:color="auto" w:fill="FFFFFF"/>
        <w:snapToGrid w:val="0"/>
        <w:spacing w:before="50" w:after="50" w:line="360" w:lineRule="auto"/>
        <w:ind w:firstLine="998" w:firstLineChars="416"/>
        <w:rPr>
          <w:rFonts w:ascii="宋体" w:hAnsi="宋体" w:cs="宋体"/>
          <w:bCs/>
          <w:sz w:val="24"/>
          <w:szCs w:val="24"/>
        </w:rPr>
      </w:pPr>
    </w:p>
    <w:p>
      <w:pPr>
        <w:pStyle w:val="9"/>
        <w:shd w:val="clear" w:color="auto" w:fill="FFFFFF"/>
        <w:snapToGrid w:val="0"/>
        <w:spacing w:before="50" w:after="50" w:line="360" w:lineRule="auto"/>
        <w:ind w:firstLine="998" w:firstLineChars="416"/>
        <w:rPr>
          <w:rFonts w:ascii="宋体" w:hAnsi="宋体" w:cs="宋体"/>
          <w:bCs/>
          <w:sz w:val="24"/>
          <w:szCs w:val="24"/>
        </w:rPr>
      </w:pPr>
      <w:r>
        <w:rPr>
          <w:rFonts w:hint="eastAsia" w:ascii="宋体" w:hAnsi="宋体" w:cs="宋体"/>
          <w:bCs/>
          <w:sz w:val="24"/>
          <w:szCs w:val="24"/>
        </w:rPr>
        <w:t>法定代表人或委托代理人签字：</w:t>
      </w:r>
    </w:p>
    <w:p>
      <w:pPr>
        <w:shd w:val="clear" w:color="auto" w:fill="FFFFFF"/>
        <w:snapToGrid w:val="0"/>
        <w:spacing w:line="360" w:lineRule="auto"/>
        <w:ind w:firstLine="960" w:firstLineChars="400"/>
        <w:rPr>
          <w:rFonts w:ascii="宋体" w:hAnsi="宋体" w:cs="宋体"/>
          <w:bCs/>
          <w:sz w:val="24"/>
          <w:szCs w:val="20"/>
        </w:rPr>
      </w:pPr>
    </w:p>
    <w:p>
      <w:pPr>
        <w:shd w:val="clear" w:color="auto" w:fill="FFFFFF"/>
        <w:snapToGrid w:val="0"/>
        <w:spacing w:line="360" w:lineRule="auto"/>
        <w:ind w:firstLine="960" w:firstLineChars="400"/>
        <w:rPr>
          <w:rFonts w:ascii="宋体" w:hAnsi="宋体" w:cs="宋体"/>
          <w:bCs/>
          <w:sz w:val="24"/>
          <w:szCs w:val="20"/>
        </w:rPr>
      </w:pPr>
      <w:r>
        <w:rPr>
          <w:rFonts w:hint="eastAsia" w:ascii="宋体" w:hAnsi="宋体" w:cs="宋体"/>
          <w:bCs/>
          <w:sz w:val="24"/>
          <w:szCs w:val="20"/>
        </w:rPr>
        <w:t xml:space="preserve">                    年    月    日</w:t>
      </w:r>
    </w:p>
    <w:p>
      <w:pPr>
        <w:shd w:val="clear" w:color="auto" w:fill="FFFFFF"/>
        <w:snapToGrid w:val="0"/>
        <w:spacing w:line="360" w:lineRule="auto"/>
        <w:ind w:firstLine="960" w:firstLineChars="400"/>
        <w:rPr>
          <w:rFonts w:ascii="宋体" w:hAnsi="宋体" w:cs="宋体"/>
          <w:bCs/>
          <w:sz w:val="24"/>
          <w:szCs w:val="20"/>
        </w:rPr>
      </w:pPr>
    </w:p>
    <w:p>
      <w:pPr>
        <w:shd w:val="clear" w:color="auto" w:fill="FFFFFF"/>
        <w:snapToGrid w:val="0"/>
        <w:spacing w:line="360" w:lineRule="auto"/>
        <w:ind w:firstLine="960" w:firstLineChars="400"/>
        <w:rPr>
          <w:rFonts w:ascii="宋体" w:hAnsi="宋体" w:cs="宋体"/>
          <w:bCs/>
          <w:sz w:val="24"/>
          <w:szCs w:val="20"/>
        </w:rPr>
      </w:pPr>
    </w:p>
    <w:p>
      <w:pPr>
        <w:shd w:val="clear" w:color="auto" w:fill="FFFFFF"/>
        <w:snapToGrid w:val="0"/>
        <w:spacing w:line="360" w:lineRule="auto"/>
        <w:ind w:firstLine="960" w:firstLineChars="400"/>
        <w:rPr>
          <w:rFonts w:ascii="宋体" w:hAnsi="宋体" w:cs="宋体"/>
          <w:bCs/>
          <w:sz w:val="24"/>
          <w:szCs w:val="20"/>
        </w:rPr>
      </w:pPr>
    </w:p>
    <w:p>
      <w:pPr>
        <w:shd w:val="clear" w:color="auto" w:fill="FFFFFF"/>
        <w:snapToGrid w:val="0"/>
        <w:spacing w:line="360" w:lineRule="auto"/>
        <w:ind w:firstLine="960" w:firstLineChars="400"/>
        <w:rPr>
          <w:rFonts w:ascii="宋体" w:hAnsi="宋体" w:cs="宋体"/>
          <w:bCs/>
          <w:sz w:val="24"/>
          <w:szCs w:val="20"/>
        </w:rPr>
      </w:pPr>
    </w:p>
    <w:p>
      <w:pPr>
        <w:shd w:val="clear" w:color="auto" w:fill="FFFFFF"/>
        <w:snapToGrid w:val="0"/>
        <w:spacing w:line="360" w:lineRule="auto"/>
        <w:ind w:firstLine="960" w:firstLineChars="400"/>
        <w:rPr>
          <w:rFonts w:ascii="宋体" w:hAnsi="宋体" w:cs="宋体"/>
          <w:bCs/>
          <w:sz w:val="24"/>
          <w:szCs w:val="20"/>
        </w:rPr>
      </w:pPr>
    </w:p>
    <w:p>
      <w:pPr>
        <w:shd w:val="clear" w:color="auto" w:fill="FFFFFF"/>
        <w:snapToGrid w:val="0"/>
        <w:spacing w:line="360" w:lineRule="auto"/>
        <w:rPr>
          <w:rFonts w:ascii="宋体" w:hAnsi="宋体" w:cs="宋体"/>
          <w:bCs/>
          <w:sz w:val="24"/>
          <w:szCs w:val="20"/>
        </w:rPr>
      </w:pPr>
    </w:p>
    <w:p>
      <w:pPr>
        <w:shd w:val="clear" w:color="auto" w:fill="FFFFFF"/>
        <w:snapToGrid w:val="0"/>
        <w:spacing w:beforeLines="50" w:after="50" w:line="360" w:lineRule="auto"/>
        <w:rPr>
          <w:rFonts w:ascii="宋体" w:hAnsi="宋体" w:cs="宋体"/>
          <w:b/>
          <w:sz w:val="24"/>
        </w:rPr>
      </w:pPr>
      <w:r>
        <w:rPr>
          <w:rFonts w:hint="eastAsia" w:ascii="宋体" w:hAnsi="宋体" w:cs="宋体"/>
          <w:b/>
          <w:sz w:val="24"/>
        </w:rPr>
        <w:br w:type="page"/>
      </w:r>
      <w:r>
        <w:rPr>
          <w:rFonts w:hint="eastAsia" w:ascii="宋体" w:hAnsi="宋体" w:cs="宋体"/>
          <w:b/>
          <w:sz w:val="24"/>
        </w:rPr>
        <w:t>3.2 竞标函格式：</w:t>
      </w:r>
    </w:p>
    <w:p>
      <w:pPr>
        <w:shd w:val="clear" w:color="auto" w:fill="FFFFFF"/>
        <w:snapToGrid w:val="0"/>
        <w:spacing w:beforeLines="50" w:after="50" w:line="360" w:lineRule="auto"/>
        <w:jc w:val="center"/>
        <w:rPr>
          <w:rFonts w:ascii="宋体" w:hAnsi="宋体" w:cs="宋体"/>
          <w:b/>
          <w:sz w:val="28"/>
          <w:szCs w:val="28"/>
        </w:rPr>
      </w:pPr>
      <w:r>
        <w:rPr>
          <w:rFonts w:hint="eastAsia" w:ascii="宋体" w:hAnsi="宋体" w:cs="宋体"/>
          <w:b/>
          <w:sz w:val="28"/>
          <w:szCs w:val="28"/>
        </w:rPr>
        <w:t>竞 标 函</w:t>
      </w:r>
    </w:p>
    <w:p>
      <w:pPr>
        <w:shd w:val="clear" w:color="auto" w:fill="FFFFFF"/>
        <w:snapToGrid w:val="0"/>
        <w:spacing w:line="440" w:lineRule="exact"/>
        <w:rPr>
          <w:rFonts w:ascii="宋体" w:hAnsi="宋体" w:cs="宋体"/>
          <w:sz w:val="24"/>
        </w:rPr>
      </w:pPr>
      <w:r>
        <w:rPr>
          <w:rFonts w:hint="eastAsia" w:ascii="宋体" w:hAnsi="宋体" w:cs="宋体"/>
          <w:sz w:val="24"/>
        </w:rPr>
        <w:t>致：（招标采购单位名称）：</w:t>
      </w:r>
    </w:p>
    <w:p>
      <w:pPr>
        <w:shd w:val="clear" w:color="auto" w:fill="FFFFFF"/>
        <w:snapToGrid w:val="0"/>
        <w:spacing w:line="440" w:lineRule="exact"/>
        <w:ind w:firstLine="480"/>
        <w:rPr>
          <w:rFonts w:ascii="宋体" w:hAnsi="宋体" w:cs="宋体"/>
          <w:sz w:val="24"/>
        </w:rPr>
      </w:pPr>
      <w:r>
        <w:rPr>
          <w:rFonts w:hint="eastAsia" w:ascii="宋体" w:hAnsi="宋体" w:cs="宋体"/>
          <w:sz w:val="24"/>
        </w:rPr>
        <w:t>根据贵方为项目的竞争性谈判采购文件，项目编号：，签字代表（全名）经正式授权并代表供应商（供应商名称）提交响应文件正本一份、副本三份。</w:t>
      </w:r>
    </w:p>
    <w:p>
      <w:pPr>
        <w:shd w:val="clear" w:color="auto" w:fill="FFFFFF"/>
        <w:snapToGrid w:val="0"/>
        <w:spacing w:line="440" w:lineRule="exact"/>
        <w:ind w:firstLine="480" w:firstLineChars="200"/>
        <w:rPr>
          <w:rFonts w:ascii="宋体" w:hAnsi="宋体" w:cs="宋体"/>
          <w:sz w:val="24"/>
        </w:rPr>
      </w:pPr>
      <w:r>
        <w:rPr>
          <w:rFonts w:hint="eastAsia" w:ascii="宋体" w:hAnsi="宋体" w:cs="宋体"/>
          <w:sz w:val="24"/>
        </w:rPr>
        <w:t>据此函，签字代表宣布同意如下：</w:t>
      </w:r>
    </w:p>
    <w:p>
      <w:pPr>
        <w:shd w:val="clear" w:color="auto" w:fill="FFFFFF"/>
        <w:snapToGrid w:val="0"/>
        <w:spacing w:line="440" w:lineRule="exact"/>
        <w:ind w:firstLine="480" w:firstLineChars="200"/>
        <w:rPr>
          <w:rFonts w:ascii="宋体" w:hAnsi="宋体" w:cs="宋体"/>
          <w:sz w:val="24"/>
        </w:rPr>
      </w:pPr>
      <w:r>
        <w:rPr>
          <w:rFonts w:hint="eastAsia" w:ascii="宋体" w:hAnsi="宋体" w:cs="宋体"/>
          <w:sz w:val="24"/>
        </w:rPr>
        <w:t>1. 供应商已详细审查全部“采购文件”，包括修改文件（如有的话）以及全部参考资料和有关附件，已经了解我方对于采购文件、采购过程、采购结果有依法进行询问、质疑、投诉的权利及相关渠道和要求。</w:t>
      </w:r>
    </w:p>
    <w:p>
      <w:pPr>
        <w:shd w:val="clear" w:color="auto" w:fill="FFFFFF"/>
        <w:tabs>
          <w:tab w:val="left" w:pos="7560"/>
        </w:tabs>
        <w:spacing w:line="440" w:lineRule="exact"/>
        <w:ind w:firstLine="490"/>
        <w:rPr>
          <w:rFonts w:ascii="宋体"/>
          <w:sz w:val="24"/>
        </w:rPr>
      </w:pPr>
      <w:r>
        <w:rPr>
          <w:rFonts w:hint="eastAsia" w:ascii="宋体"/>
          <w:sz w:val="24"/>
        </w:rPr>
        <w:t>2.经自愿踏勘项目现场和研究上述采购文件的竞标须知、合同条款、技术要求及其他有关文件后，我方的监理费报价是：固定数（固定总价）报价方式，监理费报价为人民币（大写）：</w:t>
      </w:r>
      <w:r>
        <w:rPr>
          <w:rFonts w:hint="eastAsia" w:ascii="宋体"/>
          <w:sz w:val="24"/>
          <w:u w:val="single"/>
        </w:rPr>
        <w:t xml:space="preserve">      （￥      ）</w:t>
      </w:r>
      <w:r>
        <w:rPr>
          <w:rFonts w:hint="eastAsia" w:ascii="宋体"/>
          <w:sz w:val="24"/>
        </w:rPr>
        <w:t>。我方保证质量达到标准。</w:t>
      </w:r>
    </w:p>
    <w:p>
      <w:pPr>
        <w:shd w:val="clear" w:color="auto" w:fill="FFFFFF"/>
        <w:snapToGrid w:val="0"/>
        <w:spacing w:line="440" w:lineRule="exact"/>
        <w:ind w:firstLine="480" w:firstLineChars="200"/>
        <w:rPr>
          <w:rFonts w:ascii="宋体" w:hAnsi="宋体" w:cs="宋体"/>
          <w:sz w:val="24"/>
        </w:rPr>
      </w:pPr>
      <w:r>
        <w:rPr>
          <w:rFonts w:hint="eastAsia" w:ascii="宋体" w:hAnsi="宋体" w:cs="宋体"/>
          <w:sz w:val="24"/>
        </w:rPr>
        <w:t>3. 供应商在参与谈判之前已经与贵方进行了充分的沟通，完全理解并接受采购文件的各项规定和要求，对采购文件的合理性、合法性不再有异议。</w:t>
      </w:r>
    </w:p>
    <w:p>
      <w:pPr>
        <w:shd w:val="clear" w:color="auto" w:fill="FFFFFF"/>
        <w:snapToGrid w:val="0"/>
        <w:spacing w:line="440" w:lineRule="exact"/>
        <w:ind w:firstLine="480" w:firstLineChars="200"/>
        <w:rPr>
          <w:rFonts w:ascii="宋体" w:hAnsi="宋体" w:cs="宋体"/>
          <w:sz w:val="24"/>
        </w:rPr>
      </w:pPr>
      <w:r>
        <w:rPr>
          <w:rFonts w:hint="eastAsia" w:ascii="宋体" w:hAnsi="宋体" w:cs="宋体"/>
          <w:sz w:val="24"/>
        </w:rPr>
        <w:t>4. 响应文件有效期自自响应文件递交截止时间之日起个日。</w:t>
      </w:r>
    </w:p>
    <w:p>
      <w:pPr>
        <w:shd w:val="clear" w:color="auto" w:fill="FFFFFF"/>
        <w:snapToGrid w:val="0"/>
        <w:spacing w:line="440" w:lineRule="exact"/>
        <w:ind w:firstLine="480" w:firstLineChars="200"/>
        <w:rPr>
          <w:rFonts w:ascii="宋体" w:hAnsi="宋体" w:cs="宋体"/>
          <w:sz w:val="24"/>
        </w:rPr>
      </w:pPr>
      <w:r>
        <w:rPr>
          <w:rFonts w:hint="eastAsia" w:ascii="宋体" w:hAnsi="宋体" w:cs="宋体"/>
          <w:sz w:val="24"/>
        </w:rPr>
        <w:t>5. 如成交，本响应文件至本项目合同履行完毕止均保持有效，本供应商将按“采购文件”及相关法律、法规的规定履行合同责任和义务。</w:t>
      </w:r>
    </w:p>
    <w:p>
      <w:pPr>
        <w:shd w:val="clear" w:color="auto" w:fill="FFFFFF"/>
        <w:snapToGrid w:val="0"/>
        <w:spacing w:line="440" w:lineRule="exact"/>
        <w:ind w:firstLine="480" w:firstLineChars="200"/>
        <w:rPr>
          <w:rFonts w:ascii="宋体" w:hAnsi="宋体" w:cs="宋体"/>
          <w:sz w:val="24"/>
        </w:rPr>
      </w:pPr>
      <w:r>
        <w:rPr>
          <w:rFonts w:hint="eastAsia" w:ascii="宋体" w:hAnsi="宋体" w:cs="宋体"/>
          <w:sz w:val="24"/>
        </w:rPr>
        <w:t>6. 供应商同意按照贵方要求提供与谈判有关的一切数据或资料。</w:t>
      </w:r>
    </w:p>
    <w:p>
      <w:pPr>
        <w:shd w:val="clear" w:color="auto" w:fill="FFFFFF"/>
        <w:snapToGrid w:val="0"/>
        <w:spacing w:line="440" w:lineRule="exact"/>
        <w:ind w:firstLine="480" w:firstLineChars="200"/>
        <w:rPr>
          <w:rFonts w:ascii="宋体" w:hAnsi="宋体" w:cs="宋体"/>
          <w:sz w:val="24"/>
        </w:rPr>
      </w:pPr>
      <w:r>
        <w:rPr>
          <w:rFonts w:hint="eastAsia" w:ascii="宋体" w:hAnsi="宋体" w:cs="宋体"/>
          <w:sz w:val="24"/>
        </w:rPr>
        <w:t>7. 除非另外达成协议并生效，你方的成交通知书和本响应文件将成为约束双方的合同文件的组成部分。</w:t>
      </w:r>
    </w:p>
    <w:p>
      <w:pPr>
        <w:shd w:val="clear" w:color="auto" w:fill="FFFFFF"/>
        <w:snapToGrid w:val="0"/>
        <w:spacing w:line="440" w:lineRule="exact"/>
        <w:ind w:firstLine="480" w:firstLineChars="200"/>
        <w:rPr>
          <w:rFonts w:ascii="宋体" w:hAnsi="宋体" w:cs="宋体"/>
          <w:sz w:val="24"/>
        </w:rPr>
      </w:pPr>
      <w:r>
        <w:rPr>
          <w:rFonts w:hint="eastAsia" w:ascii="宋体" w:hAnsi="宋体" w:cs="宋体"/>
          <w:sz w:val="24"/>
        </w:rPr>
        <w:t>8. 与本次谈判有关的一切正式往来信函请寄：</w:t>
      </w:r>
    </w:p>
    <w:p>
      <w:pPr>
        <w:shd w:val="clear" w:color="auto" w:fill="FFFFFF"/>
        <w:spacing w:line="440" w:lineRule="exact"/>
        <w:rPr>
          <w:rFonts w:ascii="宋体"/>
          <w:sz w:val="24"/>
          <w:u w:val="single"/>
        </w:rPr>
      </w:pPr>
      <w:r>
        <w:rPr>
          <w:rFonts w:hint="eastAsia" w:ascii="宋体"/>
          <w:sz w:val="24"/>
        </w:rPr>
        <w:t>磋 商 人 （盖章）</w:t>
      </w:r>
    </w:p>
    <w:p>
      <w:pPr>
        <w:shd w:val="clear" w:color="auto" w:fill="FFFFFF"/>
        <w:spacing w:line="440" w:lineRule="exact"/>
        <w:rPr>
          <w:rFonts w:ascii="宋体"/>
          <w:sz w:val="24"/>
          <w:u w:val="single"/>
        </w:rPr>
      </w:pPr>
      <w:r>
        <w:rPr>
          <w:rFonts w:hint="eastAsia" w:ascii="宋体"/>
          <w:sz w:val="24"/>
        </w:rPr>
        <w:t>单位地址：</w:t>
      </w:r>
      <w:r>
        <w:rPr>
          <w:rFonts w:hint="eastAsia" w:ascii="宋体"/>
          <w:sz w:val="24"/>
          <w:u w:val="single"/>
        </w:rPr>
        <w:tab/>
      </w:r>
      <w:r>
        <w:rPr>
          <w:rFonts w:hint="eastAsia" w:ascii="宋体"/>
          <w:sz w:val="24"/>
          <w:u w:val="single"/>
        </w:rPr>
        <w:tab/>
      </w:r>
      <w:r>
        <w:rPr>
          <w:rFonts w:hint="eastAsia" w:ascii="宋体"/>
          <w:sz w:val="24"/>
          <w:u w:val="single"/>
        </w:rPr>
        <w:tab/>
      </w:r>
      <w:r>
        <w:rPr>
          <w:rFonts w:hint="eastAsia" w:ascii="宋体"/>
          <w:sz w:val="24"/>
          <w:u w:val="single"/>
        </w:rPr>
        <w:tab/>
      </w:r>
      <w:r>
        <w:rPr>
          <w:rFonts w:hint="eastAsia" w:ascii="宋体"/>
          <w:sz w:val="24"/>
          <w:u w:val="single"/>
        </w:rPr>
        <w:tab/>
      </w:r>
      <w:r>
        <w:rPr>
          <w:rFonts w:hint="eastAsia" w:ascii="宋体"/>
          <w:sz w:val="24"/>
          <w:u w:val="single"/>
        </w:rPr>
        <w:tab/>
      </w:r>
      <w:r>
        <w:rPr>
          <w:rFonts w:hint="eastAsia" w:ascii="宋体"/>
          <w:sz w:val="24"/>
          <w:u w:val="single"/>
        </w:rPr>
        <w:tab/>
      </w:r>
      <w:r>
        <w:rPr>
          <w:rFonts w:hint="eastAsia" w:ascii="宋体"/>
          <w:sz w:val="24"/>
          <w:u w:val="single"/>
        </w:rPr>
        <w:tab/>
      </w:r>
    </w:p>
    <w:p>
      <w:pPr>
        <w:shd w:val="clear" w:color="auto" w:fill="FFFFFF"/>
        <w:spacing w:line="440" w:lineRule="exact"/>
        <w:rPr>
          <w:rFonts w:ascii="宋体"/>
          <w:sz w:val="24"/>
        </w:rPr>
      </w:pPr>
      <w:r>
        <w:rPr>
          <w:rFonts w:hint="eastAsia" w:ascii="宋体"/>
          <w:sz w:val="24"/>
        </w:rPr>
        <w:t>法定代表人或其委托代理人：（签字或盖章），邮政编码：</w:t>
      </w:r>
      <w:r>
        <w:rPr>
          <w:rFonts w:hint="eastAsia" w:ascii="宋体"/>
          <w:sz w:val="24"/>
          <w:u w:val="single"/>
        </w:rPr>
        <w:tab/>
      </w:r>
      <w:r>
        <w:rPr>
          <w:rFonts w:hint="eastAsia" w:ascii="宋体"/>
          <w:sz w:val="24"/>
        </w:rPr>
        <w:t>电话：</w:t>
      </w:r>
      <w:r>
        <w:rPr>
          <w:rFonts w:hint="eastAsia" w:ascii="宋体"/>
          <w:sz w:val="24"/>
          <w:u w:val="single"/>
        </w:rPr>
        <w:tab/>
      </w:r>
      <w:r>
        <w:rPr>
          <w:rFonts w:hint="eastAsia" w:ascii="宋体"/>
          <w:sz w:val="24"/>
          <w:u w:val="single"/>
        </w:rPr>
        <w:tab/>
      </w:r>
    </w:p>
    <w:p>
      <w:pPr>
        <w:shd w:val="clear" w:color="auto" w:fill="FFFFFF"/>
        <w:spacing w:line="440" w:lineRule="exact"/>
        <w:rPr>
          <w:rFonts w:ascii="宋体"/>
          <w:sz w:val="24"/>
        </w:rPr>
      </w:pPr>
      <w:r>
        <w:rPr>
          <w:rFonts w:hint="eastAsia" w:ascii="宋体"/>
          <w:sz w:val="24"/>
        </w:rPr>
        <w:t>开户银行名称：</w:t>
      </w:r>
      <w:r>
        <w:rPr>
          <w:rFonts w:hint="eastAsia" w:ascii="宋体"/>
          <w:sz w:val="24"/>
          <w:u w:val="single"/>
        </w:rPr>
        <w:tab/>
      </w:r>
      <w:r>
        <w:rPr>
          <w:rFonts w:hint="eastAsia" w:ascii="宋体"/>
          <w:sz w:val="24"/>
          <w:u w:val="single"/>
        </w:rPr>
        <w:tab/>
      </w:r>
      <w:r>
        <w:rPr>
          <w:rFonts w:hint="eastAsia" w:ascii="宋体"/>
          <w:sz w:val="24"/>
          <w:u w:val="single"/>
        </w:rPr>
        <w:tab/>
      </w:r>
      <w:r>
        <w:rPr>
          <w:rFonts w:hint="eastAsia" w:ascii="宋体"/>
          <w:sz w:val="24"/>
          <w:u w:val="single"/>
        </w:rPr>
        <w:tab/>
      </w:r>
      <w:r>
        <w:rPr>
          <w:rFonts w:hint="eastAsia" w:ascii="宋体"/>
          <w:sz w:val="24"/>
          <w:u w:val="single"/>
        </w:rPr>
        <w:tab/>
      </w:r>
      <w:r>
        <w:rPr>
          <w:rFonts w:hint="eastAsia" w:ascii="宋体"/>
          <w:sz w:val="24"/>
          <w:u w:val="single"/>
        </w:rPr>
        <w:tab/>
      </w:r>
      <w:r>
        <w:rPr>
          <w:rFonts w:hint="eastAsia" w:ascii="宋体"/>
          <w:sz w:val="24"/>
          <w:u w:val="single"/>
        </w:rPr>
        <w:tab/>
      </w:r>
    </w:p>
    <w:p>
      <w:pPr>
        <w:shd w:val="clear" w:color="auto" w:fill="FFFFFF"/>
        <w:spacing w:line="440" w:lineRule="exact"/>
        <w:rPr>
          <w:rFonts w:ascii="宋体"/>
          <w:sz w:val="24"/>
        </w:rPr>
      </w:pPr>
      <w:r>
        <w:rPr>
          <w:rFonts w:hint="eastAsia" w:ascii="宋体"/>
          <w:sz w:val="24"/>
        </w:rPr>
        <w:t>开户银行账号：</w:t>
      </w:r>
      <w:r>
        <w:rPr>
          <w:rFonts w:hint="eastAsia" w:ascii="宋体"/>
          <w:sz w:val="24"/>
          <w:u w:val="single"/>
        </w:rPr>
        <w:tab/>
      </w:r>
      <w:r>
        <w:rPr>
          <w:rFonts w:hint="eastAsia" w:ascii="宋体"/>
          <w:sz w:val="24"/>
          <w:u w:val="single"/>
        </w:rPr>
        <w:tab/>
      </w:r>
      <w:r>
        <w:rPr>
          <w:rFonts w:hint="eastAsia" w:ascii="宋体"/>
          <w:sz w:val="24"/>
          <w:u w:val="single"/>
        </w:rPr>
        <w:tab/>
      </w:r>
      <w:r>
        <w:rPr>
          <w:rFonts w:hint="eastAsia" w:ascii="宋体"/>
          <w:sz w:val="24"/>
          <w:u w:val="single"/>
        </w:rPr>
        <w:tab/>
      </w:r>
      <w:r>
        <w:rPr>
          <w:rFonts w:hint="eastAsia" w:ascii="宋体"/>
          <w:sz w:val="24"/>
          <w:u w:val="single"/>
        </w:rPr>
        <w:tab/>
      </w:r>
      <w:r>
        <w:rPr>
          <w:rFonts w:hint="eastAsia" w:ascii="宋体"/>
          <w:sz w:val="24"/>
          <w:u w:val="single"/>
        </w:rPr>
        <w:tab/>
      </w:r>
      <w:r>
        <w:rPr>
          <w:rFonts w:hint="eastAsia" w:ascii="宋体"/>
          <w:sz w:val="24"/>
          <w:u w:val="single"/>
        </w:rPr>
        <w:tab/>
      </w:r>
    </w:p>
    <w:p>
      <w:pPr>
        <w:shd w:val="clear" w:color="auto" w:fill="FFFFFF"/>
        <w:spacing w:line="440" w:lineRule="exact"/>
        <w:rPr>
          <w:rFonts w:ascii="宋体"/>
          <w:sz w:val="24"/>
        </w:rPr>
      </w:pPr>
      <w:r>
        <w:rPr>
          <w:rFonts w:hint="eastAsia" w:ascii="宋体"/>
          <w:sz w:val="24"/>
        </w:rPr>
        <w:t>开户银行地址：</w:t>
      </w:r>
      <w:r>
        <w:rPr>
          <w:rFonts w:hint="eastAsia" w:ascii="宋体"/>
          <w:sz w:val="24"/>
          <w:u w:val="single"/>
        </w:rPr>
        <w:tab/>
      </w:r>
      <w:r>
        <w:rPr>
          <w:rFonts w:hint="eastAsia" w:ascii="宋体"/>
          <w:sz w:val="24"/>
          <w:u w:val="single"/>
        </w:rPr>
        <w:tab/>
      </w:r>
      <w:r>
        <w:rPr>
          <w:rFonts w:hint="eastAsia" w:ascii="宋体"/>
          <w:sz w:val="24"/>
          <w:u w:val="single"/>
        </w:rPr>
        <w:tab/>
      </w:r>
      <w:r>
        <w:rPr>
          <w:rFonts w:hint="eastAsia" w:ascii="宋体"/>
          <w:sz w:val="24"/>
          <w:u w:val="single"/>
        </w:rPr>
        <w:tab/>
      </w:r>
      <w:r>
        <w:rPr>
          <w:rFonts w:hint="eastAsia" w:ascii="宋体"/>
          <w:sz w:val="24"/>
          <w:u w:val="single"/>
        </w:rPr>
        <w:tab/>
      </w:r>
      <w:r>
        <w:rPr>
          <w:rFonts w:hint="eastAsia" w:ascii="宋体"/>
          <w:sz w:val="24"/>
          <w:u w:val="single"/>
        </w:rPr>
        <w:tab/>
      </w:r>
      <w:r>
        <w:rPr>
          <w:rFonts w:hint="eastAsia" w:ascii="宋体"/>
          <w:sz w:val="24"/>
          <w:u w:val="single"/>
        </w:rPr>
        <w:tab/>
      </w:r>
    </w:p>
    <w:p>
      <w:pPr>
        <w:shd w:val="clear" w:color="auto" w:fill="FFFFFF"/>
        <w:spacing w:line="440" w:lineRule="exact"/>
        <w:rPr>
          <w:rFonts w:ascii="宋体"/>
          <w:sz w:val="24"/>
        </w:rPr>
      </w:pPr>
      <w:r>
        <w:rPr>
          <w:rFonts w:hint="eastAsia" w:ascii="宋体"/>
          <w:sz w:val="24"/>
        </w:rPr>
        <w:t>日期：年月日</w:t>
      </w:r>
    </w:p>
    <w:p>
      <w:pPr>
        <w:shd w:val="clear" w:color="auto" w:fill="FFFFFF"/>
        <w:spacing w:line="360" w:lineRule="auto"/>
        <w:jc w:val="center"/>
        <w:rPr>
          <w:rFonts w:ascii="宋体"/>
          <w:b/>
          <w:sz w:val="28"/>
          <w:szCs w:val="28"/>
        </w:rPr>
      </w:pPr>
    </w:p>
    <w:p>
      <w:pPr>
        <w:pStyle w:val="2"/>
      </w:pPr>
    </w:p>
    <w:p>
      <w:pPr>
        <w:shd w:val="clear" w:color="auto" w:fill="FFFFFF"/>
        <w:spacing w:line="360" w:lineRule="auto"/>
        <w:jc w:val="center"/>
        <w:rPr>
          <w:rFonts w:ascii="宋体"/>
          <w:b/>
          <w:sz w:val="28"/>
          <w:szCs w:val="28"/>
        </w:rPr>
      </w:pPr>
    </w:p>
    <w:p>
      <w:pPr>
        <w:shd w:val="clear" w:color="auto" w:fill="FFFFFF"/>
        <w:spacing w:line="360" w:lineRule="auto"/>
        <w:jc w:val="center"/>
        <w:rPr>
          <w:rFonts w:ascii="宋体"/>
          <w:b/>
          <w:sz w:val="28"/>
          <w:szCs w:val="28"/>
        </w:rPr>
      </w:pPr>
      <w:r>
        <w:rPr>
          <w:rFonts w:hint="eastAsia" w:ascii="宋体"/>
          <w:b/>
          <w:sz w:val="28"/>
          <w:szCs w:val="28"/>
        </w:rPr>
        <w:t>谈判函附录</w:t>
      </w:r>
    </w:p>
    <w:p>
      <w:pPr>
        <w:shd w:val="clear" w:color="auto" w:fill="FFFFFF"/>
        <w:jc w:val="center"/>
        <w:rPr>
          <w:rFonts w:ascii="宋体"/>
          <w:b/>
          <w:sz w:val="22"/>
          <w:szCs w:val="22"/>
        </w:rPr>
      </w:pPr>
    </w:p>
    <w:tbl>
      <w:tblPr>
        <w:tblStyle w:val="47"/>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247"/>
        <w:gridCol w:w="3048"/>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vAlign w:val="center"/>
          </w:tcPr>
          <w:p>
            <w:pPr>
              <w:shd w:val="clear" w:color="auto" w:fill="FFFFFF"/>
              <w:jc w:val="center"/>
              <w:rPr>
                <w:sz w:val="24"/>
              </w:rPr>
            </w:pPr>
            <w:r>
              <w:rPr>
                <w:rFonts w:hint="eastAsia"/>
                <w:sz w:val="24"/>
              </w:rPr>
              <w:t>序号</w:t>
            </w:r>
          </w:p>
        </w:tc>
        <w:tc>
          <w:tcPr>
            <w:tcW w:w="2247" w:type="dxa"/>
            <w:vAlign w:val="center"/>
          </w:tcPr>
          <w:p>
            <w:pPr>
              <w:shd w:val="clear" w:color="auto" w:fill="FFFFFF"/>
              <w:jc w:val="center"/>
              <w:rPr>
                <w:sz w:val="24"/>
              </w:rPr>
            </w:pPr>
            <w:r>
              <w:rPr>
                <w:rFonts w:hint="eastAsia"/>
                <w:sz w:val="24"/>
              </w:rPr>
              <w:t>项目内容</w:t>
            </w:r>
          </w:p>
        </w:tc>
        <w:tc>
          <w:tcPr>
            <w:tcW w:w="3048" w:type="dxa"/>
            <w:vAlign w:val="center"/>
          </w:tcPr>
          <w:p>
            <w:pPr>
              <w:shd w:val="clear" w:color="auto" w:fill="FFFFFF"/>
              <w:jc w:val="center"/>
              <w:rPr>
                <w:sz w:val="24"/>
              </w:rPr>
            </w:pPr>
            <w:r>
              <w:rPr>
                <w:rFonts w:hint="eastAsia"/>
                <w:sz w:val="24"/>
              </w:rPr>
              <w:t>合同条款号</w:t>
            </w:r>
          </w:p>
        </w:tc>
        <w:tc>
          <w:tcPr>
            <w:tcW w:w="2763" w:type="dxa"/>
            <w:vAlign w:val="center"/>
          </w:tcPr>
          <w:p>
            <w:pPr>
              <w:shd w:val="clear" w:color="auto" w:fill="FFFFFF"/>
              <w:jc w:val="center"/>
              <w:rPr>
                <w:sz w:val="24"/>
              </w:rPr>
            </w:pPr>
            <w:r>
              <w:rPr>
                <w:rFonts w:hint="eastAsia"/>
                <w:sz w:val="24"/>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vAlign w:val="center"/>
          </w:tcPr>
          <w:p>
            <w:pPr>
              <w:shd w:val="clear" w:color="auto" w:fill="FFFFFF"/>
              <w:jc w:val="center"/>
              <w:rPr>
                <w:sz w:val="24"/>
              </w:rPr>
            </w:pPr>
            <w:r>
              <w:rPr>
                <w:rFonts w:hint="eastAsia"/>
                <w:sz w:val="24"/>
              </w:rPr>
              <w:t>1</w:t>
            </w:r>
          </w:p>
        </w:tc>
        <w:tc>
          <w:tcPr>
            <w:tcW w:w="2247" w:type="dxa"/>
            <w:vAlign w:val="center"/>
          </w:tcPr>
          <w:p>
            <w:pPr>
              <w:shd w:val="clear" w:color="auto" w:fill="FFFFFF"/>
              <w:jc w:val="center"/>
              <w:rPr>
                <w:sz w:val="24"/>
              </w:rPr>
            </w:pPr>
            <w:r>
              <w:rPr>
                <w:rFonts w:hint="eastAsia"/>
                <w:sz w:val="24"/>
              </w:rPr>
              <w:t>谈判有效期</w:t>
            </w:r>
          </w:p>
        </w:tc>
        <w:tc>
          <w:tcPr>
            <w:tcW w:w="3048" w:type="dxa"/>
            <w:vAlign w:val="center"/>
          </w:tcPr>
          <w:p>
            <w:pPr>
              <w:shd w:val="clear" w:color="auto" w:fill="FFFFFF"/>
              <w:jc w:val="center"/>
              <w:rPr>
                <w:sz w:val="24"/>
              </w:rPr>
            </w:pPr>
            <w:r>
              <w:rPr>
                <w:rFonts w:hint="eastAsia"/>
                <w:sz w:val="24"/>
              </w:rPr>
              <w:t>供应商须知前附表第18项</w:t>
            </w:r>
          </w:p>
        </w:tc>
        <w:tc>
          <w:tcPr>
            <w:tcW w:w="2763" w:type="dxa"/>
            <w:tcBorders>
              <w:bottom w:val="single" w:color="auto" w:sz="4" w:space="0"/>
            </w:tcBorders>
            <w:vAlign w:val="center"/>
          </w:tcPr>
          <w:p>
            <w:pPr>
              <w:shd w:val="clear" w:color="auto" w:fill="FFFFFF"/>
              <w:jc w:val="center"/>
              <w:rPr>
                <w:sz w:val="24"/>
              </w:rPr>
            </w:pPr>
            <w:r>
              <w:rPr>
                <w:rFonts w:hint="eastAsia"/>
                <w:sz w:val="24"/>
              </w:rPr>
              <w:t>竞标截止之后天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696" w:type="dxa"/>
            <w:vAlign w:val="center"/>
          </w:tcPr>
          <w:p>
            <w:pPr>
              <w:shd w:val="clear" w:color="auto" w:fill="FFFFFF"/>
              <w:jc w:val="center"/>
              <w:rPr>
                <w:sz w:val="24"/>
              </w:rPr>
            </w:pPr>
            <w:r>
              <w:rPr>
                <w:rFonts w:hint="eastAsia"/>
                <w:sz w:val="24"/>
              </w:rPr>
              <w:t>2</w:t>
            </w:r>
          </w:p>
        </w:tc>
        <w:tc>
          <w:tcPr>
            <w:tcW w:w="2247" w:type="dxa"/>
            <w:vAlign w:val="center"/>
          </w:tcPr>
          <w:p>
            <w:pPr>
              <w:shd w:val="clear" w:color="auto" w:fill="FFFFFF"/>
              <w:jc w:val="center"/>
              <w:rPr>
                <w:sz w:val="24"/>
              </w:rPr>
            </w:pPr>
            <w:r>
              <w:rPr>
                <w:rFonts w:hint="eastAsia"/>
                <w:sz w:val="24"/>
              </w:rPr>
              <w:t>招标监理服务期</w:t>
            </w:r>
          </w:p>
        </w:tc>
        <w:tc>
          <w:tcPr>
            <w:tcW w:w="3048" w:type="dxa"/>
            <w:tcBorders>
              <w:right w:val="single" w:color="auto" w:sz="4" w:space="0"/>
            </w:tcBorders>
            <w:vAlign w:val="center"/>
          </w:tcPr>
          <w:p>
            <w:pPr>
              <w:shd w:val="clear" w:color="auto" w:fill="FFFFFF"/>
              <w:jc w:val="center"/>
              <w:rPr>
                <w:sz w:val="24"/>
              </w:rPr>
            </w:pPr>
            <w:r>
              <w:rPr>
                <w:rFonts w:hint="eastAsia"/>
                <w:sz w:val="24"/>
              </w:rPr>
              <w:t>供应商须知前附表第6项</w:t>
            </w:r>
          </w:p>
        </w:tc>
        <w:tc>
          <w:tcPr>
            <w:tcW w:w="27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696" w:type="dxa"/>
            <w:vAlign w:val="center"/>
          </w:tcPr>
          <w:p>
            <w:pPr>
              <w:shd w:val="clear" w:color="auto" w:fill="FFFFFF"/>
              <w:jc w:val="center"/>
              <w:rPr>
                <w:sz w:val="24"/>
              </w:rPr>
            </w:pPr>
            <w:r>
              <w:rPr>
                <w:rFonts w:hint="eastAsia"/>
                <w:sz w:val="24"/>
              </w:rPr>
              <w:t>3</w:t>
            </w:r>
          </w:p>
        </w:tc>
        <w:tc>
          <w:tcPr>
            <w:tcW w:w="2247" w:type="dxa"/>
            <w:vAlign w:val="center"/>
          </w:tcPr>
          <w:p>
            <w:pPr>
              <w:shd w:val="clear" w:color="auto" w:fill="FFFFFF"/>
              <w:jc w:val="center"/>
              <w:rPr>
                <w:sz w:val="24"/>
              </w:rPr>
            </w:pPr>
            <w:r>
              <w:rPr>
                <w:rFonts w:hint="eastAsia"/>
                <w:sz w:val="24"/>
              </w:rPr>
              <w:t>付款方式</w:t>
            </w:r>
          </w:p>
        </w:tc>
        <w:tc>
          <w:tcPr>
            <w:tcW w:w="3048" w:type="dxa"/>
            <w:tcBorders>
              <w:right w:val="single" w:color="auto" w:sz="4" w:space="0"/>
            </w:tcBorders>
            <w:vAlign w:val="center"/>
          </w:tcPr>
          <w:p>
            <w:pPr>
              <w:shd w:val="clear" w:color="auto" w:fill="FFFFFF"/>
              <w:jc w:val="center"/>
              <w:rPr>
                <w:sz w:val="24"/>
              </w:rPr>
            </w:pPr>
            <w:r>
              <w:rPr>
                <w:rFonts w:hint="eastAsia"/>
                <w:sz w:val="24"/>
              </w:rPr>
              <w:t>按合同条款执行</w:t>
            </w:r>
          </w:p>
        </w:tc>
        <w:tc>
          <w:tcPr>
            <w:tcW w:w="276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sz w:val="24"/>
              </w:rPr>
            </w:pPr>
          </w:p>
        </w:tc>
      </w:tr>
    </w:tbl>
    <w:p>
      <w:pPr>
        <w:shd w:val="clear" w:color="auto" w:fill="FFFFFF"/>
        <w:rPr>
          <w:rFonts w:ascii="宋体"/>
          <w:sz w:val="22"/>
          <w:szCs w:val="22"/>
        </w:rPr>
      </w:pPr>
    </w:p>
    <w:p>
      <w:pPr>
        <w:shd w:val="clear" w:color="auto" w:fill="FFFFFF"/>
        <w:spacing w:line="360" w:lineRule="auto"/>
        <w:ind w:firstLine="440" w:firstLineChars="200"/>
        <w:rPr>
          <w:rFonts w:ascii="宋体"/>
          <w:sz w:val="22"/>
          <w:szCs w:val="22"/>
        </w:rPr>
      </w:pPr>
    </w:p>
    <w:p>
      <w:pPr>
        <w:shd w:val="clear" w:color="auto" w:fill="FFFFFF"/>
        <w:spacing w:line="360" w:lineRule="auto"/>
        <w:ind w:firstLine="440" w:firstLineChars="200"/>
        <w:rPr>
          <w:rFonts w:ascii="宋体"/>
          <w:sz w:val="22"/>
          <w:szCs w:val="22"/>
        </w:rPr>
      </w:pPr>
    </w:p>
    <w:p>
      <w:pPr>
        <w:shd w:val="clear" w:color="auto" w:fill="FFFFFF"/>
        <w:spacing w:line="360" w:lineRule="auto"/>
        <w:ind w:firstLine="440" w:firstLineChars="200"/>
        <w:rPr>
          <w:rFonts w:ascii="宋体"/>
          <w:sz w:val="22"/>
          <w:szCs w:val="22"/>
        </w:rPr>
      </w:pPr>
    </w:p>
    <w:p>
      <w:pPr>
        <w:shd w:val="clear" w:color="auto" w:fill="FFFFFF"/>
        <w:spacing w:line="360" w:lineRule="auto"/>
        <w:ind w:firstLine="410" w:firstLineChars="171"/>
        <w:jc w:val="center"/>
        <w:rPr>
          <w:rFonts w:ascii="宋体"/>
          <w:sz w:val="24"/>
          <w:u w:val="single"/>
        </w:rPr>
      </w:pPr>
      <w:r>
        <w:rPr>
          <w:rFonts w:hint="eastAsia"/>
          <w:sz w:val="24"/>
        </w:rPr>
        <w:t>供应商</w:t>
      </w:r>
      <w:r>
        <w:rPr>
          <w:rFonts w:hint="eastAsia" w:ascii="宋体"/>
          <w:sz w:val="24"/>
        </w:rPr>
        <w:t xml:space="preserve">：  </w:t>
      </w:r>
      <w:r>
        <w:rPr>
          <w:rFonts w:hint="eastAsia" w:ascii="宋体"/>
          <w:sz w:val="24"/>
          <w:u w:val="single"/>
        </w:rPr>
        <w:t xml:space="preserve">   （全称）（盖章</w:t>
      </w:r>
      <w:r>
        <w:rPr>
          <w:rFonts w:hint="eastAsia" w:ascii="宋体"/>
          <w:sz w:val="24"/>
          <w:u w:val="single"/>
        </w:rPr>
        <w:tab/>
      </w:r>
      <w:r>
        <w:rPr>
          <w:rFonts w:hint="eastAsia" w:ascii="宋体"/>
          <w:sz w:val="24"/>
          <w:u w:val="single"/>
        </w:rPr>
        <w:t>）</w:t>
      </w:r>
    </w:p>
    <w:p>
      <w:pPr>
        <w:shd w:val="clear" w:color="auto" w:fill="FFFFFF"/>
        <w:spacing w:line="360" w:lineRule="auto"/>
        <w:ind w:firstLine="410" w:firstLineChars="171"/>
        <w:jc w:val="center"/>
        <w:rPr>
          <w:rFonts w:ascii="宋体"/>
          <w:sz w:val="24"/>
        </w:rPr>
      </w:pPr>
      <w:r>
        <w:rPr>
          <w:rFonts w:hint="eastAsia" w:ascii="宋体"/>
          <w:sz w:val="24"/>
        </w:rPr>
        <w:t xml:space="preserve">                                    法定代表人或其委托代理人（签字或盖章）：</w:t>
      </w:r>
    </w:p>
    <w:p>
      <w:pPr>
        <w:shd w:val="clear" w:color="auto" w:fill="FFFFFF"/>
        <w:spacing w:line="360" w:lineRule="auto"/>
        <w:ind w:firstLine="410" w:firstLineChars="171"/>
        <w:rPr>
          <w:rFonts w:ascii="宋体"/>
          <w:sz w:val="24"/>
        </w:rPr>
      </w:pPr>
      <w:r>
        <w:rPr>
          <w:rFonts w:hint="eastAsia" w:ascii="宋体"/>
          <w:sz w:val="24"/>
        </w:rPr>
        <w:t xml:space="preserve">                                             日期：       年      月      日</w:t>
      </w:r>
    </w:p>
    <w:p>
      <w:pPr>
        <w:shd w:val="clear" w:color="auto" w:fill="FFFFFF"/>
        <w:spacing w:line="360" w:lineRule="auto"/>
        <w:ind w:firstLine="440" w:firstLineChars="200"/>
        <w:rPr>
          <w:rFonts w:ascii="宋体"/>
          <w:sz w:val="22"/>
          <w:szCs w:val="22"/>
        </w:rPr>
      </w:pPr>
    </w:p>
    <w:p>
      <w:pPr>
        <w:shd w:val="clear" w:color="auto" w:fill="FFFFFF"/>
        <w:spacing w:line="360" w:lineRule="auto"/>
        <w:ind w:firstLine="378" w:firstLineChars="171"/>
        <w:rPr>
          <w:rFonts w:ascii="宋体"/>
          <w:b/>
          <w:sz w:val="22"/>
          <w:szCs w:val="22"/>
        </w:rPr>
      </w:pPr>
      <w:r>
        <w:rPr>
          <w:rFonts w:hint="eastAsia" w:ascii="宋体"/>
          <w:b/>
          <w:sz w:val="22"/>
          <w:szCs w:val="22"/>
        </w:rPr>
        <w:t>注：表中数字空格处由竞标人填写</w:t>
      </w:r>
    </w:p>
    <w:p>
      <w:pPr>
        <w:shd w:val="clear" w:color="auto" w:fill="FFFFFF"/>
        <w:snapToGrid w:val="0"/>
        <w:spacing w:line="360" w:lineRule="auto"/>
        <w:rPr>
          <w:rFonts w:ascii="宋体" w:hAnsi="宋体" w:cs="宋体"/>
          <w:sz w:val="24"/>
        </w:rPr>
      </w:pPr>
    </w:p>
    <w:p>
      <w:pPr>
        <w:shd w:val="clear" w:color="auto" w:fill="FFFFFF"/>
        <w:snapToGrid w:val="0"/>
        <w:spacing w:line="360" w:lineRule="auto"/>
        <w:rPr>
          <w:rFonts w:ascii="宋体" w:hAnsi="宋体" w:cs="宋体"/>
          <w:sz w:val="24"/>
        </w:rPr>
      </w:pPr>
    </w:p>
    <w:p>
      <w:pPr>
        <w:shd w:val="clear" w:color="auto" w:fill="FFFFFF"/>
        <w:snapToGrid w:val="0"/>
        <w:spacing w:line="360" w:lineRule="auto"/>
        <w:rPr>
          <w:rFonts w:ascii="宋体" w:hAnsi="宋体" w:cs="宋体"/>
          <w:sz w:val="24"/>
        </w:rPr>
      </w:pPr>
    </w:p>
    <w:p>
      <w:pPr>
        <w:shd w:val="clear" w:color="auto" w:fill="FFFFFF"/>
        <w:snapToGrid w:val="0"/>
        <w:spacing w:before="50" w:after="50" w:line="360" w:lineRule="auto"/>
        <w:rPr>
          <w:rFonts w:ascii="宋体" w:hAnsi="宋体" w:cs="宋体"/>
          <w:sz w:val="24"/>
        </w:rPr>
      </w:pPr>
    </w:p>
    <w:p>
      <w:pPr>
        <w:rPr>
          <w:rFonts w:ascii="宋体" w:hAnsi="宋体" w:cs="宋体"/>
          <w:sz w:val="24"/>
        </w:rPr>
      </w:pPr>
      <w:r>
        <w:rPr>
          <w:rFonts w:hint="eastAsia" w:ascii="宋体" w:hAnsi="宋体" w:cs="宋体"/>
          <w:sz w:val="24"/>
        </w:rPr>
        <w:br w:type="page"/>
      </w:r>
    </w:p>
    <w:p>
      <w:pPr>
        <w:pStyle w:val="5"/>
        <w:jc w:val="center"/>
        <w:rPr>
          <w:sz w:val="30"/>
          <w:szCs w:val="30"/>
        </w:rPr>
      </w:pPr>
      <w:r>
        <w:rPr>
          <w:sz w:val="30"/>
          <w:szCs w:val="30"/>
        </w:rPr>
        <w:t>监理费用报价分析表</w:t>
      </w:r>
    </w:p>
    <w:p>
      <w:pPr>
        <w:spacing w:line="480" w:lineRule="exact"/>
        <w:jc w:val="center"/>
        <w:rPr>
          <w:b/>
        </w:rPr>
      </w:pPr>
    </w:p>
    <w:tbl>
      <w:tblPr>
        <w:tblStyle w:val="4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976"/>
        <w:gridCol w:w="2694"/>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r>
              <w:rPr>
                <w:rFonts w:hAnsi="宋体"/>
                <w:b/>
                <w:szCs w:val="21"/>
              </w:rPr>
              <w:t>序号</w:t>
            </w:r>
          </w:p>
        </w:tc>
        <w:tc>
          <w:tcPr>
            <w:tcW w:w="297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r>
              <w:rPr>
                <w:rFonts w:hAnsi="宋体"/>
                <w:b/>
                <w:szCs w:val="21"/>
              </w:rPr>
              <w:t>名称</w:t>
            </w:r>
          </w:p>
        </w:tc>
        <w:tc>
          <w:tcPr>
            <w:tcW w:w="2694"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r>
              <w:rPr>
                <w:rFonts w:hAnsi="宋体"/>
                <w:b/>
                <w:szCs w:val="21"/>
              </w:rPr>
              <w:t>费用</w:t>
            </w:r>
          </w:p>
        </w:tc>
        <w:tc>
          <w:tcPr>
            <w:tcW w:w="287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r>
              <w:rPr>
                <w:rFonts w:hAnsi="宋体"/>
                <w:b/>
                <w:szCs w:val="21"/>
              </w:rPr>
              <w:t>占总费用比例（</w:t>
            </w:r>
            <w:r>
              <w:rPr>
                <w:b/>
                <w:szCs w:val="21"/>
              </w:rPr>
              <w:t>%</w:t>
            </w:r>
            <w:r>
              <w:rPr>
                <w:rFonts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szCs w:val="21"/>
              </w:rPr>
            </w:pPr>
            <w:r>
              <w:rPr>
                <w:szCs w:val="21"/>
              </w:rPr>
              <w:t>1</w:t>
            </w:r>
          </w:p>
        </w:tc>
        <w:tc>
          <w:tcPr>
            <w:tcW w:w="2976" w:type="dxa"/>
            <w:tcBorders>
              <w:top w:val="single" w:color="auto" w:sz="4" w:space="0"/>
              <w:left w:val="single" w:color="auto" w:sz="4" w:space="0"/>
              <w:bottom w:val="single" w:color="auto" w:sz="4" w:space="0"/>
              <w:right w:val="single" w:color="auto" w:sz="4" w:space="0"/>
            </w:tcBorders>
            <w:noWrap/>
            <w:vAlign w:val="center"/>
          </w:tcPr>
          <w:p>
            <w:pPr>
              <w:spacing w:line="480" w:lineRule="exact"/>
              <w:rPr>
                <w:szCs w:val="21"/>
              </w:rPr>
            </w:pPr>
            <w:r>
              <w:rPr>
                <w:rFonts w:hAnsi="宋体"/>
                <w:szCs w:val="21"/>
              </w:rPr>
              <w:t>监理人员费用</w:t>
            </w:r>
          </w:p>
        </w:tc>
        <w:tc>
          <w:tcPr>
            <w:tcW w:w="2694"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p>
        </w:tc>
        <w:tc>
          <w:tcPr>
            <w:tcW w:w="287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szCs w:val="21"/>
              </w:rPr>
            </w:pPr>
            <w:r>
              <w:rPr>
                <w:szCs w:val="21"/>
              </w:rPr>
              <w:t>2</w:t>
            </w:r>
          </w:p>
        </w:tc>
        <w:tc>
          <w:tcPr>
            <w:tcW w:w="2976" w:type="dxa"/>
            <w:tcBorders>
              <w:top w:val="single" w:color="auto" w:sz="4" w:space="0"/>
              <w:left w:val="single" w:color="auto" w:sz="4" w:space="0"/>
              <w:bottom w:val="single" w:color="auto" w:sz="4" w:space="0"/>
              <w:right w:val="single" w:color="auto" w:sz="4" w:space="0"/>
            </w:tcBorders>
            <w:noWrap/>
            <w:vAlign w:val="center"/>
          </w:tcPr>
          <w:p>
            <w:pPr>
              <w:spacing w:line="480" w:lineRule="exact"/>
              <w:rPr>
                <w:szCs w:val="21"/>
              </w:rPr>
            </w:pPr>
            <w:r>
              <w:rPr>
                <w:rFonts w:hAnsi="宋体"/>
                <w:szCs w:val="21"/>
              </w:rPr>
              <w:t>一般办公设备用品</w:t>
            </w:r>
          </w:p>
        </w:tc>
        <w:tc>
          <w:tcPr>
            <w:tcW w:w="2694"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p>
        </w:tc>
        <w:tc>
          <w:tcPr>
            <w:tcW w:w="287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szCs w:val="21"/>
              </w:rPr>
            </w:pPr>
            <w:r>
              <w:rPr>
                <w:szCs w:val="21"/>
              </w:rPr>
              <w:t>3</w:t>
            </w:r>
          </w:p>
        </w:tc>
        <w:tc>
          <w:tcPr>
            <w:tcW w:w="2976" w:type="dxa"/>
            <w:tcBorders>
              <w:top w:val="single" w:color="auto" w:sz="4" w:space="0"/>
              <w:left w:val="single" w:color="auto" w:sz="4" w:space="0"/>
              <w:bottom w:val="single" w:color="auto" w:sz="4" w:space="0"/>
              <w:right w:val="single" w:color="auto" w:sz="4" w:space="0"/>
            </w:tcBorders>
            <w:noWrap/>
            <w:vAlign w:val="center"/>
          </w:tcPr>
          <w:p>
            <w:pPr>
              <w:spacing w:line="480" w:lineRule="exact"/>
              <w:rPr>
                <w:szCs w:val="21"/>
              </w:rPr>
            </w:pPr>
            <w:r>
              <w:rPr>
                <w:rFonts w:hAnsi="宋体"/>
                <w:szCs w:val="21"/>
              </w:rPr>
              <w:t>特殊办公设备</w:t>
            </w:r>
          </w:p>
        </w:tc>
        <w:tc>
          <w:tcPr>
            <w:tcW w:w="2694"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p>
        </w:tc>
        <w:tc>
          <w:tcPr>
            <w:tcW w:w="287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szCs w:val="21"/>
              </w:rPr>
            </w:pPr>
            <w:r>
              <w:rPr>
                <w:szCs w:val="21"/>
              </w:rPr>
              <w:t>4</w:t>
            </w:r>
          </w:p>
        </w:tc>
        <w:tc>
          <w:tcPr>
            <w:tcW w:w="2976" w:type="dxa"/>
            <w:tcBorders>
              <w:top w:val="single" w:color="auto" w:sz="4" w:space="0"/>
              <w:left w:val="single" w:color="auto" w:sz="4" w:space="0"/>
              <w:bottom w:val="single" w:color="auto" w:sz="4" w:space="0"/>
              <w:right w:val="single" w:color="auto" w:sz="4" w:space="0"/>
            </w:tcBorders>
            <w:noWrap/>
            <w:vAlign w:val="center"/>
          </w:tcPr>
          <w:p>
            <w:pPr>
              <w:spacing w:line="480" w:lineRule="exact"/>
              <w:rPr>
                <w:szCs w:val="21"/>
              </w:rPr>
            </w:pPr>
            <w:r>
              <w:rPr>
                <w:rFonts w:hAnsi="宋体"/>
                <w:szCs w:val="21"/>
              </w:rPr>
              <w:t>测量设备</w:t>
            </w:r>
          </w:p>
        </w:tc>
        <w:tc>
          <w:tcPr>
            <w:tcW w:w="2694"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p>
        </w:tc>
        <w:tc>
          <w:tcPr>
            <w:tcW w:w="287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szCs w:val="21"/>
              </w:rPr>
            </w:pPr>
            <w:r>
              <w:rPr>
                <w:szCs w:val="21"/>
              </w:rPr>
              <w:t>5</w:t>
            </w:r>
          </w:p>
        </w:tc>
        <w:tc>
          <w:tcPr>
            <w:tcW w:w="2976" w:type="dxa"/>
            <w:tcBorders>
              <w:top w:val="single" w:color="auto" w:sz="4" w:space="0"/>
              <w:left w:val="single" w:color="auto" w:sz="4" w:space="0"/>
              <w:bottom w:val="single" w:color="auto" w:sz="4" w:space="0"/>
              <w:right w:val="single" w:color="auto" w:sz="4" w:space="0"/>
            </w:tcBorders>
            <w:noWrap/>
            <w:vAlign w:val="center"/>
          </w:tcPr>
          <w:p>
            <w:pPr>
              <w:spacing w:line="480" w:lineRule="exact"/>
              <w:rPr>
                <w:szCs w:val="21"/>
              </w:rPr>
            </w:pPr>
            <w:r>
              <w:rPr>
                <w:rFonts w:hAnsi="宋体"/>
                <w:szCs w:val="21"/>
              </w:rPr>
              <w:t>保险费</w:t>
            </w:r>
          </w:p>
        </w:tc>
        <w:tc>
          <w:tcPr>
            <w:tcW w:w="2694"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p>
        </w:tc>
        <w:tc>
          <w:tcPr>
            <w:tcW w:w="287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r>
              <w:rPr>
                <w:b/>
                <w:szCs w:val="21"/>
              </w:rPr>
              <w:t>…</w:t>
            </w:r>
          </w:p>
        </w:tc>
        <w:tc>
          <w:tcPr>
            <w:tcW w:w="297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p>
        </w:tc>
        <w:tc>
          <w:tcPr>
            <w:tcW w:w="2694"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p>
        </w:tc>
        <w:tc>
          <w:tcPr>
            <w:tcW w:w="287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73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p>
        </w:tc>
        <w:tc>
          <w:tcPr>
            <w:tcW w:w="2976" w:type="dxa"/>
            <w:tcBorders>
              <w:top w:val="single" w:color="auto" w:sz="4" w:space="0"/>
              <w:left w:val="single" w:color="auto" w:sz="4" w:space="0"/>
              <w:bottom w:val="single" w:color="auto" w:sz="4" w:space="0"/>
              <w:right w:val="single" w:color="auto" w:sz="4" w:space="0"/>
            </w:tcBorders>
            <w:noWrap/>
          </w:tcPr>
          <w:p>
            <w:pPr>
              <w:spacing w:line="460" w:lineRule="exact"/>
              <w:rPr>
                <w:kern w:val="0"/>
                <w:szCs w:val="21"/>
              </w:rPr>
            </w:pPr>
            <w:r>
              <w:rPr>
                <w:rFonts w:hAnsi="宋体"/>
                <w:b/>
                <w:bCs/>
                <w:kern w:val="0"/>
                <w:szCs w:val="21"/>
              </w:rPr>
              <w:t>以上监理服务费用合计</w:t>
            </w:r>
          </w:p>
          <w:p>
            <w:pPr>
              <w:spacing w:line="460" w:lineRule="exact"/>
              <w:rPr>
                <w:kern w:val="0"/>
                <w:szCs w:val="21"/>
              </w:rPr>
            </w:pPr>
            <w:r>
              <w:rPr>
                <w:rFonts w:hAnsi="宋体"/>
                <w:kern w:val="0"/>
                <w:szCs w:val="21"/>
              </w:rPr>
              <w:t>包括了实施和完成本项目的监理工作所需的劳务费、技术服务费、交通、通讯、保险、税费和利润。</w:t>
            </w:r>
          </w:p>
        </w:tc>
        <w:tc>
          <w:tcPr>
            <w:tcW w:w="2694"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p>
        </w:tc>
        <w:tc>
          <w:tcPr>
            <w:tcW w:w="287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b/>
                <w:szCs w:val="21"/>
              </w:rPr>
            </w:pPr>
          </w:p>
        </w:tc>
        <w:tc>
          <w:tcPr>
            <w:tcW w:w="8549" w:type="dxa"/>
            <w:gridSpan w:val="3"/>
            <w:tcBorders>
              <w:top w:val="single" w:color="auto" w:sz="4" w:space="0"/>
              <w:left w:val="single" w:color="auto" w:sz="4" w:space="0"/>
              <w:bottom w:val="single" w:color="auto" w:sz="4" w:space="0"/>
              <w:right w:val="single" w:color="auto" w:sz="4" w:space="0"/>
            </w:tcBorders>
            <w:noWrap/>
            <w:vAlign w:val="center"/>
          </w:tcPr>
          <w:p>
            <w:pPr>
              <w:spacing w:line="480" w:lineRule="exact"/>
              <w:rPr>
                <w:b/>
                <w:szCs w:val="21"/>
              </w:rPr>
            </w:pPr>
            <w:r>
              <w:rPr>
                <w:rFonts w:hAnsi="宋体"/>
                <w:b/>
                <w:szCs w:val="21"/>
              </w:rPr>
              <w:t>报价金额大写：</w:t>
            </w:r>
          </w:p>
        </w:tc>
      </w:tr>
    </w:tbl>
    <w:p>
      <w:pPr>
        <w:shd w:val="clear" w:color="auto" w:fill="FFFFFF"/>
        <w:snapToGrid w:val="0"/>
        <w:spacing w:line="360" w:lineRule="auto"/>
        <w:rPr>
          <w:rFonts w:ascii="宋体" w:hAnsi="宋体" w:cs="宋体"/>
          <w:sz w:val="24"/>
        </w:rPr>
      </w:pPr>
    </w:p>
    <w:p>
      <w:pPr>
        <w:shd w:val="clear" w:color="auto" w:fill="FFFFFF"/>
        <w:spacing w:line="360" w:lineRule="auto"/>
        <w:ind w:firstLine="410" w:firstLineChars="171"/>
        <w:jc w:val="center"/>
        <w:rPr>
          <w:rFonts w:ascii="宋体"/>
          <w:sz w:val="24"/>
        </w:rPr>
      </w:pPr>
    </w:p>
    <w:p>
      <w:pPr>
        <w:shd w:val="clear" w:color="auto" w:fill="FFFFFF"/>
        <w:spacing w:line="360" w:lineRule="auto"/>
        <w:ind w:firstLine="410" w:firstLineChars="171"/>
        <w:jc w:val="center"/>
        <w:rPr>
          <w:rFonts w:ascii="宋体"/>
          <w:sz w:val="24"/>
        </w:rPr>
      </w:pPr>
    </w:p>
    <w:p>
      <w:pPr>
        <w:shd w:val="clear" w:color="auto" w:fill="FFFFFF"/>
        <w:spacing w:line="360" w:lineRule="auto"/>
        <w:ind w:firstLine="410" w:firstLineChars="171"/>
        <w:jc w:val="center"/>
        <w:rPr>
          <w:rFonts w:ascii="宋体"/>
          <w:sz w:val="24"/>
          <w:u w:val="single"/>
        </w:rPr>
      </w:pPr>
      <w:r>
        <w:rPr>
          <w:rFonts w:hint="eastAsia"/>
          <w:sz w:val="24"/>
        </w:rPr>
        <w:t>供应商</w:t>
      </w:r>
      <w:r>
        <w:rPr>
          <w:rFonts w:hint="eastAsia" w:ascii="宋体"/>
          <w:sz w:val="24"/>
        </w:rPr>
        <w:t xml:space="preserve">：  </w:t>
      </w:r>
      <w:r>
        <w:rPr>
          <w:rFonts w:hint="eastAsia" w:ascii="宋体"/>
          <w:sz w:val="24"/>
          <w:u w:val="single"/>
        </w:rPr>
        <w:t xml:space="preserve">   （全称）（盖章</w:t>
      </w:r>
      <w:r>
        <w:rPr>
          <w:rFonts w:hint="eastAsia" w:ascii="宋体"/>
          <w:sz w:val="24"/>
          <w:u w:val="single"/>
        </w:rPr>
        <w:tab/>
      </w:r>
      <w:r>
        <w:rPr>
          <w:rFonts w:hint="eastAsia" w:ascii="宋体"/>
          <w:sz w:val="24"/>
          <w:u w:val="single"/>
        </w:rPr>
        <w:t>）</w:t>
      </w:r>
    </w:p>
    <w:p>
      <w:pPr>
        <w:shd w:val="clear" w:color="auto" w:fill="FFFFFF"/>
        <w:spacing w:line="360" w:lineRule="auto"/>
        <w:ind w:firstLine="410" w:firstLineChars="171"/>
        <w:jc w:val="center"/>
        <w:rPr>
          <w:rFonts w:ascii="宋体"/>
          <w:sz w:val="24"/>
        </w:rPr>
      </w:pPr>
      <w:r>
        <w:rPr>
          <w:rFonts w:hint="eastAsia" w:ascii="宋体"/>
          <w:sz w:val="24"/>
        </w:rPr>
        <w:t xml:space="preserve">                                    法定代表人或其委托代理人（签字或盖章）：</w:t>
      </w:r>
    </w:p>
    <w:p>
      <w:pPr>
        <w:shd w:val="clear" w:color="auto" w:fill="FFFFFF"/>
        <w:spacing w:line="360" w:lineRule="auto"/>
        <w:ind w:firstLine="410" w:firstLineChars="171"/>
        <w:rPr>
          <w:rFonts w:ascii="宋体"/>
          <w:sz w:val="24"/>
        </w:rPr>
      </w:pPr>
      <w:r>
        <w:rPr>
          <w:rFonts w:hint="eastAsia" w:ascii="宋体"/>
          <w:sz w:val="24"/>
        </w:rPr>
        <w:t xml:space="preserve">                                             日期：       年      月      日</w:t>
      </w:r>
    </w:p>
    <w:p>
      <w:pPr>
        <w:pStyle w:val="2"/>
      </w:pPr>
    </w:p>
    <w:p>
      <w:pPr>
        <w:shd w:val="clear" w:color="auto" w:fill="FFFFFF"/>
        <w:snapToGrid w:val="0"/>
        <w:spacing w:beforeLines="50" w:after="50" w:line="360" w:lineRule="auto"/>
        <w:rPr>
          <w:rFonts w:ascii="宋体" w:hAnsi="宋体" w:cs="宋体"/>
          <w:b/>
          <w:sz w:val="24"/>
        </w:rPr>
      </w:pPr>
    </w:p>
    <w:p>
      <w:pPr>
        <w:shd w:val="clear" w:color="auto" w:fill="FFFFFF"/>
        <w:snapToGrid w:val="0"/>
        <w:spacing w:beforeLines="50" w:after="50" w:line="360" w:lineRule="auto"/>
        <w:rPr>
          <w:rFonts w:ascii="宋体" w:hAnsi="宋体" w:cs="宋体"/>
          <w:b/>
          <w:sz w:val="24"/>
        </w:rPr>
      </w:pPr>
      <w:r>
        <w:rPr>
          <w:rFonts w:hint="eastAsia" w:ascii="宋体" w:hAnsi="宋体" w:cs="宋体"/>
          <w:b/>
          <w:sz w:val="24"/>
        </w:rPr>
        <w:t>3.3供应商针对报价需要说明的其他文件和说明（格式自拟）</w:t>
      </w:r>
    </w:p>
    <w:p>
      <w:pPr>
        <w:widowControl/>
        <w:shd w:val="clear" w:color="auto" w:fill="FFFFFF"/>
        <w:spacing w:line="360" w:lineRule="auto"/>
        <w:jc w:val="left"/>
        <w:rPr>
          <w:rFonts w:ascii="宋体" w:hAnsi="宋体" w:cs="宋体"/>
          <w:sz w:val="24"/>
        </w:rPr>
      </w:pPr>
    </w:p>
    <w:sectPr>
      <w:headerReference r:id="rId3" w:type="default"/>
      <w:footerReference r:id="rId4" w:type="default"/>
      <w:pgSz w:w="11906" w:h="16838"/>
      <w:pgMar w:top="1134" w:right="1134" w:bottom="1134" w:left="1134" w:header="794" w:footer="879" w:gutter="0"/>
      <w:pgNumType w:fmt="numberInDash"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3" o:spid="_x0000_s1026" o:spt="202" type="#_x0000_t202" style="position:absolute;left:0pt;margin-top:0pt;height:10.35pt;width:19.5pt;mso-position-horizontal:center;mso-position-horizontal-relative:margin;mso-wrap-style:none;z-index:251658240;mso-width-relative:page;mso-height-relative:page;" filled="f" stroked="f" coordsize="21600,21600" o:gfxdata="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&#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RY8SnUAAAAAwEAAA8AAAAAAAAAAQAgAAAAIgAAAGRy&#10;cy9kb3ducmV2LnhtbFBLAQIUABQAAAAIAIdO4kDSkdJP0AEAAJUDAAAOAAAAAAAAAAEAIAAAACMB&#10;AABkcnMvZTJvRG9jLnhtbFBLBQYAAAAABgAGAFkBAABlBQAAAAA=&#10;">
          <v:path/>
          <v:fill on="f" focussize="0,0"/>
          <v:stroke on="f" weight="1.2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- 4 -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240"/>
        <w:tab w:val="left" w:pos="5580"/>
      </w:tabs>
      <w:spacing w:line="360" w:lineRule="auto"/>
      <w:rPr>
        <w:rFonts w:ascii="宋体" w:hAnsi="宋体" w:cs="宋体"/>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68E3DD"/>
    <w:multiLevelType w:val="singleLevel"/>
    <w:tmpl w:val="9168E3DD"/>
    <w:lvl w:ilvl="0" w:tentative="0">
      <w:start w:val="1"/>
      <w:numFmt w:val="chineseCounting"/>
      <w:suff w:val="nothing"/>
      <w:lvlText w:val="%1、"/>
      <w:lvlJc w:val="left"/>
      <w:rPr>
        <w:rFonts w:hint="eastAsia"/>
      </w:rPr>
    </w:lvl>
  </w:abstractNum>
  <w:abstractNum w:abstractNumId="1">
    <w:nsid w:val="32714F5E"/>
    <w:multiLevelType w:val="multilevel"/>
    <w:tmpl w:val="32714F5E"/>
    <w:lvl w:ilvl="0" w:tentative="0">
      <w:start w:val="1"/>
      <w:numFmt w:val="chineseCountingThousand"/>
      <w:pStyle w:val="22"/>
      <w:suff w:val="nothing"/>
      <w:lvlText w:val="第%1章"/>
      <w:lvlJc w:val="left"/>
      <w:pPr>
        <w:ind w:left="0" w:firstLine="0"/>
      </w:pPr>
      <w:rPr>
        <w:rFonts w:hint="eastAsia" w:ascii="仿宋_GB2312" w:eastAsia="仿宋_GB2312"/>
        <w:sz w:val="44"/>
      </w:rPr>
    </w:lvl>
    <w:lvl w:ilvl="1" w:tentative="0">
      <w:start w:val="1"/>
      <w:numFmt w:val="none"/>
      <w:pStyle w:val="96"/>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15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4D120567"/>
    <w:multiLevelType w:val="singleLevel"/>
    <w:tmpl w:val="4D120567"/>
    <w:lvl w:ilvl="0" w:tentative="0">
      <w:start w:val="5"/>
      <w:numFmt w:val="chineseCounting"/>
      <w:suff w:val="nothing"/>
      <w:lvlText w:val="%1、"/>
      <w:lvlJc w:val="left"/>
      <w:rPr>
        <w:rFonts w:hint="eastAsia"/>
      </w:rPr>
    </w:lvl>
  </w:abstractNum>
  <w:abstractNum w:abstractNumId="3">
    <w:nsid w:val="574727AB"/>
    <w:multiLevelType w:val="singleLevel"/>
    <w:tmpl w:val="574727AB"/>
    <w:lvl w:ilvl="0" w:tentative="0">
      <w:start w:val="4"/>
      <w:numFmt w:val="chineseCounting"/>
      <w:suff w:val="space"/>
      <w:lvlText w:val="第%1章"/>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E0B"/>
    <w:rsid w:val="00001103"/>
    <w:rsid w:val="000041CD"/>
    <w:rsid w:val="0000448D"/>
    <w:rsid w:val="00004FA0"/>
    <w:rsid w:val="000057D3"/>
    <w:rsid w:val="0000598E"/>
    <w:rsid w:val="00007676"/>
    <w:rsid w:val="00007C14"/>
    <w:rsid w:val="0001159B"/>
    <w:rsid w:val="00011D44"/>
    <w:rsid w:val="00011E4F"/>
    <w:rsid w:val="00012156"/>
    <w:rsid w:val="00012923"/>
    <w:rsid w:val="00012EDE"/>
    <w:rsid w:val="00013134"/>
    <w:rsid w:val="000137E3"/>
    <w:rsid w:val="000147A4"/>
    <w:rsid w:val="00014A68"/>
    <w:rsid w:val="00014D7A"/>
    <w:rsid w:val="00015554"/>
    <w:rsid w:val="00015597"/>
    <w:rsid w:val="0001588C"/>
    <w:rsid w:val="00015E40"/>
    <w:rsid w:val="00016322"/>
    <w:rsid w:val="00016A4C"/>
    <w:rsid w:val="00016DE8"/>
    <w:rsid w:val="0001744D"/>
    <w:rsid w:val="000202D2"/>
    <w:rsid w:val="00020D9D"/>
    <w:rsid w:val="000217F1"/>
    <w:rsid w:val="00022315"/>
    <w:rsid w:val="00023D6B"/>
    <w:rsid w:val="0002485E"/>
    <w:rsid w:val="000249BE"/>
    <w:rsid w:val="00024CA3"/>
    <w:rsid w:val="00025E63"/>
    <w:rsid w:val="00025F76"/>
    <w:rsid w:val="000264E4"/>
    <w:rsid w:val="0002747C"/>
    <w:rsid w:val="00027FDD"/>
    <w:rsid w:val="00031E01"/>
    <w:rsid w:val="000320FD"/>
    <w:rsid w:val="00032B5C"/>
    <w:rsid w:val="000334B3"/>
    <w:rsid w:val="000338D9"/>
    <w:rsid w:val="00033F11"/>
    <w:rsid w:val="000342B0"/>
    <w:rsid w:val="00034569"/>
    <w:rsid w:val="00035623"/>
    <w:rsid w:val="00035BE4"/>
    <w:rsid w:val="00035F12"/>
    <w:rsid w:val="000360C7"/>
    <w:rsid w:val="00036783"/>
    <w:rsid w:val="000369E4"/>
    <w:rsid w:val="000370C7"/>
    <w:rsid w:val="000374C2"/>
    <w:rsid w:val="00040B0A"/>
    <w:rsid w:val="00041153"/>
    <w:rsid w:val="00041909"/>
    <w:rsid w:val="00041B92"/>
    <w:rsid w:val="00041EB1"/>
    <w:rsid w:val="0004259B"/>
    <w:rsid w:val="0004267A"/>
    <w:rsid w:val="00043276"/>
    <w:rsid w:val="000434CA"/>
    <w:rsid w:val="00044236"/>
    <w:rsid w:val="00044A76"/>
    <w:rsid w:val="0004514B"/>
    <w:rsid w:val="000453B4"/>
    <w:rsid w:val="00046637"/>
    <w:rsid w:val="00046A72"/>
    <w:rsid w:val="00046DCC"/>
    <w:rsid w:val="00046F76"/>
    <w:rsid w:val="00047042"/>
    <w:rsid w:val="000501B7"/>
    <w:rsid w:val="000510B4"/>
    <w:rsid w:val="000519A0"/>
    <w:rsid w:val="00051E15"/>
    <w:rsid w:val="00052C78"/>
    <w:rsid w:val="00052D24"/>
    <w:rsid w:val="00052E5A"/>
    <w:rsid w:val="00053B10"/>
    <w:rsid w:val="00054518"/>
    <w:rsid w:val="0005457B"/>
    <w:rsid w:val="000557DF"/>
    <w:rsid w:val="00055909"/>
    <w:rsid w:val="0005612D"/>
    <w:rsid w:val="0005703F"/>
    <w:rsid w:val="0005780D"/>
    <w:rsid w:val="000603E4"/>
    <w:rsid w:val="0006064B"/>
    <w:rsid w:val="00061B4D"/>
    <w:rsid w:val="00062B7F"/>
    <w:rsid w:val="000635DB"/>
    <w:rsid w:val="00063A96"/>
    <w:rsid w:val="00064A01"/>
    <w:rsid w:val="00064AD0"/>
    <w:rsid w:val="00065E35"/>
    <w:rsid w:val="00065F94"/>
    <w:rsid w:val="00067417"/>
    <w:rsid w:val="0007127D"/>
    <w:rsid w:val="00072094"/>
    <w:rsid w:val="00072844"/>
    <w:rsid w:val="00072A57"/>
    <w:rsid w:val="000735F0"/>
    <w:rsid w:val="00073A22"/>
    <w:rsid w:val="000753FE"/>
    <w:rsid w:val="00076513"/>
    <w:rsid w:val="00076A70"/>
    <w:rsid w:val="00076D71"/>
    <w:rsid w:val="00077B84"/>
    <w:rsid w:val="00080EFA"/>
    <w:rsid w:val="0008155F"/>
    <w:rsid w:val="00081910"/>
    <w:rsid w:val="00082DB6"/>
    <w:rsid w:val="0008325D"/>
    <w:rsid w:val="00083560"/>
    <w:rsid w:val="00083CF4"/>
    <w:rsid w:val="0008414D"/>
    <w:rsid w:val="00084263"/>
    <w:rsid w:val="00084A24"/>
    <w:rsid w:val="00084A40"/>
    <w:rsid w:val="00085223"/>
    <w:rsid w:val="00085698"/>
    <w:rsid w:val="00085946"/>
    <w:rsid w:val="00085C04"/>
    <w:rsid w:val="00086D97"/>
    <w:rsid w:val="00087921"/>
    <w:rsid w:val="000879A9"/>
    <w:rsid w:val="00090373"/>
    <w:rsid w:val="00090A0B"/>
    <w:rsid w:val="000911A8"/>
    <w:rsid w:val="0009143B"/>
    <w:rsid w:val="0009168A"/>
    <w:rsid w:val="0009169C"/>
    <w:rsid w:val="00091D2D"/>
    <w:rsid w:val="00092EF4"/>
    <w:rsid w:val="0009314A"/>
    <w:rsid w:val="0009329D"/>
    <w:rsid w:val="00093631"/>
    <w:rsid w:val="000945F5"/>
    <w:rsid w:val="00094E14"/>
    <w:rsid w:val="00095451"/>
    <w:rsid w:val="0009559F"/>
    <w:rsid w:val="00096D2A"/>
    <w:rsid w:val="000A0BE5"/>
    <w:rsid w:val="000A184F"/>
    <w:rsid w:val="000A200E"/>
    <w:rsid w:val="000A2891"/>
    <w:rsid w:val="000A2E8F"/>
    <w:rsid w:val="000A2FE7"/>
    <w:rsid w:val="000A31F7"/>
    <w:rsid w:val="000A36C1"/>
    <w:rsid w:val="000A379F"/>
    <w:rsid w:val="000A483A"/>
    <w:rsid w:val="000A5131"/>
    <w:rsid w:val="000A57FA"/>
    <w:rsid w:val="000A5AE5"/>
    <w:rsid w:val="000A6260"/>
    <w:rsid w:val="000A68B1"/>
    <w:rsid w:val="000A7126"/>
    <w:rsid w:val="000A73B6"/>
    <w:rsid w:val="000A7846"/>
    <w:rsid w:val="000A799B"/>
    <w:rsid w:val="000A7FC9"/>
    <w:rsid w:val="000B24E7"/>
    <w:rsid w:val="000B289E"/>
    <w:rsid w:val="000B29FA"/>
    <w:rsid w:val="000B39AD"/>
    <w:rsid w:val="000B4528"/>
    <w:rsid w:val="000B46FF"/>
    <w:rsid w:val="000B588D"/>
    <w:rsid w:val="000B7631"/>
    <w:rsid w:val="000B7C88"/>
    <w:rsid w:val="000C03BB"/>
    <w:rsid w:val="000C0432"/>
    <w:rsid w:val="000C1088"/>
    <w:rsid w:val="000C10E9"/>
    <w:rsid w:val="000C1DC2"/>
    <w:rsid w:val="000C1DE9"/>
    <w:rsid w:val="000C1E12"/>
    <w:rsid w:val="000C34C8"/>
    <w:rsid w:val="000C3AE3"/>
    <w:rsid w:val="000C3CD5"/>
    <w:rsid w:val="000C4CD4"/>
    <w:rsid w:val="000C53EF"/>
    <w:rsid w:val="000C5C3D"/>
    <w:rsid w:val="000C647A"/>
    <w:rsid w:val="000C7979"/>
    <w:rsid w:val="000C7E7E"/>
    <w:rsid w:val="000D15C5"/>
    <w:rsid w:val="000D2820"/>
    <w:rsid w:val="000D2F6B"/>
    <w:rsid w:val="000D56B8"/>
    <w:rsid w:val="000D58EE"/>
    <w:rsid w:val="000D6568"/>
    <w:rsid w:val="000D6CB4"/>
    <w:rsid w:val="000E054C"/>
    <w:rsid w:val="000E0BC2"/>
    <w:rsid w:val="000E0D0B"/>
    <w:rsid w:val="000E0F4F"/>
    <w:rsid w:val="000E1439"/>
    <w:rsid w:val="000E19E5"/>
    <w:rsid w:val="000E1B80"/>
    <w:rsid w:val="000E1C93"/>
    <w:rsid w:val="000E25C5"/>
    <w:rsid w:val="000E2631"/>
    <w:rsid w:val="000E36C4"/>
    <w:rsid w:val="000E390A"/>
    <w:rsid w:val="000E3C98"/>
    <w:rsid w:val="000E4BEC"/>
    <w:rsid w:val="000E4EC8"/>
    <w:rsid w:val="000E5A7E"/>
    <w:rsid w:val="000E661D"/>
    <w:rsid w:val="000E6B5A"/>
    <w:rsid w:val="000F2F92"/>
    <w:rsid w:val="000F3867"/>
    <w:rsid w:val="000F47DF"/>
    <w:rsid w:val="000F61EF"/>
    <w:rsid w:val="000F6E48"/>
    <w:rsid w:val="000F6E6C"/>
    <w:rsid w:val="000F7CF8"/>
    <w:rsid w:val="000F7E4E"/>
    <w:rsid w:val="000F7EF1"/>
    <w:rsid w:val="001002FE"/>
    <w:rsid w:val="0010061F"/>
    <w:rsid w:val="0010162B"/>
    <w:rsid w:val="001037A7"/>
    <w:rsid w:val="00103EF0"/>
    <w:rsid w:val="00104578"/>
    <w:rsid w:val="00104810"/>
    <w:rsid w:val="00104E6C"/>
    <w:rsid w:val="00105A65"/>
    <w:rsid w:val="00105FF7"/>
    <w:rsid w:val="00106482"/>
    <w:rsid w:val="001069C4"/>
    <w:rsid w:val="001072C0"/>
    <w:rsid w:val="00107E41"/>
    <w:rsid w:val="00110648"/>
    <w:rsid w:val="00112681"/>
    <w:rsid w:val="00112A8E"/>
    <w:rsid w:val="00112ACB"/>
    <w:rsid w:val="0011327D"/>
    <w:rsid w:val="001139D7"/>
    <w:rsid w:val="00113A5A"/>
    <w:rsid w:val="00114448"/>
    <w:rsid w:val="00114551"/>
    <w:rsid w:val="00114B05"/>
    <w:rsid w:val="00115158"/>
    <w:rsid w:val="00115D3B"/>
    <w:rsid w:val="001161DE"/>
    <w:rsid w:val="0011634F"/>
    <w:rsid w:val="001166FE"/>
    <w:rsid w:val="001168A4"/>
    <w:rsid w:val="00116EAE"/>
    <w:rsid w:val="001174B9"/>
    <w:rsid w:val="00121019"/>
    <w:rsid w:val="001210F5"/>
    <w:rsid w:val="001211AF"/>
    <w:rsid w:val="0012190A"/>
    <w:rsid w:val="00122568"/>
    <w:rsid w:val="00122B6B"/>
    <w:rsid w:val="00122D05"/>
    <w:rsid w:val="001242CF"/>
    <w:rsid w:val="001244BA"/>
    <w:rsid w:val="001244DD"/>
    <w:rsid w:val="00125DC2"/>
    <w:rsid w:val="00125DE5"/>
    <w:rsid w:val="0012607C"/>
    <w:rsid w:val="00126700"/>
    <w:rsid w:val="0012694E"/>
    <w:rsid w:val="00127619"/>
    <w:rsid w:val="00127F9F"/>
    <w:rsid w:val="00130AB1"/>
    <w:rsid w:val="00130E1F"/>
    <w:rsid w:val="001321D1"/>
    <w:rsid w:val="001330B8"/>
    <w:rsid w:val="001333D3"/>
    <w:rsid w:val="00133740"/>
    <w:rsid w:val="00134020"/>
    <w:rsid w:val="001344CB"/>
    <w:rsid w:val="001359F3"/>
    <w:rsid w:val="00135C89"/>
    <w:rsid w:val="00137768"/>
    <w:rsid w:val="00137A79"/>
    <w:rsid w:val="00141F06"/>
    <w:rsid w:val="00142911"/>
    <w:rsid w:val="00142DC9"/>
    <w:rsid w:val="00142FC8"/>
    <w:rsid w:val="00143032"/>
    <w:rsid w:val="001435EF"/>
    <w:rsid w:val="001444B5"/>
    <w:rsid w:val="00144775"/>
    <w:rsid w:val="0014487F"/>
    <w:rsid w:val="00150EF2"/>
    <w:rsid w:val="00151103"/>
    <w:rsid w:val="0015117F"/>
    <w:rsid w:val="00151E8A"/>
    <w:rsid w:val="001520B5"/>
    <w:rsid w:val="001520EE"/>
    <w:rsid w:val="001520F7"/>
    <w:rsid w:val="0015291B"/>
    <w:rsid w:val="00152AD5"/>
    <w:rsid w:val="00153371"/>
    <w:rsid w:val="00153B51"/>
    <w:rsid w:val="001546F6"/>
    <w:rsid w:val="00156C12"/>
    <w:rsid w:val="001579D3"/>
    <w:rsid w:val="001579E2"/>
    <w:rsid w:val="00157C52"/>
    <w:rsid w:val="0016006C"/>
    <w:rsid w:val="00161119"/>
    <w:rsid w:val="00161137"/>
    <w:rsid w:val="00161A5A"/>
    <w:rsid w:val="00161E1B"/>
    <w:rsid w:val="00161EBC"/>
    <w:rsid w:val="00162996"/>
    <w:rsid w:val="00163463"/>
    <w:rsid w:val="00163E97"/>
    <w:rsid w:val="00164C5D"/>
    <w:rsid w:val="00164C75"/>
    <w:rsid w:val="00165AA8"/>
    <w:rsid w:val="00165D31"/>
    <w:rsid w:val="00165D59"/>
    <w:rsid w:val="0016697D"/>
    <w:rsid w:val="00166D6D"/>
    <w:rsid w:val="00167DC7"/>
    <w:rsid w:val="0017137C"/>
    <w:rsid w:val="00171448"/>
    <w:rsid w:val="0017157B"/>
    <w:rsid w:val="00171640"/>
    <w:rsid w:val="0017184C"/>
    <w:rsid w:val="00172715"/>
    <w:rsid w:val="00172A27"/>
    <w:rsid w:val="00172C46"/>
    <w:rsid w:val="00173441"/>
    <w:rsid w:val="001739C9"/>
    <w:rsid w:val="00173B28"/>
    <w:rsid w:val="00174226"/>
    <w:rsid w:val="00174BA6"/>
    <w:rsid w:val="00175030"/>
    <w:rsid w:val="00175260"/>
    <w:rsid w:val="00175502"/>
    <w:rsid w:val="00176496"/>
    <w:rsid w:val="00176A9A"/>
    <w:rsid w:val="0017732B"/>
    <w:rsid w:val="0017765A"/>
    <w:rsid w:val="001776B7"/>
    <w:rsid w:val="001776E2"/>
    <w:rsid w:val="00180BCB"/>
    <w:rsid w:val="001810D3"/>
    <w:rsid w:val="0018168F"/>
    <w:rsid w:val="00182434"/>
    <w:rsid w:val="001824B7"/>
    <w:rsid w:val="0018387A"/>
    <w:rsid w:val="00185C56"/>
    <w:rsid w:val="00186116"/>
    <w:rsid w:val="00186CE7"/>
    <w:rsid w:val="00186EC6"/>
    <w:rsid w:val="001870AD"/>
    <w:rsid w:val="00187A52"/>
    <w:rsid w:val="001905D0"/>
    <w:rsid w:val="001909A7"/>
    <w:rsid w:val="00190BD1"/>
    <w:rsid w:val="00190F6E"/>
    <w:rsid w:val="0019119F"/>
    <w:rsid w:val="00192E25"/>
    <w:rsid w:val="0019354D"/>
    <w:rsid w:val="0019394D"/>
    <w:rsid w:val="00193A79"/>
    <w:rsid w:val="001966FB"/>
    <w:rsid w:val="00196743"/>
    <w:rsid w:val="00196D59"/>
    <w:rsid w:val="00196E9F"/>
    <w:rsid w:val="001A0566"/>
    <w:rsid w:val="001A0706"/>
    <w:rsid w:val="001A08CB"/>
    <w:rsid w:val="001A0E20"/>
    <w:rsid w:val="001A1571"/>
    <w:rsid w:val="001A3AA4"/>
    <w:rsid w:val="001A3C2E"/>
    <w:rsid w:val="001A40BA"/>
    <w:rsid w:val="001A410B"/>
    <w:rsid w:val="001A5738"/>
    <w:rsid w:val="001A607F"/>
    <w:rsid w:val="001A62B8"/>
    <w:rsid w:val="001A6433"/>
    <w:rsid w:val="001A646A"/>
    <w:rsid w:val="001A6A26"/>
    <w:rsid w:val="001A7335"/>
    <w:rsid w:val="001A7664"/>
    <w:rsid w:val="001B02F9"/>
    <w:rsid w:val="001B0580"/>
    <w:rsid w:val="001B1D26"/>
    <w:rsid w:val="001B27C8"/>
    <w:rsid w:val="001B310C"/>
    <w:rsid w:val="001B374D"/>
    <w:rsid w:val="001B37CE"/>
    <w:rsid w:val="001B3CFD"/>
    <w:rsid w:val="001B4405"/>
    <w:rsid w:val="001B5EC5"/>
    <w:rsid w:val="001B6219"/>
    <w:rsid w:val="001B67C4"/>
    <w:rsid w:val="001B6973"/>
    <w:rsid w:val="001C129E"/>
    <w:rsid w:val="001C1E67"/>
    <w:rsid w:val="001C20E5"/>
    <w:rsid w:val="001C304A"/>
    <w:rsid w:val="001C5433"/>
    <w:rsid w:val="001C5D3E"/>
    <w:rsid w:val="001C6E8C"/>
    <w:rsid w:val="001C7FBE"/>
    <w:rsid w:val="001D03C3"/>
    <w:rsid w:val="001D0A56"/>
    <w:rsid w:val="001D0C2E"/>
    <w:rsid w:val="001D0DAB"/>
    <w:rsid w:val="001D0F55"/>
    <w:rsid w:val="001D15D0"/>
    <w:rsid w:val="001D1A44"/>
    <w:rsid w:val="001D1C83"/>
    <w:rsid w:val="001D1D09"/>
    <w:rsid w:val="001D2008"/>
    <w:rsid w:val="001D2473"/>
    <w:rsid w:val="001D27E7"/>
    <w:rsid w:val="001D2EFB"/>
    <w:rsid w:val="001D2F0F"/>
    <w:rsid w:val="001D31D4"/>
    <w:rsid w:val="001D35BC"/>
    <w:rsid w:val="001D4A15"/>
    <w:rsid w:val="001D525E"/>
    <w:rsid w:val="001D59E5"/>
    <w:rsid w:val="001D612A"/>
    <w:rsid w:val="001D62B0"/>
    <w:rsid w:val="001D651A"/>
    <w:rsid w:val="001D6C42"/>
    <w:rsid w:val="001D7560"/>
    <w:rsid w:val="001D7D01"/>
    <w:rsid w:val="001E03DC"/>
    <w:rsid w:val="001E0BD4"/>
    <w:rsid w:val="001E0F19"/>
    <w:rsid w:val="001E116F"/>
    <w:rsid w:val="001E14F8"/>
    <w:rsid w:val="001E2811"/>
    <w:rsid w:val="001E3EC1"/>
    <w:rsid w:val="001E4259"/>
    <w:rsid w:val="001E42BA"/>
    <w:rsid w:val="001E569B"/>
    <w:rsid w:val="001E58B9"/>
    <w:rsid w:val="001E58C8"/>
    <w:rsid w:val="001E5CD2"/>
    <w:rsid w:val="001E6F74"/>
    <w:rsid w:val="001E76AC"/>
    <w:rsid w:val="001F075C"/>
    <w:rsid w:val="001F0ABA"/>
    <w:rsid w:val="001F1132"/>
    <w:rsid w:val="001F1584"/>
    <w:rsid w:val="001F168B"/>
    <w:rsid w:val="001F18F6"/>
    <w:rsid w:val="001F298C"/>
    <w:rsid w:val="001F3589"/>
    <w:rsid w:val="001F473B"/>
    <w:rsid w:val="001F4A2F"/>
    <w:rsid w:val="001F509D"/>
    <w:rsid w:val="001F5481"/>
    <w:rsid w:val="001F6490"/>
    <w:rsid w:val="001F6DF5"/>
    <w:rsid w:val="001F7407"/>
    <w:rsid w:val="00200282"/>
    <w:rsid w:val="002011A3"/>
    <w:rsid w:val="002014EA"/>
    <w:rsid w:val="0020248B"/>
    <w:rsid w:val="00204B5E"/>
    <w:rsid w:val="002050ED"/>
    <w:rsid w:val="00206047"/>
    <w:rsid w:val="00207340"/>
    <w:rsid w:val="002076D4"/>
    <w:rsid w:val="00207D35"/>
    <w:rsid w:val="00207F02"/>
    <w:rsid w:val="00210179"/>
    <w:rsid w:val="00210494"/>
    <w:rsid w:val="0021069F"/>
    <w:rsid w:val="002107AE"/>
    <w:rsid w:val="00210B87"/>
    <w:rsid w:val="00211066"/>
    <w:rsid w:val="002112CD"/>
    <w:rsid w:val="00211350"/>
    <w:rsid w:val="00211630"/>
    <w:rsid w:val="00211809"/>
    <w:rsid w:val="0021374C"/>
    <w:rsid w:val="002142F0"/>
    <w:rsid w:val="00216955"/>
    <w:rsid w:val="00217286"/>
    <w:rsid w:val="00217305"/>
    <w:rsid w:val="0022061F"/>
    <w:rsid w:val="0022070C"/>
    <w:rsid w:val="00220A7D"/>
    <w:rsid w:val="00221284"/>
    <w:rsid w:val="00221694"/>
    <w:rsid w:val="00222CD1"/>
    <w:rsid w:val="00222F16"/>
    <w:rsid w:val="00223142"/>
    <w:rsid w:val="00223217"/>
    <w:rsid w:val="002234EA"/>
    <w:rsid w:val="00223B6A"/>
    <w:rsid w:val="00223CB1"/>
    <w:rsid w:val="00223FCF"/>
    <w:rsid w:val="002242A4"/>
    <w:rsid w:val="002247CE"/>
    <w:rsid w:val="0022590F"/>
    <w:rsid w:val="00226474"/>
    <w:rsid w:val="00227094"/>
    <w:rsid w:val="0022724C"/>
    <w:rsid w:val="002272C2"/>
    <w:rsid w:val="0022799F"/>
    <w:rsid w:val="00230944"/>
    <w:rsid w:val="00230B52"/>
    <w:rsid w:val="00232346"/>
    <w:rsid w:val="00232AF0"/>
    <w:rsid w:val="00233955"/>
    <w:rsid w:val="00234202"/>
    <w:rsid w:val="00234889"/>
    <w:rsid w:val="00234EF9"/>
    <w:rsid w:val="00234F61"/>
    <w:rsid w:val="00235EFF"/>
    <w:rsid w:val="00235F4B"/>
    <w:rsid w:val="00236858"/>
    <w:rsid w:val="0023708C"/>
    <w:rsid w:val="0023716F"/>
    <w:rsid w:val="00237DB2"/>
    <w:rsid w:val="00237FE6"/>
    <w:rsid w:val="002407D5"/>
    <w:rsid w:val="00240825"/>
    <w:rsid w:val="00241142"/>
    <w:rsid w:val="00241C60"/>
    <w:rsid w:val="0024307A"/>
    <w:rsid w:val="002456FC"/>
    <w:rsid w:val="002459D4"/>
    <w:rsid w:val="002462EF"/>
    <w:rsid w:val="0024664A"/>
    <w:rsid w:val="002509A7"/>
    <w:rsid w:val="00250EBF"/>
    <w:rsid w:val="00252183"/>
    <w:rsid w:val="00252548"/>
    <w:rsid w:val="00252722"/>
    <w:rsid w:val="002532AE"/>
    <w:rsid w:val="00253E7D"/>
    <w:rsid w:val="0025475A"/>
    <w:rsid w:val="00254843"/>
    <w:rsid w:val="0025489F"/>
    <w:rsid w:val="00254EC5"/>
    <w:rsid w:val="0025527A"/>
    <w:rsid w:val="002552E7"/>
    <w:rsid w:val="00255968"/>
    <w:rsid w:val="00256D5D"/>
    <w:rsid w:val="00256FE8"/>
    <w:rsid w:val="0025786F"/>
    <w:rsid w:val="002608AB"/>
    <w:rsid w:val="00260D0F"/>
    <w:rsid w:val="00260E14"/>
    <w:rsid w:val="00261231"/>
    <w:rsid w:val="002615E0"/>
    <w:rsid w:val="00261A8E"/>
    <w:rsid w:val="00261D5E"/>
    <w:rsid w:val="00261DE6"/>
    <w:rsid w:val="00261E95"/>
    <w:rsid w:val="00262069"/>
    <w:rsid w:val="0026300B"/>
    <w:rsid w:val="002643E3"/>
    <w:rsid w:val="00264C13"/>
    <w:rsid w:val="00265CD6"/>
    <w:rsid w:val="00266F3D"/>
    <w:rsid w:val="002679B9"/>
    <w:rsid w:val="00270CAF"/>
    <w:rsid w:val="00270F21"/>
    <w:rsid w:val="00272D20"/>
    <w:rsid w:val="00273DC6"/>
    <w:rsid w:val="00273F8F"/>
    <w:rsid w:val="00274256"/>
    <w:rsid w:val="002744F4"/>
    <w:rsid w:val="0027467C"/>
    <w:rsid w:val="00274CDE"/>
    <w:rsid w:val="00275467"/>
    <w:rsid w:val="0027588A"/>
    <w:rsid w:val="002759A7"/>
    <w:rsid w:val="00276A2B"/>
    <w:rsid w:val="00276FC0"/>
    <w:rsid w:val="00277484"/>
    <w:rsid w:val="00277668"/>
    <w:rsid w:val="0028054B"/>
    <w:rsid w:val="00280FAD"/>
    <w:rsid w:val="002814B7"/>
    <w:rsid w:val="00281519"/>
    <w:rsid w:val="002819D9"/>
    <w:rsid w:val="00282597"/>
    <w:rsid w:val="00282F58"/>
    <w:rsid w:val="0028309B"/>
    <w:rsid w:val="0028432B"/>
    <w:rsid w:val="00284D88"/>
    <w:rsid w:val="00284F0F"/>
    <w:rsid w:val="002854D9"/>
    <w:rsid w:val="00286289"/>
    <w:rsid w:val="002863D6"/>
    <w:rsid w:val="002876CD"/>
    <w:rsid w:val="00287A02"/>
    <w:rsid w:val="00290AC0"/>
    <w:rsid w:val="00291BCD"/>
    <w:rsid w:val="00291D50"/>
    <w:rsid w:val="00292328"/>
    <w:rsid w:val="002928B5"/>
    <w:rsid w:val="002933F7"/>
    <w:rsid w:val="002934E7"/>
    <w:rsid w:val="0029362A"/>
    <w:rsid w:val="002939E7"/>
    <w:rsid w:val="002943C5"/>
    <w:rsid w:val="00294C1E"/>
    <w:rsid w:val="002954AA"/>
    <w:rsid w:val="00295999"/>
    <w:rsid w:val="00295A1F"/>
    <w:rsid w:val="00295C56"/>
    <w:rsid w:val="00295CE1"/>
    <w:rsid w:val="00295FAF"/>
    <w:rsid w:val="00296C54"/>
    <w:rsid w:val="00296E87"/>
    <w:rsid w:val="00297A91"/>
    <w:rsid w:val="00297D4E"/>
    <w:rsid w:val="002A0097"/>
    <w:rsid w:val="002A0F09"/>
    <w:rsid w:val="002A1C11"/>
    <w:rsid w:val="002A1D28"/>
    <w:rsid w:val="002A1DB5"/>
    <w:rsid w:val="002A206C"/>
    <w:rsid w:val="002A26FE"/>
    <w:rsid w:val="002A279A"/>
    <w:rsid w:val="002A3991"/>
    <w:rsid w:val="002A3F22"/>
    <w:rsid w:val="002A41BA"/>
    <w:rsid w:val="002A41DE"/>
    <w:rsid w:val="002A4361"/>
    <w:rsid w:val="002A46D5"/>
    <w:rsid w:val="002A4D61"/>
    <w:rsid w:val="002A7957"/>
    <w:rsid w:val="002B0557"/>
    <w:rsid w:val="002B080B"/>
    <w:rsid w:val="002B179F"/>
    <w:rsid w:val="002B17F9"/>
    <w:rsid w:val="002B1ACF"/>
    <w:rsid w:val="002B23C8"/>
    <w:rsid w:val="002B258F"/>
    <w:rsid w:val="002B263B"/>
    <w:rsid w:val="002B2AD5"/>
    <w:rsid w:val="002B3CEE"/>
    <w:rsid w:val="002B4C3E"/>
    <w:rsid w:val="002B5803"/>
    <w:rsid w:val="002B5852"/>
    <w:rsid w:val="002B5875"/>
    <w:rsid w:val="002B5E80"/>
    <w:rsid w:val="002B5EA1"/>
    <w:rsid w:val="002B5F1B"/>
    <w:rsid w:val="002B60AE"/>
    <w:rsid w:val="002B60B3"/>
    <w:rsid w:val="002B7118"/>
    <w:rsid w:val="002C0443"/>
    <w:rsid w:val="002C198D"/>
    <w:rsid w:val="002C1DB2"/>
    <w:rsid w:val="002C1FFE"/>
    <w:rsid w:val="002C37DD"/>
    <w:rsid w:val="002C431E"/>
    <w:rsid w:val="002C43A6"/>
    <w:rsid w:val="002C6C14"/>
    <w:rsid w:val="002C77D2"/>
    <w:rsid w:val="002C7C7A"/>
    <w:rsid w:val="002D12A3"/>
    <w:rsid w:val="002D1D54"/>
    <w:rsid w:val="002D2287"/>
    <w:rsid w:val="002D2E72"/>
    <w:rsid w:val="002D3A53"/>
    <w:rsid w:val="002D423B"/>
    <w:rsid w:val="002D4D3B"/>
    <w:rsid w:val="002D510A"/>
    <w:rsid w:val="002D60F8"/>
    <w:rsid w:val="002D6627"/>
    <w:rsid w:val="002D6BF2"/>
    <w:rsid w:val="002D7200"/>
    <w:rsid w:val="002D7A01"/>
    <w:rsid w:val="002D7A6A"/>
    <w:rsid w:val="002E0457"/>
    <w:rsid w:val="002E0DA8"/>
    <w:rsid w:val="002E0FF5"/>
    <w:rsid w:val="002E164C"/>
    <w:rsid w:val="002E1B2F"/>
    <w:rsid w:val="002E1E78"/>
    <w:rsid w:val="002E20A7"/>
    <w:rsid w:val="002E230C"/>
    <w:rsid w:val="002E2376"/>
    <w:rsid w:val="002E2938"/>
    <w:rsid w:val="002E2CE3"/>
    <w:rsid w:val="002E2F9C"/>
    <w:rsid w:val="002E30E7"/>
    <w:rsid w:val="002E32FF"/>
    <w:rsid w:val="002E3B32"/>
    <w:rsid w:val="002E46FA"/>
    <w:rsid w:val="002E4AA0"/>
    <w:rsid w:val="002E4F6D"/>
    <w:rsid w:val="002E5C7D"/>
    <w:rsid w:val="002E6DDC"/>
    <w:rsid w:val="002F0785"/>
    <w:rsid w:val="002F1038"/>
    <w:rsid w:val="002F18DE"/>
    <w:rsid w:val="002F1AFA"/>
    <w:rsid w:val="002F41F9"/>
    <w:rsid w:val="002F4760"/>
    <w:rsid w:val="002F4995"/>
    <w:rsid w:val="002F4AAF"/>
    <w:rsid w:val="002F5370"/>
    <w:rsid w:val="002F5E30"/>
    <w:rsid w:val="002F61C9"/>
    <w:rsid w:val="002F65F5"/>
    <w:rsid w:val="002F6801"/>
    <w:rsid w:val="002F68AA"/>
    <w:rsid w:val="002F79B9"/>
    <w:rsid w:val="00300961"/>
    <w:rsid w:val="003016F5"/>
    <w:rsid w:val="00301728"/>
    <w:rsid w:val="00301BC3"/>
    <w:rsid w:val="00302499"/>
    <w:rsid w:val="00303713"/>
    <w:rsid w:val="003045D7"/>
    <w:rsid w:val="003055F5"/>
    <w:rsid w:val="00306957"/>
    <w:rsid w:val="00306A44"/>
    <w:rsid w:val="00306C7A"/>
    <w:rsid w:val="00306ED3"/>
    <w:rsid w:val="0030735F"/>
    <w:rsid w:val="00307B4D"/>
    <w:rsid w:val="00311884"/>
    <w:rsid w:val="00313BE4"/>
    <w:rsid w:val="003147F3"/>
    <w:rsid w:val="00314F14"/>
    <w:rsid w:val="00315356"/>
    <w:rsid w:val="00315C20"/>
    <w:rsid w:val="003161F2"/>
    <w:rsid w:val="00316EE8"/>
    <w:rsid w:val="00317024"/>
    <w:rsid w:val="00317127"/>
    <w:rsid w:val="00317B75"/>
    <w:rsid w:val="00317E4C"/>
    <w:rsid w:val="003206DE"/>
    <w:rsid w:val="003209A2"/>
    <w:rsid w:val="003209B7"/>
    <w:rsid w:val="00320A11"/>
    <w:rsid w:val="00322813"/>
    <w:rsid w:val="003233DC"/>
    <w:rsid w:val="00323BC1"/>
    <w:rsid w:val="00323F94"/>
    <w:rsid w:val="00325958"/>
    <w:rsid w:val="0032763C"/>
    <w:rsid w:val="00327D65"/>
    <w:rsid w:val="00330820"/>
    <w:rsid w:val="00330A49"/>
    <w:rsid w:val="003310BA"/>
    <w:rsid w:val="00332541"/>
    <w:rsid w:val="003327D9"/>
    <w:rsid w:val="003331E8"/>
    <w:rsid w:val="003343B1"/>
    <w:rsid w:val="00334867"/>
    <w:rsid w:val="00334A63"/>
    <w:rsid w:val="003355B9"/>
    <w:rsid w:val="00336780"/>
    <w:rsid w:val="00336CC4"/>
    <w:rsid w:val="00336E94"/>
    <w:rsid w:val="00337A5E"/>
    <w:rsid w:val="00337A86"/>
    <w:rsid w:val="003411F0"/>
    <w:rsid w:val="00341435"/>
    <w:rsid w:val="003425AC"/>
    <w:rsid w:val="003427E7"/>
    <w:rsid w:val="00342E85"/>
    <w:rsid w:val="0034311C"/>
    <w:rsid w:val="00344A19"/>
    <w:rsid w:val="0034505F"/>
    <w:rsid w:val="00345F80"/>
    <w:rsid w:val="00346679"/>
    <w:rsid w:val="0034673D"/>
    <w:rsid w:val="00346E8A"/>
    <w:rsid w:val="0034710F"/>
    <w:rsid w:val="003473A8"/>
    <w:rsid w:val="00347CEB"/>
    <w:rsid w:val="00350625"/>
    <w:rsid w:val="00350DB0"/>
    <w:rsid w:val="00351164"/>
    <w:rsid w:val="00351528"/>
    <w:rsid w:val="0035152A"/>
    <w:rsid w:val="00351ED5"/>
    <w:rsid w:val="003523FF"/>
    <w:rsid w:val="00352434"/>
    <w:rsid w:val="00352D69"/>
    <w:rsid w:val="00353056"/>
    <w:rsid w:val="00353350"/>
    <w:rsid w:val="00353F96"/>
    <w:rsid w:val="003542BC"/>
    <w:rsid w:val="0035460F"/>
    <w:rsid w:val="00354758"/>
    <w:rsid w:val="0035583E"/>
    <w:rsid w:val="00355DA5"/>
    <w:rsid w:val="00355FDC"/>
    <w:rsid w:val="00356020"/>
    <w:rsid w:val="0035679F"/>
    <w:rsid w:val="00356A86"/>
    <w:rsid w:val="00356D1D"/>
    <w:rsid w:val="00356D50"/>
    <w:rsid w:val="00356F53"/>
    <w:rsid w:val="0035723B"/>
    <w:rsid w:val="00357A58"/>
    <w:rsid w:val="00357CB5"/>
    <w:rsid w:val="0036025D"/>
    <w:rsid w:val="00361796"/>
    <w:rsid w:val="00361EFC"/>
    <w:rsid w:val="00361F1B"/>
    <w:rsid w:val="003621E4"/>
    <w:rsid w:val="0036498F"/>
    <w:rsid w:val="00364CB4"/>
    <w:rsid w:val="00366156"/>
    <w:rsid w:val="00366197"/>
    <w:rsid w:val="00366951"/>
    <w:rsid w:val="00370BA3"/>
    <w:rsid w:val="00370E4F"/>
    <w:rsid w:val="003710F8"/>
    <w:rsid w:val="00371BD2"/>
    <w:rsid w:val="00371BDE"/>
    <w:rsid w:val="00371CFA"/>
    <w:rsid w:val="00372074"/>
    <w:rsid w:val="00372CFE"/>
    <w:rsid w:val="00372DBE"/>
    <w:rsid w:val="003740DA"/>
    <w:rsid w:val="003747BE"/>
    <w:rsid w:val="0037500B"/>
    <w:rsid w:val="00376081"/>
    <w:rsid w:val="0037634E"/>
    <w:rsid w:val="003764E8"/>
    <w:rsid w:val="003769C4"/>
    <w:rsid w:val="00376D73"/>
    <w:rsid w:val="00377535"/>
    <w:rsid w:val="003809CD"/>
    <w:rsid w:val="003810FD"/>
    <w:rsid w:val="00381B6D"/>
    <w:rsid w:val="00381C61"/>
    <w:rsid w:val="00382AFE"/>
    <w:rsid w:val="00382CE7"/>
    <w:rsid w:val="00382E53"/>
    <w:rsid w:val="0038306E"/>
    <w:rsid w:val="0038334B"/>
    <w:rsid w:val="00385190"/>
    <w:rsid w:val="003852E7"/>
    <w:rsid w:val="003854DF"/>
    <w:rsid w:val="003855C3"/>
    <w:rsid w:val="003866FF"/>
    <w:rsid w:val="0039014D"/>
    <w:rsid w:val="003904A8"/>
    <w:rsid w:val="00390AAE"/>
    <w:rsid w:val="00391D80"/>
    <w:rsid w:val="003935ED"/>
    <w:rsid w:val="0039379F"/>
    <w:rsid w:val="00393DCA"/>
    <w:rsid w:val="00393F21"/>
    <w:rsid w:val="00393FBE"/>
    <w:rsid w:val="003944A1"/>
    <w:rsid w:val="0039455B"/>
    <w:rsid w:val="00394E0F"/>
    <w:rsid w:val="00394EA5"/>
    <w:rsid w:val="00394FA6"/>
    <w:rsid w:val="00395A34"/>
    <w:rsid w:val="00395EBE"/>
    <w:rsid w:val="00396BE8"/>
    <w:rsid w:val="00397083"/>
    <w:rsid w:val="00397205"/>
    <w:rsid w:val="003A00D0"/>
    <w:rsid w:val="003A0D63"/>
    <w:rsid w:val="003A12AD"/>
    <w:rsid w:val="003A18B9"/>
    <w:rsid w:val="003A1A71"/>
    <w:rsid w:val="003A2E4E"/>
    <w:rsid w:val="003A3DEC"/>
    <w:rsid w:val="003A42E6"/>
    <w:rsid w:val="003A54A4"/>
    <w:rsid w:val="003A59D7"/>
    <w:rsid w:val="003A645D"/>
    <w:rsid w:val="003A6BE5"/>
    <w:rsid w:val="003A724E"/>
    <w:rsid w:val="003A7E75"/>
    <w:rsid w:val="003B0ACD"/>
    <w:rsid w:val="003B16CE"/>
    <w:rsid w:val="003B1B30"/>
    <w:rsid w:val="003B2BE3"/>
    <w:rsid w:val="003B33CE"/>
    <w:rsid w:val="003B3E91"/>
    <w:rsid w:val="003B3FA6"/>
    <w:rsid w:val="003B450F"/>
    <w:rsid w:val="003B4D54"/>
    <w:rsid w:val="003B4E37"/>
    <w:rsid w:val="003B4EEA"/>
    <w:rsid w:val="003B71B9"/>
    <w:rsid w:val="003B7A48"/>
    <w:rsid w:val="003C0268"/>
    <w:rsid w:val="003C0A9C"/>
    <w:rsid w:val="003C319A"/>
    <w:rsid w:val="003C31CB"/>
    <w:rsid w:val="003C3F4E"/>
    <w:rsid w:val="003C514A"/>
    <w:rsid w:val="003C5172"/>
    <w:rsid w:val="003C53AE"/>
    <w:rsid w:val="003C5780"/>
    <w:rsid w:val="003C66E3"/>
    <w:rsid w:val="003C705A"/>
    <w:rsid w:val="003C7504"/>
    <w:rsid w:val="003C76F5"/>
    <w:rsid w:val="003C77E3"/>
    <w:rsid w:val="003D00A0"/>
    <w:rsid w:val="003D0A0A"/>
    <w:rsid w:val="003D0CAA"/>
    <w:rsid w:val="003D19A0"/>
    <w:rsid w:val="003D21F9"/>
    <w:rsid w:val="003D2C5D"/>
    <w:rsid w:val="003D2DAE"/>
    <w:rsid w:val="003D30F6"/>
    <w:rsid w:val="003D311D"/>
    <w:rsid w:val="003D374D"/>
    <w:rsid w:val="003D377B"/>
    <w:rsid w:val="003D37F9"/>
    <w:rsid w:val="003D3C0F"/>
    <w:rsid w:val="003D3C4C"/>
    <w:rsid w:val="003D54CC"/>
    <w:rsid w:val="003D58BA"/>
    <w:rsid w:val="003D63C0"/>
    <w:rsid w:val="003D6B91"/>
    <w:rsid w:val="003D6C78"/>
    <w:rsid w:val="003D6CD7"/>
    <w:rsid w:val="003D6F99"/>
    <w:rsid w:val="003E057E"/>
    <w:rsid w:val="003E06FE"/>
    <w:rsid w:val="003E0990"/>
    <w:rsid w:val="003E0B7A"/>
    <w:rsid w:val="003E1F1A"/>
    <w:rsid w:val="003E2583"/>
    <w:rsid w:val="003E260B"/>
    <w:rsid w:val="003E33A4"/>
    <w:rsid w:val="003E4246"/>
    <w:rsid w:val="003E495D"/>
    <w:rsid w:val="003E50CE"/>
    <w:rsid w:val="003E53FD"/>
    <w:rsid w:val="003E54A3"/>
    <w:rsid w:val="003E6372"/>
    <w:rsid w:val="003E72EF"/>
    <w:rsid w:val="003E7969"/>
    <w:rsid w:val="003E7F17"/>
    <w:rsid w:val="003F0CDB"/>
    <w:rsid w:val="003F1948"/>
    <w:rsid w:val="003F263A"/>
    <w:rsid w:val="003F2676"/>
    <w:rsid w:val="003F2B34"/>
    <w:rsid w:val="003F3A74"/>
    <w:rsid w:val="003F488B"/>
    <w:rsid w:val="003F52CC"/>
    <w:rsid w:val="003F5A0B"/>
    <w:rsid w:val="003F5EA3"/>
    <w:rsid w:val="003F6B27"/>
    <w:rsid w:val="003F75A2"/>
    <w:rsid w:val="004000C9"/>
    <w:rsid w:val="00400E99"/>
    <w:rsid w:val="0040128A"/>
    <w:rsid w:val="0040204E"/>
    <w:rsid w:val="004031C3"/>
    <w:rsid w:val="00404125"/>
    <w:rsid w:val="004049AA"/>
    <w:rsid w:val="00404F33"/>
    <w:rsid w:val="00405108"/>
    <w:rsid w:val="00406115"/>
    <w:rsid w:val="0040659E"/>
    <w:rsid w:val="00406B68"/>
    <w:rsid w:val="00406E03"/>
    <w:rsid w:val="00406E4E"/>
    <w:rsid w:val="00407565"/>
    <w:rsid w:val="00407A95"/>
    <w:rsid w:val="00407A9D"/>
    <w:rsid w:val="00411655"/>
    <w:rsid w:val="00411D47"/>
    <w:rsid w:val="004126D1"/>
    <w:rsid w:val="00412FA0"/>
    <w:rsid w:val="004130B4"/>
    <w:rsid w:val="00413779"/>
    <w:rsid w:val="00414165"/>
    <w:rsid w:val="004143BD"/>
    <w:rsid w:val="0041633A"/>
    <w:rsid w:val="00416922"/>
    <w:rsid w:val="0041701D"/>
    <w:rsid w:val="0042002C"/>
    <w:rsid w:val="00422D18"/>
    <w:rsid w:val="00423027"/>
    <w:rsid w:val="0042321F"/>
    <w:rsid w:val="00423F85"/>
    <w:rsid w:val="004245E0"/>
    <w:rsid w:val="00424749"/>
    <w:rsid w:val="00425144"/>
    <w:rsid w:val="0042611C"/>
    <w:rsid w:val="00427190"/>
    <w:rsid w:val="0042794B"/>
    <w:rsid w:val="00430499"/>
    <w:rsid w:val="004310AE"/>
    <w:rsid w:val="0043139D"/>
    <w:rsid w:val="00431A61"/>
    <w:rsid w:val="00431DE3"/>
    <w:rsid w:val="00431F12"/>
    <w:rsid w:val="00433380"/>
    <w:rsid w:val="00433818"/>
    <w:rsid w:val="00433BBB"/>
    <w:rsid w:val="00435670"/>
    <w:rsid w:val="00435E24"/>
    <w:rsid w:val="00436916"/>
    <w:rsid w:val="00436A0E"/>
    <w:rsid w:val="00437D4F"/>
    <w:rsid w:val="00437DBC"/>
    <w:rsid w:val="00437EA7"/>
    <w:rsid w:val="00437EF0"/>
    <w:rsid w:val="004401A3"/>
    <w:rsid w:val="00440784"/>
    <w:rsid w:val="00441AA4"/>
    <w:rsid w:val="0044215E"/>
    <w:rsid w:val="00444093"/>
    <w:rsid w:val="00445A16"/>
    <w:rsid w:val="004462C6"/>
    <w:rsid w:val="004468C5"/>
    <w:rsid w:val="00447D3A"/>
    <w:rsid w:val="00447DFB"/>
    <w:rsid w:val="0045082F"/>
    <w:rsid w:val="00450DB8"/>
    <w:rsid w:val="0045180B"/>
    <w:rsid w:val="00451868"/>
    <w:rsid w:val="0045260C"/>
    <w:rsid w:val="0045295E"/>
    <w:rsid w:val="00453D5C"/>
    <w:rsid w:val="00454508"/>
    <w:rsid w:val="00455251"/>
    <w:rsid w:val="004557F8"/>
    <w:rsid w:val="00456F17"/>
    <w:rsid w:val="00456FDC"/>
    <w:rsid w:val="004571D2"/>
    <w:rsid w:val="00457242"/>
    <w:rsid w:val="004576A1"/>
    <w:rsid w:val="004604F2"/>
    <w:rsid w:val="00460AA3"/>
    <w:rsid w:val="00460BCD"/>
    <w:rsid w:val="00460CB2"/>
    <w:rsid w:val="00460D9A"/>
    <w:rsid w:val="00462B5F"/>
    <w:rsid w:val="00463E7E"/>
    <w:rsid w:val="00465469"/>
    <w:rsid w:val="00465782"/>
    <w:rsid w:val="00465873"/>
    <w:rsid w:val="00465D1E"/>
    <w:rsid w:val="00465F44"/>
    <w:rsid w:val="00467657"/>
    <w:rsid w:val="00470289"/>
    <w:rsid w:val="00470D93"/>
    <w:rsid w:val="00471132"/>
    <w:rsid w:val="00471DDE"/>
    <w:rsid w:val="0047267A"/>
    <w:rsid w:val="00472728"/>
    <w:rsid w:val="004727FE"/>
    <w:rsid w:val="00472EF0"/>
    <w:rsid w:val="00473759"/>
    <w:rsid w:val="00473BD8"/>
    <w:rsid w:val="004741E1"/>
    <w:rsid w:val="0047454E"/>
    <w:rsid w:val="00474853"/>
    <w:rsid w:val="00474A3D"/>
    <w:rsid w:val="00475D0F"/>
    <w:rsid w:val="00476909"/>
    <w:rsid w:val="00476CA5"/>
    <w:rsid w:val="0047733C"/>
    <w:rsid w:val="00480C63"/>
    <w:rsid w:val="00480F23"/>
    <w:rsid w:val="004814EC"/>
    <w:rsid w:val="00481543"/>
    <w:rsid w:val="004815DA"/>
    <w:rsid w:val="0048195F"/>
    <w:rsid w:val="004832B2"/>
    <w:rsid w:val="00483307"/>
    <w:rsid w:val="0048359C"/>
    <w:rsid w:val="00483A15"/>
    <w:rsid w:val="004850FB"/>
    <w:rsid w:val="004874DE"/>
    <w:rsid w:val="00487EE8"/>
    <w:rsid w:val="00487FC7"/>
    <w:rsid w:val="00490104"/>
    <w:rsid w:val="00491599"/>
    <w:rsid w:val="00491E20"/>
    <w:rsid w:val="0049236A"/>
    <w:rsid w:val="0049261F"/>
    <w:rsid w:val="00492B28"/>
    <w:rsid w:val="00493123"/>
    <w:rsid w:val="004938F8"/>
    <w:rsid w:val="004938FE"/>
    <w:rsid w:val="004944BE"/>
    <w:rsid w:val="0049457F"/>
    <w:rsid w:val="004949CF"/>
    <w:rsid w:val="004950B4"/>
    <w:rsid w:val="0049546F"/>
    <w:rsid w:val="00495703"/>
    <w:rsid w:val="00495944"/>
    <w:rsid w:val="00495A56"/>
    <w:rsid w:val="00495A74"/>
    <w:rsid w:val="00495BFD"/>
    <w:rsid w:val="00495D5A"/>
    <w:rsid w:val="004969C6"/>
    <w:rsid w:val="00497DCE"/>
    <w:rsid w:val="004A0006"/>
    <w:rsid w:val="004A03AB"/>
    <w:rsid w:val="004A109C"/>
    <w:rsid w:val="004A10BE"/>
    <w:rsid w:val="004A1328"/>
    <w:rsid w:val="004A20BC"/>
    <w:rsid w:val="004A239B"/>
    <w:rsid w:val="004A2784"/>
    <w:rsid w:val="004A2F94"/>
    <w:rsid w:val="004A3829"/>
    <w:rsid w:val="004A4451"/>
    <w:rsid w:val="004A4DF6"/>
    <w:rsid w:val="004A500D"/>
    <w:rsid w:val="004A5120"/>
    <w:rsid w:val="004A5E03"/>
    <w:rsid w:val="004A5E82"/>
    <w:rsid w:val="004A732E"/>
    <w:rsid w:val="004A73D5"/>
    <w:rsid w:val="004A7811"/>
    <w:rsid w:val="004A79D1"/>
    <w:rsid w:val="004A7BFA"/>
    <w:rsid w:val="004A7FE7"/>
    <w:rsid w:val="004B009A"/>
    <w:rsid w:val="004B0B90"/>
    <w:rsid w:val="004B0FC0"/>
    <w:rsid w:val="004B1074"/>
    <w:rsid w:val="004B1859"/>
    <w:rsid w:val="004B2453"/>
    <w:rsid w:val="004B254D"/>
    <w:rsid w:val="004B295E"/>
    <w:rsid w:val="004B41F8"/>
    <w:rsid w:val="004B4464"/>
    <w:rsid w:val="004B5237"/>
    <w:rsid w:val="004B53CF"/>
    <w:rsid w:val="004B54E1"/>
    <w:rsid w:val="004B61F0"/>
    <w:rsid w:val="004B639D"/>
    <w:rsid w:val="004B6F6E"/>
    <w:rsid w:val="004B7A14"/>
    <w:rsid w:val="004C0EF1"/>
    <w:rsid w:val="004C159B"/>
    <w:rsid w:val="004C16B8"/>
    <w:rsid w:val="004C1D94"/>
    <w:rsid w:val="004C212D"/>
    <w:rsid w:val="004C2AD9"/>
    <w:rsid w:val="004C376D"/>
    <w:rsid w:val="004C3791"/>
    <w:rsid w:val="004C3954"/>
    <w:rsid w:val="004C3CD6"/>
    <w:rsid w:val="004C3E01"/>
    <w:rsid w:val="004C41F5"/>
    <w:rsid w:val="004C4B6A"/>
    <w:rsid w:val="004C52C9"/>
    <w:rsid w:val="004C5945"/>
    <w:rsid w:val="004C68C0"/>
    <w:rsid w:val="004C6B04"/>
    <w:rsid w:val="004C7187"/>
    <w:rsid w:val="004C7D4F"/>
    <w:rsid w:val="004C7D59"/>
    <w:rsid w:val="004D06D5"/>
    <w:rsid w:val="004D11D4"/>
    <w:rsid w:val="004D151A"/>
    <w:rsid w:val="004D17D3"/>
    <w:rsid w:val="004D28AA"/>
    <w:rsid w:val="004D28FF"/>
    <w:rsid w:val="004D3F3D"/>
    <w:rsid w:val="004D4CF3"/>
    <w:rsid w:val="004D5696"/>
    <w:rsid w:val="004D57C4"/>
    <w:rsid w:val="004D6024"/>
    <w:rsid w:val="004D6DF8"/>
    <w:rsid w:val="004E0F20"/>
    <w:rsid w:val="004E1134"/>
    <w:rsid w:val="004E2134"/>
    <w:rsid w:val="004E2BB9"/>
    <w:rsid w:val="004E311D"/>
    <w:rsid w:val="004E372B"/>
    <w:rsid w:val="004E37AF"/>
    <w:rsid w:val="004E38FF"/>
    <w:rsid w:val="004E3D41"/>
    <w:rsid w:val="004E4B39"/>
    <w:rsid w:val="004E518B"/>
    <w:rsid w:val="004E610A"/>
    <w:rsid w:val="004E644C"/>
    <w:rsid w:val="004E6718"/>
    <w:rsid w:val="004E69F8"/>
    <w:rsid w:val="004E7089"/>
    <w:rsid w:val="004E781B"/>
    <w:rsid w:val="004E7F50"/>
    <w:rsid w:val="004F10AA"/>
    <w:rsid w:val="004F1153"/>
    <w:rsid w:val="004F1171"/>
    <w:rsid w:val="004F190C"/>
    <w:rsid w:val="004F1F05"/>
    <w:rsid w:val="004F2988"/>
    <w:rsid w:val="004F2A2E"/>
    <w:rsid w:val="004F2AEF"/>
    <w:rsid w:val="004F2AFB"/>
    <w:rsid w:val="004F3903"/>
    <w:rsid w:val="004F3993"/>
    <w:rsid w:val="004F3A5E"/>
    <w:rsid w:val="004F55FE"/>
    <w:rsid w:val="004F59E5"/>
    <w:rsid w:val="004F5BB4"/>
    <w:rsid w:val="004F5F92"/>
    <w:rsid w:val="004F62CC"/>
    <w:rsid w:val="004F72D7"/>
    <w:rsid w:val="004F7FE9"/>
    <w:rsid w:val="005001D3"/>
    <w:rsid w:val="005002C5"/>
    <w:rsid w:val="00500485"/>
    <w:rsid w:val="00500F9D"/>
    <w:rsid w:val="00501776"/>
    <w:rsid w:val="0050199E"/>
    <w:rsid w:val="00501ECC"/>
    <w:rsid w:val="0050266B"/>
    <w:rsid w:val="00502854"/>
    <w:rsid w:val="00502EC6"/>
    <w:rsid w:val="0050399C"/>
    <w:rsid w:val="0050453B"/>
    <w:rsid w:val="005048D8"/>
    <w:rsid w:val="00504C06"/>
    <w:rsid w:val="00504C28"/>
    <w:rsid w:val="0050549F"/>
    <w:rsid w:val="005054F5"/>
    <w:rsid w:val="00506B8D"/>
    <w:rsid w:val="00506C12"/>
    <w:rsid w:val="00506C9D"/>
    <w:rsid w:val="005071BB"/>
    <w:rsid w:val="0051012A"/>
    <w:rsid w:val="005118A3"/>
    <w:rsid w:val="005121A0"/>
    <w:rsid w:val="00512336"/>
    <w:rsid w:val="00512349"/>
    <w:rsid w:val="00514C52"/>
    <w:rsid w:val="0051686A"/>
    <w:rsid w:val="005169DC"/>
    <w:rsid w:val="005170F1"/>
    <w:rsid w:val="005171DE"/>
    <w:rsid w:val="00517B54"/>
    <w:rsid w:val="0052000F"/>
    <w:rsid w:val="00520FA4"/>
    <w:rsid w:val="00521AC3"/>
    <w:rsid w:val="0052216A"/>
    <w:rsid w:val="005227A2"/>
    <w:rsid w:val="0052306B"/>
    <w:rsid w:val="005230E0"/>
    <w:rsid w:val="00523BFE"/>
    <w:rsid w:val="00524214"/>
    <w:rsid w:val="00524D99"/>
    <w:rsid w:val="0052524A"/>
    <w:rsid w:val="00525EFF"/>
    <w:rsid w:val="0052786E"/>
    <w:rsid w:val="00527976"/>
    <w:rsid w:val="0053034D"/>
    <w:rsid w:val="00530CAF"/>
    <w:rsid w:val="00530F70"/>
    <w:rsid w:val="00531362"/>
    <w:rsid w:val="00531468"/>
    <w:rsid w:val="005327F3"/>
    <w:rsid w:val="00532973"/>
    <w:rsid w:val="00532E16"/>
    <w:rsid w:val="00533A9D"/>
    <w:rsid w:val="00533B00"/>
    <w:rsid w:val="00533C99"/>
    <w:rsid w:val="00533F09"/>
    <w:rsid w:val="00534248"/>
    <w:rsid w:val="00534487"/>
    <w:rsid w:val="00534A1B"/>
    <w:rsid w:val="00535774"/>
    <w:rsid w:val="0053662D"/>
    <w:rsid w:val="00537547"/>
    <w:rsid w:val="005377C9"/>
    <w:rsid w:val="005402CE"/>
    <w:rsid w:val="0054215A"/>
    <w:rsid w:val="0054250D"/>
    <w:rsid w:val="00542773"/>
    <w:rsid w:val="00544221"/>
    <w:rsid w:val="00544A05"/>
    <w:rsid w:val="00544E18"/>
    <w:rsid w:val="00544E30"/>
    <w:rsid w:val="005450FA"/>
    <w:rsid w:val="005457EF"/>
    <w:rsid w:val="00545FFB"/>
    <w:rsid w:val="005462A0"/>
    <w:rsid w:val="00546844"/>
    <w:rsid w:val="00546C31"/>
    <w:rsid w:val="00547262"/>
    <w:rsid w:val="005475AF"/>
    <w:rsid w:val="00547C2C"/>
    <w:rsid w:val="0055063C"/>
    <w:rsid w:val="005515C6"/>
    <w:rsid w:val="00552524"/>
    <w:rsid w:val="005533C9"/>
    <w:rsid w:val="00553F7A"/>
    <w:rsid w:val="00554171"/>
    <w:rsid w:val="005550B4"/>
    <w:rsid w:val="00556209"/>
    <w:rsid w:val="00557F4A"/>
    <w:rsid w:val="005624D1"/>
    <w:rsid w:val="00562966"/>
    <w:rsid w:val="00563344"/>
    <w:rsid w:val="0056337C"/>
    <w:rsid w:val="00563481"/>
    <w:rsid w:val="0056399B"/>
    <w:rsid w:val="005658B0"/>
    <w:rsid w:val="005667B9"/>
    <w:rsid w:val="00566AB9"/>
    <w:rsid w:val="00566E35"/>
    <w:rsid w:val="005670BF"/>
    <w:rsid w:val="00567258"/>
    <w:rsid w:val="0057009B"/>
    <w:rsid w:val="0057030C"/>
    <w:rsid w:val="00570780"/>
    <w:rsid w:val="00571133"/>
    <w:rsid w:val="00572791"/>
    <w:rsid w:val="0057358C"/>
    <w:rsid w:val="005741E1"/>
    <w:rsid w:val="0057421B"/>
    <w:rsid w:val="00575176"/>
    <w:rsid w:val="00575836"/>
    <w:rsid w:val="005759FF"/>
    <w:rsid w:val="005765DE"/>
    <w:rsid w:val="00576F4C"/>
    <w:rsid w:val="0057736C"/>
    <w:rsid w:val="00577454"/>
    <w:rsid w:val="00577B36"/>
    <w:rsid w:val="00580B69"/>
    <w:rsid w:val="00580F99"/>
    <w:rsid w:val="00581765"/>
    <w:rsid w:val="00581CA1"/>
    <w:rsid w:val="00581FEA"/>
    <w:rsid w:val="005824A2"/>
    <w:rsid w:val="00583CF4"/>
    <w:rsid w:val="005840E1"/>
    <w:rsid w:val="0058426F"/>
    <w:rsid w:val="0058432B"/>
    <w:rsid w:val="005849DA"/>
    <w:rsid w:val="00585728"/>
    <w:rsid w:val="00585974"/>
    <w:rsid w:val="00585D6C"/>
    <w:rsid w:val="00586563"/>
    <w:rsid w:val="0058715B"/>
    <w:rsid w:val="005878E4"/>
    <w:rsid w:val="00587A24"/>
    <w:rsid w:val="005906D2"/>
    <w:rsid w:val="00590C2E"/>
    <w:rsid w:val="00591468"/>
    <w:rsid w:val="005914C0"/>
    <w:rsid w:val="00591841"/>
    <w:rsid w:val="00591B0D"/>
    <w:rsid w:val="0059248A"/>
    <w:rsid w:val="005925FF"/>
    <w:rsid w:val="005936B5"/>
    <w:rsid w:val="00593A10"/>
    <w:rsid w:val="00593F86"/>
    <w:rsid w:val="00595FC2"/>
    <w:rsid w:val="00596976"/>
    <w:rsid w:val="005A09CA"/>
    <w:rsid w:val="005A106A"/>
    <w:rsid w:val="005A164F"/>
    <w:rsid w:val="005A185C"/>
    <w:rsid w:val="005A1E33"/>
    <w:rsid w:val="005A21D9"/>
    <w:rsid w:val="005A22A4"/>
    <w:rsid w:val="005A2333"/>
    <w:rsid w:val="005A23CF"/>
    <w:rsid w:val="005A25D6"/>
    <w:rsid w:val="005A264C"/>
    <w:rsid w:val="005A3C71"/>
    <w:rsid w:val="005A3F9A"/>
    <w:rsid w:val="005A55D7"/>
    <w:rsid w:val="005A57E8"/>
    <w:rsid w:val="005A5B3F"/>
    <w:rsid w:val="005A625A"/>
    <w:rsid w:val="005A7199"/>
    <w:rsid w:val="005B1620"/>
    <w:rsid w:val="005B1D51"/>
    <w:rsid w:val="005B222C"/>
    <w:rsid w:val="005B2D86"/>
    <w:rsid w:val="005B30F7"/>
    <w:rsid w:val="005B3568"/>
    <w:rsid w:val="005B3FFF"/>
    <w:rsid w:val="005B4C3F"/>
    <w:rsid w:val="005B5934"/>
    <w:rsid w:val="005B5B32"/>
    <w:rsid w:val="005B6EC2"/>
    <w:rsid w:val="005B6FAE"/>
    <w:rsid w:val="005B7717"/>
    <w:rsid w:val="005B7E82"/>
    <w:rsid w:val="005C03CE"/>
    <w:rsid w:val="005C0DD5"/>
    <w:rsid w:val="005C1440"/>
    <w:rsid w:val="005C2662"/>
    <w:rsid w:val="005C560E"/>
    <w:rsid w:val="005C5B3F"/>
    <w:rsid w:val="005C5BA3"/>
    <w:rsid w:val="005C5C6D"/>
    <w:rsid w:val="005C635A"/>
    <w:rsid w:val="005C6C97"/>
    <w:rsid w:val="005C6F00"/>
    <w:rsid w:val="005C701D"/>
    <w:rsid w:val="005C7BBF"/>
    <w:rsid w:val="005C7C7B"/>
    <w:rsid w:val="005C7F52"/>
    <w:rsid w:val="005D06BA"/>
    <w:rsid w:val="005D155B"/>
    <w:rsid w:val="005D177B"/>
    <w:rsid w:val="005D1E91"/>
    <w:rsid w:val="005D4324"/>
    <w:rsid w:val="005D4651"/>
    <w:rsid w:val="005D4B57"/>
    <w:rsid w:val="005D537C"/>
    <w:rsid w:val="005D5918"/>
    <w:rsid w:val="005D5EAA"/>
    <w:rsid w:val="005D66E3"/>
    <w:rsid w:val="005D68C1"/>
    <w:rsid w:val="005D69D4"/>
    <w:rsid w:val="005D6FC7"/>
    <w:rsid w:val="005D786B"/>
    <w:rsid w:val="005E0A05"/>
    <w:rsid w:val="005E143B"/>
    <w:rsid w:val="005E1D14"/>
    <w:rsid w:val="005E22AB"/>
    <w:rsid w:val="005E2CB2"/>
    <w:rsid w:val="005E2FF6"/>
    <w:rsid w:val="005E341F"/>
    <w:rsid w:val="005E35C0"/>
    <w:rsid w:val="005E3F43"/>
    <w:rsid w:val="005E4091"/>
    <w:rsid w:val="005E4811"/>
    <w:rsid w:val="005E48EC"/>
    <w:rsid w:val="005E4B80"/>
    <w:rsid w:val="005E573B"/>
    <w:rsid w:val="005E6993"/>
    <w:rsid w:val="005E6FC9"/>
    <w:rsid w:val="005E7129"/>
    <w:rsid w:val="005E79F7"/>
    <w:rsid w:val="005F05FB"/>
    <w:rsid w:val="005F066B"/>
    <w:rsid w:val="005F4ED6"/>
    <w:rsid w:val="005F5241"/>
    <w:rsid w:val="005F52CA"/>
    <w:rsid w:val="005F582E"/>
    <w:rsid w:val="005F5CD4"/>
    <w:rsid w:val="00600867"/>
    <w:rsid w:val="00600FD7"/>
    <w:rsid w:val="0060109C"/>
    <w:rsid w:val="00602875"/>
    <w:rsid w:val="0060397C"/>
    <w:rsid w:val="00604787"/>
    <w:rsid w:val="006050D3"/>
    <w:rsid w:val="006053D3"/>
    <w:rsid w:val="00605463"/>
    <w:rsid w:val="006054C9"/>
    <w:rsid w:val="00605EBB"/>
    <w:rsid w:val="006061FD"/>
    <w:rsid w:val="0060651A"/>
    <w:rsid w:val="00606AE2"/>
    <w:rsid w:val="00606CB0"/>
    <w:rsid w:val="00606D4E"/>
    <w:rsid w:val="0060728D"/>
    <w:rsid w:val="00610430"/>
    <w:rsid w:val="0061078D"/>
    <w:rsid w:val="006119C6"/>
    <w:rsid w:val="00611C50"/>
    <w:rsid w:val="00611E9B"/>
    <w:rsid w:val="00612641"/>
    <w:rsid w:val="00612C28"/>
    <w:rsid w:val="00613ADA"/>
    <w:rsid w:val="00613D2B"/>
    <w:rsid w:val="00614047"/>
    <w:rsid w:val="00614936"/>
    <w:rsid w:val="00614C01"/>
    <w:rsid w:val="00614D79"/>
    <w:rsid w:val="006156E4"/>
    <w:rsid w:val="00615B54"/>
    <w:rsid w:val="00616998"/>
    <w:rsid w:val="00616B31"/>
    <w:rsid w:val="00617820"/>
    <w:rsid w:val="006218FB"/>
    <w:rsid w:val="00621D87"/>
    <w:rsid w:val="00621D88"/>
    <w:rsid w:val="0062344D"/>
    <w:rsid w:val="006236E0"/>
    <w:rsid w:val="00623B94"/>
    <w:rsid w:val="00623D8F"/>
    <w:rsid w:val="00624226"/>
    <w:rsid w:val="00625726"/>
    <w:rsid w:val="00625BBD"/>
    <w:rsid w:val="00627BE0"/>
    <w:rsid w:val="00630058"/>
    <w:rsid w:val="0063030A"/>
    <w:rsid w:val="00630577"/>
    <w:rsid w:val="00630C4C"/>
    <w:rsid w:val="00632A07"/>
    <w:rsid w:val="00633121"/>
    <w:rsid w:val="006336EB"/>
    <w:rsid w:val="00633C5F"/>
    <w:rsid w:val="006344A2"/>
    <w:rsid w:val="00634CAD"/>
    <w:rsid w:val="00635C41"/>
    <w:rsid w:val="00635F4B"/>
    <w:rsid w:val="0063611D"/>
    <w:rsid w:val="00637255"/>
    <w:rsid w:val="00637751"/>
    <w:rsid w:val="006408E6"/>
    <w:rsid w:val="00640E9D"/>
    <w:rsid w:val="0064116E"/>
    <w:rsid w:val="006411A0"/>
    <w:rsid w:val="00641605"/>
    <w:rsid w:val="006418A9"/>
    <w:rsid w:val="00641EAE"/>
    <w:rsid w:val="00641FCD"/>
    <w:rsid w:val="0064228C"/>
    <w:rsid w:val="00642706"/>
    <w:rsid w:val="00642E11"/>
    <w:rsid w:val="00643468"/>
    <w:rsid w:val="006434DB"/>
    <w:rsid w:val="00643800"/>
    <w:rsid w:val="00643EC8"/>
    <w:rsid w:val="00645201"/>
    <w:rsid w:val="0064613B"/>
    <w:rsid w:val="00646FDA"/>
    <w:rsid w:val="00647100"/>
    <w:rsid w:val="006475D3"/>
    <w:rsid w:val="00647969"/>
    <w:rsid w:val="006510EA"/>
    <w:rsid w:val="00651380"/>
    <w:rsid w:val="00652083"/>
    <w:rsid w:val="006520B1"/>
    <w:rsid w:val="00652237"/>
    <w:rsid w:val="006523AB"/>
    <w:rsid w:val="00653618"/>
    <w:rsid w:val="006537F8"/>
    <w:rsid w:val="00653BEE"/>
    <w:rsid w:val="00654117"/>
    <w:rsid w:val="00654328"/>
    <w:rsid w:val="006547FB"/>
    <w:rsid w:val="006548DF"/>
    <w:rsid w:val="00654D52"/>
    <w:rsid w:val="00655240"/>
    <w:rsid w:val="0065538D"/>
    <w:rsid w:val="00655B69"/>
    <w:rsid w:val="006568CC"/>
    <w:rsid w:val="00656D80"/>
    <w:rsid w:val="00656E83"/>
    <w:rsid w:val="00657317"/>
    <w:rsid w:val="00657EE4"/>
    <w:rsid w:val="00660BDC"/>
    <w:rsid w:val="006610E7"/>
    <w:rsid w:val="00661AC5"/>
    <w:rsid w:val="00662671"/>
    <w:rsid w:val="00662B68"/>
    <w:rsid w:val="006631E2"/>
    <w:rsid w:val="00663219"/>
    <w:rsid w:val="0066349D"/>
    <w:rsid w:val="006642B6"/>
    <w:rsid w:val="006643F3"/>
    <w:rsid w:val="006651B0"/>
    <w:rsid w:val="0066530A"/>
    <w:rsid w:val="006658EF"/>
    <w:rsid w:val="00665D98"/>
    <w:rsid w:val="00665EEC"/>
    <w:rsid w:val="00665FAB"/>
    <w:rsid w:val="00666A2C"/>
    <w:rsid w:val="006670B0"/>
    <w:rsid w:val="0066720F"/>
    <w:rsid w:val="0067104C"/>
    <w:rsid w:val="006715B2"/>
    <w:rsid w:val="00671AB7"/>
    <w:rsid w:val="00671DB8"/>
    <w:rsid w:val="00672C51"/>
    <w:rsid w:val="006731F5"/>
    <w:rsid w:val="00673490"/>
    <w:rsid w:val="006734A2"/>
    <w:rsid w:val="00673BFB"/>
    <w:rsid w:val="00675640"/>
    <w:rsid w:val="00675B58"/>
    <w:rsid w:val="00675C63"/>
    <w:rsid w:val="006765A2"/>
    <w:rsid w:val="006773ED"/>
    <w:rsid w:val="00677D63"/>
    <w:rsid w:val="00680211"/>
    <w:rsid w:val="00681CF0"/>
    <w:rsid w:val="00681F82"/>
    <w:rsid w:val="00682890"/>
    <w:rsid w:val="00682BD8"/>
    <w:rsid w:val="0068322F"/>
    <w:rsid w:val="00683994"/>
    <w:rsid w:val="006856CC"/>
    <w:rsid w:val="0068664E"/>
    <w:rsid w:val="00686B89"/>
    <w:rsid w:val="0069077B"/>
    <w:rsid w:val="00690785"/>
    <w:rsid w:val="00691623"/>
    <w:rsid w:val="00691628"/>
    <w:rsid w:val="00691672"/>
    <w:rsid w:val="006918DF"/>
    <w:rsid w:val="00692183"/>
    <w:rsid w:val="0069232D"/>
    <w:rsid w:val="00693888"/>
    <w:rsid w:val="0069424D"/>
    <w:rsid w:val="006946EF"/>
    <w:rsid w:val="00694909"/>
    <w:rsid w:val="00694E8B"/>
    <w:rsid w:val="00695027"/>
    <w:rsid w:val="00695735"/>
    <w:rsid w:val="00695CB5"/>
    <w:rsid w:val="00696A04"/>
    <w:rsid w:val="00696D8E"/>
    <w:rsid w:val="0069725E"/>
    <w:rsid w:val="00697380"/>
    <w:rsid w:val="00697D6C"/>
    <w:rsid w:val="00697FC6"/>
    <w:rsid w:val="006A0678"/>
    <w:rsid w:val="006A0881"/>
    <w:rsid w:val="006A0DE4"/>
    <w:rsid w:val="006A1024"/>
    <w:rsid w:val="006A2DAD"/>
    <w:rsid w:val="006A3EC1"/>
    <w:rsid w:val="006A4B8E"/>
    <w:rsid w:val="006A4D07"/>
    <w:rsid w:val="006A54A7"/>
    <w:rsid w:val="006A5B17"/>
    <w:rsid w:val="006A6008"/>
    <w:rsid w:val="006A632E"/>
    <w:rsid w:val="006A64B5"/>
    <w:rsid w:val="006A659B"/>
    <w:rsid w:val="006A6775"/>
    <w:rsid w:val="006A7F67"/>
    <w:rsid w:val="006B1604"/>
    <w:rsid w:val="006B1AC4"/>
    <w:rsid w:val="006B1B10"/>
    <w:rsid w:val="006B2042"/>
    <w:rsid w:val="006B206C"/>
    <w:rsid w:val="006B20E8"/>
    <w:rsid w:val="006B26CD"/>
    <w:rsid w:val="006B3135"/>
    <w:rsid w:val="006B31DB"/>
    <w:rsid w:val="006B3B38"/>
    <w:rsid w:val="006B4BC2"/>
    <w:rsid w:val="006B601F"/>
    <w:rsid w:val="006B70BC"/>
    <w:rsid w:val="006B7C57"/>
    <w:rsid w:val="006C0021"/>
    <w:rsid w:val="006C0B26"/>
    <w:rsid w:val="006C1293"/>
    <w:rsid w:val="006C27AF"/>
    <w:rsid w:val="006C3FAF"/>
    <w:rsid w:val="006C4913"/>
    <w:rsid w:val="006C5822"/>
    <w:rsid w:val="006C5DE4"/>
    <w:rsid w:val="006C61CF"/>
    <w:rsid w:val="006C7884"/>
    <w:rsid w:val="006C7C7C"/>
    <w:rsid w:val="006D0072"/>
    <w:rsid w:val="006D08A2"/>
    <w:rsid w:val="006D16BF"/>
    <w:rsid w:val="006D29B8"/>
    <w:rsid w:val="006D344A"/>
    <w:rsid w:val="006D3BE8"/>
    <w:rsid w:val="006D4B37"/>
    <w:rsid w:val="006D5CE5"/>
    <w:rsid w:val="006D5F86"/>
    <w:rsid w:val="006D6353"/>
    <w:rsid w:val="006D67DE"/>
    <w:rsid w:val="006D697F"/>
    <w:rsid w:val="006D79A2"/>
    <w:rsid w:val="006D7AC3"/>
    <w:rsid w:val="006D7DCA"/>
    <w:rsid w:val="006E07E0"/>
    <w:rsid w:val="006E0B49"/>
    <w:rsid w:val="006E2EFE"/>
    <w:rsid w:val="006E405E"/>
    <w:rsid w:val="006E435D"/>
    <w:rsid w:val="006E4B6C"/>
    <w:rsid w:val="006E4F8F"/>
    <w:rsid w:val="006E51A6"/>
    <w:rsid w:val="006E594D"/>
    <w:rsid w:val="006E5D0B"/>
    <w:rsid w:val="006E5D45"/>
    <w:rsid w:val="006E5FEC"/>
    <w:rsid w:val="006E6073"/>
    <w:rsid w:val="006E6638"/>
    <w:rsid w:val="006E6A37"/>
    <w:rsid w:val="006E78FF"/>
    <w:rsid w:val="006F0D1D"/>
    <w:rsid w:val="006F1947"/>
    <w:rsid w:val="006F1D85"/>
    <w:rsid w:val="006F4DE4"/>
    <w:rsid w:val="006F51A3"/>
    <w:rsid w:val="006F52C5"/>
    <w:rsid w:val="006F5447"/>
    <w:rsid w:val="006F6918"/>
    <w:rsid w:val="006F6FEB"/>
    <w:rsid w:val="006F7128"/>
    <w:rsid w:val="006F771F"/>
    <w:rsid w:val="006F77D5"/>
    <w:rsid w:val="006F7E6F"/>
    <w:rsid w:val="007009C9"/>
    <w:rsid w:val="007015DD"/>
    <w:rsid w:val="007029C9"/>
    <w:rsid w:val="007030BC"/>
    <w:rsid w:val="00703109"/>
    <w:rsid w:val="00704DBD"/>
    <w:rsid w:val="00705EC2"/>
    <w:rsid w:val="00706CD7"/>
    <w:rsid w:val="00707962"/>
    <w:rsid w:val="00707C81"/>
    <w:rsid w:val="00707FCD"/>
    <w:rsid w:val="007104EF"/>
    <w:rsid w:val="007105EC"/>
    <w:rsid w:val="00710701"/>
    <w:rsid w:val="00710AAF"/>
    <w:rsid w:val="00710F8F"/>
    <w:rsid w:val="00711EB8"/>
    <w:rsid w:val="00711F1C"/>
    <w:rsid w:val="007120C6"/>
    <w:rsid w:val="007123A6"/>
    <w:rsid w:val="007124B9"/>
    <w:rsid w:val="007127B5"/>
    <w:rsid w:val="0071341E"/>
    <w:rsid w:val="00714183"/>
    <w:rsid w:val="0071511D"/>
    <w:rsid w:val="00715726"/>
    <w:rsid w:val="0071589A"/>
    <w:rsid w:val="00715CA7"/>
    <w:rsid w:val="007169E2"/>
    <w:rsid w:val="007170CF"/>
    <w:rsid w:val="007171C4"/>
    <w:rsid w:val="007177B9"/>
    <w:rsid w:val="00717899"/>
    <w:rsid w:val="00721C46"/>
    <w:rsid w:val="00722231"/>
    <w:rsid w:val="00722517"/>
    <w:rsid w:val="00722BA2"/>
    <w:rsid w:val="00722C78"/>
    <w:rsid w:val="00722D63"/>
    <w:rsid w:val="0072358E"/>
    <w:rsid w:val="00725254"/>
    <w:rsid w:val="00725673"/>
    <w:rsid w:val="00725F7A"/>
    <w:rsid w:val="00726CFD"/>
    <w:rsid w:val="007272E9"/>
    <w:rsid w:val="0072797D"/>
    <w:rsid w:val="00727FC4"/>
    <w:rsid w:val="00730109"/>
    <w:rsid w:val="00730B3C"/>
    <w:rsid w:val="00731E97"/>
    <w:rsid w:val="00732239"/>
    <w:rsid w:val="007323BC"/>
    <w:rsid w:val="00733CB7"/>
    <w:rsid w:val="00733D6E"/>
    <w:rsid w:val="0073521D"/>
    <w:rsid w:val="00736E3D"/>
    <w:rsid w:val="007370B9"/>
    <w:rsid w:val="00737269"/>
    <w:rsid w:val="00740499"/>
    <w:rsid w:val="00740728"/>
    <w:rsid w:val="007409AC"/>
    <w:rsid w:val="00740D49"/>
    <w:rsid w:val="00740E02"/>
    <w:rsid w:val="007413FF"/>
    <w:rsid w:val="007415D8"/>
    <w:rsid w:val="00741601"/>
    <w:rsid w:val="007422FD"/>
    <w:rsid w:val="00742AC2"/>
    <w:rsid w:val="00743031"/>
    <w:rsid w:val="0074303D"/>
    <w:rsid w:val="00743555"/>
    <w:rsid w:val="00743A4C"/>
    <w:rsid w:val="00744332"/>
    <w:rsid w:val="00744B01"/>
    <w:rsid w:val="00745880"/>
    <w:rsid w:val="00746388"/>
    <w:rsid w:val="007472D6"/>
    <w:rsid w:val="00750438"/>
    <w:rsid w:val="007521EB"/>
    <w:rsid w:val="00752338"/>
    <w:rsid w:val="00752932"/>
    <w:rsid w:val="00752E31"/>
    <w:rsid w:val="007537F2"/>
    <w:rsid w:val="007561FC"/>
    <w:rsid w:val="0075620A"/>
    <w:rsid w:val="0075626F"/>
    <w:rsid w:val="00756E5F"/>
    <w:rsid w:val="007571BA"/>
    <w:rsid w:val="0075734C"/>
    <w:rsid w:val="007577B8"/>
    <w:rsid w:val="00757DC2"/>
    <w:rsid w:val="0076016E"/>
    <w:rsid w:val="00760B45"/>
    <w:rsid w:val="00761139"/>
    <w:rsid w:val="007613A7"/>
    <w:rsid w:val="00761F75"/>
    <w:rsid w:val="00762073"/>
    <w:rsid w:val="007644B5"/>
    <w:rsid w:val="007644CF"/>
    <w:rsid w:val="007649A8"/>
    <w:rsid w:val="0076592A"/>
    <w:rsid w:val="007666F0"/>
    <w:rsid w:val="00766E7B"/>
    <w:rsid w:val="00766FD5"/>
    <w:rsid w:val="0076766D"/>
    <w:rsid w:val="00770252"/>
    <w:rsid w:val="00770811"/>
    <w:rsid w:val="007713C2"/>
    <w:rsid w:val="0077175C"/>
    <w:rsid w:val="0077218B"/>
    <w:rsid w:val="007723EB"/>
    <w:rsid w:val="00772852"/>
    <w:rsid w:val="007730E1"/>
    <w:rsid w:val="007737FB"/>
    <w:rsid w:val="00773E1A"/>
    <w:rsid w:val="00775961"/>
    <w:rsid w:val="00775E9D"/>
    <w:rsid w:val="007760D8"/>
    <w:rsid w:val="007760DC"/>
    <w:rsid w:val="007768C6"/>
    <w:rsid w:val="00776C1A"/>
    <w:rsid w:val="0078138B"/>
    <w:rsid w:val="00781775"/>
    <w:rsid w:val="00781C4D"/>
    <w:rsid w:val="00782327"/>
    <w:rsid w:val="00782867"/>
    <w:rsid w:val="00782B21"/>
    <w:rsid w:val="00782EAB"/>
    <w:rsid w:val="007834B4"/>
    <w:rsid w:val="007834C6"/>
    <w:rsid w:val="00784708"/>
    <w:rsid w:val="00785C69"/>
    <w:rsid w:val="00785DB4"/>
    <w:rsid w:val="00786632"/>
    <w:rsid w:val="00786E33"/>
    <w:rsid w:val="007874DE"/>
    <w:rsid w:val="00790120"/>
    <w:rsid w:val="007906AF"/>
    <w:rsid w:val="00790C14"/>
    <w:rsid w:val="00790E28"/>
    <w:rsid w:val="00791340"/>
    <w:rsid w:val="007919E2"/>
    <w:rsid w:val="00791B4E"/>
    <w:rsid w:val="00793239"/>
    <w:rsid w:val="007945BC"/>
    <w:rsid w:val="007949BE"/>
    <w:rsid w:val="00794D5A"/>
    <w:rsid w:val="00795B23"/>
    <w:rsid w:val="00795D2A"/>
    <w:rsid w:val="0079622C"/>
    <w:rsid w:val="00796405"/>
    <w:rsid w:val="0079662C"/>
    <w:rsid w:val="007968F0"/>
    <w:rsid w:val="00796D56"/>
    <w:rsid w:val="00796F6A"/>
    <w:rsid w:val="007A0702"/>
    <w:rsid w:val="007A08D2"/>
    <w:rsid w:val="007A08E4"/>
    <w:rsid w:val="007A2192"/>
    <w:rsid w:val="007A29BF"/>
    <w:rsid w:val="007A30E6"/>
    <w:rsid w:val="007A4261"/>
    <w:rsid w:val="007A4522"/>
    <w:rsid w:val="007A45CA"/>
    <w:rsid w:val="007A4E91"/>
    <w:rsid w:val="007A520C"/>
    <w:rsid w:val="007A5431"/>
    <w:rsid w:val="007A5A92"/>
    <w:rsid w:val="007A5F0A"/>
    <w:rsid w:val="007A6B2C"/>
    <w:rsid w:val="007A6E68"/>
    <w:rsid w:val="007A7256"/>
    <w:rsid w:val="007B0875"/>
    <w:rsid w:val="007B1448"/>
    <w:rsid w:val="007B1528"/>
    <w:rsid w:val="007B1C19"/>
    <w:rsid w:val="007B215D"/>
    <w:rsid w:val="007B2BDB"/>
    <w:rsid w:val="007B423A"/>
    <w:rsid w:val="007B43CC"/>
    <w:rsid w:val="007B489E"/>
    <w:rsid w:val="007B4970"/>
    <w:rsid w:val="007B4BA1"/>
    <w:rsid w:val="007B5213"/>
    <w:rsid w:val="007B6575"/>
    <w:rsid w:val="007B6639"/>
    <w:rsid w:val="007B66A8"/>
    <w:rsid w:val="007B6E24"/>
    <w:rsid w:val="007B7D4D"/>
    <w:rsid w:val="007C02C4"/>
    <w:rsid w:val="007C0DCF"/>
    <w:rsid w:val="007C1134"/>
    <w:rsid w:val="007C14A6"/>
    <w:rsid w:val="007C1EF2"/>
    <w:rsid w:val="007C2196"/>
    <w:rsid w:val="007C2910"/>
    <w:rsid w:val="007C2A4C"/>
    <w:rsid w:val="007C407D"/>
    <w:rsid w:val="007C462E"/>
    <w:rsid w:val="007C48B9"/>
    <w:rsid w:val="007C5218"/>
    <w:rsid w:val="007C5349"/>
    <w:rsid w:val="007C54B4"/>
    <w:rsid w:val="007C581A"/>
    <w:rsid w:val="007C58E7"/>
    <w:rsid w:val="007C5B3F"/>
    <w:rsid w:val="007C60EA"/>
    <w:rsid w:val="007C642D"/>
    <w:rsid w:val="007C6755"/>
    <w:rsid w:val="007C74DF"/>
    <w:rsid w:val="007C77F1"/>
    <w:rsid w:val="007D3296"/>
    <w:rsid w:val="007D40B6"/>
    <w:rsid w:val="007D439B"/>
    <w:rsid w:val="007D4449"/>
    <w:rsid w:val="007D4626"/>
    <w:rsid w:val="007D4C43"/>
    <w:rsid w:val="007D4C4F"/>
    <w:rsid w:val="007D5AD7"/>
    <w:rsid w:val="007D5EA9"/>
    <w:rsid w:val="007D614A"/>
    <w:rsid w:val="007D6F9A"/>
    <w:rsid w:val="007D7081"/>
    <w:rsid w:val="007D7128"/>
    <w:rsid w:val="007D7B30"/>
    <w:rsid w:val="007E06DC"/>
    <w:rsid w:val="007E0D2E"/>
    <w:rsid w:val="007E14D7"/>
    <w:rsid w:val="007E2AFE"/>
    <w:rsid w:val="007E40DC"/>
    <w:rsid w:val="007E412F"/>
    <w:rsid w:val="007E4B86"/>
    <w:rsid w:val="007E5AD5"/>
    <w:rsid w:val="007E71F8"/>
    <w:rsid w:val="007E77E9"/>
    <w:rsid w:val="007F093A"/>
    <w:rsid w:val="007F0C8B"/>
    <w:rsid w:val="007F1AD5"/>
    <w:rsid w:val="007F1EAE"/>
    <w:rsid w:val="007F3166"/>
    <w:rsid w:val="007F31BF"/>
    <w:rsid w:val="007F454F"/>
    <w:rsid w:val="007F46FF"/>
    <w:rsid w:val="007F5CE0"/>
    <w:rsid w:val="007F62DE"/>
    <w:rsid w:val="007F6C88"/>
    <w:rsid w:val="007F6CE4"/>
    <w:rsid w:val="007F6FD5"/>
    <w:rsid w:val="007F74C5"/>
    <w:rsid w:val="007F7636"/>
    <w:rsid w:val="007F7817"/>
    <w:rsid w:val="007F7B09"/>
    <w:rsid w:val="007F7BF3"/>
    <w:rsid w:val="007F7E9D"/>
    <w:rsid w:val="008004C3"/>
    <w:rsid w:val="00800CDD"/>
    <w:rsid w:val="00801863"/>
    <w:rsid w:val="00802335"/>
    <w:rsid w:val="0080427C"/>
    <w:rsid w:val="008056D0"/>
    <w:rsid w:val="0080593D"/>
    <w:rsid w:val="008063A1"/>
    <w:rsid w:val="00806C6F"/>
    <w:rsid w:val="008071EC"/>
    <w:rsid w:val="00807405"/>
    <w:rsid w:val="00807649"/>
    <w:rsid w:val="00807F79"/>
    <w:rsid w:val="008100FA"/>
    <w:rsid w:val="008107EE"/>
    <w:rsid w:val="008110E8"/>
    <w:rsid w:val="0081125C"/>
    <w:rsid w:val="0081148C"/>
    <w:rsid w:val="008123EA"/>
    <w:rsid w:val="00812610"/>
    <w:rsid w:val="00813A94"/>
    <w:rsid w:val="00813D0F"/>
    <w:rsid w:val="00813F8A"/>
    <w:rsid w:val="00814D95"/>
    <w:rsid w:val="008150B6"/>
    <w:rsid w:val="00816851"/>
    <w:rsid w:val="00820576"/>
    <w:rsid w:val="0082083C"/>
    <w:rsid w:val="00820CBD"/>
    <w:rsid w:val="00821B32"/>
    <w:rsid w:val="00821DFF"/>
    <w:rsid w:val="00821EEF"/>
    <w:rsid w:val="00822107"/>
    <w:rsid w:val="0082235C"/>
    <w:rsid w:val="00823052"/>
    <w:rsid w:val="00823237"/>
    <w:rsid w:val="008235F1"/>
    <w:rsid w:val="0082433D"/>
    <w:rsid w:val="008244F1"/>
    <w:rsid w:val="0082477B"/>
    <w:rsid w:val="00824F1E"/>
    <w:rsid w:val="0082534B"/>
    <w:rsid w:val="00826333"/>
    <w:rsid w:val="0082783A"/>
    <w:rsid w:val="00832333"/>
    <w:rsid w:val="008325B9"/>
    <w:rsid w:val="00832C26"/>
    <w:rsid w:val="008330E1"/>
    <w:rsid w:val="0083329D"/>
    <w:rsid w:val="008332E9"/>
    <w:rsid w:val="00833AEE"/>
    <w:rsid w:val="00833CC1"/>
    <w:rsid w:val="0083417A"/>
    <w:rsid w:val="0083419D"/>
    <w:rsid w:val="00834372"/>
    <w:rsid w:val="00834BAB"/>
    <w:rsid w:val="00834DB9"/>
    <w:rsid w:val="0083637E"/>
    <w:rsid w:val="008364CF"/>
    <w:rsid w:val="008367BE"/>
    <w:rsid w:val="00836A16"/>
    <w:rsid w:val="00836F3E"/>
    <w:rsid w:val="00837150"/>
    <w:rsid w:val="00837381"/>
    <w:rsid w:val="0083789B"/>
    <w:rsid w:val="00840506"/>
    <w:rsid w:val="00840FD6"/>
    <w:rsid w:val="008417D1"/>
    <w:rsid w:val="00841846"/>
    <w:rsid w:val="00841913"/>
    <w:rsid w:val="00841D95"/>
    <w:rsid w:val="00843364"/>
    <w:rsid w:val="00843A56"/>
    <w:rsid w:val="00843E9E"/>
    <w:rsid w:val="00844298"/>
    <w:rsid w:val="00844FBE"/>
    <w:rsid w:val="008454FC"/>
    <w:rsid w:val="008456CF"/>
    <w:rsid w:val="00845C0F"/>
    <w:rsid w:val="00850386"/>
    <w:rsid w:val="00850A70"/>
    <w:rsid w:val="00851191"/>
    <w:rsid w:val="0085125B"/>
    <w:rsid w:val="00851E38"/>
    <w:rsid w:val="00852B54"/>
    <w:rsid w:val="008541EF"/>
    <w:rsid w:val="00854525"/>
    <w:rsid w:val="00854621"/>
    <w:rsid w:val="008559C3"/>
    <w:rsid w:val="00855E06"/>
    <w:rsid w:val="008562FE"/>
    <w:rsid w:val="00856B20"/>
    <w:rsid w:val="00856BC8"/>
    <w:rsid w:val="00856C4C"/>
    <w:rsid w:val="00857A18"/>
    <w:rsid w:val="0086006D"/>
    <w:rsid w:val="0086008E"/>
    <w:rsid w:val="008608C9"/>
    <w:rsid w:val="00861115"/>
    <w:rsid w:val="0086156B"/>
    <w:rsid w:val="00861646"/>
    <w:rsid w:val="008616C4"/>
    <w:rsid w:val="0086338C"/>
    <w:rsid w:val="008633A2"/>
    <w:rsid w:val="008634DB"/>
    <w:rsid w:val="008638CB"/>
    <w:rsid w:val="0086437F"/>
    <w:rsid w:val="00864390"/>
    <w:rsid w:val="00864517"/>
    <w:rsid w:val="008651F6"/>
    <w:rsid w:val="008659DC"/>
    <w:rsid w:val="008665F5"/>
    <w:rsid w:val="008666C2"/>
    <w:rsid w:val="00866967"/>
    <w:rsid w:val="008669F8"/>
    <w:rsid w:val="00866C81"/>
    <w:rsid w:val="00870017"/>
    <w:rsid w:val="0087092D"/>
    <w:rsid w:val="00871138"/>
    <w:rsid w:val="0087152A"/>
    <w:rsid w:val="0087197F"/>
    <w:rsid w:val="00871EDE"/>
    <w:rsid w:val="00872741"/>
    <w:rsid w:val="008733DC"/>
    <w:rsid w:val="0087340E"/>
    <w:rsid w:val="00874519"/>
    <w:rsid w:val="008749B6"/>
    <w:rsid w:val="00874C9D"/>
    <w:rsid w:val="00875240"/>
    <w:rsid w:val="008756BD"/>
    <w:rsid w:val="00875754"/>
    <w:rsid w:val="00876200"/>
    <w:rsid w:val="00876CC8"/>
    <w:rsid w:val="00876F25"/>
    <w:rsid w:val="008803CC"/>
    <w:rsid w:val="00881526"/>
    <w:rsid w:val="008828BD"/>
    <w:rsid w:val="00883969"/>
    <w:rsid w:val="00884F75"/>
    <w:rsid w:val="0088512E"/>
    <w:rsid w:val="00885CE8"/>
    <w:rsid w:val="00886150"/>
    <w:rsid w:val="008864B7"/>
    <w:rsid w:val="00887695"/>
    <w:rsid w:val="008879F7"/>
    <w:rsid w:val="00887C4B"/>
    <w:rsid w:val="00887FA5"/>
    <w:rsid w:val="00890AB9"/>
    <w:rsid w:val="00891727"/>
    <w:rsid w:val="00892AD0"/>
    <w:rsid w:val="00892D35"/>
    <w:rsid w:val="00893191"/>
    <w:rsid w:val="00893501"/>
    <w:rsid w:val="008936A1"/>
    <w:rsid w:val="00893DB7"/>
    <w:rsid w:val="00894364"/>
    <w:rsid w:val="00896178"/>
    <w:rsid w:val="00896282"/>
    <w:rsid w:val="00896535"/>
    <w:rsid w:val="00896609"/>
    <w:rsid w:val="00897F47"/>
    <w:rsid w:val="008A0079"/>
    <w:rsid w:val="008A01F1"/>
    <w:rsid w:val="008A01F4"/>
    <w:rsid w:val="008A027C"/>
    <w:rsid w:val="008A172F"/>
    <w:rsid w:val="008A2322"/>
    <w:rsid w:val="008A251B"/>
    <w:rsid w:val="008A258D"/>
    <w:rsid w:val="008A26D7"/>
    <w:rsid w:val="008A3391"/>
    <w:rsid w:val="008A40A3"/>
    <w:rsid w:val="008A4192"/>
    <w:rsid w:val="008A41B6"/>
    <w:rsid w:val="008A4D06"/>
    <w:rsid w:val="008A5707"/>
    <w:rsid w:val="008A5AD4"/>
    <w:rsid w:val="008A5BE2"/>
    <w:rsid w:val="008A5D37"/>
    <w:rsid w:val="008A68EC"/>
    <w:rsid w:val="008A711B"/>
    <w:rsid w:val="008B03A7"/>
    <w:rsid w:val="008B0EC9"/>
    <w:rsid w:val="008B10EA"/>
    <w:rsid w:val="008B1626"/>
    <w:rsid w:val="008B27CA"/>
    <w:rsid w:val="008B3D57"/>
    <w:rsid w:val="008B3F33"/>
    <w:rsid w:val="008B44E5"/>
    <w:rsid w:val="008B45A0"/>
    <w:rsid w:val="008B49C0"/>
    <w:rsid w:val="008B4A47"/>
    <w:rsid w:val="008B666A"/>
    <w:rsid w:val="008B6690"/>
    <w:rsid w:val="008B69BE"/>
    <w:rsid w:val="008B6A57"/>
    <w:rsid w:val="008B6BEF"/>
    <w:rsid w:val="008C08EF"/>
    <w:rsid w:val="008C0D58"/>
    <w:rsid w:val="008C14E0"/>
    <w:rsid w:val="008C1536"/>
    <w:rsid w:val="008C1D86"/>
    <w:rsid w:val="008C1E54"/>
    <w:rsid w:val="008C2B47"/>
    <w:rsid w:val="008C348E"/>
    <w:rsid w:val="008C4073"/>
    <w:rsid w:val="008C434C"/>
    <w:rsid w:val="008C44EF"/>
    <w:rsid w:val="008C4658"/>
    <w:rsid w:val="008C4DE9"/>
    <w:rsid w:val="008C6089"/>
    <w:rsid w:val="008C67A6"/>
    <w:rsid w:val="008C6A36"/>
    <w:rsid w:val="008C6DF8"/>
    <w:rsid w:val="008C7736"/>
    <w:rsid w:val="008C7D0E"/>
    <w:rsid w:val="008C7E86"/>
    <w:rsid w:val="008D03E1"/>
    <w:rsid w:val="008D05C5"/>
    <w:rsid w:val="008D08CF"/>
    <w:rsid w:val="008D14AD"/>
    <w:rsid w:val="008D1B88"/>
    <w:rsid w:val="008D20BD"/>
    <w:rsid w:val="008D2851"/>
    <w:rsid w:val="008D2B4C"/>
    <w:rsid w:val="008D2E8E"/>
    <w:rsid w:val="008D2FCB"/>
    <w:rsid w:val="008D3B48"/>
    <w:rsid w:val="008D3BAB"/>
    <w:rsid w:val="008D41E2"/>
    <w:rsid w:val="008D49E0"/>
    <w:rsid w:val="008D4C2D"/>
    <w:rsid w:val="008D5718"/>
    <w:rsid w:val="008D6135"/>
    <w:rsid w:val="008D6604"/>
    <w:rsid w:val="008D7220"/>
    <w:rsid w:val="008D7735"/>
    <w:rsid w:val="008D7C8F"/>
    <w:rsid w:val="008E10CF"/>
    <w:rsid w:val="008E141F"/>
    <w:rsid w:val="008E1A27"/>
    <w:rsid w:val="008E23BF"/>
    <w:rsid w:val="008E318B"/>
    <w:rsid w:val="008E399D"/>
    <w:rsid w:val="008E4257"/>
    <w:rsid w:val="008E4D03"/>
    <w:rsid w:val="008E4EB3"/>
    <w:rsid w:val="008E5391"/>
    <w:rsid w:val="008E57D7"/>
    <w:rsid w:val="008E5E85"/>
    <w:rsid w:val="008E6D00"/>
    <w:rsid w:val="008E6FD9"/>
    <w:rsid w:val="008E7279"/>
    <w:rsid w:val="008E732E"/>
    <w:rsid w:val="008E74B1"/>
    <w:rsid w:val="008E7DC1"/>
    <w:rsid w:val="008F03BD"/>
    <w:rsid w:val="008F2C34"/>
    <w:rsid w:val="008F3174"/>
    <w:rsid w:val="008F41C0"/>
    <w:rsid w:val="008F496A"/>
    <w:rsid w:val="008F4EE1"/>
    <w:rsid w:val="008F52B7"/>
    <w:rsid w:val="008F55A3"/>
    <w:rsid w:val="008F5F96"/>
    <w:rsid w:val="008F7B48"/>
    <w:rsid w:val="008F7BEB"/>
    <w:rsid w:val="009003F0"/>
    <w:rsid w:val="0090057E"/>
    <w:rsid w:val="00900E6C"/>
    <w:rsid w:val="00901740"/>
    <w:rsid w:val="00901ACA"/>
    <w:rsid w:val="00901ED1"/>
    <w:rsid w:val="00901F22"/>
    <w:rsid w:val="00901F5D"/>
    <w:rsid w:val="0090243B"/>
    <w:rsid w:val="00904003"/>
    <w:rsid w:val="00905BC7"/>
    <w:rsid w:val="00906882"/>
    <w:rsid w:val="009071BB"/>
    <w:rsid w:val="0090799A"/>
    <w:rsid w:val="009108E4"/>
    <w:rsid w:val="00911057"/>
    <w:rsid w:val="009112B6"/>
    <w:rsid w:val="0091174F"/>
    <w:rsid w:val="0091190B"/>
    <w:rsid w:val="00915673"/>
    <w:rsid w:val="00916BD1"/>
    <w:rsid w:val="00917226"/>
    <w:rsid w:val="009173F4"/>
    <w:rsid w:val="00920103"/>
    <w:rsid w:val="00921407"/>
    <w:rsid w:val="009232B2"/>
    <w:rsid w:val="00923602"/>
    <w:rsid w:val="009236B4"/>
    <w:rsid w:val="00923721"/>
    <w:rsid w:val="0092387D"/>
    <w:rsid w:val="00923F68"/>
    <w:rsid w:val="009240BF"/>
    <w:rsid w:val="009242E8"/>
    <w:rsid w:val="00925842"/>
    <w:rsid w:val="00925B89"/>
    <w:rsid w:val="0092647F"/>
    <w:rsid w:val="009268D0"/>
    <w:rsid w:val="00926E45"/>
    <w:rsid w:val="00927892"/>
    <w:rsid w:val="00927984"/>
    <w:rsid w:val="00927AD6"/>
    <w:rsid w:val="00927B1F"/>
    <w:rsid w:val="00927F44"/>
    <w:rsid w:val="00930E7C"/>
    <w:rsid w:val="00931C89"/>
    <w:rsid w:val="00931F4A"/>
    <w:rsid w:val="009325FF"/>
    <w:rsid w:val="0093284F"/>
    <w:rsid w:val="0093300E"/>
    <w:rsid w:val="00933445"/>
    <w:rsid w:val="00933917"/>
    <w:rsid w:val="009344D8"/>
    <w:rsid w:val="00934F28"/>
    <w:rsid w:val="009357BC"/>
    <w:rsid w:val="009362B2"/>
    <w:rsid w:val="00937D7A"/>
    <w:rsid w:val="00937E04"/>
    <w:rsid w:val="009410A1"/>
    <w:rsid w:val="009424C6"/>
    <w:rsid w:val="0094361C"/>
    <w:rsid w:val="009436BD"/>
    <w:rsid w:val="00944A3C"/>
    <w:rsid w:val="00945C2F"/>
    <w:rsid w:val="00947659"/>
    <w:rsid w:val="00951317"/>
    <w:rsid w:val="009517B7"/>
    <w:rsid w:val="00951DAF"/>
    <w:rsid w:val="00952192"/>
    <w:rsid w:val="009528C5"/>
    <w:rsid w:val="00952900"/>
    <w:rsid w:val="00952F76"/>
    <w:rsid w:val="0095319F"/>
    <w:rsid w:val="00953819"/>
    <w:rsid w:val="00953DF0"/>
    <w:rsid w:val="009554FF"/>
    <w:rsid w:val="0095589D"/>
    <w:rsid w:val="00955FE7"/>
    <w:rsid w:val="00956EC2"/>
    <w:rsid w:val="00957E9B"/>
    <w:rsid w:val="0096062C"/>
    <w:rsid w:val="009611AA"/>
    <w:rsid w:val="00961F65"/>
    <w:rsid w:val="00962941"/>
    <w:rsid w:val="00963113"/>
    <w:rsid w:val="009631FA"/>
    <w:rsid w:val="00963458"/>
    <w:rsid w:val="00963545"/>
    <w:rsid w:val="00963771"/>
    <w:rsid w:val="00964A0B"/>
    <w:rsid w:val="0096545A"/>
    <w:rsid w:val="009655BE"/>
    <w:rsid w:val="00965883"/>
    <w:rsid w:val="00965977"/>
    <w:rsid w:val="009659EB"/>
    <w:rsid w:val="00965A92"/>
    <w:rsid w:val="00965B05"/>
    <w:rsid w:val="009667F5"/>
    <w:rsid w:val="00967118"/>
    <w:rsid w:val="0097048F"/>
    <w:rsid w:val="00970B27"/>
    <w:rsid w:val="009717AF"/>
    <w:rsid w:val="00971908"/>
    <w:rsid w:val="00971F0A"/>
    <w:rsid w:val="0097253D"/>
    <w:rsid w:val="009732C4"/>
    <w:rsid w:val="009735DB"/>
    <w:rsid w:val="00973986"/>
    <w:rsid w:val="00973E4C"/>
    <w:rsid w:val="0097403D"/>
    <w:rsid w:val="00975829"/>
    <w:rsid w:val="00980721"/>
    <w:rsid w:val="00980B9B"/>
    <w:rsid w:val="00980D6C"/>
    <w:rsid w:val="009818DE"/>
    <w:rsid w:val="00982377"/>
    <w:rsid w:val="00982383"/>
    <w:rsid w:val="00982E71"/>
    <w:rsid w:val="00983CF0"/>
    <w:rsid w:val="00983D82"/>
    <w:rsid w:val="00984333"/>
    <w:rsid w:val="00985242"/>
    <w:rsid w:val="00985DCB"/>
    <w:rsid w:val="00985E4B"/>
    <w:rsid w:val="00986180"/>
    <w:rsid w:val="009864CE"/>
    <w:rsid w:val="00986724"/>
    <w:rsid w:val="00987272"/>
    <w:rsid w:val="00987288"/>
    <w:rsid w:val="0098736E"/>
    <w:rsid w:val="009873E6"/>
    <w:rsid w:val="0098754A"/>
    <w:rsid w:val="00987B7A"/>
    <w:rsid w:val="0099039E"/>
    <w:rsid w:val="0099057D"/>
    <w:rsid w:val="009905FA"/>
    <w:rsid w:val="00990A7F"/>
    <w:rsid w:val="00990D82"/>
    <w:rsid w:val="009910BD"/>
    <w:rsid w:val="009919A8"/>
    <w:rsid w:val="00991B70"/>
    <w:rsid w:val="00991C4A"/>
    <w:rsid w:val="009920C2"/>
    <w:rsid w:val="00992B59"/>
    <w:rsid w:val="0099330F"/>
    <w:rsid w:val="00993A2D"/>
    <w:rsid w:val="0099413F"/>
    <w:rsid w:val="0099438D"/>
    <w:rsid w:val="0099458A"/>
    <w:rsid w:val="00994B79"/>
    <w:rsid w:val="00994FA6"/>
    <w:rsid w:val="00995119"/>
    <w:rsid w:val="009952C2"/>
    <w:rsid w:val="0099615E"/>
    <w:rsid w:val="00996C35"/>
    <w:rsid w:val="00996E24"/>
    <w:rsid w:val="00997431"/>
    <w:rsid w:val="00997777"/>
    <w:rsid w:val="00997D9B"/>
    <w:rsid w:val="009A144F"/>
    <w:rsid w:val="009A261E"/>
    <w:rsid w:val="009A2F77"/>
    <w:rsid w:val="009A32E1"/>
    <w:rsid w:val="009A4855"/>
    <w:rsid w:val="009A49D9"/>
    <w:rsid w:val="009A55F9"/>
    <w:rsid w:val="009A5E91"/>
    <w:rsid w:val="009A625D"/>
    <w:rsid w:val="009A6494"/>
    <w:rsid w:val="009A64F2"/>
    <w:rsid w:val="009A6523"/>
    <w:rsid w:val="009A6571"/>
    <w:rsid w:val="009A6EEE"/>
    <w:rsid w:val="009A76AF"/>
    <w:rsid w:val="009A77E6"/>
    <w:rsid w:val="009B01C6"/>
    <w:rsid w:val="009B03DA"/>
    <w:rsid w:val="009B072E"/>
    <w:rsid w:val="009B0BA1"/>
    <w:rsid w:val="009B0EBB"/>
    <w:rsid w:val="009B1709"/>
    <w:rsid w:val="009B1B77"/>
    <w:rsid w:val="009B200C"/>
    <w:rsid w:val="009B24B4"/>
    <w:rsid w:val="009B252E"/>
    <w:rsid w:val="009B2CE6"/>
    <w:rsid w:val="009B3A64"/>
    <w:rsid w:val="009B4183"/>
    <w:rsid w:val="009B48F5"/>
    <w:rsid w:val="009B4C42"/>
    <w:rsid w:val="009B4CF9"/>
    <w:rsid w:val="009B4D75"/>
    <w:rsid w:val="009B634B"/>
    <w:rsid w:val="009B65F7"/>
    <w:rsid w:val="009B6A22"/>
    <w:rsid w:val="009B6BA7"/>
    <w:rsid w:val="009B7810"/>
    <w:rsid w:val="009C07A5"/>
    <w:rsid w:val="009C115D"/>
    <w:rsid w:val="009C11A2"/>
    <w:rsid w:val="009C1DF8"/>
    <w:rsid w:val="009C312E"/>
    <w:rsid w:val="009C3F6A"/>
    <w:rsid w:val="009C4D2B"/>
    <w:rsid w:val="009C4E08"/>
    <w:rsid w:val="009C51AF"/>
    <w:rsid w:val="009C5603"/>
    <w:rsid w:val="009C5C10"/>
    <w:rsid w:val="009C5D65"/>
    <w:rsid w:val="009C6DEF"/>
    <w:rsid w:val="009C761F"/>
    <w:rsid w:val="009D090D"/>
    <w:rsid w:val="009D0BD6"/>
    <w:rsid w:val="009D17A7"/>
    <w:rsid w:val="009D1EE8"/>
    <w:rsid w:val="009D2713"/>
    <w:rsid w:val="009D3678"/>
    <w:rsid w:val="009D4DB9"/>
    <w:rsid w:val="009D653A"/>
    <w:rsid w:val="009D6A4D"/>
    <w:rsid w:val="009D7457"/>
    <w:rsid w:val="009D7C95"/>
    <w:rsid w:val="009E0655"/>
    <w:rsid w:val="009E08B7"/>
    <w:rsid w:val="009E1829"/>
    <w:rsid w:val="009E18C6"/>
    <w:rsid w:val="009E23E4"/>
    <w:rsid w:val="009E3119"/>
    <w:rsid w:val="009E3D60"/>
    <w:rsid w:val="009E3FF6"/>
    <w:rsid w:val="009E4621"/>
    <w:rsid w:val="009E4633"/>
    <w:rsid w:val="009E4654"/>
    <w:rsid w:val="009E4789"/>
    <w:rsid w:val="009E4821"/>
    <w:rsid w:val="009E5581"/>
    <w:rsid w:val="009E5CDA"/>
    <w:rsid w:val="009E6333"/>
    <w:rsid w:val="009E65F6"/>
    <w:rsid w:val="009E6947"/>
    <w:rsid w:val="009E6AD4"/>
    <w:rsid w:val="009E6BDE"/>
    <w:rsid w:val="009E71AF"/>
    <w:rsid w:val="009E75F0"/>
    <w:rsid w:val="009E7ACF"/>
    <w:rsid w:val="009F0498"/>
    <w:rsid w:val="009F092B"/>
    <w:rsid w:val="009F2793"/>
    <w:rsid w:val="009F2F44"/>
    <w:rsid w:val="009F368C"/>
    <w:rsid w:val="009F4216"/>
    <w:rsid w:val="009F5950"/>
    <w:rsid w:val="009F61AB"/>
    <w:rsid w:val="009F62A2"/>
    <w:rsid w:val="009F6BC5"/>
    <w:rsid w:val="009F7814"/>
    <w:rsid w:val="009F7A8A"/>
    <w:rsid w:val="00A00298"/>
    <w:rsid w:val="00A00D3B"/>
    <w:rsid w:val="00A0195E"/>
    <w:rsid w:val="00A0341D"/>
    <w:rsid w:val="00A03FF9"/>
    <w:rsid w:val="00A042DD"/>
    <w:rsid w:val="00A0446D"/>
    <w:rsid w:val="00A04F9A"/>
    <w:rsid w:val="00A052BE"/>
    <w:rsid w:val="00A0558F"/>
    <w:rsid w:val="00A0566D"/>
    <w:rsid w:val="00A05746"/>
    <w:rsid w:val="00A05834"/>
    <w:rsid w:val="00A05C95"/>
    <w:rsid w:val="00A070AF"/>
    <w:rsid w:val="00A07418"/>
    <w:rsid w:val="00A07705"/>
    <w:rsid w:val="00A07989"/>
    <w:rsid w:val="00A07A37"/>
    <w:rsid w:val="00A10218"/>
    <w:rsid w:val="00A1031C"/>
    <w:rsid w:val="00A10975"/>
    <w:rsid w:val="00A115C1"/>
    <w:rsid w:val="00A11791"/>
    <w:rsid w:val="00A11AB9"/>
    <w:rsid w:val="00A11CB1"/>
    <w:rsid w:val="00A123F2"/>
    <w:rsid w:val="00A12740"/>
    <w:rsid w:val="00A12A40"/>
    <w:rsid w:val="00A13423"/>
    <w:rsid w:val="00A14D14"/>
    <w:rsid w:val="00A14D6E"/>
    <w:rsid w:val="00A16CB5"/>
    <w:rsid w:val="00A21CAC"/>
    <w:rsid w:val="00A2296A"/>
    <w:rsid w:val="00A23E32"/>
    <w:rsid w:val="00A24BFD"/>
    <w:rsid w:val="00A24EB5"/>
    <w:rsid w:val="00A25365"/>
    <w:rsid w:val="00A254A8"/>
    <w:rsid w:val="00A25CBF"/>
    <w:rsid w:val="00A261B2"/>
    <w:rsid w:val="00A262EE"/>
    <w:rsid w:val="00A26502"/>
    <w:rsid w:val="00A300B8"/>
    <w:rsid w:val="00A30333"/>
    <w:rsid w:val="00A30604"/>
    <w:rsid w:val="00A307E6"/>
    <w:rsid w:val="00A31CDB"/>
    <w:rsid w:val="00A32E49"/>
    <w:rsid w:val="00A3338E"/>
    <w:rsid w:val="00A3371B"/>
    <w:rsid w:val="00A356AD"/>
    <w:rsid w:val="00A35AD1"/>
    <w:rsid w:val="00A35E86"/>
    <w:rsid w:val="00A36552"/>
    <w:rsid w:val="00A367EC"/>
    <w:rsid w:val="00A36C4F"/>
    <w:rsid w:val="00A37A8E"/>
    <w:rsid w:val="00A40205"/>
    <w:rsid w:val="00A40255"/>
    <w:rsid w:val="00A40DD7"/>
    <w:rsid w:val="00A40EA2"/>
    <w:rsid w:val="00A41296"/>
    <w:rsid w:val="00A412A3"/>
    <w:rsid w:val="00A428DB"/>
    <w:rsid w:val="00A431CF"/>
    <w:rsid w:val="00A43472"/>
    <w:rsid w:val="00A438A4"/>
    <w:rsid w:val="00A444E4"/>
    <w:rsid w:val="00A4457B"/>
    <w:rsid w:val="00A45897"/>
    <w:rsid w:val="00A45A5D"/>
    <w:rsid w:val="00A46172"/>
    <w:rsid w:val="00A4640F"/>
    <w:rsid w:val="00A46769"/>
    <w:rsid w:val="00A47F71"/>
    <w:rsid w:val="00A502B7"/>
    <w:rsid w:val="00A502E3"/>
    <w:rsid w:val="00A503BB"/>
    <w:rsid w:val="00A50AE9"/>
    <w:rsid w:val="00A519BA"/>
    <w:rsid w:val="00A526C7"/>
    <w:rsid w:val="00A53440"/>
    <w:rsid w:val="00A53E2E"/>
    <w:rsid w:val="00A54882"/>
    <w:rsid w:val="00A54A70"/>
    <w:rsid w:val="00A559B6"/>
    <w:rsid w:val="00A55DEC"/>
    <w:rsid w:val="00A55E0A"/>
    <w:rsid w:val="00A56ACB"/>
    <w:rsid w:val="00A56EAF"/>
    <w:rsid w:val="00A572EF"/>
    <w:rsid w:val="00A60C91"/>
    <w:rsid w:val="00A60E91"/>
    <w:rsid w:val="00A61419"/>
    <w:rsid w:val="00A6255A"/>
    <w:rsid w:val="00A6326A"/>
    <w:rsid w:val="00A6360C"/>
    <w:rsid w:val="00A64A42"/>
    <w:rsid w:val="00A65564"/>
    <w:rsid w:val="00A65842"/>
    <w:rsid w:val="00A65E89"/>
    <w:rsid w:val="00A65EF8"/>
    <w:rsid w:val="00A666A1"/>
    <w:rsid w:val="00A66E34"/>
    <w:rsid w:val="00A67AC4"/>
    <w:rsid w:val="00A67B6C"/>
    <w:rsid w:val="00A67BCE"/>
    <w:rsid w:val="00A70EA6"/>
    <w:rsid w:val="00A711BC"/>
    <w:rsid w:val="00A717AA"/>
    <w:rsid w:val="00A7198D"/>
    <w:rsid w:val="00A71C2C"/>
    <w:rsid w:val="00A73593"/>
    <w:rsid w:val="00A73FF3"/>
    <w:rsid w:val="00A746CB"/>
    <w:rsid w:val="00A749E7"/>
    <w:rsid w:val="00A74A03"/>
    <w:rsid w:val="00A7523E"/>
    <w:rsid w:val="00A75590"/>
    <w:rsid w:val="00A76059"/>
    <w:rsid w:val="00A760A2"/>
    <w:rsid w:val="00A767FF"/>
    <w:rsid w:val="00A76F64"/>
    <w:rsid w:val="00A7724B"/>
    <w:rsid w:val="00A77548"/>
    <w:rsid w:val="00A77CBF"/>
    <w:rsid w:val="00A80096"/>
    <w:rsid w:val="00A805DF"/>
    <w:rsid w:val="00A80A8F"/>
    <w:rsid w:val="00A810FA"/>
    <w:rsid w:val="00A81462"/>
    <w:rsid w:val="00A817E1"/>
    <w:rsid w:val="00A81AFE"/>
    <w:rsid w:val="00A81EBA"/>
    <w:rsid w:val="00A82836"/>
    <w:rsid w:val="00A82D47"/>
    <w:rsid w:val="00A85021"/>
    <w:rsid w:val="00A852A5"/>
    <w:rsid w:val="00A85CDE"/>
    <w:rsid w:val="00A85F14"/>
    <w:rsid w:val="00A86361"/>
    <w:rsid w:val="00A87E08"/>
    <w:rsid w:val="00A90698"/>
    <w:rsid w:val="00A9140D"/>
    <w:rsid w:val="00A9149A"/>
    <w:rsid w:val="00A918C3"/>
    <w:rsid w:val="00A91A57"/>
    <w:rsid w:val="00A91BD0"/>
    <w:rsid w:val="00A9231B"/>
    <w:rsid w:val="00A92697"/>
    <w:rsid w:val="00A926A7"/>
    <w:rsid w:val="00A9353A"/>
    <w:rsid w:val="00A935CE"/>
    <w:rsid w:val="00A93D68"/>
    <w:rsid w:val="00A94CBA"/>
    <w:rsid w:val="00A95DBD"/>
    <w:rsid w:val="00A95EE6"/>
    <w:rsid w:val="00A95FBA"/>
    <w:rsid w:val="00A96151"/>
    <w:rsid w:val="00A96A63"/>
    <w:rsid w:val="00AA0390"/>
    <w:rsid w:val="00AA0447"/>
    <w:rsid w:val="00AA13F9"/>
    <w:rsid w:val="00AA14CC"/>
    <w:rsid w:val="00AA166B"/>
    <w:rsid w:val="00AA178C"/>
    <w:rsid w:val="00AA17C6"/>
    <w:rsid w:val="00AA191D"/>
    <w:rsid w:val="00AA2D6B"/>
    <w:rsid w:val="00AA35A7"/>
    <w:rsid w:val="00AA4FF7"/>
    <w:rsid w:val="00AA530C"/>
    <w:rsid w:val="00AA6269"/>
    <w:rsid w:val="00AA627E"/>
    <w:rsid w:val="00AA6D53"/>
    <w:rsid w:val="00AA741F"/>
    <w:rsid w:val="00AA7D83"/>
    <w:rsid w:val="00AB0CC8"/>
    <w:rsid w:val="00AB0F04"/>
    <w:rsid w:val="00AB157C"/>
    <w:rsid w:val="00AB19C5"/>
    <w:rsid w:val="00AB1A65"/>
    <w:rsid w:val="00AB1DB0"/>
    <w:rsid w:val="00AB29F4"/>
    <w:rsid w:val="00AB2CA9"/>
    <w:rsid w:val="00AB6F3E"/>
    <w:rsid w:val="00AB731E"/>
    <w:rsid w:val="00AB76C5"/>
    <w:rsid w:val="00AC0010"/>
    <w:rsid w:val="00AC2268"/>
    <w:rsid w:val="00AC2760"/>
    <w:rsid w:val="00AC2E90"/>
    <w:rsid w:val="00AC3340"/>
    <w:rsid w:val="00AC3606"/>
    <w:rsid w:val="00AC39E5"/>
    <w:rsid w:val="00AC3A56"/>
    <w:rsid w:val="00AC3C40"/>
    <w:rsid w:val="00AC4D5C"/>
    <w:rsid w:val="00AC58A0"/>
    <w:rsid w:val="00AC5B26"/>
    <w:rsid w:val="00AC692E"/>
    <w:rsid w:val="00AC6AFE"/>
    <w:rsid w:val="00AC7CAF"/>
    <w:rsid w:val="00AC7EBB"/>
    <w:rsid w:val="00AC7F8E"/>
    <w:rsid w:val="00AD0901"/>
    <w:rsid w:val="00AD1C9F"/>
    <w:rsid w:val="00AD20FA"/>
    <w:rsid w:val="00AD2144"/>
    <w:rsid w:val="00AD27A8"/>
    <w:rsid w:val="00AD2DF8"/>
    <w:rsid w:val="00AD32D1"/>
    <w:rsid w:val="00AD470D"/>
    <w:rsid w:val="00AD564E"/>
    <w:rsid w:val="00AD5D5D"/>
    <w:rsid w:val="00AD68FE"/>
    <w:rsid w:val="00AD71C4"/>
    <w:rsid w:val="00AD7226"/>
    <w:rsid w:val="00AD76DB"/>
    <w:rsid w:val="00AD7924"/>
    <w:rsid w:val="00AE00C7"/>
    <w:rsid w:val="00AE0D2D"/>
    <w:rsid w:val="00AE115E"/>
    <w:rsid w:val="00AE1349"/>
    <w:rsid w:val="00AE16D3"/>
    <w:rsid w:val="00AE19EA"/>
    <w:rsid w:val="00AE388E"/>
    <w:rsid w:val="00AE4047"/>
    <w:rsid w:val="00AE416C"/>
    <w:rsid w:val="00AE4363"/>
    <w:rsid w:val="00AE439C"/>
    <w:rsid w:val="00AE4D9C"/>
    <w:rsid w:val="00AE5650"/>
    <w:rsid w:val="00AE65B2"/>
    <w:rsid w:val="00AE756D"/>
    <w:rsid w:val="00AE7B06"/>
    <w:rsid w:val="00AE7EE6"/>
    <w:rsid w:val="00AF0923"/>
    <w:rsid w:val="00AF3128"/>
    <w:rsid w:val="00AF33A2"/>
    <w:rsid w:val="00AF5564"/>
    <w:rsid w:val="00AF574C"/>
    <w:rsid w:val="00AF5AB2"/>
    <w:rsid w:val="00AF6804"/>
    <w:rsid w:val="00AF76FF"/>
    <w:rsid w:val="00AF7C85"/>
    <w:rsid w:val="00AF7D88"/>
    <w:rsid w:val="00B01181"/>
    <w:rsid w:val="00B01188"/>
    <w:rsid w:val="00B0127C"/>
    <w:rsid w:val="00B025D0"/>
    <w:rsid w:val="00B03769"/>
    <w:rsid w:val="00B044CB"/>
    <w:rsid w:val="00B04B1D"/>
    <w:rsid w:val="00B04D21"/>
    <w:rsid w:val="00B0501E"/>
    <w:rsid w:val="00B0543A"/>
    <w:rsid w:val="00B0597F"/>
    <w:rsid w:val="00B074AB"/>
    <w:rsid w:val="00B077DD"/>
    <w:rsid w:val="00B10AA5"/>
    <w:rsid w:val="00B1163C"/>
    <w:rsid w:val="00B11FC1"/>
    <w:rsid w:val="00B12680"/>
    <w:rsid w:val="00B142ED"/>
    <w:rsid w:val="00B1432B"/>
    <w:rsid w:val="00B1532A"/>
    <w:rsid w:val="00B159EB"/>
    <w:rsid w:val="00B1624F"/>
    <w:rsid w:val="00B1653A"/>
    <w:rsid w:val="00B166CD"/>
    <w:rsid w:val="00B16A58"/>
    <w:rsid w:val="00B16ED4"/>
    <w:rsid w:val="00B17DE0"/>
    <w:rsid w:val="00B17ECF"/>
    <w:rsid w:val="00B20B9A"/>
    <w:rsid w:val="00B20BA3"/>
    <w:rsid w:val="00B2161E"/>
    <w:rsid w:val="00B219C9"/>
    <w:rsid w:val="00B21CE6"/>
    <w:rsid w:val="00B2246F"/>
    <w:rsid w:val="00B23496"/>
    <w:rsid w:val="00B234C3"/>
    <w:rsid w:val="00B23FA3"/>
    <w:rsid w:val="00B247FC"/>
    <w:rsid w:val="00B24CC7"/>
    <w:rsid w:val="00B25CAC"/>
    <w:rsid w:val="00B26624"/>
    <w:rsid w:val="00B273C8"/>
    <w:rsid w:val="00B273F7"/>
    <w:rsid w:val="00B30C00"/>
    <w:rsid w:val="00B30D0E"/>
    <w:rsid w:val="00B30F2C"/>
    <w:rsid w:val="00B310A0"/>
    <w:rsid w:val="00B3124D"/>
    <w:rsid w:val="00B3155B"/>
    <w:rsid w:val="00B32541"/>
    <w:rsid w:val="00B32F44"/>
    <w:rsid w:val="00B338A2"/>
    <w:rsid w:val="00B33999"/>
    <w:rsid w:val="00B3435D"/>
    <w:rsid w:val="00B3459B"/>
    <w:rsid w:val="00B34923"/>
    <w:rsid w:val="00B34C86"/>
    <w:rsid w:val="00B34E70"/>
    <w:rsid w:val="00B3581C"/>
    <w:rsid w:val="00B35B7A"/>
    <w:rsid w:val="00B35D35"/>
    <w:rsid w:val="00B367B8"/>
    <w:rsid w:val="00B368CE"/>
    <w:rsid w:val="00B369E1"/>
    <w:rsid w:val="00B374EC"/>
    <w:rsid w:val="00B40709"/>
    <w:rsid w:val="00B40A85"/>
    <w:rsid w:val="00B40E93"/>
    <w:rsid w:val="00B41559"/>
    <w:rsid w:val="00B42033"/>
    <w:rsid w:val="00B43705"/>
    <w:rsid w:val="00B45324"/>
    <w:rsid w:val="00B45BEB"/>
    <w:rsid w:val="00B46211"/>
    <w:rsid w:val="00B46C7C"/>
    <w:rsid w:val="00B479E6"/>
    <w:rsid w:val="00B502FE"/>
    <w:rsid w:val="00B50C89"/>
    <w:rsid w:val="00B51082"/>
    <w:rsid w:val="00B51237"/>
    <w:rsid w:val="00B513FC"/>
    <w:rsid w:val="00B51D88"/>
    <w:rsid w:val="00B52151"/>
    <w:rsid w:val="00B525E9"/>
    <w:rsid w:val="00B52982"/>
    <w:rsid w:val="00B52EB6"/>
    <w:rsid w:val="00B54131"/>
    <w:rsid w:val="00B5421D"/>
    <w:rsid w:val="00B549A0"/>
    <w:rsid w:val="00B55DD7"/>
    <w:rsid w:val="00B560FB"/>
    <w:rsid w:val="00B56616"/>
    <w:rsid w:val="00B57AEC"/>
    <w:rsid w:val="00B60D9C"/>
    <w:rsid w:val="00B61A9C"/>
    <w:rsid w:val="00B6277C"/>
    <w:rsid w:val="00B62AD9"/>
    <w:rsid w:val="00B62EA5"/>
    <w:rsid w:val="00B640E9"/>
    <w:rsid w:val="00B64265"/>
    <w:rsid w:val="00B645C2"/>
    <w:rsid w:val="00B6469F"/>
    <w:rsid w:val="00B64C47"/>
    <w:rsid w:val="00B65703"/>
    <w:rsid w:val="00B65A4C"/>
    <w:rsid w:val="00B65CBF"/>
    <w:rsid w:val="00B65D0B"/>
    <w:rsid w:val="00B6651C"/>
    <w:rsid w:val="00B67CC1"/>
    <w:rsid w:val="00B702BD"/>
    <w:rsid w:val="00B72631"/>
    <w:rsid w:val="00B7337B"/>
    <w:rsid w:val="00B73491"/>
    <w:rsid w:val="00B736B1"/>
    <w:rsid w:val="00B73F43"/>
    <w:rsid w:val="00B74195"/>
    <w:rsid w:val="00B7457F"/>
    <w:rsid w:val="00B75D0F"/>
    <w:rsid w:val="00B769A9"/>
    <w:rsid w:val="00B80CF5"/>
    <w:rsid w:val="00B811BF"/>
    <w:rsid w:val="00B815DB"/>
    <w:rsid w:val="00B81BE9"/>
    <w:rsid w:val="00B81D4B"/>
    <w:rsid w:val="00B82AC0"/>
    <w:rsid w:val="00B831C4"/>
    <w:rsid w:val="00B83808"/>
    <w:rsid w:val="00B839D6"/>
    <w:rsid w:val="00B84419"/>
    <w:rsid w:val="00B84A02"/>
    <w:rsid w:val="00B84C82"/>
    <w:rsid w:val="00B85269"/>
    <w:rsid w:val="00B852DE"/>
    <w:rsid w:val="00B8539A"/>
    <w:rsid w:val="00B85B17"/>
    <w:rsid w:val="00B8638F"/>
    <w:rsid w:val="00B87240"/>
    <w:rsid w:val="00B87869"/>
    <w:rsid w:val="00B87EB5"/>
    <w:rsid w:val="00B90B90"/>
    <w:rsid w:val="00B92693"/>
    <w:rsid w:val="00B929E9"/>
    <w:rsid w:val="00B92D03"/>
    <w:rsid w:val="00B92F3C"/>
    <w:rsid w:val="00B9347D"/>
    <w:rsid w:val="00B93EB9"/>
    <w:rsid w:val="00B9438E"/>
    <w:rsid w:val="00B95377"/>
    <w:rsid w:val="00B95955"/>
    <w:rsid w:val="00B9771B"/>
    <w:rsid w:val="00B977A3"/>
    <w:rsid w:val="00BA0849"/>
    <w:rsid w:val="00BA0CEF"/>
    <w:rsid w:val="00BA0D8C"/>
    <w:rsid w:val="00BA1042"/>
    <w:rsid w:val="00BA113B"/>
    <w:rsid w:val="00BA1279"/>
    <w:rsid w:val="00BA1654"/>
    <w:rsid w:val="00BA1CC3"/>
    <w:rsid w:val="00BA29A9"/>
    <w:rsid w:val="00BA3499"/>
    <w:rsid w:val="00BA388E"/>
    <w:rsid w:val="00BA39C7"/>
    <w:rsid w:val="00BA3C55"/>
    <w:rsid w:val="00BA3CAF"/>
    <w:rsid w:val="00BA492A"/>
    <w:rsid w:val="00BA4F2F"/>
    <w:rsid w:val="00BA5003"/>
    <w:rsid w:val="00BA52E5"/>
    <w:rsid w:val="00BA6201"/>
    <w:rsid w:val="00BA74D2"/>
    <w:rsid w:val="00BA793E"/>
    <w:rsid w:val="00BA7B96"/>
    <w:rsid w:val="00BB00E3"/>
    <w:rsid w:val="00BB0704"/>
    <w:rsid w:val="00BB08DD"/>
    <w:rsid w:val="00BB3132"/>
    <w:rsid w:val="00BB3311"/>
    <w:rsid w:val="00BB3369"/>
    <w:rsid w:val="00BB4408"/>
    <w:rsid w:val="00BB4E12"/>
    <w:rsid w:val="00BB5646"/>
    <w:rsid w:val="00BB5E5D"/>
    <w:rsid w:val="00BB6127"/>
    <w:rsid w:val="00BB7A4E"/>
    <w:rsid w:val="00BC05E5"/>
    <w:rsid w:val="00BC0A87"/>
    <w:rsid w:val="00BC0E24"/>
    <w:rsid w:val="00BC2A14"/>
    <w:rsid w:val="00BC306F"/>
    <w:rsid w:val="00BC3612"/>
    <w:rsid w:val="00BC401F"/>
    <w:rsid w:val="00BC42FD"/>
    <w:rsid w:val="00BC48C0"/>
    <w:rsid w:val="00BC4DEA"/>
    <w:rsid w:val="00BC5CA9"/>
    <w:rsid w:val="00BC6C5E"/>
    <w:rsid w:val="00BD0FBE"/>
    <w:rsid w:val="00BD1DFF"/>
    <w:rsid w:val="00BD22B7"/>
    <w:rsid w:val="00BD2735"/>
    <w:rsid w:val="00BD2E15"/>
    <w:rsid w:val="00BD402D"/>
    <w:rsid w:val="00BD451C"/>
    <w:rsid w:val="00BD46F7"/>
    <w:rsid w:val="00BD5D69"/>
    <w:rsid w:val="00BD5E30"/>
    <w:rsid w:val="00BD6085"/>
    <w:rsid w:val="00BD6170"/>
    <w:rsid w:val="00BD628E"/>
    <w:rsid w:val="00BD6A38"/>
    <w:rsid w:val="00BD7A58"/>
    <w:rsid w:val="00BE01EF"/>
    <w:rsid w:val="00BE0639"/>
    <w:rsid w:val="00BE0EE8"/>
    <w:rsid w:val="00BE0F49"/>
    <w:rsid w:val="00BE1601"/>
    <w:rsid w:val="00BE1828"/>
    <w:rsid w:val="00BE27EE"/>
    <w:rsid w:val="00BE2BB4"/>
    <w:rsid w:val="00BE32FD"/>
    <w:rsid w:val="00BE337C"/>
    <w:rsid w:val="00BE378B"/>
    <w:rsid w:val="00BE44C0"/>
    <w:rsid w:val="00BE4743"/>
    <w:rsid w:val="00BE4BD3"/>
    <w:rsid w:val="00BE52F7"/>
    <w:rsid w:val="00BE56EE"/>
    <w:rsid w:val="00BE57C6"/>
    <w:rsid w:val="00BE5F0F"/>
    <w:rsid w:val="00BE631F"/>
    <w:rsid w:val="00BE7C18"/>
    <w:rsid w:val="00BF04CA"/>
    <w:rsid w:val="00BF0A61"/>
    <w:rsid w:val="00BF2CFB"/>
    <w:rsid w:val="00BF322C"/>
    <w:rsid w:val="00BF3C26"/>
    <w:rsid w:val="00BF3EEA"/>
    <w:rsid w:val="00BF40D7"/>
    <w:rsid w:val="00BF45A8"/>
    <w:rsid w:val="00BF533B"/>
    <w:rsid w:val="00BF58D5"/>
    <w:rsid w:val="00BF64DB"/>
    <w:rsid w:val="00BF78E0"/>
    <w:rsid w:val="00BF7E80"/>
    <w:rsid w:val="00C006C5"/>
    <w:rsid w:val="00C007E4"/>
    <w:rsid w:val="00C00915"/>
    <w:rsid w:val="00C00997"/>
    <w:rsid w:val="00C01879"/>
    <w:rsid w:val="00C032EE"/>
    <w:rsid w:val="00C03695"/>
    <w:rsid w:val="00C037CA"/>
    <w:rsid w:val="00C03AD1"/>
    <w:rsid w:val="00C04398"/>
    <w:rsid w:val="00C0715A"/>
    <w:rsid w:val="00C07E99"/>
    <w:rsid w:val="00C131A5"/>
    <w:rsid w:val="00C1381E"/>
    <w:rsid w:val="00C147AD"/>
    <w:rsid w:val="00C14BE3"/>
    <w:rsid w:val="00C15055"/>
    <w:rsid w:val="00C153D8"/>
    <w:rsid w:val="00C156EF"/>
    <w:rsid w:val="00C15731"/>
    <w:rsid w:val="00C157DB"/>
    <w:rsid w:val="00C15C91"/>
    <w:rsid w:val="00C16628"/>
    <w:rsid w:val="00C16BA4"/>
    <w:rsid w:val="00C1718C"/>
    <w:rsid w:val="00C17AAF"/>
    <w:rsid w:val="00C17EE2"/>
    <w:rsid w:val="00C20212"/>
    <w:rsid w:val="00C20EDC"/>
    <w:rsid w:val="00C20F3E"/>
    <w:rsid w:val="00C21E39"/>
    <w:rsid w:val="00C2227C"/>
    <w:rsid w:val="00C22311"/>
    <w:rsid w:val="00C2435E"/>
    <w:rsid w:val="00C24977"/>
    <w:rsid w:val="00C24CCB"/>
    <w:rsid w:val="00C24DC9"/>
    <w:rsid w:val="00C251BC"/>
    <w:rsid w:val="00C25449"/>
    <w:rsid w:val="00C26B68"/>
    <w:rsid w:val="00C26BC7"/>
    <w:rsid w:val="00C2733E"/>
    <w:rsid w:val="00C276B5"/>
    <w:rsid w:val="00C27C08"/>
    <w:rsid w:val="00C27D0D"/>
    <w:rsid w:val="00C321F0"/>
    <w:rsid w:val="00C32BF8"/>
    <w:rsid w:val="00C32EA7"/>
    <w:rsid w:val="00C33202"/>
    <w:rsid w:val="00C33689"/>
    <w:rsid w:val="00C33865"/>
    <w:rsid w:val="00C33F58"/>
    <w:rsid w:val="00C346D2"/>
    <w:rsid w:val="00C34725"/>
    <w:rsid w:val="00C349E4"/>
    <w:rsid w:val="00C34D5A"/>
    <w:rsid w:val="00C351AB"/>
    <w:rsid w:val="00C3537B"/>
    <w:rsid w:val="00C359AE"/>
    <w:rsid w:val="00C36176"/>
    <w:rsid w:val="00C365F0"/>
    <w:rsid w:val="00C36B67"/>
    <w:rsid w:val="00C37328"/>
    <w:rsid w:val="00C377FA"/>
    <w:rsid w:val="00C4027F"/>
    <w:rsid w:val="00C40A9C"/>
    <w:rsid w:val="00C4121A"/>
    <w:rsid w:val="00C415DB"/>
    <w:rsid w:val="00C417A9"/>
    <w:rsid w:val="00C41B22"/>
    <w:rsid w:val="00C41E28"/>
    <w:rsid w:val="00C4221E"/>
    <w:rsid w:val="00C423EC"/>
    <w:rsid w:val="00C4258A"/>
    <w:rsid w:val="00C429A0"/>
    <w:rsid w:val="00C433F2"/>
    <w:rsid w:val="00C4410D"/>
    <w:rsid w:val="00C4439B"/>
    <w:rsid w:val="00C44412"/>
    <w:rsid w:val="00C44CCE"/>
    <w:rsid w:val="00C45B1E"/>
    <w:rsid w:val="00C461AC"/>
    <w:rsid w:val="00C462B2"/>
    <w:rsid w:val="00C46C4B"/>
    <w:rsid w:val="00C51473"/>
    <w:rsid w:val="00C515C4"/>
    <w:rsid w:val="00C515EE"/>
    <w:rsid w:val="00C51697"/>
    <w:rsid w:val="00C522F9"/>
    <w:rsid w:val="00C52349"/>
    <w:rsid w:val="00C52F5F"/>
    <w:rsid w:val="00C54410"/>
    <w:rsid w:val="00C548AB"/>
    <w:rsid w:val="00C55CB2"/>
    <w:rsid w:val="00C55D80"/>
    <w:rsid w:val="00C568DD"/>
    <w:rsid w:val="00C56C85"/>
    <w:rsid w:val="00C56D41"/>
    <w:rsid w:val="00C60BAD"/>
    <w:rsid w:val="00C615D0"/>
    <w:rsid w:val="00C61CD1"/>
    <w:rsid w:val="00C623B2"/>
    <w:rsid w:val="00C626D8"/>
    <w:rsid w:val="00C63668"/>
    <w:rsid w:val="00C637FC"/>
    <w:rsid w:val="00C646AD"/>
    <w:rsid w:val="00C64B5A"/>
    <w:rsid w:val="00C660A9"/>
    <w:rsid w:val="00C66712"/>
    <w:rsid w:val="00C66EB6"/>
    <w:rsid w:val="00C70369"/>
    <w:rsid w:val="00C704B6"/>
    <w:rsid w:val="00C70810"/>
    <w:rsid w:val="00C720F0"/>
    <w:rsid w:val="00C72BFA"/>
    <w:rsid w:val="00C731A4"/>
    <w:rsid w:val="00C731A6"/>
    <w:rsid w:val="00C735C4"/>
    <w:rsid w:val="00C7397B"/>
    <w:rsid w:val="00C73D85"/>
    <w:rsid w:val="00C744E4"/>
    <w:rsid w:val="00C7518B"/>
    <w:rsid w:val="00C75889"/>
    <w:rsid w:val="00C766EC"/>
    <w:rsid w:val="00C8086B"/>
    <w:rsid w:val="00C80B82"/>
    <w:rsid w:val="00C8125E"/>
    <w:rsid w:val="00C81DD5"/>
    <w:rsid w:val="00C845CF"/>
    <w:rsid w:val="00C84B49"/>
    <w:rsid w:val="00C86994"/>
    <w:rsid w:val="00C90205"/>
    <w:rsid w:val="00C90381"/>
    <w:rsid w:val="00C90B0C"/>
    <w:rsid w:val="00C912FA"/>
    <w:rsid w:val="00C9243E"/>
    <w:rsid w:val="00C928BA"/>
    <w:rsid w:val="00C932D6"/>
    <w:rsid w:val="00C93CB8"/>
    <w:rsid w:val="00C943CE"/>
    <w:rsid w:val="00C949FA"/>
    <w:rsid w:val="00C954E0"/>
    <w:rsid w:val="00C95D36"/>
    <w:rsid w:val="00C96AB4"/>
    <w:rsid w:val="00C970D1"/>
    <w:rsid w:val="00C9718B"/>
    <w:rsid w:val="00C9743E"/>
    <w:rsid w:val="00C97D5C"/>
    <w:rsid w:val="00CA0461"/>
    <w:rsid w:val="00CA07D8"/>
    <w:rsid w:val="00CA0C81"/>
    <w:rsid w:val="00CA18C6"/>
    <w:rsid w:val="00CA1BC5"/>
    <w:rsid w:val="00CA1FC7"/>
    <w:rsid w:val="00CA1FFE"/>
    <w:rsid w:val="00CA2764"/>
    <w:rsid w:val="00CA3BBB"/>
    <w:rsid w:val="00CA3E76"/>
    <w:rsid w:val="00CA4629"/>
    <w:rsid w:val="00CA4A3A"/>
    <w:rsid w:val="00CA4CD6"/>
    <w:rsid w:val="00CA4E2C"/>
    <w:rsid w:val="00CA580C"/>
    <w:rsid w:val="00CA5C16"/>
    <w:rsid w:val="00CA5EE8"/>
    <w:rsid w:val="00CA66FC"/>
    <w:rsid w:val="00CA670B"/>
    <w:rsid w:val="00CA7263"/>
    <w:rsid w:val="00CA7ECB"/>
    <w:rsid w:val="00CB048F"/>
    <w:rsid w:val="00CB0933"/>
    <w:rsid w:val="00CB0F92"/>
    <w:rsid w:val="00CB1502"/>
    <w:rsid w:val="00CB151F"/>
    <w:rsid w:val="00CB1A77"/>
    <w:rsid w:val="00CB1B9E"/>
    <w:rsid w:val="00CB2525"/>
    <w:rsid w:val="00CB3670"/>
    <w:rsid w:val="00CB3A5B"/>
    <w:rsid w:val="00CB3B62"/>
    <w:rsid w:val="00CB4959"/>
    <w:rsid w:val="00CB4E9E"/>
    <w:rsid w:val="00CB4F7B"/>
    <w:rsid w:val="00CB5959"/>
    <w:rsid w:val="00CB5BF7"/>
    <w:rsid w:val="00CB60B0"/>
    <w:rsid w:val="00CB65AF"/>
    <w:rsid w:val="00CB6961"/>
    <w:rsid w:val="00CB6D18"/>
    <w:rsid w:val="00CB6F2D"/>
    <w:rsid w:val="00CB6FD4"/>
    <w:rsid w:val="00CC0A05"/>
    <w:rsid w:val="00CC1386"/>
    <w:rsid w:val="00CC1C07"/>
    <w:rsid w:val="00CC1C84"/>
    <w:rsid w:val="00CC240F"/>
    <w:rsid w:val="00CC3576"/>
    <w:rsid w:val="00CC4B11"/>
    <w:rsid w:val="00CC5C9F"/>
    <w:rsid w:val="00CC67B9"/>
    <w:rsid w:val="00CC67C1"/>
    <w:rsid w:val="00CC72DE"/>
    <w:rsid w:val="00CD048D"/>
    <w:rsid w:val="00CD12C4"/>
    <w:rsid w:val="00CD349E"/>
    <w:rsid w:val="00CD3F6F"/>
    <w:rsid w:val="00CD445F"/>
    <w:rsid w:val="00CD50CA"/>
    <w:rsid w:val="00CD5976"/>
    <w:rsid w:val="00CD5D7C"/>
    <w:rsid w:val="00CD6235"/>
    <w:rsid w:val="00CD64B6"/>
    <w:rsid w:val="00CD6C09"/>
    <w:rsid w:val="00CD7526"/>
    <w:rsid w:val="00CE083D"/>
    <w:rsid w:val="00CE12FF"/>
    <w:rsid w:val="00CE1498"/>
    <w:rsid w:val="00CE2115"/>
    <w:rsid w:val="00CE2615"/>
    <w:rsid w:val="00CE2889"/>
    <w:rsid w:val="00CE2BA7"/>
    <w:rsid w:val="00CE3681"/>
    <w:rsid w:val="00CE39E8"/>
    <w:rsid w:val="00CE4B2E"/>
    <w:rsid w:val="00CE5DC5"/>
    <w:rsid w:val="00CE62AB"/>
    <w:rsid w:val="00CE64CB"/>
    <w:rsid w:val="00CE66F8"/>
    <w:rsid w:val="00CE6B11"/>
    <w:rsid w:val="00CE7B7B"/>
    <w:rsid w:val="00CF0687"/>
    <w:rsid w:val="00CF1637"/>
    <w:rsid w:val="00CF1A8A"/>
    <w:rsid w:val="00CF2113"/>
    <w:rsid w:val="00CF33B7"/>
    <w:rsid w:val="00CF345A"/>
    <w:rsid w:val="00CF3495"/>
    <w:rsid w:val="00CF3A09"/>
    <w:rsid w:val="00CF3EFE"/>
    <w:rsid w:val="00CF4E61"/>
    <w:rsid w:val="00CF4E63"/>
    <w:rsid w:val="00CF6347"/>
    <w:rsid w:val="00CF6440"/>
    <w:rsid w:val="00CF7909"/>
    <w:rsid w:val="00CF7CD8"/>
    <w:rsid w:val="00D00DA9"/>
    <w:rsid w:val="00D0187F"/>
    <w:rsid w:val="00D01924"/>
    <w:rsid w:val="00D01D93"/>
    <w:rsid w:val="00D020A6"/>
    <w:rsid w:val="00D0211A"/>
    <w:rsid w:val="00D02779"/>
    <w:rsid w:val="00D0292C"/>
    <w:rsid w:val="00D02B83"/>
    <w:rsid w:val="00D05456"/>
    <w:rsid w:val="00D05FE2"/>
    <w:rsid w:val="00D07546"/>
    <w:rsid w:val="00D076D8"/>
    <w:rsid w:val="00D07858"/>
    <w:rsid w:val="00D07F44"/>
    <w:rsid w:val="00D10478"/>
    <w:rsid w:val="00D1049A"/>
    <w:rsid w:val="00D107EB"/>
    <w:rsid w:val="00D10B09"/>
    <w:rsid w:val="00D12121"/>
    <w:rsid w:val="00D13F35"/>
    <w:rsid w:val="00D1460C"/>
    <w:rsid w:val="00D14D9E"/>
    <w:rsid w:val="00D15598"/>
    <w:rsid w:val="00D15FF8"/>
    <w:rsid w:val="00D160AC"/>
    <w:rsid w:val="00D162AB"/>
    <w:rsid w:val="00D16C3D"/>
    <w:rsid w:val="00D17721"/>
    <w:rsid w:val="00D17B7E"/>
    <w:rsid w:val="00D17FB5"/>
    <w:rsid w:val="00D20AA2"/>
    <w:rsid w:val="00D21366"/>
    <w:rsid w:val="00D217CA"/>
    <w:rsid w:val="00D21E3E"/>
    <w:rsid w:val="00D227B5"/>
    <w:rsid w:val="00D2280B"/>
    <w:rsid w:val="00D23275"/>
    <w:rsid w:val="00D2427C"/>
    <w:rsid w:val="00D25050"/>
    <w:rsid w:val="00D252F2"/>
    <w:rsid w:val="00D254B5"/>
    <w:rsid w:val="00D256E4"/>
    <w:rsid w:val="00D26A6E"/>
    <w:rsid w:val="00D26AA7"/>
    <w:rsid w:val="00D26E8B"/>
    <w:rsid w:val="00D27283"/>
    <w:rsid w:val="00D27A1A"/>
    <w:rsid w:val="00D27EAF"/>
    <w:rsid w:val="00D30C8A"/>
    <w:rsid w:val="00D30D3F"/>
    <w:rsid w:val="00D3104A"/>
    <w:rsid w:val="00D314B8"/>
    <w:rsid w:val="00D31736"/>
    <w:rsid w:val="00D33367"/>
    <w:rsid w:val="00D33DC8"/>
    <w:rsid w:val="00D341D7"/>
    <w:rsid w:val="00D348BF"/>
    <w:rsid w:val="00D35EBF"/>
    <w:rsid w:val="00D366A4"/>
    <w:rsid w:val="00D376EA"/>
    <w:rsid w:val="00D37A6D"/>
    <w:rsid w:val="00D41A4B"/>
    <w:rsid w:val="00D42FE2"/>
    <w:rsid w:val="00D43D93"/>
    <w:rsid w:val="00D459C3"/>
    <w:rsid w:val="00D45AC9"/>
    <w:rsid w:val="00D460A0"/>
    <w:rsid w:val="00D466CF"/>
    <w:rsid w:val="00D46A86"/>
    <w:rsid w:val="00D46DEC"/>
    <w:rsid w:val="00D470D1"/>
    <w:rsid w:val="00D47B8B"/>
    <w:rsid w:val="00D47C44"/>
    <w:rsid w:val="00D50446"/>
    <w:rsid w:val="00D50783"/>
    <w:rsid w:val="00D50EA5"/>
    <w:rsid w:val="00D50F72"/>
    <w:rsid w:val="00D51135"/>
    <w:rsid w:val="00D51E3E"/>
    <w:rsid w:val="00D52AC2"/>
    <w:rsid w:val="00D52CA2"/>
    <w:rsid w:val="00D53062"/>
    <w:rsid w:val="00D54184"/>
    <w:rsid w:val="00D54ACA"/>
    <w:rsid w:val="00D54F03"/>
    <w:rsid w:val="00D556D9"/>
    <w:rsid w:val="00D55A1B"/>
    <w:rsid w:val="00D55B89"/>
    <w:rsid w:val="00D56C3E"/>
    <w:rsid w:val="00D60172"/>
    <w:rsid w:val="00D6029B"/>
    <w:rsid w:val="00D6085F"/>
    <w:rsid w:val="00D60B1B"/>
    <w:rsid w:val="00D619AC"/>
    <w:rsid w:val="00D61E2B"/>
    <w:rsid w:val="00D624C4"/>
    <w:rsid w:val="00D6284F"/>
    <w:rsid w:val="00D63E50"/>
    <w:rsid w:val="00D65D84"/>
    <w:rsid w:val="00D66143"/>
    <w:rsid w:val="00D66727"/>
    <w:rsid w:val="00D669B3"/>
    <w:rsid w:val="00D70A18"/>
    <w:rsid w:val="00D71498"/>
    <w:rsid w:val="00D71BA0"/>
    <w:rsid w:val="00D71E3B"/>
    <w:rsid w:val="00D720C8"/>
    <w:rsid w:val="00D72ACC"/>
    <w:rsid w:val="00D73104"/>
    <w:rsid w:val="00D73F00"/>
    <w:rsid w:val="00D745B1"/>
    <w:rsid w:val="00D74D39"/>
    <w:rsid w:val="00D75200"/>
    <w:rsid w:val="00D7524B"/>
    <w:rsid w:val="00D757DF"/>
    <w:rsid w:val="00D76102"/>
    <w:rsid w:val="00D761FC"/>
    <w:rsid w:val="00D766AF"/>
    <w:rsid w:val="00D77003"/>
    <w:rsid w:val="00D773C1"/>
    <w:rsid w:val="00D778B6"/>
    <w:rsid w:val="00D77D36"/>
    <w:rsid w:val="00D80074"/>
    <w:rsid w:val="00D80512"/>
    <w:rsid w:val="00D80CB4"/>
    <w:rsid w:val="00D819C5"/>
    <w:rsid w:val="00D81E0F"/>
    <w:rsid w:val="00D824C0"/>
    <w:rsid w:val="00D834DB"/>
    <w:rsid w:val="00D847EF"/>
    <w:rsid w:val="00D84B45"/>
    <w:rsid w:val="00D84DF8"/>
    <w:rsid w:val="00D85217"/>
    <w:rsid w:val="00D857A1"/>
    <w:rsid w:val="00D862EF"/>
    <w:rsid w:val="00D86327"/>
    <w:rsid w:val="00D87051"/>
    <w:rsid w:val="00D876CC"/>
    <w:rsid w:val="00D877B3"/>
    <w:rsid w:val="00D87FDB"/>
    <w:rsid w:val="00D912AC"/>
    <w:rsid w:val="00D915B7"/>
    <w:rsid w:val="00D9267C"/>
    <w:rsid w:val="00D92AD7"/>
    <w:rsid w:val="00D94337"/>
    <w:rsid w:val="00D94A39"/>
    <w:rsid w:val="00D94FA7"/>
    <w:rsid w:val="00D95B5E"/>
    <w:rsid w:val="00D968C5"/>
    <w:rsid w:val="00D96C65"/>
    <w:rsid w:val="00D96DEE"/>
    <w:rsid w:val="00D96FDD"/>
    <w:rsid w:val="00DA06F1"/>
    <w:rsid w:val="00DA0B2C"/>
    <w:rsid w:val="00DA0E79"/>
    <w:rsid w:val="00DA15A7"/>
    <w:rsid w:val="00DA1677"/>
    <w:rsid w:val="00DA1B90"/>
    <w:rsid w:val="00DA229E"/>
    <w:rsid w:val="00DA3387"/>
    <w:rsid w:val="00DA4119"/>
    <w:rsid w:val="00DA477C"/>
    <w:rsid w:val="00DA48DE"/>
    <w:rsid w:val="00DA4DAB"/>
    <w:rsid w:val="00DA4DBE"/>
    <w:rsid w:val="00DA6EE1"/>
    <w:rsid w:val="00DA734C"/>
    <w:rsid w:val="00DA780E"/>
    <w:rsid w:val="00DA784A"/>
    <w:rsid w:val="00DA7893"/>
    <w:rsid w:val="00DA7A9C"/>
    <w:rsid w:val="00DA7AD7"/>
    <w:rsid w:val="00DB1751"/>
    <w:rsid w:val="00DB24BE"/>
    <w:rsid w:val="00DB2B10"/>
    <w:rsid w:val="00DB333A"/>
    <w:rsid w:val="00DB3FC4"/>
    <w:rsid w:val="00DB4C77"/>
    <w:rsid w:val="00DB54EF"/>
    <w:rsid w:val="00DB5727"/>
    <w:rsid w:val="00DB59AF"/>
    <w:rsid w:val="00DB6C90"/>
    <w:rsid w:val="00DB79CD"/>
    <w:rsid w:val="00DC0AD5"/>
    <w:rsid w:val="00DC104B"/>
    <w:rsid w:val="00DC1C38"/>
    <w:rsid w:val="00DC1EC1"/>
    <w:rsid w:val="00DC2365"/>
    <w:rsid w:val="00DC251E"/>
    <w:rsid w:val="00DC2A7D"/>
    <w:rsid w:val="00DC304C"/>
    <w:rsid w:val="00DC31E0"/>
    <w:rsid w:val="00DC383B"/>
    <w:rsid w:val="00DC38CB"/>
    <w:rsid w:val="00DC39C9"/>
    <w:rsid w:val="00DC4BBC"/>
    <w:rsid w:val="00DC4C8F"/>
    <w:rsid w:val="00DC4F5C"/>
    <w:rsid w:val="00DC5A74"/>
    <w:rsid w:val="00DC5D88"/>
    <w:rsid w:val="00DC5F1C"/>
    <w:rsid w:val="00DC60DE"/>
    <w:rsid w:val="00DC6551"/>
    <w:rsid w:val="00DC68FB"/>
    <w:rsid w:val="00DC7BC7"/>
    <w:rsid w:val="00DD0540"/>
    <w:rsid w:val="00DD1163"/>
    <w:rsid w:val="00DD18FE"/>
    <w:rsid w:val="00DD1E19"/>
    <w:rsid w:val="00DD2568"/>
    <w:rsid w:val="00DD25E3"/>
    <w:rsid w:val="00DD2853"/>
    <w:rsid w:val="00DD2D1D"/>
    <w:rsid w:val="00DD3D22"/>
    <w:rsid w:val="00DD5925"/>
    <w:rsid w:val="00DD5BD4"/>
    <w:rsid w:val="00DD7537"/>
    <w:rsid w:val="00DD7C26"/>
    <w:rsid w:val="00DE075F"/>
    <w:rsid w:val="00DE07A9"/>
    <w:rsid w:val="00DE1AF7"/>
    <w:rsid w:val="00DE231C"/>
    <w:rsid w:val="00DE2E22"/>
    <w:rsid w:val="00DE4096"/>
    <w:rsid w:val="00DE434B"/>
    <w:rsid w:val="00DE543B"/>
    <w:rsid w:val="00DE582C"/>
    <w:rsid w:val="00DE5D68"/>
    <w:rsid w:val="00DE66D5"/>
    <w:rsid w:val="00DE71E2"/>
    <w:rsid w:val="00DE781B"/>
    <w:rsid w:val="00DE7E63"/>
    <w:rsid w:val="00DE7EFD"/>
    <w:rsid w:val="00DF0315"/>
    <w:rsid w:val="00DF1105"/>
    <w:rsid w:val="00DF20DD"/>
    <w:rsid w:val="00DF20EC"/>
    <w:rsid w:val="00DF2EC6"/>
    <w:rsid w:val="00DF3D3F"/>
    <w:rsid w:val="00DF3E28"/>
    <w:rsid w:val="00DF41AE"/>
    <w:rsid w:val="00DF4311"/>
    <w:rsid w:val="00DF4583"/>
    <w:rsid w:val="00DF5772"/>
    <w:rsid w:val="00E00395"/>
    <w:rsid w:val="00E00493"/>
    <w:rsid w:val="00E01C52"/>
    <w:rsid w:val="00E024F8"/>
    <w:rsid w:val="00E03587"/>
    <w:rsid w:val="00E03AE0"/>
    <w:rsid w:val="00E0458F"/>
    <w:rsid w:val="00E04688"/>
    <w:rsid w:val="00E0477B"/>
    <w:rsid w:val="00E05888"/>
    <w:rsid w:val="00E05C76"/>
    <w:rsid w:val="00E06F1B"/>
    <w:rsid w:val="00E0778A"/>
    <w:rsid w:val="00E07AB8"/>
    <w:rsid w:val="00E07FCE"/>
    <w:rsid w:val="00E114CA"/>
    <w:rsid w:val="00E11B97"/>
    <w:rsid w:val="00E1240B"/>
    <w:rsid w:val="00E12B18"/>
    <w:rsid w:val="00E12D97"/>
    <w:rsid w:val="00E13F66"/>
    <w:rsid w:val="00E1422C"/>
    <w:rsid w:val="00E15067"/>
    <w:rsid w:val="00E158CB"/>
    <w:rsid w:val="00E1591A"/>
    <w:rsid w:val="00E17044"/>
    <w:rsid w:val="00E202C6"/>
    <w:rsid w:val="00E2030C"/>
    <w:rsid w:val="00E204E2"/>
    <w:rsid w:val="00E20B09"/>
    <w:rsid w:val="00E212ED"/>
    <w:rsid w:val="00E21E80"/>
    <w:rsid w:val="00E21F75"/>
    <w:rsid w:val="00E22F13"/>
    <w:rsid w:val="00E2367C"/>
    <w:rsid w:val="00E2390C"/>
    <w:rsid w:val="00E23AC5"/>
    <w:rsid w:val="00E25B20"/>
    <w:rsid w:val="00E262E8"/>
    <w:rsid w:val="00E265A9"/>
    <w:rsid w:val="00E26DC3"/>
    <w:rsid w:val="00E26FAF"/>
    <w:rsid w:val="00E276A5"/>
    <w:rsid w:val="00E27794"/>
    <w:rsid w:val="00E27DD7"/>
    <w:rsid w:val="00E31190"/>
    <w:rsid w:val="00E3128A"/>
    <w:rsid w:val="00E31C04"/>
    <w:rsid w:val="00E31F17"/>
    <w:rsid w:val="00E340DB"/>
    <w:rsid w:val="00E34DB4"/>
    <w:rsid w:val="00E34DBC"/>
    <w:rsid w:val="00E355FE"/>
    <w:rsid w:val="00E361ED"/>
    <w:rsid w:val="00E36579"/>
    <w:rsid w:val="00E374C6"/>
    <w:rsid w:val="00E375B3"/>
    <w:rsid w:val="00E37DA3"/>
    <w:rsid w:val="00E37ED6"/>
    <w:rsid w:val="00E37EF3"/>
    <w:rsid w:val="00E417DC"/>
    <w:rsid w:val="00E4346A"/>
    <w:rsid w:val="00E4363C"/>
    <w:rsid w:val="00E4391B"/>
    <w:rsid w:val="00E443FA"/>
    <w:rsid w:val="00E44496"/>
    <w:rsid w:val="00E4481D"/>
    <w:rsid w:val="00E4708F"/>
    <w:rsid w:val="00E509D1"/>
    <w:rsid w:val="00E50AA9"/>
    <w:rsid w:val="00E512C4"/>
    <w:rsid w:val="00E517C2"/>
    <w:rsid w:val="00E5187E"/>
    <w:rsid w:val="00E521DB"/>
    <w:rsid w:val="00E5254A"/>
    <w:rsid w:val="00E530C4"/>
    <w:rsid w:val="00E53142"/>
    <w:rsid w:val="00E53464"/>
    <w:rsid w:val="00E5354B"/>
    <w:rsid w:val="00E53CC7"/>
    <w:rsid w:val="00E54556"/>
    <w:rsid w:val="00E545C4"/>
    <w:rsid w:val="00E54CF9"/>
    <w:rsid w:val="00E5580C"/>
    <w:rsid w:val="00E564DD"/>
    <w:rsid w:val="00E57FA8"/>
    <w:rsid w:val="00E60A11"/>
    <w:rsid w:val="00E60F6A"/>
    <w:rsid w:val="00E61975"/>
    <w:rsid w:val="00E61CAE"/>
    <w:rsid w:val="00E631AA"/>
    <w:rsid w:val="00E6342B"/>
    <w:rsid w:val="00E63A14"/>
    <w:rsid w:val="00E65CB6"/>
    <w:rsid w:val="00E66827"/>
    <w:rsid w:val="00E66DA0"/>
    <w:rsid w:val="00E6746E"/>
    <w:rsid w:val="00E6776D"/>
    <w:rsid w:val="00E700DC"/>
    <w:rsid w:val="00E72276"/>
    <w:rsid w:val="00E72932"/>
    <w:rsid w:val="00E72B65"/>
    <w:rsid w:val="00E73510"/>
    <w:rsid w:val="00E73CE9"/>
    <w:rsid w:val="00E74CB8"/>
    <w:rsid w:val="00E754D0"/>
    <w:rsid w:val="00E75DB3"/>
    <w:rsid w:val="00E7692C"/>
    <w:rsid w:val="00E76A17"/>
    <w:rsid w:val="00E77D75"/>
    <w:rsid w:val="00E80259"/>
    <w:rsid w:val="00E80C34"/>
    <w:rsid w:val="00E81191"/>
    <w:rsid w:val="00E81EF4"/>
    <w:rsid w:val="00E81FC8"/>
    <w:rsid w:val="00E83F05"/>
    <w:rsid w:val="00E8431D"/>
    <w:rsid w:val="00E84580"/>
    <w:rsid w:val="00E85F3A"/>
    <w:rsid w:val="00E861EF"/>
    <w:rsid w:val="00E86A58"/>
    <w:rsid w:val="00E86BE6"/>
    <w:rsid w:val="00E879F6"/>
    <w:rsid w:val="00E87EBD"/>
    <w:rsid w:val="00E87F1E"/>
    <w:rsid w:val="00E90145"/>
    <w:rsid w:val="00E90654"/>
    <w:rsid w:val="00E907CC"/>
    <w:rsid w:val="00E90A81"/>
    <w:rsid w:val="00E90B09"/>
    <w:rsid w:val="00E90EEF"/>
    <w:rsid w:val="00E90F8B"/>
    <w:rsid w:val="00E91A80"/>
    <w:rsid w:val="00E91DD7"/>
    <w:rsid w:val="00E9241D"/>
    <w:rsid w:val="00E92D77"/>
    <w:rsid w:val="00E934D3"/>
    <w:rsid w:val="00E939AE"/>
    <w:rsid w:val="00E93E33"/>
    <w:rsid w:val="00E95517"/>
    <w:rsid w:val="00E96F78"/>
    <w:rsid w:val="00EA109F"/>
    <w:rsid w:val="00EA11A7"/>
    <w:rsid w:val="00EA1501"/>
    <w:rsid w:val="00EA1C8E"/>
    <w:rsid w:val="00EA218B"/>
    <w:rsid w:val="00EA52B9"/>
    <w:rsid w:val="00EA54A5"/>
    <w:rsid w:val="00EA67E8"/>
    <w:rsid w:val="00EA6A82"/>
    <w:rsid w:val="00EA6ACE"/>
    <w:rsid w:val="00EB0E7F"/>
    <w:rsid w:val="00EB16CB"/>
    <w:rsid w:val="00EB1A4F"/>
    <w:rsid w:val="00EB1C4F"/>
    <w:rsid w:val="00EB1D21"/>
    <w:rsid w:val="00EB2243"/>
    <w:rsid w:val="00EB250D"/>
    <w:rsid w:val="00EB310D"/>
    <w:rsid w:val="00EB3742"/>
    <w:rsid w:val="00EB3EE0"/>
    <w:rsid w:val="00EB4AA9"/>
    <w:rsid w:val="00EB4B21"/>
    <w:rsid w:val="00EB526A"/>
    <w:rsid w:val="00EB57C5"/>
    <w:rsid w:val="00EB5BF2"/>
    <w:rsid w:val="00EC005A"/>
    <w:rsid w:val="00EC156F"/>
    <w:rsid w:val="00EC1A7D"/>
    <w:rsid w:val="00EC1DD2"/>
    <w:rsid w:val="00EC1F45"/>
    <w:rsid w:val="00EC35AC"/>
    <w:rsid w:val="00EC3CCB"/>
    <w:rsid w:val="00EC4BEC"/>
    <w:rsid w:val="00EC6317"/>
    <w:rsid w:val="00EC65A8"/>
    <w:rsid w:val="00EC65B9"/>
    <w:rsid w:val="00EC6674"/>
    <w:rsid w:val="00EC6F0B"/>
    <w:rsid w:val="00ED12F2"/>
    <w:rsid w:val="00ED1E4D"/>
    <w:rsid w:val="00ED24A2"/>
    <w:rsid w:val="00ED2C6C"/>
    <w:rsid w:val="00ED2F14"/>
    <w:rsid w:val="00ED392E"/>
    <w:rsid w:val="00ED403C"/>
    <w:rsid w:val="00ED4D3D"/>
    <w:rsid w:val="00ED52FB"/>
    <w:rsid w:val="00ED5BEB"/>
    <w:rsid w:val="00ED6130"/>
    <w:rsid w:val="00ED649E"/>
    <w:rsid w:val="00ED6844"/>
    <w:rsid w:val="00ED6A06"/>
    <w:rsid w:val="00ED74AA"/>
    <w:rsid w:val="00ED76A5"/>
    <w:rsid w:val="00ED78F2"/>
    <w:rsid w:val="00ED7BE6"/>
    <w:rsid w:val="00ED7CAA"/>
    <w:rsid w:val="00ED7D38"/>
    <w:rsid w:val="00ED7E6C"/>
    <w:rsid w:val="00EE0F83"/>
    <w:rsid w:val="00EE154A"/>
    <w:rsid w:val="00EE1C46"/>
    <w:rsid w:val="00EE1C80"/>
    <w:rsid w:val="00EE218B"/>
    <w:rsid w:val="00EE24FC"/>
    <w:rsid w:val="00EE3B39"/>
    <w:rsid w:val="00EE5093"/>
    <w:rsid w:val="00EE5619"/>
    <w:rsid w:val="00EE57B9"/>
    <w:rsid w:val="00EE598C"/>
    <w:rsid w:val="00EE5A76"/>
    <w:rsid w:val="00EE6A6F"/>
    <w:rsid w:val="00EE6B58"/>
    <w:rsid w:val="00EE6D54"/>
    <w:rsid w:val="00EE736B"/>
    <w:rsid w:val="00EE7952"/>
    <w:rsid w:val="00EE7B7B"/>
    <w:rsid w:val="00EF01E2"/>
    <w:rsid w:val="00EF05C4"/>
    <w:rsid w:val="00EF088B"/>
    <w:rsid w:val="00EF27B0"/>
    <w:rsid w:val="00EF5A38"/>
    <w:rsid w:val="00EF6B12"/>
    <w:rsid w:val="00EF6C40"/>
    <w:rsid w:val="00EF73D4"/>
    <w:rsid w:val="00F01108"/>
    <w:rsid w:val="00F01126"/>
    <w:rsid w:val="00F02063"/>
    <w:rsid w:val="00F022F4"/>
    <w:rsid w:val="00F023FB"/>
    <w:rsid w:val="00F02990"/>
    <w:rsid w:val="00F030BE"/>
    <w:rsid w:val="00F03179"/>
    <w:rsid w:val="00F0509D"/>
    <w:rsid w:val="00F05784"/>
    <w:rsid w:val="00F07451"/>
    <w:rsid w:val="00F075FC"/>
    <w:rsid w:val="00F10403"/>
    <w:rsid w:val="00F109D5"/>
    <w:rsid w:val="00F110B6"/>
    <w:rsid w:val="00F11B2F"/>
    <w:rsid w:val="00F12E71"/>
    <w:rsid w:val="00F13BA5"/>
    <w:rsid w:val="00F13EC1"/>
    <w:rsid w:val="00F13FF7"/>
    <w:rsid w:val="00F14B68"/>
    <w:rsid w:val="00F14DF3"/>
    <w:rsid w:val="00F15320"/>
    <w:rsid w:val="00F15EA5"/>
    <w:rsid w:val="00F161F3"/>
    <w:rsid w:val="00F168D7"/>
    <w:rsid w:val="00F16A83"/>
    <w:rsid w:val="00F17259"/>
    <w:rsid w:val="00F214C2"/>
    <w:rsid w:val="00F221A1"/>
    <w:rsid w:val="00F2340A"/>
    <w:rsid w:val="00F236F5"/>
    <w:rsid w:val="00F23B5E"/>
    <w:rsid w:val="00F257D4"/>
    <w:rsid w:val="00F25F01"/>
    <w:rsid w:val="00F26B39"/>
    <w:rsid w:val="00F27AA6"/>
    <w:rsid w:val="00F309D6"/>
    <w:rsid w:val="00F30D64"/>
    <w:rsid w:val="00F31066"/>
    <w:rsid w:val="00F311C1"/>
    <w:rsid w:val="00F329B7"/>
    <w:rsid w:val="00F32CA9"/>
    <w:rsid w:val="00F32FC1"/>
    <w:rsid w:val="00F34202"/>
    <w:rsid w:val="00F3427F"/>
    <w:rsid w:val="00F34B06"/>
    <w:rsid w:val="00F34E8D"/>
    <w:rsid w:val="00F35FF5"/>
    <w:rsid w:val="00F36689"/>
    <w:rsid w:val="00F36723"/>
    <w:rsid w:val="00F3743F"/>
    <w:rsid w:val="00F40B9C"/>
    <w:rsid w:val="00F418F2"/>
    <w:rsid w:val="00F4192A"/>
    <w:rsid w:val="00F4301B"/>
    <w:rsid w:val="00F43489"/>
    <w:rsid w:val="00F434EC"/>
    <w:rsid w:val="00F436B2"/>
    <w:rsid w:val="00F4381B"/>
    <w:rsid w:val="00F44DDC"/>
    <w:rsid w:val="00F46DC7"/>
    <w:rsid w:val="00F47312"/>
    <w:rsid w:val="00F47C47"/>
    <w:rsid w:val="00F47DB1"/>
    <w:rsid w:val="00F47F94"/>
    <w:rsid w:val="00F505FA"/>
    <w:rsid w:val="00F52235"/>
    <w:rsid w:val="00F534AF"/>
    <w:rsid w:val="00F53D65"/>
    <w:rsid w:val="00F545A6"/>
    <w:rsid w:val="00F54B73"/>
    <w:rsid w:val="00F54C48"/>
    <w:rsid w:val="00F56E93"/>
    <w:rsid w:val="00F56F60"/>
    <w:rsid w:val="00F57972"/>
    <w:rsid w:val="00F57B85"/>
    <w:rsid w:val="00F6062A"/>
    <w:rsid w:val="00F6063A"/>
    <w:rsid w:val="00F60EFF"/>
    <w:rsid w:val="00F61307"/>
    <w:rsid w:val="00F631AC"/>
    <w:rsid w:val="00F638AF"/>
    <w:rsid w:val="00F63DA2"/>
    <w:rsid w:val="00F64B17"/>
    <w:rsid w:val="00F653C6"/>
    <w:rsid w:val="00F665D9"/>
    <w:rsid w:val="00F67DEA"/>
    <w:rsid w:val="00F70BF6"/>
    <w:rsid w:val="00F70D98"/>
    <w:rsid w:val="00F70FE5"/>
    <w:rsid w:val="00F716D8"/>
    <w:rsid w:val="00F71B8B"/>
    <w:rsid w:val="00F734F0"/>
    <w:rsid w:val="00F7406D"/>
    <w:rsid w:val="00F74436"/>
    <w:rsid w:val="00F767BF"/>
    <w:rsid w:val="00F767F6"/>
    <w:rsid w:val="00F776D1"/>
    <w:rsid w:val="00F805D2"/>
    <w:rsid w:val="00F806D1"/>
    <w:rsid w:val="00F80A82"/>
    <w:rsid w:val="00F81080"/>
    <w:rsid w:val="00F81C0E"/>
    <w:rsid w:val="00F81C91"/>
    <w:rsid w:val="00F831F8"/>
    <w:rsid w:val="00F838A3"/>
    <w:rsid w:val="00F849AB"/>
    <w:rsid w:val="00F84EF6"/>
    <w:rsid w:val="00F867C1"/>
    <w:rsid w:val="00F86BA2"/>
    <w:rsid w:val="00F86FBC"/>
    <w:rsid w:val="00F901E1"/>
    <w:rsid w:val="00F90DB0"/>
    <w:rsid w:val="00F91290"/>
    <w:rsid w:val="00F9145E"/>
    <w:rsid w:val="00F9149A"/>
    <w:rsid w:val="00F91575"/>
    <w:rsid w:val="00F91666"/>
    <w:rsid w:val="00F917D7"/>
    <w:rsid w:val="00F91BC6"/>
    <w:rsid w:val="00F91BD6"/>
    <w:rsid w:val="00F92393"/>
    <w:rsid w:val="00F9257D"/>
    <w:rsid w:val="00F92CCF"/>
    <w:rsid w:val="00F93E89"/>
    <w:rsid w:val="00F940D6"/>
    <w:rsid w:val="00F94D69"/>
    <w:rsid w:val="00F96FF9"/>
    <w:rsid w:val="00FA05BF"/>
    <w:rsid w:val="00FA19C4"/>
    <w:rsid w:val="00FA22EA"/>
    <w:rsid w:val="00FA2302"/>
    <w:rsid w:val="00FA2326"/>
    <w:rsid w:val="00FA23B2"/>
    <w:rsid w:val="00FA26B8"/>
    <w:rsid w:val="00FA2A14"/>
    <w:rsid w:val="00FA3810"/>
    <w:rsid w:val="00FA393B"/>
    <w:rsid w:val="00FA44E8"/>
    <w:rsid w:val="00FA44FC"/>
    <w:rsid w:val="00FA5332"/>
    <w:rsid w:val="00FA5DB7"/>
    <w:rsid w:val="00FA644D"/>
    <w:rsid w:val="00FA6A74"/>
    <w:rsid w:val="00FA7126"/>
    <w:rsid w:val="00FA798B"/>
    <w:rsid w:val="00FA7D4E"/>
    <w:rsid w:val="00FB0A86"/>
    <w:rsid w:val="00FB1254"/>
    <w:rsid w:val="00FB2D94"/>
    <w:rsid w:val="00FB3D44"/>
    <w:rsid w:val="00FB3EE4"/>
    <w:rsid w:val="00FB4CBB"/>
    <w:rsid w:val="00FB4E57"/>
    <w:rsid w:val="00FB6121"/>
    <w:rsid w:val="00FB61EF"/>
    <w:rsid w:val="00FB638D"/>
    <w:rsid w:val="00FB671C"/>
    <w:rsid w:val="00FB679E"/>
    <w:rsid w:val="00FB7528"/>
    <w:rsid w:val="00FB7B7A"/>
    <w:rsid w:val="00FB7E40"/>
    <w:rsid w:val="00FC00F1"/>
    <w:rsid w:val="00FC00FE"/>
    <w:rsid w:val="00FC01DE"/>
    <w:rsid w:val="00FC0B30"/>
    <w:rsid w:val="00FC1842"/>
    <w:rsid w:val="00FC2C3C"/>
    <w:rsid w:val="00FC362E"/>
    <w:rsid w:val="00FC370C"/>
    <w:rsid w:val="00FC3D1D"/>
    <w:rsid w:val="00FC3FBF"/>
    <w:rsid w:val="00FC408F"/>
    <w:rsid w:val="00FC4E7B"/>
    <w:rsid w:val="00FC5165"/>
    <w:rsid w:val="00FC52C6"/>
    <w:rsid w:val="00FC59DC"/>
    <w:rsid w:val="00FC6B97"/>
    <w:rsid w:val="00FC7A0E"/>
    <w:rsid w:val="00FD09BF"/>
    <w:rsid w:val="00FD0BF1"/>
    <w:rsid w:val="00FD14A6"/>
    <w:rsid w:val="00FD1635"/>
    <w:rsid w:val="00FD237E"/>
    <w:rsid w:val="00FD344F"/>
    <w:rsid w:val="00FD3CA7"/>
    <w:rsid w:val="00FD3DEC"/>
    <w:rsid w:val="00FD5171"/>
    <w:rsid w:val="00FD5430"/>
    <w:rsid w:val="00FD5941"/>
    <w:rsid w:val="00FD5BEF"/>
    <w:rsid w:val="00FD5DD5"/>
    <w:rsid w:val="00FD6668"/>
    <w:rsid w:val="00FD7403"/>
    <w:rsid w:val="00FE0666"/>
    <w:rsid w:val="00FE261E"/>
    <w:rsid w:val="00FE2751"/>
    <w:rsid w:val="00FE2A56"/>
    <w:rsid w:val="00FE2D4D"/>
    <w:rsid w:val="00FE3709"/>
    <w:rsid w:val="00FE3FFE"/>
    <w:rsid w:val="00FE42F5"/>
    <w:rsid w:val="00FE5551"/>
    <w:rsid w:val="00FE55A2"/>
    <w:rsid w:val="00FE5617"/>
    <w:rsid w:val="00FE573D"/>
    <w:rsid w:val="00FE5BEA"/>
    <w:rsid w:val="00FF04C5"/>
    <w:rsid w:val="00FF06B0"/>
    <w:rsid w:val="00FF0784"/>
    <w:rsid w:val="00FF085B"/>
    <w:rsid w:val="00FF127F"/>
    <w:rsid w:val="00FF1625"/>
    <w:rsid w:val="00FF1AEE"/>
    <w:rsid w:val="00FF23B8"/>
    <w:rsid w:val="00FF2427"/>
    <w:rsid w:val="00FF25D2"/>
    <w:rsid w:val="00FF272F"/>
    <w:rsid w:val="00FF39FA"/>
    <w:rsid w:val="00FF3A9C"/>
    <w:rsid w:val="00FF3C41"/>
    <w:rsid w:val="00FF3D98"/>
    <w:rsid w:val="00FF3F57"/>
    <w:rsid w:val="00FF5273"/>
    <w:rsid w:val="00FF606C"/>
    <w:rsid w:val="00FF78AE"/>
    <w:rsid w:val="01051DC3"/>
    <w:rsid w:val="012B3ACF"/>
    <w:rsid w:val="015D49BD"/>
    <w:rsid w:val="018473A5"/>
    <w:rsid w:val="023D2728"/>
    <w:rsid w:val="028C19D2"/>
    <w:rsid w:val="030C1EDA"/>
    <w:rsid w:val="03372323"/>
    <w:rsid w:val="0374594A"/>
    <w:rsid w:val="03760C5C"/>
    <w:rsid w:val="03E83E6B"/>
    <w:rsid w:val="040719DE"/>
    <w:rsid w:val="04587CAC"/>
    <w:rsid w:val="046550A6"/>
    <w:rsid w:val="04826E92"/>
    <w:rsid w:val="048926A4"/>
    <w:rsid w:val="048D5F88"/>
    <w:rsid w:val="049134ED"/>
    <w:rsid w:val="049B71A9"/>
    <w:rsid w:val="04DD3090"/>
    <w:rsid w:val="05837FF3"/>
    <w:rsid w:val="05911A52"/>
    <w:rsid w:val="05F10992"/>
    <w:rsid w:val="061E786E"/>
    <w:rsid w:val="06913AB3"/>
    <w:rsid w:val="069A5F0A"/>
    <w:rsid w:val="06B24F4D"/>
    <w:rsid w:val="06F81DE2"/>
    <w:rsid w:val="0715348D"/>
    <w:rsid w:val="07220FCF"/>
    <w:rsid w:val="074A77B0"/>
    <w:rsid w:val="07820AF8"/>
    <w:rsid w:val="07940178"/>
    <w:rsid w:val="07E2057E"/>
    <w:rsid w:val="07FC1A7F"/>
    <w:rsid w:val="087C54D9"/>
    <w:rsid w:val="08A63166"/>
    <w:rsid w:val="08D01B1F"/>
    <w:rsid w:val="08F36FA0"/>
    <w:rsid w:val="09350567"/>
    <w:rsid w:val="098E1A33"/>
    <w:rsid w:val="09EC11EF"/>
    <w:rsid w:val="09ED31E8"/>
    <w:rsid w:val="09F766AF"/>
    <w:rsid w:val="0A106313"/>
    <w:rsid w:val="0A344559"/>
    <w:rsid w:val="0A4557E9"/>
    <w:rsid w:val="0A526090"/>
    <w:rsid w:val="0A7D2309"/>
    <w:rsid w:val="0A8355D4"/>
    <w:rsid w:val="0A953411"/>
    <w:rsid w:val="0AA02CBC"/>
    <w:rsid w:val="0AE007E7"/>
    <w:rsid w:val="0B085FB6"/>
    <w:rsid w:val="0B407B99"/>
    <w:rsid w:val="0B6416B9"/>
    <w:rsid w:val="0BA24194"/>
    <w:rsid w:val="0C787034"/>
    <w:rsid w:val="0C9525FB"/>
    <w:rsid w:val="0C9C538E"/>
    <w:rsid w:val="0CC91BCD"/>
    <w:rsid w:val="0CF621A4"/>
    <w:rsid w:val="0D2E5BEC"/>
    <w:rsid w:val="0D4000DE"/>
    <w:rsid w:val="0DCF7102"/>
    <w:rsid w:val="0DD170F5"/>
    <w:rsid w:val="0DEB3061"/>
    <w:rsid w:val="0E1D7628"/>
    <w:rsid w:val="0E1E1BFC"/>
    <w:rsid w:val="0E6F021B"/>
    <w:rsid w:val="0EB86E5B"/>
    <w:rsid w:val="0EF91794"/>
    <w:rsid w:val="0F0E4891"/>
    <w:rsid w:val="0F934BD4"/>
    <w:rsid w:val="0FCE0B0A"/>
    <w:rsid w:val="0FDF1838"/>
    <w:rsid w:val="102C4895"/>
    <w:rsid w:val="106937D5"/>
    <w:rsid w:val="106D2FCF"/>
    <w:rsid w:val="10837855"/>
    <w:rsid w:val="10975DBF"/>
    <w:rsid w:val="10CC0573"/>
    <w:rsid w:val="1153399D"/>
    <w:rsid w:val="119529FF"/>
    <w:rsid w:val="11A47DAA"/>
    <w:rsid w:val="11D0195C"/>
    <w:rsid w:val="11EE3054"/>
    <w:rsid w:val="122C0158"/>
    <w:rsid w:val="12690D36"/>
    <w:rsid w:val="129349E7"/>
    <w:rsid w:val="12A141BD"/>
    <w:rsid w:val="12AD31CD"/>
    <w:rsid w:val="13485571"/>
    <w:rsid w:val="139B0D39"/>
    <w:rsid w:val="13A670CA"/>
    <w:rsid w:val="13D60186"/>
    <w:rsid w:val="14147BA4"/>
    <w:rsid w:val="148A3F8D"/>
    <w:rsid w:val="14CB1DAE"/>
    <w:rsid w:val="14CC556A"/>
    <w:rsid w:val="14E41D52"/>
    <w:rsid w:val="15452C47"/>
    <w:rsid w:val="155C2F18"/>
    <w:rsid w:val="158D194A"/>
    <w:rsid w:val="15AD7A94"/>
    <w:rsid w:val="15C402A4"/>
    <w:rsid w:val="16AB6ECC"/>
    <w:rsid w:val="16E94E6A"/>
    <w:rsid w:val="16EA5DCF"/>
    <w:rsid w:val="1762605A"/>
    <w:rsid w:val="17BF70A5"/>
    <w:rsid w:val="18175B8A"/>
    <w:rsid w:val="18383E49"/>
    <w:rsid w:val="187D3DBA"/>
    <w:rsid w:val="188E6C33"/>
    <w:rsid w:val="188F29F5"/>
    <w:rsid w:val="18CB2039"/>
    <w:rsid w:val="18D81994"/>
    <w:rsid w:val="190F107F"/>
    <w:rsid w:val="192E4978"/>
    <w:rsid w:val="194A4E75"/>
    <w:rsid w:val="19877AF0"/>
    <w:rsid w:val="19B55D7F"/>
    <w:rsid w:val="19DE5B8E"/>
    <w:rsid w:val="19DF37EA"/>
    <w:rsid w:val="1A2B3058"/>
    <w:rsid w:val="1A3646D3"/>
    <w:rsid w:val="1A995B47"/>
    <w:rsid w:val="1AA34FD6"/>
    <w:rsid w:val="1AB828BA"/>
    <w:rsid w:val="1C4267CB"/>
    <w:rsid w:val="1C9B429F"/>
    <w:rsid w:val="1C9E2280"/>
    <w:rsid w:val="1D047AC1"/>
    <w:rsid w:val="1D271B02"/>
    <w:rsid w:val="1D272829"/>
    <w:rsid w:val="1D352036"/>
    <w:rsid w:val="1D364E1A"/>
    <w:rsid w:val="1DAB76D1"/>
    <w:rsid w:val="1E01740A"/>
    <w:rsid w:val="1E354B78"/>
    <w:rsid w:val="1E8E2CA9"/>
    <w:rsid w:val="1EE90E8C"/>
    <w:rsid w:val="1F547A9F"/>
    <w:rsid w:val="1F8D7A74"/>
    <w:rsid w:val="1FA80EB5"/>
    <w:rsid w:val="1FC1332A"/>
    <w:rsid w:val="207C5958"/>
    <w:rsid w:val="20AB6AFC"/>
    <w:rsid w:val="215D5E57"/>
    <w:rsid w:val="216F0B9C"/>
    <w:rsid w:val="219912B7"/>
    <w:rsid w:val="21A67461"/>
    <w:rsid w:val="22785715"/>
    <w:rsid w:val="227D5126"/>
    <w:rsid w:val="22DC3BEE"/>
    <w:rsid w:val="231B1169"/>
    <w:rsid w:val="23474C6D"/>
    <w:rsid w:val="236970A1"/>
    <w:rsid w:val="23AE305E"/>
    <w:rsid w:val="241A222A"/>
    <w:rsid w:val="2448189F"/>
    <w:rsid w:val="24643141"/>
    <w:rsid w:val="247D5A7C"/>
    <w:rsid w:val="248301BA"/>
    <w:rsid w:val="24BE23D4"/>
    <w:rsid w:val="24C070DA"/>
    <w:rsid w:val="24E44C47"/>
    <w:rsid w:val="250238BA"/>
    <w:rsid w:val="250868CC"/>
    <w:rsid w:val="2517032E"/>
    <w:rsid w:val="25273C56"/>
    <w:rsid w:val="256374C3"/>
    <w:rsid w:val="25702E42"/>
    <w:rsid w:val="25780405"/>
    <w:rsid w:val="259C660A"/>
    <w:rsid w:val="25E27916"/>
    <w:rsid w:val="25EC79F7"/>
    <w:rsid w:val="261A2A87"/>
    <w:rsid w:val="262943D1"/>
    <w:rsid w:val="264E60B5"/>
    <w:rsid w:val="26604940"/>
    <w:rsid w:val="26671392"/>
    <w:rsid w:val="266B4515"/>
    <w:rsid w:val="267C4B09"/>
    <w:rsid w:val="26B311FA"/>
    <w:rsid w:val="26CD13EE"/>
    <w:rsid w:val="26CF19FC"/>
    <w:rsid w:val="274D095D"/>
    <w:rsid w:val="27AC33BE"/>
    <w:rsid w:val="280902C1"/>
    <w:rsid w:val="281B425C"/>
    <w:rsid w:val="28B5631C"/>
    <w:rsid w:val="294E427C"/>
    <w:rsid w:val="295C4868"/>
    <w:rsid w:val="297B4E39"/>
    <w:rsid w:val="29AF74F1"/>
    <w:rsid w:val="2A230F28"/>
    <w:rsid w:val="2A255938"/>
    <w:rsid w:val="2A3837D9"/>
    <w:rsid w:val="2A963A74"/>
    <w:rsid w:val="2AC552CC"/>
    <w:rsid w:val="2AF55C4F"/>
    <w:rsid w:val="2AF954D8"/>
    <w:rsid w:val="2B01238C"/>
    <w:rsid w:val="2B03203A"/>
    <w:rsid w:val="2B041875"/>
    <w:rsid w:val="2B660F32"/>
    <w:rsid w:val="2B7164D1"/>
    <w:rsid w:val="2B79062E"/>
    <w:rsid w:val="2B8C6827"/>
    <w:rsid w:val="2BAD033F"/>
    <w:rsid w:val="2BB205C0"/>
    <w:rsid w:val="2BC2778F"/>
    <w:rsid w:val="2BE97B77"/>
    <w:rsid w:val="2C025704"/>
    <w:rsid w:val="2C297027"/>
    <w:rsid w:val="2C6922ED"/>
    <w:rsid w:val="2CCE49AE"/>
    <w:rsid w:val="2CD33F1A"/>
    <w:rsid w:val="2CDB3525"/>
    <w:rsid w:val="2CE07D52"/>
    <w:rsid w:val="2CF32CC3"/>
    <w:rsid w:val="2D5034E4"/>
    <w:rsid w:val="2D7B74A0"/>
    <w:rsid w:val="2D7D402E"/>
    <w:rsid w:val="2D9C6487"/>
    <w:rsid w:val="2DA202A0"/>
    <w:rsid w:val="2DC233E3"/>
    <w:rsid w:val="2DE53753"/>
    <w:rsid w:val="2E7A176F"/>
    <w:rsid w:val="2E8A6013"/>
    <w:rsid w:val="2E8D2E2E"/>
    <w:rsid w:val="2EBC2663"/>
    <w:rsid w:val="2EBD4544"/>
    <w:rsid w:val="2EC057F2"/>
    <w:rsid w:val="2F0C123B"/>
    <w:rsid w:val="2F5124C2"/>
    <w:rsid w:val="2FA5023A"/>
    <w:rsid w:val="2FB3031A"/>
    <w:rsid w:val="301E4BEB"/>
    <w:rsid w:val="30434418"/>
    <w:rsid w:val="30734FFF"/>
    <w:rsid w:val="30AB0CE7"/>
    <w:rsid w:val="30CD47D5"/>
    <w:rsid w:val="30E9387D"/>
    <w:rsid w:val="312046FC"/>
    <w:rsid w:val="312545A4"/>
    <w:rsid w:val="312B262E"/>
    <w:rsid w:val="31580A5B"/>
    <w:rsid w:val="31A34C35"/>
    <w:rsid w:val="320B23E5"/>
    <w:rsid w:val="32AC1600"/>
    <w:rsid w:val="32B55A3F"/>
    <w:rsid w:val="32FD2ED9"/>
    <w:rsid w:val="3317168E"/>
    <w:rsid w:val="338C629F"/>
    <w:rsid w:val="33BF48AC"/>
    <w:rsid w:val="342A5AB6"/>
    <w:rsid w:val="34446A1F"/>
    <w:rsid w:val="345925F3"/>
    <w:rsid w:val="34C542DE"/>
    <w:rsid w:val="34CB6A83"/>
    <w:rsid w:val="34D92A81"/>
    <w:rsid w:val="34F729C3"/>
    <w:rsid w:val="35027D9B"/>
    <w:rsid w:val="351653FE"/>
    <w:rsid w:val="35476C26"/>
    <w:rsid w:val="357A4C29"/>
    <w:rsid w:val="35C8051A"/>
    <w:rsid w:val="35DC3C89"/>
    <w:rsid w:val="35DD5BB0"/>
    <w:rsid w:val="35EC76A3"/>
    <w:rsid w:val="362F38A0"/>
    <w:rsid w:val="36457786"/>
    <w:rsid w:val="364B040D"/>
    <w:rsid w:val="365833FB"/>
    <w:rsid w:val="366F18A8"/>
    <w:rsid w:val="367678E7"/>
    <w:rsid w:val="36876371"/>
    <w:rsid w:val="368844FC"/>
    <w:rsid w:val="36B2711D"/>
    <w:rsid w:val="36C1567B"/>
    <w:rsid w:val="37BC539F"/>
    <w:rsid w:val="37BF2FBC"/>
    <w:rsid w:val="37E81682"/>
    <w:rsid w:val="38175544"/>
    <w:rsid w:val="381B0633"/>
    <w:rsid w:val="38244849"/>
    <w:rsid w:val="39291FD6"/>
    <w:rsid w:val="39A61C34"/>
    <w:rsid w:val="3A4B1EFC"/>
    <w:rsid w:val="3A5735D6"/>
    <w:rsid w:val="3A85064D"/>
    <w:rsid w:val="3AB90464"/>
    <w:rsid w:val="3AD9606A"/>
    <w:rsid w:val="3B264C5F"/>
    <w:rsid w:val="3B5004A3"/>
    <w:rsid w:val="3B545111"/>
    <w:rsid w:val="3B5527ED"/>
    <w:rsid w:val="3B583768"/>
    <w:rsid w:val="3B6F1DAA"/>
    <w:rsid w:val="3B7F1186"/>
    <w:rsid w:val="3C084351"/>
    <w:rsid w:val="3C5C4BEF"/>
    <w:rsid w:val="3CAD7EBA"/>
    <w:rsid w:val="3CCE4CDA"/>
    <w:rsid w:val="3CD80F0E"/>
    <w:rsid w:val="3D2410EC"/>
    <w:rsid w:val="3DB05C42"/>
    <w:rsid w:val="3E0531C1"/>
    <w:rsid w:val="3E0C3186"/>
    <w:rsid w:val="3E5D4E61"/>
    <w:rsid w:val="3E69082A"/>
    <w:rsid w:val="3E6B6375"/>
    <w:rsid w:val="3E7B6825"/>
    <w:rsid w:val="3E90139E"/>
    <w:rsid w:val="3E9F7B74"/>
    <w:rsid w:val="3EC2605D"/>
    <w:rsid w:val="3F103746"/>
    <w:rsid w:val="3F586C71"/>
    <w:rsid w:val="3F5D17D3"/>
    <w:rsid w:val="3FE16087"/>
    <w:rsid w:val="3FE24047"/>
    <w:rsid w:val="40260150"/>
    <w:rsid w:val="406A5E3B"/>
    <w:rsid w:val="4076279F"/>
    <w:rsid w:val="410427B6"/>
    <w:rsid w:val="417E2049"/>
    <w:rsid w:val="418D79BB"/>
    <w:rsid w:val="41B97043"/>
    <w:rsid w:val="424A03B5"/>
    <w:rsid w:val="428072A9"/>
    <w:rsid w:val="42D31BCA"/>
    <w:rsid w:val="42F41600"/>
    <w:rsid w:val="43365054"/>
    <w:rsid w:val="433760C6"/>
    <w:rsid w:val="43445189"/>
    <w:rsid w:val="4369657E"/>
    <w:rsid w:val="43E52C56"/>
    <w:rsid w:val="43E97AE4"/>
    <w:rsid w:val="44432A0B"/>
    <w:rsid w:val="44BD6C1D"/>
    <w:rsid w:val="44FB4B6F"/>
    <w:rsid w:val="45056FBE"/>
    <w:rsid w:val="453C70AD"/>
    <w:rsid w:val="458314BA"/>
    <w:rsid w:val="45E00051"/>
    <w:rsid w:val="45E74F55"/>
    <w:rsid w:val="45F14059"/>
    <w:rsid w:val="464142AD"/>
    <w:rsid w:val="467461A8"/>
    <w:rsid w:val="46777313"/>
    <w:rsid w:val="46BF30A5"/>
    <w:rsid w:val="46C21BEC"/>
    <w:rsid w:val="46DA2B86"/>
    <w:rsid w:val="471B164C"/>
    <w:rsid w:val="4790024A"/>
    <w:rsid w:val="47C6782D"/>
    <w:rsid w:val="48066B36"/>
    <w:rsid w:val="485A05ED"/>
    <w:rsid w:val="48634DDB"/>
    <w:rsid w:val="487061E5"/>
    <w:rsid w:val="48C17982"/>
    <w:rsid w:val="48DE7011"/>
    <w:rsid w:val="48EF0703"/>
    <w:rsid w:val="490F7F89"/>
    <w:rsid w:val="49550379"/>
    <w:rsid w:val="49581333"/>
    <w:rsid w:val="49633800"/>
    <w:rsid w:val="496B07D4"/>
    <w:rsid w:val="496E07B4"/>
    <w:rsid w:val="49700F1B"/>
    <w:rsid w:val="49C3054F"/>
    <w:rsid w:val="4A02698E"/>
    <w:rsid w:val="4A5F290D"/>
    <w:rsid w:val="4AB71876"/>
    <w:rsid w:val="4B323167"/>
    <w:rsid w:val="4B361DDC"/>
    <w:rsid w:val="4B400C32"/>
    <w:rsid w:val="4B582F98"/>
    <w:rsid w:val="4B7F3DEE"/>
    <w:rsid w:val="4B947D54"/>
    <w:rsid w:val="4B9E20A6"/>
    <w:rsid w:val="4BA0240F"/>
    <w:rsid w:val="4BE13CC1"/>
    <w:rsid w:val="4C5313AF"/>
    <w:rsid w:val="4CCF4898"/>
    <w:rsid w:val="4D19776E"/>
    <w:rsid w:val="4D266642"/>
    <w:rsid w:val="4D642C84"/>
    <w:rsid w:val="4D65159A"/>
    <w:rsid w:val="4D8E629A"/>
    <w:rsid w:val="4E4A720E"/>
    <w:rsid w:val="4E7464A3"/>
    <w:rsid w:val="4EA50BE9"/>
    <w:rsid w:val="4EE94CDD"/>
    <w:rsid w:val="4F585256"/>
    <w:rsid w:val="4F5F21FE"/>
    <w:rsid w:val="4F650DF7"/>
    <w:rsid w:val="4F9C52CF"/>
    <w:rsid w:val="4FAE7912"/>
    <w:rsid w:val="5016010D"/>
    <w:rsid w:val="504A4FF2"/>
    <w:rsid w:val="508204E0"/>
    <w:rsid w:val="50D13D75"/>
    <w:rsid w:val="50D42430"/>
    <w:rsid w:val="50EE7519"/>
    <w:rsid w:val="51083178"/>
    <w:rsid w:val="510A6C71"/>
    <w:rsid w:val="512A58F1"/>
    <w:rsid w:val="51E77BC0"/>
    <w:rsid w:val="529E1E62"/>
    <w:rsid w:val="52F137A4"/>
    <w:rsid w:val="52F34EFE"/>
    <w:rsid w:val="531C3D24"/>
    <w:rsid w:val="532A4A41"/>
    <w:rsid w:val="53320092"/>
    <w:rsid w:val="53517F05"/>
    <w:rsid w:val="53F529EC"/>
    <w:rsid w:val="54156379"/>
    <w:rsid w:val="54975ADC"/>
    <w:rsid w:val="54A05B25"/>
    <w:rsid w:val="54A14593"/>
    <w:rsid w:val="54F55301"/>
    <w:rsid w:val="5527166F"/>
    <w:rsid w:val="558D6E4F"/>
    <w:rsid w:val="55A218E7"/>
    <w:rsid w:val="55B12F35"/>
    <w:rsid w:val="55F846AD"/>
    <w:rsid w:val="567F4A7B"/>
    <w:rsid w:val="56881D03"/>
    <w:rsid w:val="569257CE"/>
    <w:rsid w:val="56B2417C"/>
    <w:rsid w:val="56B518CE"/>
    <w:rsid w:val="56BD475C"/>
    <w:rsid w:val="57024D62"/>
    <w:rsid w:val="577E261B"/>
    <w:rsid w:val="57B662AD"/>
    <w:rsid w:val="58010E67"/>
    <w:rsid w:val="58A3501D"/>
    <w:rsid w:val="592646D2"/>
    <w:rsid w:val="595D711B"/>
    <w:rsid w:val="59867D69"/>
    <w:rsid w:val="59A72279"/>
    <w:rsid w:val="59AD3674"/>
    <w:rsid w:val="59EE65BA"/>
    <w:rsid w:val="5A1020D8"/>
    <w:rsid w:val="5A47645E"/>
    <w:rsid w:val="5A4D3DEA"/>
    <w:rsid w:val="5A560A8F"/>
    <w:rsid w:val="5A5E033B"/>
    <w:rsid w:val="5A626E65"/>
    <w:rsid w:val="5A86564B"/>
    <w:rsid w:val="5B9F5645"/>
    <w:rsid w:val="5BA372F9"/>
    <w:rsid w:val="5C4B73C1"/>
    <w:rsid w:val="5C6A33C0"/>
    <w:rsid w:val="5C784F41"/>
    <w:rsid w:val="5C815550"/>
    <w:rsid w:val="5C8210D4"/>
    <w:rsid w:val="5C91202E"/>
    <w:rsid w:val="5CAE3197"/>
    <w:rsid w:val="5D066DD0"/>
    <w:rsid w:val="5D2B5D22"/>
    <w:rsid w:val="5D3151B5"/>
    <w:rsid w:val="5D472BB4"/>
    <w:rsid w:val="5D6A0242"/>
    <w:rsid w:val="5D6F7889"/>
    <w:rsid w:val="5D732FA8"/>
    <w:rsid w:val="5D8E1ECD"/>
    <w:rsid w:val="5D9279FD"/>
    <w:rsid w:val="5D9955C5"/>
    <w:rsid w:val="5DA36B16"/>
    <w:rsid w:val="5DA42175"/>
    <w:rsid w:val="5DCE68EA"/>
    <w:rsid w:val="5E1924D1"/>
    <w:rsid w:val="5E195939"/>
    <w:rsid w:val="5E3C46A6"/>
    <w:rsid w:val="5E3E5280"/>
    <w:rsid w:val="5E470ADA"/>
    <w:rsid w:val="5E802A4F"/>
    <w:rsid w:val="5F1B72AA"/>
    <w:rsid w:val="5F22785E"/>
    <w:rsid w:val="5F245E25"/>
    <w:rsid w:val="5F68711E"/>
    <w:rsid w:val="5F69375D"/>
    <w:rsid w:val="5F775C2F"/>
    <w:rsid w:val="5F893557"/>
    <w:rsid w:val="5F8D5A4A"/>
    <w:rsid w:val="5FAE0A9B"/>
    <w:rsid w:val="600851BE"/>
    <w:rsid w:val="604A70E5"/>
    <w:rsid w:val="607655BF"/>
    <w:rsid w:val="60773069"/>
    <w:rsid w:val="608A69F1"/>
    <w:rsid w:val="60FB4360"/>
    <w:rsid w:val="6109131E"/>
    <w:rsid w:val="6156210D"/>
    <w:rsid w:val="61912FF0"/>
    <w:rsid w:val="61E66CAD"/>
    <w:rsid w:val="622905A4"/>
    <w:rsid w:val="6277629D"/>
    <w:rsid w:val="6286017B"/>
    <w:rsid w:val="632F5E23"/>
    <w:rsid w:val="634B05D5"/>
    <w:rsid w:val="637121A4"/>
    <w:rsid w:val="63AF6BF4"/>
    <w:rsid w:val="63B61EBF"/>
    <w:rsid w:val="64065794"/>
    <w:rsid w:val="641279D0"/>
    <w:rsid w:val="643A796F"/>
    <w:rsid w:val="646137D3"/>
    <w:rsid w:val="64D80058"/>
    <w:rsid w:val="64E828C4"/>
    <w:rsid w:val="6526663B"/>
    <w:rsid w:val="656F7C0D"/>
    <w:rsid w:val="65B56420"/>
    <w:rsid w:val="664548E6"/>
    <w:rsid w:val="66464688"/>
    <w:rsid w:val="66996C0F"/>
    <w:rsid w:val="66A6711F"/>
    <w:rsid w:val="66BC01F9"/>
    <w:rsid w:val="671F0F0F"/>
    <w:rsid w:val="67647D04"/>
    <w:rsid w:val="678A2959"/>
    <w:rsid w:val="680415BB"/>
    <w:rsid w:val="6850495E"/>
    <w:rsid w:val="685B5D58"/>
    <w:rsid w:val="685C573B"/>
    <w:rsid w:val="686E6C4D"/>
    <w:rsid w:val="688239F6"/>
    <w:rsid w:val="688B13C2"/>
    <w:rsid w:val="68A93CF9"/>
    <w:rsid w:val="68CF0D01"/>
    <w:rsid w:val="6909317B"/>
    <w:rsid w:val="69095B4E"/>
    <w:rsid w:val="69211F82"/>
    <w:rsid w:val="69651837"/>
    <w:rsid w:val="699F5357"/>
    <w:rsid w:val="69D62369"/>
    <w:rsid w:val="6A2A5103"/>
    <w:rsid w:val="6A950689"/>
    <w:rsid w:val="6AA50069"/>
    <w:rsid w:val="6AE24CAD"/>
    <w:rsid w:val="6AE9216F"/>
    <w:rsid w:val="6AFD3351"/>
    <w:rsid w:val="6BB75FC0"/>
    <w:rsid w:val="6C3555DD"/>
    <w:rsid w:val="6C3C3E9D"/>
    <w:rsid w:val="6C790CEA"/>
    <w:rsid w:val="6C9605A2"/>
    <w:rsid w:val="6CAF23D5"/>
    <w:rsid w:val="6CD43218"/>
    <w:rsid w:val="6CED2603"/>
    <w:rsid w:val="6D115DE4"/>
    <w:rsid w:val="6D144180"/>
    <w:rsid w:val="6D1525B6"/>
    <w:rsid w:val="6D290025"/>
    <w:rsid w:val="6D8C143C"/>
    <w:rsid w:val="6D8D4114"/>
    <w:rsid w:val="6DAA1C97"/>
    <w:rsid w:val="6DD65083"/>
    <w:rsid w:val="6DD72513"/>
    <w:rsid w:val="6E44367C"/>
    <w:rsid w:val="6E596897"/>
    <w:rsid w:val="6E5A0A6C"/>
    <w:rsid w:val="6EDE249B"/>
    <w:rsid w:val="6F0D763F"/>
    <w:rsid w:val="6F202FB6"/>
    <w:rsid w:val="6F74181A"/>
    <w:rsid w:val="6F7B16B9"/>
    <w:rsid w:val="6F834197"/>
    <w:rsid w:val="6FA66FBD"/>
    <w:rsid w:val="70CD1B9F"/>
    <w:rsid w:val="70D16136"/>
    <w:rsid w:val="71225C48"/>
    <w:rsid w:val="712C2DB5"/>
    <w:rsid w:val="714F4F99"/>
    <w:rsid w:val="718962A6"/>
    <w:rsid w:val="719E1D43"/>
    <w:rsid w:val="71F33B7F"/>
    <w:rsid w:val="722142A3"/>
    <w:rsid w:val="72C743E5"/>
    <w:rsid w:val="73350389"/>
    <w:rsid w:val="733F3A15"/>
    <w:rsid w:val="734F2AF2"/>
    <w:rsid w:val="73664C84"/>
    <w:rsid w:val="73767EBB"/>
    <w:rsid w:val="73FB5DD0"/>
    <w:rsid w:val="741D6E5C"/>
    <w:rsid w:val="747F4DB4"/>
    <w:rsid w:val="74941FC2"/>
    <w:rsid w:val="74CA4625"/>
    <w:rsid w:val="74DF70D2"/>
    <w:rsid w:val="74F90D28"/>
    <w:rsid w:val="758715AE"/>
    <w:rsid w:val="76050E33"/>
    <w:rsid w:val="765F0C70"/>
    <w:rsid w:val="76DB0952"/>
    <w:rsid w:val="77101304"/>
    <w:rsid w:val="77670ECD"/>
    <w:rsid w:val="776E0A58"/>
    <w:rsid w:val="7780294E"/>
    <w:rsid w:val="779C2D42"/>
    <w:rsid w:val="77A44EC3"/>
    <w:rsid w:val="784B4846"/>
    <w:rsid w:val="785C3FD8"/>
    <w:rsid w:val="78622BBF"/>
    <w:rsid w:val="787945B1"/>
    <w:rsid w:val="78DC5727"/>
    <w:rsid w:val="792433A3"/>
    <w:rsid w:val="793737A2"/>
    <w:rsid w:val="793E6DC3"/>
    <w:rsid w:val="79897CD0"/>
    <w:rsid w:val="798D298E"/>
    <w:rsid w:val="7997550A"/>
    <w:rsid w:val="7A4E4531"/>
    <w:rsid w:val="7AAF054A"/>
    <w:rsid w:val="7AB4130A"/>
    <w:rsid w:val="7AB743F2"/>
    <w:rsid w:val="7AF12E9D"/>
    <w:rsid w:val="7B122FFC"/>
    <w:rsid w:val="7B2D7052"/>
    <w:rsid w:val="7BD2298B"/>
    <w:rsid w:val="7BE2184C"/>
    <w:rsid w:val="7BEC4CA5"/>
    <w:rsid w:val="7C1F0423"/>
    <w:rsid w:val="7CD87B18"/>
    <w:rsid w:val="7D585F36"/>
    <w:rsid w:val="7DDA47AE"/>
    <w:rsid w:val="7DE65970"/>
    <w:rsid w:val="7DED7DF7"/>
    <w:rsid w:val="7E617E5F"/>
    <w:rsid w:val="7EB73FA8"/>
    <w:rsid w:val="7F1D397B"/>
    <w:rsid w:val="7F633A0C"/>
    <w:rsid w:val="7FBC2780"/>
    <w:rsid w:val="7FD242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6"/>
    <w:qFormat/>
    <w:uiPriority w:val="0"/>
    <w:pPr>
      <w:keepNext/>
      <w:keepLines/>
      <w:spacing w:line="578" w:lineRule="auto"/>
      <w:outlineLvl w:val="0"/>
    </w:pPr>
    <w:rPr>
      <w:b/>
      <w:bCs/>
      <w:kern w:val="44"/>
      <w:sz w:val="44"/>
      <w:szCs w:val="44"/>
    </w:rPr>
  </w:style>
  <w:style w:type="paragraph" w:styleId="4">
    <w:name w:val="heading 2"/>
    <w:basedOn w:val="1"/>
    <w:next w:val="1"/>
    <w:link w:val="226"/>
    <w:qFormat/>
    <w:uiPriority w:val="0"/>
    <w:pPr>
      <w:keepNext/>
      <w:keepLines/>
      <w:spacing w:line="416" w:lineRule="auto"/>
      <w:outlineLvl w:val="1"/>
    </w:pPr>
    <w:rPr>
      <w:rFonts w:ascii="Arial" w:hAnsi="Arial" w:eastAsia="黑体"/>
      <w:b/>
      <w:bCs/>
      <w:kern w:val="0"/>
      <w:sz w:val="32"/>
      <w:szCs w:val="32"/>
    </w:rPr>
  </w:style>
  <w:style w:type="paragraph" w:styleId="5">
    <w:name w:val="heading 3"/>
    <w:basedOn w:val="1"/>
    <w:next w:val="1"/>
    <w:link w:val="184"/>
    <w:qFormat/>
    <w:uiPriority w:val="0"/>
    <w:pPr>
      <w:keepNext/>
      <w:keepLines/>
      <w:spacing w:line="416" w:lineRule="auto"/>
      <w:outlineLvl w:val="2"/>
    </w:pPr>
    <w:rPr>
      <w:b/>
      <w:bCs/>
      <w:kern w:val="0"/>
      <w:sz w:val="32"/>
      <w:szCs w:val="32"/>
    </w:rPr>
  </w:style>
  <w:style w:type="paragraph" w:styleId="6">
    <w:name w:val="heading 4"/>
    <w:basedOn w:val="1"/>
    <w:next w:val="1"/>
    <w:link w:val="260"/>
    <w:qFormat/>
    <w:uiPriority w:val="0"/>
    <w:pPr>
      <w:keepNext/>
      <w:keepLines/>
      <w:widowControl/>
      <w:spacing w:line="360" w:lineRule="auto"/>
      <w:jc w:val="center"/>
      <w:outlineLvl w:val="3"/>
    </w:pPr>
    <w:rPr>
      <w:rFonts w:ascii="Arial" w:hAnsi="Arial" w:eastAsia="黑体"/>
      <w:kern w:val="0"/>
      <w:sz w:val="28"/>
      <w:szCs w:val="20"/>
    </w:rPr>
  </w:style>
  <w:style w:type="paragraph" w:styleId="7">
    <w:name w:val="heading 5"/>
    <w:basedOn w:val="1"/>
    <w:next w:val="1"/>
    <w:link w:val="191"/>
    <w:qFormat/>
    <w:uiPriority w:val="0"/>
    <w:pPr>
      <w:keepNext/>
      <w:keepLines/>
      <w:numPr>
        <w:ilvl w:val="4"/>
        <w:numId w:val="1"/>
      </w:numPr>
      <w:spacing w:line="376" w:lineRule="auto"/>
      <w:outlineLvl w:val="4"/>
    </w:pPr>
    <w:rPr>
      <w:rFonts w:ascii="Calibri" w:hAnsi="Calibri"/>
      <w:b/>
      <w:sz w:val="28"/>
    </w:rPr>
  </w:style>
  <w:style w:type="paragraph" w:styleId="8">
    <w:name w:val="heading 6"/>
    <w:basedOn w:val="1"/>
    <w:next w:val="9"/>
    <w:link w:val="233"/>
    <w:qFormat/>
    <w:uiPriority w:val="0"/>
    <w:pPr>
      <w:keepNext/>
      <w:keepLines/>
      <w:numPr>
        <w:ilvl w:val="5"/>
        <w:numId w:val="1"/>
      </w:numPr>
      <w:spacing w:line="320" w:lineRule="auto"/>
      <w:outlineLvl w:val="5"/>
    </w:pPr>
    <w:rPr>
      <w:rFonts w:ascii="Arial" w:hAnsi="Arial" w:eastAsia="黑体"/>
      <w:b/>
      <w:sz w:val="24"/>
    </w:rPr>
  </w:style>
  <w:style w:type="paragraph" w:styleId="10">
    <w:name w:val="heading 7"/>
    <w:basedOn w:val="1"/>
    <w:next w:val="9"/>
    <w:link w:val="242"/>
    <w:qFormat/>
    <w:uiPriority w:val="0"/>
    <w:pPr>
      <w:keepNext/>
      <w:keepLines/>
      <w:numPr>
        <w:ilvl w:val="6"/>
        <w:numId w:val="1"/>
      </w:numPr>
      <w:spacing w:line="320" w:lineRule="auto"/>
      <w:outlineLvl w:val="6"/>
    </w:pPr>
    <w:rPr>
      <w:rFonts w:ascii="Calibri" w:hAnsi="Calibri"/>
      <w:b/>
      <w:sz w:val="24"/>
    </w:rPr>
  </w:style>
  <w:style w:type="paragraph" w:styleId="11">
    <w:name w:val="heading 8"/>
    <w:basedOn w:val="1"/>
    <w:next w:val="9"/>
    <w:link w:val="221"/>
    <w:qFormat/>
    <w:uiPriority w:val="0"/>
    <w:pPr>
      <w:keepNext/>
      <w:keepLines/>
      <w:numPr>
        <w:ilvl w:val="7"/>
        <w:numId w:val="1"/>
      </w:numPr>
      <w:spacing w:line="320" w:lineRule="auto"/>
      <w:outlineLvl w:val="7"/>
    </w:pPr>
    <w:rPr>
      <w:rFonts w:ascii="Arial" w:hAnsi="Arial" w:eastAsia="黑体"/>
      <w:sz w:val="24"/>
    </w:rPr>
  </w:style>
  <w:style w:type="paragraph" w:styleId="12">
    <w:name w:val="heading 9"/>
    <w:basedOn w:val="1"/>
    <w:next w:val="9"/>
    <w:link w:val="237"/>
    <w:qFormat/>
    <w:uiPriority w:val="0"/>
    <w:pPr>
      <w:keepNext/>
      <w:keepLines/>
      <w:numPr>
        <w:ilvl w:val="8"/>
        <w:numId w:val="1"/>
      </w:numPr>
      <w:spacing w:line="320" w:lineRule="auto"/>
      <w:outlineLvl w:val="8"/>
    </w:pPr>
    <w:rPr>
      <w:rFonts w:ascii="Arial" w:hAnsi="Arial" w:eastAsia="黑体"/>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7"/>
    <w:qFormat/>
    <w:uiPriority w:val="99"/>
    <w:pPr>
      <w:tabs>
        <w:tab w:val="center" w:pos="4153"/>
        <w:tab w:val="right" w:pos="8306"/>
      </w:tabs>
      <w:snapToGrid w:val="0"/>
      <w:jc w:val="left"/>
    </w:pPr>
    <w:rPr>
      <w:kern w:val="0"/>
      <w:sz w:val="18"/>
      <w:szCs w:val="18"/>
    </w:rPr>
  </w:style>
  <w:style w:type="paragraph" w:styleId="9">
    <w:name w:val="Normal Indent"/>
    <w:basedOn w:val="1"/>
    <w:link w:val="220"/>
    <w:qFormat/>
    <w:uiPriority w:val="0"/>
    <w:pPr>
      <w:ind w:firstLine="420"/>
    </w:pPr>
    <w:rPr>
      <w:szCs w:val="20"/>
    </w:r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link w:val="201"/>
    <w:qFormat/>
    <w:uiPriority w:val="0"/>
    <w:pPr>
      <w:shd w:val="clear" w:color="auto" w:fill="000080"/>
      <w:adjustRightInd w:val="0"/>
      <w:spacing w:line="312" w:lineRule="atLeast"/>
      <w:textAlignment w:val="baseline"/>
    </w:pPr>
    <w:rPr>
      <w:kern w:val="0"/>
      <w:sz w:val="20"/>
      <w:szCs w:val="20"/>
    </w:rPr>
  </w:style>
  <w:style w:type="paragraph" w:styleId="17">
    <w:name w:val="annotation text"/>
    <w:basedOn w:val="1"/>
    <w:link w:val="213"/>
    <w:qFormat/>
    <w:uiPriority w:val="0"/>
    <w:pPr>
      <w:adjustRightInd w:val="0"/>
      <w:spacing w:line="360" w:lineRule="atLeast"/>
      <w:jc w:val="left"/>
      <w:textAlignment w:val="baseline"/>
    </w:pPr>
    <w:rPr>
      <w:kern w:val="0"/>
      <w:sz w:val="24"/>
      <w:szCs w:val="20"/>
    </w:rPr>
  </w:style>
  <w:style w:type="paragraph" w:styleId="18">
    <w:name w:val="index 6"/>
    <w:next w:val="1"/>
    <w:qFormat/>
    <w:uiPriority w:val="0"/>
    <w:pPr>
      <w:jc w:val="both"/>
    </w:pPr>
    <w:rPr>
      <w:rFonts w:ascii="Times New Roman" w:hAnsi="Times New Roman" w:eastAsia="宋体" w:cs="Times New Roman"/>
      <w:sz w:val="21"/>
      <w:szCs w:val="24"/>
      <w:lang w:val="en-US" w:eastAsia="zh-CN" w:bidi="ar-SA"/>
    </w:rPr>
  </w:style>
  <w:style w:type="paragraph" w:styleId="19">
    <w:name w:val="Body Text 3"/>
    <w:basedOn w:val="1"/>
    <w:link w:val="223"/>
    <w:qFormat/>
    <w:uiPriority w:val="0"/>
    <w:pPr>
      <w:spacing w:line="500" w:lineRule="exact"/>
    </w:pPr>
    <w:rPr>
      <w:b/>
      <w:bCs/>
      <w:kern w:val="0"/>
      <w:sz w:val="24"/>
    </w:rPr>
  </w:style>
  <w:style w:type="paragraph" w:styleId="20">
    <w:name w:val="Body Text"/>
    <w:basedOn w:val="1"/>
    <w:link w:val="232"/>
    <w:qFormat/>
    <w:uiPriority w:val="0"/>
    <w:pPr>
      <w:spacing w:line="380" w:lineRule="exact"/>
    </w:pPr>
    <w:rPr>
      <w:kern w:val="0"/>
      <w:sz w:val="24"/>
    </w:rPr>
  </w:style>
  <w:style w:type="paragraph" w:styleId="21">
    <w:name w:val="Body Text Indent"/>
    <w:basedOn w:val="1"/>
    <w:link w:val="235"/>
    <w:qFormat/>
    <w:uiPriority w:val="0"/>
    <w:pPr>
      <w:ind w:firstLine="830" w:firstLineChars="352"/>
    </w:pPr>
    <w:rPr>
      <w:rFonts w:ascii="仿宋_GB2312" w:eastAsia="仿宋_GB2312"/>
      <w:kern w:val="0"/>
      <w:sz w:val="32"/>
      <w:szCs w:val="20"/>
    </w:rPr>
  </w:style>
  <w:style w:type="paragraph" w:styleId="22">
    <w:name w:val="List Number 3"/>
    <w:basedOn w:val="1"/>
    <w:qFormat/>
    <w:uiPriority w:val="0"/>
    <w:pPr>
      <w:numPr>
        <w:ilvl w:val="0"/>
        <w:numId w:val="1"/>
      </w:numPr>
      <w:tabs>
        <w:tab w:val="left" w:pos="1200"/>
      </w:tabs>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next w:val="6"/>
    <w:link w:val="173"/>
    <w:qFormat/>
    <w:uiPriority w:val="0"/>
    <w:rPr>
      <w:rFonts w:ascii="宋体" w:hAnsi="Courier New"/>
      <w:kern w:val="0"/>
      <w:sz w:val="20"/>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179"/>
    <w:qFormat/>
    <w:uiPriority w:val="0"/>
    <w:pPr>
      <w:ind w:left="100" w:leftChars="2500"/>
    </w:pPr>
    <w:rPr>
      <w:rFonts w:ascii="宋体" w:hAnsi="Courier New"/>
      <w:kern w:val="0"/>
      <w:sz w:val="20"/>
      <w:szCs w:val="21"/>
    </w:rPr>
  </w:style>
  <w:style w:type="paragraph" w:styleId="30">
    <w:name w:val="Body Text Indent 2"/>
    <w:basedOn w:val="1"/>
    <w:link w:val="240"/>
    <w:qFormat/>
    <w:uiPriority w:val="0"/>
    <w:pPr>
      <w:ind w:firstLine="630"/>
    </w:pPr>
    <w:rPr>
      <w:kern w:val="0"/>
      <w:sz w:val="32"/>
      <w:szCs w:val="20"/>
    </w:rPr>
  </w:style>
  <w:style w:type="paragraph" w:styleId="31">
    <w:name w:val="Balloon Text"/>
    <w:basedOn w:val="1"/>
    <w:link w:val="182"/>
    <w:semiHidden/>
    <w:qFormat/>
    <w:uiPriority w:val="0"/>
    <w:rPr>
      <w:kern w:val="0"/>
      <w:sz w:val="18"/>
      <w:szCs w:val="18"/>
    </w:rPr>
  </w:style>
  <w:style w:type="paragraph" w:styleId="32">
    <w:name w:val="header"/>
    <w:basedOn w:val="1"/>
    <w:link w:val="238"/>
    <w:qFormat/>
    <w:uiPriority w:val="0"/>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qFormat/>
    <w:uiPriority w:val="39"/>
    <w:pPr>
      <w:tabs>
        <w:tab w:val="right" w:leader="dot" w:pos="8296"/>
        <w:tab w:val="right" w:leader="dot" w:pos="8398"/>
      </w:tabs>
      <w:spacing w:line="320" w:lineRule="exact"/>
      <w:ind w:firstLine="840" w:firstLineChars="400"/>
      <w:jc w:val="left"/>
    </w:pPr>
    <w:rPr>
      <w:rFonts w:ascii="仿宋_GB2312" w:hAnsi="宋体" w:eastAsia="仿宋_GB2312" w:cs="Courier New"/>
      <w:bCs/>
      <w:caps/>
      <w:szCs w:val="21"/>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244"/>
    <w:qFormat/>
    <w:uiPriority w:val="0"/>
    <w:pPr>
      <w:ind w:left="420" w:leftChars="200"/>
    </w:pPr>
    <w:rPr>
      <w:kern w:val="0"/>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71"/>
    <w:qFormat/>
    <w:uiPriority w:val="0"/>
    <w:pPr>
      <w:spacing w:line="480" w:lineRule="auto"/>
    </w:pPr>
    <w:rPr>
      <w:kern w:val="0"/>
      <w:sz w:val="20"/>
    </w:r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3">
    <w:name w:val="Normal (Web)"/>
    <w:basedOn w:val="1"/>
    <w:qFormat/>
    <w:uiPriority w:val="99"/>
    <w:pPr>
      <w:widowControl/>
      <w:spacing w:beforeAutospacing="1" w:afterAutospacing="1"/>
      <w:jc w:val="left"/>
    </w:pPr>
    <w:rPr>
      <w:rFonts w:ascii="宋体" w:hAnsi="宋体"/>
      <w:kern w:val="0"/>
      <w:sz w:val="24"/>
    </w:rPr>
  </w:style>
  <w:style w:type="paragraph" w:styleId="44">
    <w:name w:val="index 1"/>
    <w:basedOn w:val="1"/>
    <w:next w:val="1"/>
    <w:semiHidden/>
    <w:qFormat/>
    <w:uiPriority w:val="0"/>
    <w:pPr>
      <w:spacing w:line="400" w:lineRule="exact"/>
      <w:ind w:firstLine="420" w:firstLineChars="200"/>
    </w:pPr>
    <w:rPr>
      <w:rFonts w:ascii="宋体" w:hAnsi="Courier New"/>
      <w:b/>
      <w:szCs w:val="20"/>
    </w:rPr>
  </w:style>
  <w:style w:type="paragraph" w:styleId="45">
    <w:name w:val="Title"/>
    <w:basedOn w:val="1"/>
    <w:link w:val="248"/>
    <w:qFormat/>
    <w:uiPriority w:val="0"/>
    <w:pPr>
      <w:jc w:val="center"/>
      <w:outlineLvl w:val="0"/>
    </w:pPr>
    <w:rPr>
      <w:rFonts w:ascii="Arial" w:hAnsi="Arial"/>
      <w:b/>
      <w:bCs/>
      <w:sz w:val="32"/>
      <w:szCs w:val="32"/>
    </w:rPr>
  </w:style>
  <w:style w:type="paragraph" w:styleId="46">
    <w:name w:val="annotation subject"/>
    <w:basedOn w:val="17"/>
    <w:next w:val="17"/>
    <w:semiHidden/>
    <w:qFormat/>
    <w:uiPriority w:val="0"/>
    <w:pPr>
      <w:adjustRightInd/>
      <w:spacing w:line="240" w:lineRule="auto"/>
      <w:textAlignment w:val="auto"/>
    </w:pPr>
    <w:rPr>
      <w:b/>
      <w:bCs/>
      <w:kern w:val="2"/>
      <w:sz w:val="21"/>
      <w:szCs w:val="24"/>
    </w:rPr>
  </w:style>
  <w:style w:type="table" w:styleId="48">
    <w:name w:val="Table Grid"/>
    <w:basedOn w:val="4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146C88"/>
      <w:u w:val="none"/>
    </w:rPr>
  </w:style>
  <w:style w:type="character" w:styleId="53">
    <w:name w:val="Emphasis"/>
    <w:qFormat/>
    <w:uiPriority w:val="0"/>
    <w:rPr>
      <w:i/>
      <w:iCs/>
    </w:rPr>
  </w:style>
  <w:style w:type="character" w:styleId="54">
    <w:name w:val="HTML Definition"/>
    <w:unhideWhenUsed/>
    <w:qFormat/>
    <w:uiPriority w:val="99"/>
  </w:style>
  <w:style w:type="character" w:styleId="55">
    <w:name w:val="HTML Acronym"/>
    <w:basedOn w:val="49"/>
    <w:unhideWhenUsed/>
    <w:qFormat/>
    <w:uiPriority w:val="99"/>
  </w:style>
  <w:style w:type="character" w:styleId="56">
    <w:name w:val="HTML Variable"/>
    <w:unhideWhenUsed/>
    <w:qFormat/>
    <w:uiPriority w:val="99"/>
  </w:style>
  <w:style w:type="character" w:styleId="57">
    <w:name w:val="Hyperlink"/>
    <w:qFormat/>
    <w:uiPriority w:val="99"/>
    <w:rPr>
      <w:color w:val="146C88"/>
      <w:u w:val="none"/>
    </w:rPr>
  </w:style>
  <w:style w:type="character" w:styleId="58">
    <w:name w:val="HTML Code"/>
    <w:unhideWhenUsed/>
    <w:qFormat/>
    <w:uiPriority w:val="99"/>
    <w:rPr>
      <w:rFonts w:ascii="Courier New" w:hAnsi="Courier New"/>
      <w:color w:val="505050"/>
      <w:sz w:val="24"/>
      <w:szCs w:val="24"/>
    </w:rPr>
  </w:style>
  <w:style w:type="character" w:styleId="59">
    <w:name w:val="annotation reference"/>
    <w:qFormat/>
    <w:uiPriority w:val="0"/>
    <w:rPr>
      <w:sz w:val="21"/>
      <w:szCs w:val="21"/>
    </w:rPr>
  </w:style>
  <w:style w:type="character" w:styleId="60">
    <w:name w:val="HTML Cite"/>
    <w:unhideWhenUsed/>
    <w:qFormat/>
    <w:uiPriority w:val="99"/>
  </w:style>
  <w:style w:type="paragraph" w:customStyle="1" w:styleId="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xl3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bottom"/>
    </w:pPr>
    <w:rPr>
      <w:rFonts w:ascii="宋体" w:hAnsi="宋体" w:cs="宋体"/>
      <w:kern w:val="0"/>
      <w:sz w:val="20"/>
      <w:szCs w:val="20"/>
    </w:rPr>
  </w:style>
  <w:style w:type="paragraph" w:customStyle="1" w:styleId="63">
    <w:name w:val="Char Char Char"/>
    <w:basedOn w:val="1"/>
    <w:qFormat/>
    <w:uiPriority w:val="0"/>
  </w:style>
  <w:style w:type="paragraph" w:customStyle="1" w:styleId="64">
    <w:name w:val="Char Char Char Char Char Char1 Char"/>
    <w:basedOn w:val="1"/>
    <w:qFormat/>
    <w:uiPriority w:val="0"/>
    <w:pPr>
      <w:widowControl/>
      <w:spacing w:line="240" w:lineRule="exact"/>
      <w:jc w:val="left"/>
    </w:pPr>
    <w:rPr>
      <w:rFonts w:eastAsia="仿宋_GB2312" w:cs="宋体"/>
      <w:kern w:val="0"/>
      <w:szCs w:val="20"/>
      <w:lang w:eastAsia="en-US"/>
    </w:rPr>
  </w:style>
  <w:style w:type="paragraph" w:customStyle="1" w:styleId="65">
    <w:name w:val="文章总标题"/>
    <w:basedOn w:val="1"/>
    <w:next w:val="66"/>
    <w:qFormat/>
    <w:uiPriority w:val="0"/>
    <w:pPr>
      <w:widowControl/>
      <w:spacing w:line="566" w:lineRule="atLeast"/>
      <w:jc w:val="center"/>
      <w:textAlignment w:val="baseline"/>
    </w:pPr>
    <w:rPr>
      <w:rFonts w:ascii="Arial" w:eastAsia="黑体"/>
      <w:color w:val="000000"/>
      <w:kern w:val="0"/>
      <w:sz w:val="54"/>
      <w:szCs w:val="20"/>
      <w:u w:color="000000"/>
    </w:rPr>
  </w:style>
  <w:style w:type="paragraph" w:customStyle="1" w:styleId="66">
    <w:name w:val="文章附标题"/>
    <w:basedOn w:val="1"/>
    <w:next w:val="3"/>
    <w:qFormat/>
    <w:uiPriority w:val="0"/>
    <w:pPr>
      <w:widowControl/>
      <w:spacing w:line="374" w:lineRule="atLeast"/>
      <w:jc w:val="center"/>
      <w:textAlignment w:val="baseline"/>
    </w:pPr>
    <w:rPr>
      <w:color w:val="000000"/>
      <w:kern w:val="0"/>
      <w:sz w:val="36"/>
      <w:szCs w:val="20"/>
      <w:u w:color="000000"/>
    </w:rPr>
  </w:style>
  <w:style w:type="paragraph" w:customStyle="1" w:styleId="67">
    <w:name w:val="Char Char Char Char"/>
    <w:basedOn w:val="16"/>
    <w:qFormat/>
    <w:uiPriority w:val="0"/>
    <w:pPr>
      <w:snapToGrid w:val="0"/>
      <w:spacing w:line="360" w:lineRule="auto"/>
      <w:textAlignment w:val="auto"/>
    </w:pPr>
    <w:rPr>
      <w:rFonts w:ascii="Tahoma" w:hAnsi="Tahoma"/>
      <w:kern w:val="2"/>
      <w:sz w:val="24"/>
      <w:szCs w:val="24"/>
    </w:rPr>
  </w:style>
  <w:style w:type="paragraph" w:customStyle="1" w:styleId="68">
    <w:name w:val="目录标题"/>
    <w:basedOn w:val="1"/>
    <w:next w:val="1"/>
    <w:qFormat/>
    <w:uiPriority w:val="0"/>
    <w:pPr>
      <w:widowControl/>
      <w:spacing w:line="566" w:lineRule="atLeast"/>
      <w:ind w:firstLine="419"/>
      <w:jc w:val="center"/>
      <w:textAlignment w:val="baseline"/>
    </w:pPr>
    <w:rPr>
      <w:rFonts w:ascii="Arial" w:eastAsia="黑体"/>
      <w:color w:val="000000"/>
      <w:spacing w:val="566"/>
      <w:kern w:val="0"/>
      <w:sz w:val="54"/>
      <w:szCs w:val="20"/>
      <w:u w:color="000000"/>
    </w:rPr>
  </w:style>
  <w:style w:type="paragraph" w:customStyle="1" w:styleId="69">
    <w:name w:val="目录1"/>
    <w:basedOn w:val="1"/>
    <w:next w:val="1"/>
    <w:qFormat/>
    <w:uiPriority w:val="0"/>
    <w:pPr>
      <w:widowControl/>
      <w:tabs>
        <w:tab w:val="left" w:leader="dot" w:pos="8503"/>
      </w:tabs>
      <w:spacing w:line="289" w:lineRule="atLeast"/>
      <w:jc w:val="left"/>
      <w:textAlignment w:val="baseline"/>
    </w:pPr>
    <w:rPr>
      <w:rFonts w:ascii="Arial" w:eastAsia="黑体"/>
      <w:color w:val="000000"/>
      <w:kern w:val="0"/>
      <w:sz w:val="28"/>
      <w:szCs w:val="20"/>
      <w:u w:color="000000"/>
    </w:rPr>
  </w:style>
  <w:style w:type="paragraph" w:customStyle="1" w:styleId="70">
    <w:name w:val="pa-0"/>
    <w:basedOn w:val="1"/>
    <w:qFormat/>
    <w:uiPriority w:val="0"/>
    <w:pPr>
      <w:widowControl/>
      <w:jc w:val="left"/>
    </w:pPr>
    <w:rPr>
      <w:rFonts w:ascii="宋体" w:hAnsi="宋体" w:cs="宋体"/>
      <w:kern w:val="0"/>
      <w:sz w:val="24"/>
    </w:rPr>
  </w:style>
  <w:style w:type="paragraph" w:customStyle="1" w:styleId="71">
    <w:name w:val="2-2ji"/>
    <w:basedOn w:val="4"/>
    <w:qFormat/>
    <w:uiPriority w:val="0"/>
    <w:pPr>
      <w:adjustRightInd w:val="0"/>
      <w:spacing w:line="360" w:lineRule="auto"/>
      <w:jc w:val="center"/>
      <w:textAlignment w:val="baseline"/>
    </w:pPr>
    <w:rPr>
      <w:rFonts w:ascii="宋体" w:hAnsi="宋体" w:eastAsia="宋体"/>
      <w:bCs w:val="0"/>
      <w:sz w:val="36"/>
    </w:rPr>
  </w:style>
  <w:style w:type="paragraph" w:customStyle="1" w:styleId="72">
    <w:name w:val="1"/>
    <w:basedOn w:val="1"/>
    <w:next w:val="27"/>
    <w:qFormat/>
    <w:uiPriority w:val="0"/>
    <w:rPr>
      <w:rFonts w:ascii="宋体" w:hAnsi="Courier New"/>
      <w:szCs w:val="20"/>
    </w:rPr>
  </w:style>
  <w:style w:type="paragraph" w:customStyle="1" w:styleId="73">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74">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75">
    <w:name w:val="font6"/>
    <w:basedOn w:val="1"/>
    <w:qFormat/>
    <w:uiPriority w:val="0"/>
    <w:pPr>
      <w:widowControl/>
      <w:spacing w:beforeAutospacing="1" w:afterAutospacing="1"/>
      <w:jc w:val="left"/>
    </w:pPr>
    <w:rPr>
      <w:rFonts w:ascii="宋体" w:hAnsi="宋体" w:cs="宋体"/>
      <w:kern w:val="0"/>
      <w:sz w:val="20"/>
      <w:szCs w:val="20"/>
    </w:rPr>
  </w:style>
  <w:style w:type="paragraph" w:customStyle="1" w:styleId="76">
    <w:name w:val="style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Char2"/>
    <w:basedOn w:val="1"/>
    <w:qFormat/>
    <w:uiPriority w:val="0"/>
    <w:pPr>
      <w:widowControl/>
      <w:spacing w:line="240" w:lineRule="exact"/>
      <w:jc w:val="left"/>
    </w:pPr>
    <w:rPr>
      <w:rFonts w:ascii="Verdana" w:hAnsi="Verdana"/>
      <w:kern w:val="0"/>
      <w:szCs w:val="20"/>
      <w:lang w:eastAsia="en-US"/>
    </w:rPr>
  </w:style>
  <w:style w:type="paragraph" w:customStyle="1" w:styleId="78">
    <w:name w:val="xl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top"/>
    </w:pPr>
    <w:rPr>
      <w:rFonts w:ascii="宋体" w:hAnsi="宋体" w:cs="宋体"/>
      <w:kern w:val="0"/>
      <w:sz w:val="20"/>
      <w:szCs w:val="20"/>
    </w:rPr>
  </w:style>
  <w:style w:type="paragraph" w:customStyle="1" w:styleId="79">
    <w:name w:val="_Style 35"/>
    <w:basedOn w:val="16"/>
    <w:qFormat/>
    <w:uiPriority w:val="0"/>
    <w:pPr>
      <w:widowControl/>
      <w:adjustRightInd/>
      <w:spacing w:line="240" w:lineRule="auto"/>
      <w:ind w:firstLine="454"/>
      <w:jc w:val="left"/>
      <w:textAlignment w:val="auto"/>
    </w:pPr>
    <w:rPr>
      <w:kern w:val="2"/>
      <w:sz w:val="21"/>
      <w:szCs w:val="24"/>
    </w:rPr>
  </w:style>
  <w:style w:type="paragraph" w:customStyle="1" w:styleId="80">
    <w:name w:val="xl3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top"/>
    </w:pPr>
    <w:rPr>
      <w:rFonts w:ascii="宋体" w:hAnsi="宋体" w:cs="宋体"/>
      <w:kern w:val="0"/>
      <w:sz w:val="20"/>
      <w:szCs w:val="20"/>
    </w:rPr>
  </w:style>
  <w:style w:type="paragraph" w:customStyle="1" w:styleId="81">
    <w:name w:val="Char1"/>
    <w:basedOn w:val="1"/>
    <w:qFormat/>
    <w:uiPriority w:val="0"/>
    <w:rPr>
      <w:szCs w:val="21"/>
    </w:rPr>
  </w:style>
  <w:style w:type="paragraph" w:customStyle="1" w:styleId="82">
    <w:name w:val="Char Char Char Char Char Char Char Char Char Char Char Char Char Char"/>
    <w:basedOn w:val="1"/>
    <w:qFormat/>
    <w:uiPriority w:val="0"/>
  </w:style>
  <w:style w:type="paragraph" w:customStyle="1" w:styleId="83">
    <w:name w:val="默认段落字体 Para Char Char Char Char Char Char Char Char Char1 Char Char Char Char"/>
    <w:basedOn w:val="1"/>
    <w:qFormat/>
    <w:uiPriority w:val="0"/>
    <w:rPr>
      <w:rFonts w:ascii="Tahoma" w:hAnsi="Tahoma"/>
      <w:sz w:val="24"/>
      <w:szCs w:val="20"/>
    </w:rPr>
  </w:style>
  <w:style w:type="paragraph" w:customStyle="1" w:styleId="84">
    <w:name w:val="xl40"/>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0"/>
      <w:szCs w:val="20"/>
    </w:rPr>
  </w:style>
  <w:style w:type="paragraph" w:customStyle="1" w:styleId="85">
    <w:name w:val="p0"/>
    <w:basedOn w:val="1"/>
    <w:qFormat/>
    <w:uiPriority w:val="0"/>
    <w:pPr>
      <w:widowControl/>
    </w:pPr>
    <w:rPr>
      <w:kern w:val="0"/>
      <w:szCs w:val="21"/>
    </w:rPr>
  </w:style>
  <w:style w:type="paragraph" w:customStyle="1" w:styleId="86">
    <w:name w:val="xl3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0"/>
      <w:szCs w:val="20"/>
    </w:rPr>
  </w:style>
  <w:style w:type="paragraph" w:customStyle="1" w:styleId="87">
    <w:name w:val="表格"/>
    <w:basedOn w:val="1"/>
    <w:qFormat/>
    <w:uiPriority w:val="0"/>
    <w:pPr>
      <w:spacing w:line="400" w:lineRule="exact"/>
    </w:pPr>
    <w:rPr>
      <w:sz w:val="24"/>
    </w:rPr>
  </w:style>
  <w:style w:type="paragraph" w:customStyle="1" w:styleId="88">
    <w:name w:val="标题 3_0"/>
    <w:basedOn w:val="89"/>
    <w:next w:val="89"/>
    <w:qFormat/>
    <w:uiPriority w:val="0"/>
    <w:pPr>
      <w:keepNext/>
      <w:keepLines/>
      <w:spacing w:line="360" w:lineRule="auto"/>
      <w:outlineLvl w:val="2"/>
    </w:pPr>
    <w:rPr>
      <w:rFonts w:ascii="Calibri" w:hAnsi="Calibri" w:eastAsia="黑体"/>
      <w:b/>
      <w:bCs/>
      <w:szCs w:val="32"/>
    </w:rPr>
  </w:style>
  <w:style w:type="paragraph" w:customStyle="1" w:styleId="89">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Char Char Char1"/>
    <w:basedOn w:val="1"/>
    <w:qFormat/>
    <w:uiPriority w:val="0"/>
    <w:pPr>
      <w:widowControl/>
      <w:spacing w:line="240" w:lineRule="exact"/>
      <w:jc w:val="left"/>
    </w:pPr>
    <w:rPr>
      <w:rFonts w:ascii="Verdana" w:hAnsi="Verdana"/>
      <w:kern w:val="0"/>
      <w:sz w:val="20"/>
      <w:szCs w:val="20"/>
      <w:lang w:eastAsia="en-US"/>
    </w:rPr>
  </w:style>
  <w:style w:type="paragraph" w:customStyle="1" w:styleId="91">
    <w:name w:val="列出段落1"/>
    <w:basedOn w:val="1"/>
    <w:qFormat/>
    <w:uiPriority w:val="0"/>
    <w:pPr>
      <w:ind w:firstLine="420" w:firstLineChars="200"/>
    </w:pPr>
    <w:rPr>
      <w:sz w:val="24"/>
    </w:rPr>
  </w:style>
  <w:style w:type="paragraph" w:styleId="92">
    <w:name w:val="List Paragraph"/>
    <w:basedOn w:val="1"/>
    <w:link w:val="225"/>
    <w:qFormat/>
    <w:uiPriority w:val="0"/>
    <w:pPr>
      <w:ind w:firstLine="420" w:firstLineChars="200"/>
    </w:pPr>
    <w:rPr>
      <w:szCs w:val="20"/>
    </w:rPr>
  </w:style>
  <w:style w:type="paragraph" w:customStyle="1" w:styleId="9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默认"/>
    <w:qFormat/>
    <w:uiPriority w:val="0"/>
    <w:pPr>
      <w:pBdr>
        <w:top w:val="none" w:color="FFFFFF" w:sz="0" w:space="31"/>
        <w:left w:val="none" w:color="FFFFFF" w:sz="0" w:space="31"/>
        <w:bottom w:val="none" w:color="FFFFFF" w:sz="0" w:space="31"/>
        <w:right w:val="none" w:color="FFFFFF" w:sz="0" w:space="31"/>
      </w:pBdr>
    </w:pPr>
    <w:rPr>
      <w:rFonts w:ascii="Helvetica" w:hAnsi="Arial Unicode MS" w:eastAsia="Times New Roman" w:cs="Arial Unicode MS"/>
      <w:color w:val="000000"/>
      <w:sz w:val="22"/>
      <w:szCs w:val="22"/>
      <w:lang w:val="zh-TW" w:eastAsia="zh-TW" w:bidi="ar-SA"/>
    </w:rPr>
  </w:style>
  <w:style w:type="paragraph" w:customStyle="1" w:styleId="96">
    <w:name w:val="2级"/>
    <w:basedOn w:val="1"/>
    <w:qFormat/>
    <w:uiPriority w:val="0"/>
    <w:pPr>
      <w:numPr>
        <w:ilvl w:val="1"/>
        <w:numId w:val="1"/>
      </w:numPr>
      <w:spacing w:beforeLines="50" w:line="360" w:lineRule="auto"/>
      <w:outlineLvl w:val="1"/>
    </w:pPr>
    <w:rPr>
      <w:rFonts w:eastAsia="黑体"/>
      <w:sz w:val="32"/>
    </w:rPr>
  </w:style>
  <w:style w:type="paragraph" w:customStyle="1" w:styleId="97">
    <w:name w:val="xl3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szCs w:val="20"/>
    </w:rPr>
  </w:style>
  <w:style w:type="paragraph" w:customStyle="1" w:styleId="98">
    <w:name w:val="xl3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0"/>
      <w:szCs w:val="20"/>
    </w:rPr>
  </w:style>
  <w:style w:type="paragraph" w:customStyle="1" w:styleId="99">
    <w:name w:val="样式 首行缩进:  2 字符"/>
    <w:basedOn w:val="1"/>
    <w:qFormat/>
    <w:uiPriority w:val="0"/>
    <w:pPr>
      <w:spacing w:line="400" w:lineRule="exact"/>
      <w:ind w:firstLine="200" w:firstLineChars="200"/>
    </w:pPr>
    <w:rPr>
      <w:rFonts w:cs="宋体"/>
      <w:sz w:val="24"/>
    </w:rPr>
  </w:style>
  <w:style w:type="paragraph" w:customStyle="1" w:styleId="100">
    <w:name w:val="xl4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bottom"/>
    </w:pPr>
    <w:rPr>
      <w:rFonts w:ascii="宋体" w:hAnsi="宋体" w:cs="宋体"/>
      <w:kern w:val="0"/>
      <w:sz w:val="20"/>
      <w:szCs w:val="20"/>
    </w:rPr>
  </w:style>
  <w:style w:type="paragraph" w:customStyle="1" w:styleId="101">
    <w:name w:val="表内文字"/>
    <w:basedOn w:val="1"/>
    <w:qFormat/>
    <w:uiPriority w:val="0"/>
    <w:pPr>
      <w:snapToGrid w:val="0"/>
      <w:jc w:val="center"/>
    </w:pPr>
    <w:rPr>
      <w:rFonts w:ascii="仿宋_GB2312" w:hAnsi="宋体" w:eastAsia="仿宋_GB2312"/>
      <w:color w:val="000000"/>
      <w:szCs w:val="21"/>
    </w:rPr>
  </w:style>
  <w:style w:type="paragraph" w:customStyle="1" w:styleId="102">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03">
    <w:name w:val="Char Char Char1 Char"/>
    <w:basedOn w:val="1"/>
    <w:qFormat/>
    <w:uiPriority w:val="0"/>
    <w:rPr>
      <w:szCs w:val="21"/>
    </w:rPr>
  </w:style>
  <w:style w:type="paragraph" w:customStyle="1" w:styleId="10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05">
    <w:name w:val="Char Char3 Char Char"/>
    <w:basedOn w:val="1"/>
    <w:qFormat/>
    <w:uiPriority w:val="0"/>
    <w:pPr>
      <w:widowControl/>
      <w:spacing w:line="240" w:lineRule="exact"/>
      <w:jc w:val="left"/>
    </w:pPr>
    <w:rPr>
      <w:rFonts w:ascii="Verdana" w:hAnsi="Verdana"/>
      <w:kern w:val="0"/>
      <w:sz w:val="20"/>
      <w:szCs w:val="20"/>
      <w:lang w:eastAsia="en-US"/>
    </w:rPr>
  </w:style>
  <w:style w:type="paragraph" w:customStyle="1" w:styleId="106">
    <w:name w:val="正文段"/>
    <w:basedOn w:val="1"/>
    <w:qFormat/>
    <w:uiPriority w:val="0"/>
    <w:pPr>
      <w:widowControl/>
      <w:snapToGrid w:val="0"/>
      <w:spacing w:afterLines="50"/>
      <w:ind w:firstLine="200" w:firstLineChars="200"/>
    </w:pPr>
    <w:rPr>
      <w:kern w:val="0"/>
      <w:sz w:val="24"/>
      <w:szCs w:val="20"/>
    </w:rPr>
  </w:style>
  <w:style w:type="paragraph" w:customStyle="1" w:styleId="107">
    <w:name w:val="xl3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szCs w:val="20"/>
    </w:rPr>
  </w:style>
  <w:style w:type="paragraph" w:customStyle="1" w:styleId="108">
    <w:name w:val="Char1 Char Char Char Char Char Char1"/>
    <w:basedOn w:val="1"/>
    <w:qFormat/>
    <w:uiPriority w:val="0"/>
    <w:pPr>
      <w:widowControl/>
      <w:spacing w:line="240" w:lineRule="exact"/>
      <w:jc w:val="left"/>
    </w:pPr>
  </w:style>
  <w:style w:type="paragraph" w:customStyle="1" w:styleId="109">
    <w:name w:val="样式 样式 首行缩进: 2 字符"/>
    <w:basedOn w:val="1"/>
    <w:qFormat/>
    <w:uiPriority w:val="0"/>
    <w:pPr>
      <w:widowControl/>
      <w:ind w:firstLine="480" w:firstLineChars="200"/>
      <w:jc w:val="left"/>
    </w:pPr>
    <w:rPr>
      <w:rFonts w:cs="宋体"/>
      <w:kern w:val="0"/>
      <w:sz w:val="24"/>
      <w:szCs w:val="20"/>
    </w:rPr>
  </w:style>
  <w:style w:type="paragraph" w:customStyle="1" w:styleId="110">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bottom"/>
    </w:pPr>
    <w:rPr>
      <w:rFonts w:ascii="宋体" w:hAnsi="宋体" w:cs="宋体"/>
      <w:kern w:val="0"/>
      <w:sz w:val="20"/>
      <w:szCs w:val="20"/>
    </w:rPr>
  </w:style>
  <w:style w:type="paragraph" w:customStyle="1" w:styleId="111">
    <w:name w:val="4"/>
    <w:basedOn w:val="1"/>
    <w:next w:val="30"/>
    <w:qFormat/>
    <w:uiPriority w:val="0"/>
    <w:pPr>
      <w:spacing w:line="420" w:lineRule="exact"/>
      <w:ind w:firstLine="409" w:firstLineChars="195"/>
    </w:pPr>
  </w:style>
  <w:style w:type="paragraph" w:customStyle="1" w:styleId="112">
    <w:name w:val="页眉与页脚"/>
    <w:qFormat/>
    <w:uiPriority w:val="0"/>
    <w:pPr>
      <w:tabs>
        <w:tab w:val="right" w:pos="9020"/>
      </w:tabs>
    </w:pPr>
    <w:rPr>
      <w:rFonts w:ascii="Helvetica" w:hAnsi="Arial Unicode MS" w:eastAsia="Arial Unicode MS" w:cs="Arial Unicode MS"/>
      <w:color w:val="000000"/>
      <w:sz w:val="24"/>
      <w:szCs w:val="24"/>
      <w:lang w:val="en-US" w:eastAsia="zh-CN" w:bidi="ar-SA"/>
    </w:rPr>
  </w:style>
  <w:style w:type="paragraph" w:customStyle="1" w:styleId="113">
    <w:name w:val="Default Paragraph Font Para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14">
    <w:name w:val="正文1111"/>
    <w:qFormat/>
    <w:uiPriority w:val="0"/>
    <w:pPr>
      <w:spacing w:before="60" w:after="60" w:line="360" w:lineRule="auto"/>
      <w:ind w:firstLine="480" w:firstLineChars="200"/>
      <w:jc w:val="both"/>
    </w:pPr>
    <w:rPr>
      <w:rFonts w:ascii="宋体" w:hAnsi="宋体" w:eastAsia="宋体" w:cs="Times New Roman"/>
      <w:sz w:val="24"/>
      <w:szCs w:val="24"/>
      <w:lang w:val="en-US" w:eastAsia="zh-CN" w:bidi="ar-SA"/>
    </w:rPr>
  </w:style>
  <w:style w:type="paragraph" w:customStyle="1" w:styleId="115">
    <w:name w:val="_Style 2"/>
    <w:basedOn w:val="1"/>
    <w:qFormat/>
    <w:uiPriority w:val="0"/>
  </w:style>
  <w:style w:type="paragraph" w:customStyle="1" w:styleId="11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17">
    <w:name w:val="表格正文"/>
    <w:basedOn w:val="1"/>
    <w:qFormat/>
    <w:uiPriority w:val="0"/>
    <w:pPr>
      <w:spacing w:before="62" w:after="62" w:line="300" w:lineRule="auto"/>
      <w:jc w:val="left"/>
    </w:pPr>
    <w:rPr>
      <w:rFonts w:ascii="Verdana" w:hAnsi="Verdana" w:cs="宋体"/>
      <w:szCs w:val="21"/>
    </w:rPr>
  </w:style>
  <w:style w:type="paragraph" w:customStyle="1" w:styleId="118">
    <w:name w:val="1级"/>
    <w:basedOn w:val="3"/>
    <w:qFormat/>
    <w:uiPriority w:val="0"/>
    <w:pPr>
      <w:keepNext w:val="0"/>
      <w:spacing w:line="520" w:lineRule="exact"/>
      <w:jc w:val="center"/>
    </w:pPr>
    <w:rPr>
      <w:rFonts w:ascii="黑体" w:eastAsia="黑体"/>
      <w:b w:val="0"/>
    </w:rPr>
  </w:style>
  <w:style w:type="paragraph" w:customStyle="1" w:styleId="119">
    <w:name w:val="1ji"/>
    <w:basedOn w:val="3"/>
    <w:link w:val="192"/>
    <w:qFormat/>
    <w:uiPriority w:val="0"/>
    <w:pPr>
      <w:keepLines w:val="0"/>
      <w:widowControl/>
      <w:spacing w:line="240" w:lineRule="auto"/>
      <w:jc w:val="center"/>
    </w:pPr>
    <w:rPr>
      <w:rFonts w:ascii="宋体" w:hAnsi="宋体"/>
      <w:kern w:val="0"/>
      <w:sz w:val="36"/>
      <w:szCs w:val="20"/>
    </w:rPr>
  </w:style>
  <w:style w:type="paragraph" w:customStyle="1" w:styleId="120">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121">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kern w:val="0"/>
      <w:sz w:val="20"/>
      <w:szCs w:val="20"/>
    </w:rPr>
  </w:style>
  <w:style w:type="paragraph" w:customStyle="1" w:styleId="122">
    <w:name w:val="小标1级"/>
    <w:basedOn w:val="1"/>
    <w:link w:val="255"/>
    <w:qFormat/>
    <w:uiPriority w:val="0"/>
    <w:pPr>
      <w:tabs>
        <w:tab w:val="left" w:pos="720"/>
      </w:tabs>
      <w:spacing w:line="360" w:lineRule="auto"/>
    </w:pPr>
    <w:rPr>
      <w:rFonts w:ascii="仿宋_GB2312" w:hAnsi="宋体" w:eastAsia="仿宋_GB2312"/>
      <w:b/>
      <w:sz w:val="28"/>
      <w:szCs w:val="28"/>
    </w:rPr>
  </w:style>
  <w:style w:type="paragraph" w:customStyle="1" w:styleId="123">
    <w:name w:val="xl4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0"/>
      <w:szCs w:val="20"/>
    </w:rPr>
  </w:style>
  <w:style w:type="paragraph" w:customStyle="1" w:styleId="124">
    <w:name w:val="WPSOffice手动目录 1"/>
    <w:qFormat/>
    <w:uiPriority w:val="0"/>
    <w:rPr>
      <w:rFonts w:ascii="Times New Roman" w:hAnsi="Times New Roman" w:eastAsia="宋体" w:cs="Times New Roman"/>
      <w:lang w:val="en-US" w:eastAsia="zh-CN" w:bidi="ar-SA"/>
    </w:rPr>
  </w:style>
  <w:style w:type="paragraph" w:customStyle="1" w:styleId="125">
    <w:name w:val="标题 1_0"/>
    <w:basedOn w:val="126"/>
    <w:next w:val="126"/>
    <w:qFormat/>
    <w:uiPriority w:val="0"/>
    <w:pPr>
      <w:keepNext/>
      <w:keepLines/>
      <w:spacing w:line="360" w:lineRule="auto"/>
      <w:outlineLvl w:val="0"/>
    </w:pPr>
    <w:rPr>
      <w:rFonts w:ascii="Times New Roman" w:hAnsi="Times New Roman" w:eastAsia="黑体"/>
      <w:b/>
      <w:bCs/>
      <w:kern w:val="44"/>
      <w:sz w:val="32"/>
      <w:szCs w:val="44"/>
    </w:rPr>
  </w:style>
  <w:style w:type="paragraph" w:customStyle="1" w:styleId="12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正文 A A"/>
    <w:qFormat/>
    <w:uiPriority w:val="0"/>
    <w:pPr>
      <w:widowControl w:val="0"/>
      <w:pBdr>
        <w:top w:val="none" w:color="FFFFFF" w:sz="0" w:space="31"/>
        <w:left w:val="none" w:color="FFFFFF" w:sz="0" w:space="31"/>
        <w:bottom w:val="none" w:color="FFFFFF" w:sz="0" w:space="31"/>
        <w:right w:val="none" w:color="FFFFFF" w:sz="0" w:space="31"/>
      </w:pBdr>
      <w:jc w:val="both"/>
    </w:pPr>
    <w:rPr>
      <w:rFonts w:ascii="宋体" w:hAnsi="宋体" w:eastAsia="宋体" w:cs="宋体"/>
      <w:color w:val="000000"/>
      <w:kern w:val="2"/>
      <w:sz w:val="21"/>
      <w:szCs w:val="21"/>
      <w:u w:color="000000"/>
      <w:lang w:val="en-US" w:eastAsia="zh-CN" w:bidi="ar-SA"/>
    </w:rPr>
  </w:style>
  <w:style w:type="paragraph" w:customStyle="1" w:styleId="128">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szCs w:val="20"/>
    </w:rPr>
  </w:style>
  <w:style w:type="paragraph" w:customStyle="1" w:styleId="129">
    <w:name w:val="2ji"/>
    <w:basedOn w:val="4"/>
    <w:qFormat/>
    <w:uiPriority w:val="0"/>
    <w:pPr>
      <w:adjustRightInd w:val="0"/>
      <w:spacing w:line="360" w:lineRule="auto"/>
      <w:textAlignment w:val="baseline"/>
    </w:pPr>
    <w:rPr>
      <w:rFonts w:ascii="宋体" w:hAnsi="宋体" w:eastAsia="宋体"/>
      <w:sz w:val="21"/>
      <w:szCs w:val="21"/>
    </w:rPr>
  </w:style>
  <w:style w:type="paragraph" w:customStyle="1" w:styleId="130">
    <w:name w:val="正文首行缩进两字符"/>
    <w:basedOn w:val="1"/>
    <w:qFormat/>
    <w:uiPriority w:val="0"/>
    <w:pPr>
      <w:spacing w:line="360" w:lineRule="auto"/>
      <w:ind w:firstLine="200" w:firstLineChars="200"/>
    </w:pPr>
  </w:style>
  <w:style w:type="paragraph" w:customStyle="1" w:styleId="131">
    <w:name w:val="3级"/>
    <w:basedOn w:val="1"/>
    <w:qFormat/>
    <w:uiPriority w:val="0"/>
    <w:pPr>
      <w:spacing w:line="360" w:lineRule="auto"/>
      <w:outlineLvl w:val="2"/>
    </w:pPr>
    <w:rPr>
      <w:rFonts w:eastAsia="华文仿宋"/>
      <w:sz w:val="30"/>
    </w:rPr>
  </w:style>
  <w:style w:type="paragraph" w:customStyle="1" w:styleId="132">
    <w:name w:val="font7"/>
    <w:basedOn w:val="1"/>
    <w:qFormat/>
    <w:uiPriority w:val="0"/>
    <w:pPr>
      <w:widowControl/>
      <w:spacing w:beforeAutospacing="1" w:afterAutospacing="1"/>
      <w:jc w:val="left"/>
    </w:pPr>
    <w:rPr>
      <w:kern w:val="0"/>
      <w:sz w:val="20"/>
      <w:szCs w:val="20"/>
    </w:rPr>
  </w:style>
  <w:style w:type="paragraph" w:customStyle="1" w:styleId="133">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34">
    <w:name w:val="Char3"/>
    <w:basedOn w:val="1"/>
    <w:qFormat/>
    <w:uiPriority w:val="0"/>
    <w:rPr>
      <w:szCs w:val="20"/>
    </w:rPr>
  </w:style>
  <w:style w:type="paragraph" w:customStyle="1" w:styleId="135">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0"/>
      <w:szCs w:val="20"/>
    </w:rPr>
  </w:style>
  <w:style w:type="paragraph" w:customStyle="1" w:styleId="136">
    <w:name w:val="样式 正文文本缩进 + 左侧:  2 字符"/>
    <w:basedOn w:val="1"/>
    <w:next w:val="1"/>
    <w:qFormat/>
    <w:uiPriority w:val="0"/>
    <w:pPr>
      <w:adjustRightInd w:val="0"/>
      <w:spacing w:line="360" w:lineRule="auto"/>
      <w:ind w:firstLine="200" w:firstLineChars="200"/>
      <w:jc w:val="left"/>
    </w:pPr>
    <w:rPr>
      <w:rFonts w:ascii="宋体" w:cs="宋体"/>
      <w:sz w:val="24"/>
      <w:szCs w:val="20"/>
    </w:rPr>
  </w:style>
  <w:style w:type="paragraph" w:customStyle="1" w:styleId="137">
    <w:name w:val="节标题"/>
    <w:basedOn w:val="1"/>
    <w:next w:val="138"/>
    <w:qFormat/>
    <w:uiPriority w:val="0"/>
    <w:pPr>
      <w:widowControl/>
      <w:spacing w:line="289" w:lineRule="atLeast"/>
      <w:jc w:val="center"/>
      <w:textAlignment w:val="baseline"/>
    </w:pPr>
    <w:rPr>
      <w:color w:val="000000"/>
      <w:kern w:val="0"/>
      <w:sz w:val="28"/>
      <w:szCs w:val="20"/>
      <w:u w:color="000000"/>
    </w:rPr>
  </w:style>
  <w:style w:type="paragraph" w:customStyle="1" w:styleId="138">
    <w:name w:val="小节标题"/>
    <w:basedOn w:val="1"/>
    <w:next w:val="1"/>
    <w:qFormat/>
    <w:uiPriority w:val="0"/>
    <w:pPr>
      <w:widowControl/>
      <w:spacing w:line="351" w:lineRule="atLeast"/>
      <w:textAlignment w:val="baseline"/>
    </w:pPr>
    <w:rPr>
      <w:rFonts w:eastAsia="黑体"/>
      <w:color w:val="000000"/>
      <w:kern w:val="0"/>
      <w:szCs w:val="20"/>
      <w:u w:color="000000"/>
    </w:rPr>
  </w:style>
  <w:style w:type="paragraph" w:customStyle="1" w:styleId="139">
    <w:name w:val="font8"/>
    <w:basedOn w:val="1"/>
    <w:qFormat/>
    <w:uiPriority w:val="0"/>
    <w:pPr>
      <w:widowControl/>
      <w:spacing w:beforeAutospacing="1" w:afterAutospacing="1"/>
      <w:jc w:val="left"/>
    </w:pPr>
    <w:rPr>
      <w:rFonts w:ascii="宋体" w:hAnsi="宋体" w:cs="宋体"/>
      <w:b/>
      <w:bCs/>
      <w:kern w:val="0"/>
      <w:sz w:val="20"/>
      <w:szCs w:val="20"/>
    </w:rPr>
  </w:style>
  <w:style w:type="paragraph" w:customStyle="1" w:styleId="140">
    <w:name w:val="xl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top"/>
    </w:pPr>
    <w:rPr>
      <w:rFonts w:ascii="宋体" w:hAnsi="宋体" w:cs="宋体"/>
      <w:kern w:val="0"/>
      <w:sz w:val="20"/>
      <w:szCs w:val="20"/>
    </w:rPr>
  </w:style>
  <w:style w:type="paragraph" w:customStyle="1" w:styleId="141">
    <w:name w:val="样式 标题 2 + (西文) 宋体 非加粗 居中"/>
    <w:basedOn w:val="4"/>
    <w:qFormat/>
    <w:uiPriority w:val="0"/>
    <w:pPr>
      <w:jc w:val="center"/>
    </w:pPr>
    <w:rPr>
      <w:rFonts w:ascii="宋体" w:hAnsi="宋体" w:cs="宋体"/>
      <w:b w:val="0"/>
      <w:bCs w:val="0"/>
      <w:spacing w:val="2"/>
      <w:sz w:val="28"/>
      <w:szCs w:val="20"/>
    </w:rPr>
  </w:style>
  <w:style w:type="paragraph" w:customStyle="1" w:styleId="142">
    <w:name w:val="p16"/>
    <w:basedOn w:val="1"/>
    <w:qFormat/>
    <w:uiPriority w:val="0"/>
    <w:pPr>
      <w:widowControl/>
    </w:pPr>
    <w:rPr>
      <w:rFonts w:ascii="宋体" w:hAnsi="宋体" w:cs="宋体"/>
      <w:kern w:val="0"/>
      <w:szCs w:val="21"/>
    </w:rPr>
  </w:style>
  <w:style w:type="paragraph" w:customStyle="1" w:styleId="143">
    <w:name w:val="p15"/>
    <w:basedOn w:val="1"/>
    <w:qFormat/>
    <w:uiPriority w:val="0"/>
    <w:pPr>
      <w:widowControl/>
    </w:pPr>
    <w:rPr>
      <w:rFonts w:ascii="宋体" w:hAnsi="宋体" w:cs="宋体"/>
      <w:kern w:val="0"/>
      <w:szCs w:val="21"/>
    </w:rPr>
  </w:style>
  <w:style w:type="paragraph" w:customStyle="1" w:styleId="144">
    <w:name w:val="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4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6">
    <w:name w:val="标题 2_0"/>
    <w:basedOn w:val="94"/>
    <w:next w:val="94"/>
    <w:unhideWhenUsed/>
    <w:qFormat/>
    <w:uiPriority w:val="0"/>
    <w:pPr>
      <w:keepNext/>
      <w:keepLines/>
      <w:spacing w:before="260" w:after="260" w:line="416" w:lineRule="auto"/>
      <w:outlineLvl w:val="1"/>
    </w:pPr>
    <w:rPr>
      <w:rFonts w:ascii="Cambria" w:hAnsi="Cambria"/>
      <w:b/>
      <w:bCs/>
      <w:sz w:val="32"/>
      <w:szCs w:val="32"/>
    </w:rPr>
  </w:style>
  <w:style w:type="paragraph" w:customStyle="1" w:styleId="147">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0"/>
      <w:szCs w:val="20"/>
    </w:rPr>
  </w:style>
  <w:style w:type="paragraph" w:customStyle="1" w:styleId="148">
    <w:name w:val="样式1"/>
    <w:basedOn w:val="1"/>
    <w:qFormat/>
    <w:uiPriority w:val="0"/>
    <w:pPr>
      <w:spacing w:line="300" w:lineRule="auto"/>
    </w:pPr>
    <w:rPr>
      <w:rFonts w:ascii="宋体" w:hAnsi="宋体"/>
      <w:b/>
      <w:sz w:val="24"/>
      <w:szCs w:val="20"/>
    </w:rPr>
  </w:style>
  <w:style w:type="paragraph" w:customStyle="1" w:styleId="149">
    <w:name w:val="Char11"/>
    <w:basedOn w:val="1"/>
    <w:qFormat/>
    <w:uiPriority w:val="0"/>
    <w:pPr>
      <w:widowControl/>
      <w:tabs>
        <w:tab w:val="left" w:pos="509"/>
      </w:tabs>
      <w:spacing w:line="240" w:lineRule="exact"/>
      <w:ind w:left="252"/>
      <w:jc w:val="left"/>
    </w:pPr>
    <w:rPr>
      <w:rFonts w:ascii="Verdana" w:hAnsi="Verdana" w:eastAsia="仿宋_GB2312"/>
      <w:kern w:val="0"/>
      <w:sz w:val="24"/>
      <w:szCs w:val="20"/>
      <w:lang w:eastAsia="en-US"/>
    </w:rPr>
  </w:style>
  <w:style w:type="paragraph" w:customStyle="1" w:styleId="150">
    <w:name w:val="列出段落2"/>
    <w:basedOn w:val="1"/>
    <w:link w:val="228"/>
    <w:qFormat/>
    <w:uiPriority w:val="0"/>
    <w:pPr>
      <w:ind w:firstLine="420" w:firstLineChars="200"/>
    </w:pPr>
    <w:rPr>
      <w:rFonts w:ascii="Calibri" w:hAnsi="Calibri"/>
      <w:szCs w:val="22"/>
    </w:rPr>
  </w:style>
  <w:style w:type="paragraph" w:customStyle="1" w:styleId="151">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152">
    <w:name w:val="xl4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bottom"/>
    </w:pPr>
    <w:rPr>
      <w:rFonts w:ascii="宋体" w:hAnsi="宋体" w:cs="宋体"/>
      <w:kern w:val="0"/>
      <w:sz w:val="20"/>
      <w:szCs w:val="20"/>
    </w:rPr>
  </w:style>
  <w:style w:type="paragraph" w:customStyle="1" w:styleId="153">
    <w:name w:val="彩色列表 - 着色 11"/>
    <w:basedOn w:val="1"/>
    <w:link w:val="247"/>
    <w:qFormat/>
    <w:uiPriority w:val="0"/>
    <w:pPr>
      <w:ind w:firstLine="420" w:firstLineChars="200"/>
    </w:pPr>
    <w:rPr>
      <w:szCs w:val="20"/>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top"/>
    </w:pPr>
    <w:rPr>
      <w:rFonts w:ascii="宋体" w:hAnsi="宋体" w:cs="宋体"/>
      <w:kern w:val="0"/>
      <w:sz w:val="20"/>
      <w:szCs w:val="20"/>
    </w:rPr>
  </w:style>
  <w:style w:type="paragraph" w:customStyle="1" w:styleId="155">
    <w:name w:val="444"/>
    <w:basedOn w:val="1"/>
    <w:qFormat/>
    <w:uiPriority w:val="0"/>
    <w:pPr>
      <w:adjustRightInd w:val="0"/>
      <w:spacing w:line="312" w:lineRule="atLeast"/>
      <w:jc w:val="center"/>
      <w:textAlignment w:val="baseline"/>
    </w:pPr>
    <w:rPr>
      <w:b/>
      <w:kern w:val="0"/>
      <w:sz w:val="36"/>
      <w:szCs w:val="36"/>
    </w:rPr>
  </w:style>
  <w:style w:type="paragraph" w:customStyle="1" w:styleId="156">
    <w:name w:val="图号"/>
    <w:basedOn w:val="1"/>
    <w:semiHidden/>
    <w:qFormat/>
    <w:uiPriority w:val="0"/>
    <w:pPr>
      <w:numPr>
        <w:ilvl w:val="3"/>
        <w:numId w:val="1"/>
      </w:numPr>
    </w:pPr>
  </w:style>
  <w:style w:type="paragraph" w:customStyle="1" w:styleId="157">
    <w:name w:val="Char1 Char Char Char"/>
    <w:basedOn w:val="1"/>
    <w:qFormat/>
    <w:uiPriority w:val="0"/>
    <w:rPr>
      <w:rFonts w:ascii="Tahoma" w:hAnsi="Tahoma"/>
      <w:sz w:val="24"/>
      <w:szCs w:val="20"/>
    </w:rPr>
  </w:style>
  <w:style w:type="paragraph" w:customStyle="1" w:styleId="158">
    <w:name w:val="纯文本1"/>
    <w:basedOn w:val="1"/>
    <w:qFormat/>
    <w:uiPriority w:val="0"/>
    <w:pPr>
      <w:suppressAutoHyphens/>
    </w:pPr>
    <w:rPr>
      <w:rFonts w:ascii="宋体" w:hAnsi="宋体" w:cs="Calibri"/>
      <w:kern w:val="1"/>
      <w:sz w:val="20"/>
      <w:szCs w:val="21"/>
      <w:lang w:eastAsia="ar-SA"/>
    </w:rPr>
  </w:style>
  <w:style w:type="paragraph" w:customStyle="1" w:styleId="159">
    <w:name w:val="列出段落21"/>
    <w:basedOn w:val="1"/>
    <w:qFormat/>
    <w:uiPriority w:val="0"/>
    <w:pPr>
      <w:ind w:firstLine="420" w:firstLineChars="200"/>
    </w:pPr>
    <w:rPr>
      <w:sz w:val="24"/>
    </w:rPr>
  </w:style>
  <w:style w:type="paragraph" w:customStyle="1" w:styleId="160">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font5"/>
    <w:basedOn w:val="1"/>
    <w:qFormat/>
    <w:uiPriority w:val="0"/>
    <w:pPr>
      <w:widowControl/>
      <w:spacing w:beforeAutospacing="1" w:afterAutospacing="1"/>
      <w:jc w:val="left"/>
    </w:pPr>
    <w:rPr>
      <w:rFonts w:ascii="宋体" w:hAnsi="宋体" w:cs="宋体"/>
      <w:kern w:val="0"/>
      <w:sz w:val="18"/>
      <w:szCs w:val="18"/>
    </w:rPr>
  </w:style>
  <w:style w:type="paragraph" w:customStyle="1" w:styleId="163">
    <w:name w:val="表格样式 2"/>
    <w:qFormat/>
    <w:uiPriority w:val="0"/>
    <w:pPr>
      <w:pBdr>
        <w:top w:val="none" w:color="FFFFFF" w:sz="0" w:space="31"/>
        <w:left w:val="none" w:color="FFFFFF" w:sz="0" w:space="31"/>
        <w:bottom w:val="none" w:color="FFFFFF" w:sz="0" w:space="31"/>
        <w:right w:val="none" w:color="FFFFFF" w:sz="0" w:space="31"/>
      </w:pBdr>
    </w:pPr>
    <w:rPr>
      <w:rFonts w:ascii="Helvetica" w:hAnsi="Helvetica" w:eastAsia="Times New Roman" w:cs="Helvetica"/>
      <w:color w:val="000000"/>
      <w:lang w:val="en-US" w:eastAsia="zh-CN" w:bidi="ar-SA"/>
    </w:rPr>
  </w:style>
  <w:style w:type="paragraph" w:customStyle="1" w:styleId="164">
    <w:name w:val="正文（绿盟科技）"/>
    <w:link w:val="253"/>
    <w:qFormat/>
    <w:uiPriority w:val="0"/>
    <w:pPr>
      <w:spacing w:line="300" w:lineRule="auto"/>
    </w:pPr>
    <w:rPr>
      <w:rFonts w:ascii="Times New Roman" w:hAnsi="Times New Roman" w:eastAsia="Times New Roman" w:cs="Times New Roman"/>
      <w:szCs w:val="21"/>
      <w:lang w:val="en-US" w:eastAsia="zh-CN" w:bidi="ar-SA"/>
    </w:rPr>
  </w:style>
  <w:style w:type="paragraph" w:customStyle="1" w:styleId="165">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166">
    <w:name w:val="表号"/>
    <w:basedOn w:val="1"/>
    <w:semiHidden/>
    <w:qFormat/>
    <w:uiPriority w:val="0"/>
  </w:style>
  <w:style w:type="paragraph" w:customStyle="1" w:styleId="167">
    <w:name w:val="style24"/>
    <w:basedOn w:val="1"/>
    <w:qFormat/>
    <w:uiPriority w:val="0"/>
    <w:pPr>
      <w:widowControl/>
      <w:spacing w:beforeAutospacing="1" w:afterAutospacing="1"/>
      <w:jc w:val="left"/>
    </w:pPr>
    <w:rPr>
      <w:rFonts w:ascii="宋体" w:hAnsi="宋体" w:cs="宋体"/>
      <w:color w:val="000000"/>
      <w:kern w:val="0"/>
      <w:sz w:val="24"/>
    </w:rPr>
  </w:style>
  <w:style w:type="paragraph" w:customStyle="1" w:styleId="168">
    <w:name w:val="标题 1_1"/>
    <w:basedOn w:val="94"/>
    <w:next w:val="94"/>
    <w:qFormat/>
    <w:uiPriority w:val="0"/>
    <w:pPr>
      <w:keepNext/>
      <w:keepLines/>
      <w:spacing w:line="360" w:lineRule="auto"/>
      <w:outlineLvl w:val="0"/>
    </w:pPr>
    <w:rPr>
      <w:rFonts w:ascii="Times New Roman" w:hAnsi="Times New Roman" w:eastAsia="黑体"/>
      <w:b/>
      <w:bCs/>
      <w:kern w:val="44"/>
      <w:sz w:val="32"/>
      <w:szCs w:val="44"/>
    </w:rPr>
  </w:style>
  <w:style w:type="character" w:customStyle="1" w:styleId="169">
    <w:name w:val="批注框文本 Char"/>
    <w:semiHidden/>
    <w:qFormat/>
    <w:uiPriority w:val="0"/>
    <w:rPr>
      <w:rFonts w:ascii="Times New Roman" w:hAnsi="Times New Roman" w:eastAsia="宋体" w:cs="Times New Roman"/>
      <w:sz w:val="18"/>
      <w:szCs w:val="18"/>
    </w:rPr>
  </w:style>
  <w:style w:type="character" w:customStyle="1" w:styleId="170">
    <w:name w:val="hui141"/>
    <w:qFormat/>
    <w:uiPriority w:val="0"/>
    <w:rPr>
      <w:sz w:val="21"/>
      <w:szCs w:val="21"/>
    </w:rPr>
  </w:style>
  <w:style w:type="character" w:customStyle="1" w:styleId="171">
    <w:name w:val="正文文本 2 Char1"/>
    <w:link w:val="41"/>
    <w:qFormat/>
    <w:uiPriority w:val="0"/>
    <w:rPr>
      <w:rFonts w:ascii="Times New Roman" w:hAnsi="Times New Roman" w:eastAsia="宋体" w:cs="Times New Roman"/>
      <w:szCs w:val="24"/>
    </w:rPr>
  </w:style>
  <w:style w:type="character" w:customStyle="1" w:styleId="172">
    <w:name w:val="标题 5 Char"/>
    <w:qFormat/>
    <w:uiPriority w:val="0"/>
    <w:rPr>
      <w:rFonts w:ascii="Calibri" w:hAnsi="Calibri" w:eastAsia="宋体"/>
      <w:b/>
      <w:kern w:val="2"/>
      <w:sz w:val="28"/>
      <w:szCs w:val="24"/>
      <w:lang w:val="en-US" w:eastAsia="zh-CN" w:bidi="ar-SA"/>
    </w:rPr>
  </w:style>
  <w:style w:type="character" w:customStyle="1" w:styleId="173">
    <w:name w:val="纯文本 Char2"/>
    <w:link w:val="27"/>
    <w:qFormat/>
    <w:uiPriority w:val="0"/>
    <w:rPr>
      <w:rFonts w:ascii="宋体" w:hAnsi="Courier New" w:eastAsia="宋体" w:cs="Courier New"/>
      <w:szCs w:val="21"/>
    </w:rPr>
  </w:style>
  <w:style w:type="character" w:customStyle="1" w:styleId="174">
    <w:name w:val="超级链接"/>
    <w:qFormat/>
    <w:uiPriority w:val="0"/>
    <w:rPr>
      <w:rFonts w:ascii="Times New Roman" w:eastAsia="宋体"/>
      <w:color w:val="0000FF"/>
      <w:sz w:val="21"/>
      <w:u w:val="single" w:color="0000FF"/>
      <w:vertAlign w:val="baseline"/>
      <w:lang w:val="en-US" w:eastAsia="zh-CN"/>
    </w:rPr>
  </w:style>
  <w:style w:type="character" w:customStyle="1" w:styleId="175">
    <w:name w:val="font-25"/>
    <w:basedOn w:val="49"/>
    <w:qFormat/>
    <w:uiPriority w:val="0"/>
  </w:style>
  <w:style w:type="character" w:customStyle="1" w:styleId="176">
    <w:name w:val="Char Char3"/>
    <w:qFormat/>
    <w:locked/>
    <w:uiPriority w:val="0"/>
    <w:rPr>
      <w:rFonts w:ascii="宋体" w:hAnsi="Courier New" w:eastAsia="宋体"/>
      <w:szCs w:val="21"/>
      <w:lang w:bidi="ar-SA"/>
    </w:rPr>
  </w:style>
  <w:style w:type="character" w:customStyle="1" w:styleId="177">
    <w:name w:val="页脚 Char1"/>
    <w:link w:val="2"/>
    <w:qFormat/>
    <w:uiPriority w:val="99"/>
    <w:rPr>
      <w:rFonts w:ascii="Times New Roman" w:hAnsi="Times New Roman" w:eastAsia="宋体" w:cs="Times New Roman"/>
      <w:sz w:val="18"/>
      <w:szCs w:val="18"/>
    </w:rPr>
  </w:style>
  <w:style w:type="character" w:customStyle="1" w:styleId="178">
    <w:name w:val="paramname3"/>
    <w:qFormat/>
    <w:uiPriority w:val="0"/>
    <w:rPr>
      <w:color w:val="999999"/>
    </w:rPr>
  </w:style>
  <w:style w:type="character" w:customStyle="1" w:styleId="179">
    <w:name w:val="日期 Char1"/>
    <w:link w:val="29"/>
    <w:qFormat/>
    <w:uiPriority w:val="0"/>
    <w:rPr>
      <w:rFonts w:ascii="宋体" w:hAnsi="Courier New" w:eastAsia="宋体" w:cs="Courier New"/>
      <w:szCs w:val="21"/>
    </w:rPr>
  </w:style>
  <w:style w:type="character" w:customStyle="1" w:styleId="180">
    <w:name w:val="标题 2 Char"/>
    <w:qFormat/>
    <w:uiPriority w:val="0"/>
    <w:rPr>
      <w:rFonts w:ascii="Arial" w:hAnsi="Arial" w:eastAsia="黑体" w:cs="Times New Roman"/>
      <w:b/>
      <w:bCs/>
      <w:sz w:val="32"/>
      <w:szCs w:val="32"/>
    </w:rPr>
  </w:style>
  <w:style w:type="character" w:customStyle="1" w:styleId="181">
    <w:name w:val="bds_more2"/>
    <w:basedOn w:val="49"/>
    <w:qFormat/>
    <w:uiPriority w:val="0"/>
  </w:style>
  <w:style w:type="character" w:customStyle="1" w:styleId="182">
    <w:name w:val="批注框文本 Char1"/>
    <w:link w:val="31"/>
    <w:semiHidden/>
    <w:qFormat/>
    <w:uiPriority w:val="0"/>
    <w:rPr>
      <w:rFonts w:ascii="Times New Roman" w:hAnsi="Times New Roman" w:eastAsia="宋体" w:cs="Times New Roman"/>
      <w:sz w:val="18"/>
      <w:szCs w:val="18"/>
    </w:rPr>
  </w:style>
  <w:style w:type="character" w:customStyle="1" w:styleId="183">
    <w:name w:val="普通文字 Char Char2"/>
    <w:qFormat/>
    <w:uiPriority w:val="0"/>
    <w:rPr>
      <w:rFonts w:ascii="宋体" w:hAnsi="Courier New" w:eastAsia="宋体"/>
      <w:szCs w:val="21"/>
      <w:lang w:bidi="ar-SA"/>
    </w:rPr>
  </w:style>
  <w:style w:type="character" w:customStyle="1" w:styleId="184">
    <w:name w:val="标题 3 Char1"/>
    <w:link w:val="5"/>
    <w:qFormat/>
    <w:uiPriority w:val="0"/>
    <w:rPr>
      <w:rFonts w:ascii="Times New Roman" w:hAnsi="Times New Roman" w:eastAsia="宋体" w:cs="Times New Roman"/>
      <w:b/>
      <w:bCs/>
      <w:sz w:val="32"/>
      <w:szCs w:val="32"/>
    </w:rPr>
  </w:style>
  <w:style w:type="character" w:customStyle="1" w:styleId="185">
    <w:name w:val="页眉 Char"/>
    <w:qFormat/>
    <w:uiPriority w:val="0"/>
    <w:rPr>
      <w:rFonts w:ascii="Times New Roman" w:hAnsi="Times New Roman" w:eastAsia="宋体" w:cs="Times New Roman"/>
      <w:sz w:val="18"/>
      <w:szCs w:val="18"/>
    </w:rPr>
  </w:style>
  <w:style w:type="character" w:customStyle="1" w:styleId="186">
    <w:name w:val="标题 1 Char1"/>
    <w:link w:val="3"/>
    <w:qFormat/>
    <w:uiPriority w:val="0"/>
    <w:rPr>
      <w:rFonts w:ascii="Times New Roman" w:hAnsi="Times New Roman" w:eastAsia="宋体" w:cs="Times New Roman"/>
      <w:b/>
      <w:bCs/>
      <w:kern w:val="44"/>
      <w:sz w:val="44"/>
      <w:szCs w:val="44"/>
    </w:rPr>
  </w:style>
  <w:style w:type="character" w:customStyle="1" w:styleId="187">
    <w:name w:val="checked1"/>
    <w:qFormat/>
    <w:uiPriority w:val="0"/>
    <w:rPr>
      <w:vanish/>
    </w:rPr>
  </w:style>
  <w:style w:type="character" w:customStyle="1" w:styleId="188">
    <w:name w:val="ca-7"/>
    <w:basedOn w:val="49"/>
    <w:qFormat/>
    <w:uiPriority w:val="0"/>
  </w:style>
  <w:style w:type="character" w:customStyle="1" w:styleId="189">
    <w:name w:val="纯文本 字符"/>
    <w:qFormat/>
    <w:locked/>
    <w:uiPriority w:val="0"/>
    <w:rPr>
      <w:rFonts w:ascii="宋体" w:hAnsi="Courier New" w:eastAsia="宋体"/>
      <w:lang w:bidi="ar-SA"/>
    </w:rPr>
  </w:style>
  <w:style w:type="character" w:customStyle="1" w:styleId="190">
    <w:name w:val="批注文字 Char"/>
    <w:qFormat/>
    <w:uiPriority w:val="0"/>
    <w:rPr>
      <w:rFonts w:ascii="Times New Roman" w:hAnsi="Times New Roman" w:eastAsia="宋体" w:cs="Times New Roman"/>
      <w:kern w:val="0"/>
      <w:sz w:val="24"/>
      <w:szCs w:val="20"/>
    </w:rPr>
  </w:style>
  <w:style w:type="character" w:customStyle="1" w:styleId="191">
    <w:name w:val="标题 5 Char1"/>
    <w:link w:val="7"/>
    <w:qFormat/>
    <w:uiPriority w:val="0"/>
    <w:rPr>
      <w:rFonts w:ascii="Calibri" w:hAnsi="Calibri" w:eastAsia="宋体"/>
      <w:b/>
      <w:kern w:val="2"/>
      <w:sz w:val="28"/>
      <w:szCs w:val="24"/>
      <w:lang w:val="en-US" w:eastAsia="zh-CN" w:bidi="ar-SA"/>
    </w:rPr>
  </w:style>
  <w:style w:type="character" w:customStyle="1" w:styleId="192">
    <w:name w:val="1ji Char"/>
    <w:link w:val="119"/>
    <w:qFormat/>
    <w:uiPriority w:val="0"/>
    <w:rPr>
      <w:rFonts w:ascii="宋体" w:hAnsi="宋体" w:eastAsia="宋体" w:cs="Times New Roman"/>
      <w:b/>
      <w:bCs/>
      <w:kern w:val="0"/>
      <w:sz w:val="36"/>
      <w:szCs w:val="20"/>
    </w:rPr>
  </w:style>
  <w:style w:type="character" w:customStyle="1" w:styleId="193">
    <w:name w:val="标题 7 Char"/>
    <w:qFormat/>
    <w:uiPriority w:val="0"/>
    <w:rPr>
      <w:rFonts w:ascii="Calibri" w:hAnsi="Calibri" w:eastAsia="宋体"/>
      <w:b/>
      <w:kern w:val="2"/>
      <w:sz w:val="24"/>
      <w:szCs w:val="24"/>
      <w:lang w:val="en-US" w:eastAsia="zh-CN" w:bidi="ar-SA"/>
    </w:rPr>
  </w:style>
  <w:style w:type="character" w:customStyle="1" w:styleId="194">
    <w:name w:val="apple-style-span"/>
    <w:basedOn w:val="49"/>
    <w:qFormat/>
    <w:uiPriority w:val="0"/>
  </w:style>
  <w:style w:type="character" w:customStyle="1" w:styleId="195">
    <w:name w:val="Char Char23"/>
    <w:qFormat/>
    <w:uiPriority w:val="0"/>
    <w:rPr>
      <w:rFonts w:ascii="Times New Roman" w:hAnsi="Times New Roman" w:eastAsia="宋体" w:cs="Times New Roman"/>
      <w:b/>
      <w:bCs/>
      <w:kern w:val="44"/>
      <w:sz w:val="44"/>
      <w:szCs w:val="44"/>
    </w:rPr>
  </w:style>
  <w:style w:type="character" w:customStyle="1" w:styleId="196">
    <w:name w:val="标题 8 Char"/>
    <w:qFormat/>
    <w:uiPriority w:val="0"/>
    <w:rPr>
      <w:rFonts w:ascii="Arial" w:hAnsi="Arial" w:eastAsia="黑体"/>
      <w:kern w:val="2"/>
      <w:sz w:val="24"/>
      <w:szCs w:val="24"/>
      <w:lang w:val="en-US" w:eastAsia="zh-CN" w:bidi="ar-SA"/>
    </w:rPr>
  </w:style>
  <w:style w:type="character" w:customStyle="1" w:styleId="197">
    <w:name w:val="标题 1 Char"/>
    <w:qFormat/>
    <w:uiPriority w:val="0"/>
    <w:rPr>
      <w:rFonts w:ascii="Times New Roman" w:hAnsi="Times New Roman" w:eastAsia="宋体" w:cs="Times New Roman"/>
      <w:b/>
      <w:bCs/>
      <w:kern w:val="44"/>
      <w:sz w:val="44"/>
      <w:szCs w:val="44"/>
    </w:rPr>
  </w:style>
  <w:style w:type="character" w:customStyle="1" w:styleId="198">
    <w:name w:val="062"/>
    <w:qFormat/>
    <w:uiPriority w:val="0"/>
    <w:rPr>
      <w:rFonts w:ascii="宋体" w:hAnsi="宋体"/>
      <w:b/>
      <w:bCs/>
      <w:sz w:val="32"/>
    </w:rPr>
  </w:style>
  <w:style w:type="character" w:customStyle="1" w:styleId="199">
    <w:name w:val="ca-nav-next"/>
    <w:basedOn w:val="49"/>
    <w:qFormat/>
    <w:uiPriority w:val="0"/>
  </w:style>
  <w:style w:type="character" w:customStyle="1" w:styleId="200">
    <w:name w:val="ca-0"/>
    <w:basedOn w:val="49"/>
    <w:qFormat/>
    <w:uiPriority w:val="0"/>
  </w:style>
  <w:style w:type="character" w:customStyle="1" w:styleId="201">
    <w:name w:val="文档结构图 Char1"/>
    <w:link w:val="16"/>
    <w:qFormat/>
    <w:uiPriority w:val="0"/>
    <w:rPr>
      <w:rFonts w:ascii="Times New Roman" w:hAnsi="Times New Roman" w:eastAsia="宋体" w:cs="Times New Roman"/>
      <w:kern w:val="0"/>
      <w:szCs w:val="20"/>
      <w:shd w:val="clear" w:color="auto" w:fill="000080"/>
    </w:rPr>
  </w:style>
  <w:style w:type="character" w:customStyle="1" w:styleId="202">
    <w:name w:val="btn-lnk-alignl2"/>
    <w:qFormat/>
    <w:uiPriority w:val="0"/>
  </w:style>
  <w:style w:type="character" w:customStyle="1" w:styleId="203">
    <w:name w:val="font41"/>
    <w:qFormat/>
    <w:uiPriority w:val="0"/>
    <w:rPr>
      <w:rFonts w:hint="default" w:ascii="Times New Roman" w:hAnsi="Times New Roman" w:cs="Times New Roman"/>
      <w:color w:val="000000"/>
      <w:sz w:val="22"/>
      <w:szCs w:val="22"/>
      <w:u w:val="none"/>
    </w:rPr>
  </w:style>
  <w:style w:type="character" w:customStyle="1" w:styleId="204">
    <w:name w:val="正文文本 2 Char"/>
    <w:qFormat/>
    <w:uiPriority w:val="0"/>
    <w:rPr>
      <w:rFonts w:ascii="Times New Roman" w:hAnsi="Times New Roman" w:eastAsia="宋体" w:cs="Times New Roman"/>
      <w:szCs w:val="24"/>
    </w:rPr>
  </w:style>
  <w:style w:type="character" w:customStyle="1" w:styleId="205">
    <w:name w:val="正文文本 3 Char"/>
    <w:qFormat/>
    <w:uiPriority w:val="0"/>
    <w:rPr>
      <w:rFonts w:ascii="Times New Roman" w:hAnsi="Times New Roman" w:eastAsia="宋体" w:cs="Times New Roman"/>
      <w:b/>
      <w:bCs/>
      <w:sz w:val="24"/>
      <w:szCs w:val="24"/>
    </w:rPr>
  </w:style>
  <w:style w:type="character" w:customStyle="1" w:styleId="206">
    <w:name w:val="font11"/>
    <w:qFormat/>
    <w:uiPriority w:val="0"/>
    <w:rPr>
      <w:rFonts w:hint="eastAsia" w:ascii="宋体" w:hAnsi="宋体" w:eastAsia="宋体" w:cs="宋体"/>
      <w:color w:val="000000"/>
      <w:sz w:val="22"/>
      <w:szCs w:val="22"/>
      <w:u w:val="none"/>
    </w:rPr>
  </w:style>
  <w:style w:type="character" w:customStyle="1" w:styleId="207">
    <w:name w:val="正文文本缩进 Char"/>
    <w:qFormat/>
    <w:uiPriority w:val="0"/>
    <w:rPr>
      <w:rFonts w:ascii="仿宋_GB2312" w:hAnsi="Times New Roman" w:eastAsia="仿宋_GB2312" w:cs="Times New Roman"/>
      <w:sz w:val="32"/>
      <w:szCs w:val="20"/>
    </w:rPr>
  </w:style>
  <w:style w:type="character" w:customStyle="1" w:styleId="208">
    <w:name w:val="bds_nopic"/>
    <w:basedOn w:val="49"/>
    <w:qFormat/>
    <w:uiPriority w:val="0"/>
  </w:style>
  <w:style w:type="character" w:customStyle="1" w:styleId="209">
    <w:name w:val="纯文本 Char"/>
    <w:qFormat/>
    <w:uiPriority w:val="0"/>
    <w:rPr>
      <w:rFonts w:ascii="宋体" w:hAnsi="Courier New" w:eastAsia="宋体" w:cs="Courier New"/>
      <w:szCs w:val="21"/>
    </w:rPr>
  </w:style>
  <w:style w:type="character" w:customStyle="1" w:styleId="210">
    <w:name w:val="unnamed11"/>
    <w:qFormat/>
    <w:uiPriority w:val="0"/>
    <w:rPr>
      <w:color w:val="000000"/>
      <w:sz w:val="20"/>
    </w:rPr>
  </w:style>
  <w:style w:type="character" w:customStyle="1" w:styleId="211">
    <w:name w:val="ca-6"/>
    <w:basedOn w:val="49"/>
    <w:qFormat/>
    <w:uiPriority w:val="0"/>
  </w:style>
  <w:style w:type="character" w:customStyle="1" w:styleId="212">
    <w:name w:val="18h1"/>
    <w:qFormat/>
    <w:uiPriority w:val="0"/>
    <w:rPr>
      <w:color w:val="3B3B3B"/>
    </w:rPr>
  </w:style>
  <w:style w:type="character" w:customStyle="1" w:styleId="213">
    <w:name w:val="批注文字 Char1"/>
    <w:link w:val="17"/>
    <w:qFormat/>
    <w:uiPriority w:val="0"/>
    <w:rPr>
      <w:rFonts w:ascii="Times New Roman" w:hAnsi="Times New Roman" w:eastAsia="宋体" w:cs="Times New Roman"/>
      <w:kern w:val="0"/>
      <w:sz w:val="24"/>
      <w:szCs w:val="20"/>
    </w:rPr>
  </w:style>
  <w:style w:type="character" w:customStyle="1" w:styleId="214">
    <w:name w:val="标题 6 Char"/>
    <w:qFormat/>
    <w:uiPriority w:val="0"/>
    <w:rPr>
      <w:rFonts w:ascii="Arial" w:hAnsi="Arial" w:eastAsia="黑体"/>
      <w:b/>
      <w:kern w:val="2"/>
      <w:sz w:val="24"/>
      <w:szCs w:val="24"/>
      <w:lang w:val="en-US" w:eastAsia="zh-CN" w:bidi="ar-SA"/>
    </w:rPr>
  </w:style>
  <w:style w:type="character" w:customStyle="1" w:styleId="215">
    <w:name w:val="bds_more3"/>
    <w:qFormat/>
    <w:uiPriority w:val="0"/>
    <w:rPr>
      <w:rFonts w:hint="eastAsia" w:ascii="宋体" w:hAnsi="宋体" w:eastAsia="宋体" w:cs="宋体"/>
    </w:rPr>
  </w:style>
  <w:style w:type="character" w:customStyle="1" w:styleId="216">
    <w:name w:val="apple-converted-space"/>
    <w:basedOn w:val="49"/>
    <w:qFormat/>
    <w:uiPriority w:val="0"/>
  </w:style>
  <w:style w:type="character" w:customStyle="1" w:styleId="217">
    <w:name w:val="正文文本 Char"/>
    <w:qFormat/>
    <w:uiPriority w:val="0"/>
    <w:rPr>
      <w:rFonts w:ascii="Times New Roman" w:hAnsi="Times New Roman" w:eastAsia="宋体" w:cs="Times New Roman"/>
      <w:sz w:val="24"/>
      <w:szCs w:val="24"/>
    </w:rPr>
  </w:style>
  <w:style w:type="character" w:customStyle="1" w:styleId="218">
    <w:name w:val="font01"/>
    <w:qFormat/>
    <w:uiPriority w:val="0"/>
    <w:rPr>
      <w:rFonts w:hint="eastAsia" w:ascii="宋体" w:hAnsi="宋体" w:eastAsia="宋体" w:cs="宋体"/>
      <w:color w:val="000000"/>
      <w:sz w:val="24"/>
      <w:szCs w:val="24"/>
      <w:u w:val="none"/>
    </w:rPr>
  </w:style>
  <w:style w:type="character" w:customStyle="1" w:styleId="219">
    <w:name w:val="paramname"/>
    <w:basedOn w:val="49"/>
    <w:qFormat/>
    <w:uiPriority w:val="0"/>
  </w:style>
  <w:style w:type="character" w:customStyle="1" w:styleId="220">
    <w:name w:val="正文缩进 Char1"/>
    <w:link w:val="9"/>
    <w:qFormat/>
    <w:uiPriority w:val="0"/>
    <w:rPr>
      <w:rFonts w:eastAsia="宋体"/>
      <w:kern w:val="2"/>
      <w:sz w:val="21"/>
      <w:lang w:val="en-US" w:eastAsia="zh-CN" w:bidi="ar-SA"/>
    </w:rPr>
  </w:style>
  <w:style w:type="character" w:customStyle="1" w:styleId="221">
    <w:name w:val="标题 8 Char1"/>
    <w:link w:val="11"/>
    <w:qFormat/>
    <w:uiPriority w:val="0"/>
    <w:rPr>
      <w:rFonts w:ascii="Arial" w:hAnsi="Arial" w:eastAsia="黑体"/>
      <w:kern w:val="2"/>
      <w:sz w:val="24"/>
      <w:szCs w:val="24"/>
      <w:lang w:val="en-US" w:eastAsia="zh-CN" w:bidi="ar-SA"/>
    </w:rPr>
  </w:style>
  <w:style w:type="character" w:customStyle="1" w:styleId="222">
    <w:name w:val="文档结构图 Char"/>
    <w:qFormat/>
    <w:uiPriority w:val="0"/>
    <w:rPr>
      <w:rFonts w:ascii="Times New Roman" w:hAnsi="Times New Roman" w:eastAsia="宋体" w:cs="Times New Roman"/>
      <w:kern w:val="0"/>
      <w:szCs w:val="20"/>
      <w:shd w:val="clear" w:color="auto" w:fill="000080"/>
    </w:rPr>
  </w:style>
  <w:style w:type="character" w:customStyle="1" w:styleId="223">
    <w:name w:val="正文文本 3 Char1"/>
    <w:link w:val="19"/>
    <w:qFormat/>
    <w:uiPriority w:val="0"/>
    <w:rPr>
      <w:rFonts w:ascii="Times New Roman" w:hAnsi="Times New Roman" w:eastAsia="宋体" w:cs="Times New Roman"/>
      <w:b/>
      <w:bCs/>
      <w:sz w:val="24"/>
      <w:szCs w:val="24"/>
    </w:rPr>
  </w:style>
  <w:style w:type="character" w:customStyle="1" w:styleId="224">
    <w:name w:val="标题 9 Char"/>
    <w:qFormat/>
    <w:uiPriority w:val="0"/>
    <w:rPr>
      <w:rFonts w:ascii="Arial" w:hAnsi="Arial" w:eastAsia="黑体"/>
      <w:kern w:val="2"/>
      <w:sz w:val="21"/>
      <w:szCs w:val="24"/>
      <w:lang w:val="en-US" w:eastAsia="zh-CN" w:bidi="ar-SA"/>
    </w:rPr>
  </w:style>
  <w:style w:type="character" w:customStyle="1" w:styleId="225">
    <w:name w:val="列出段落 Char"/>
    <w:link w:val="92"/>
    <w:qFormat/>
    <w:locked/>
    <w:uiPriority w:val="0"/>
    <w:rPr>
      <w:rFonts w:eastAsia="宋体"/>
      <w:kern w:val="2"/>
      <w:sz w:val="21"/>
      <w:lang w:val="en-US" w:eastAsia="zh-CN" w:bidi="ar-SA"/>
    </w:rPr>
  </w:style>
  <w:style w:type="character" w:customStyle="1" w:styleId="226">
    <w:name w:val="标题 2 Char1"/>
    <w:link w:val="4"/>
    <w:qFormat/>
    <w:uiPriority w:val="0"/>
    <w:rPr>
      <w:rFonts w:ascii="Arial" w:hAnsi="Arial" w:eastAsia="黑体" w:cs="Times New Roman"/>
      <w:b/>
      <w:bCs/>
      <w:sz w:val="32"/>
      <w:szCs w:val="32"/>
    </w:rPr>
  </w:style>
  <w:style w:type="character" w:customStyle="1" w:styleId="227">
    <w:name w:val="正文文本缩进 3 Char"/>
    <w:qFormat/>
    <w:uiPriority w:val="0"/>
    <w:rPr>
      <w:rFonts w:ascii="Times New Roman" w:hAnsi="Times New Roman" w:eastAsia="宋体" w:cs="Times New Roman"/>
      <w:sz w:val="16"/>
      <w:szCs w:val="16"/>
    </w:rPr>
  </w:style>
  <w:style w:type="character" w:customStyle="1" w:styleId="228">
    <w:name w:val="List Paragraph Char"/>
    <w:link w:val="150"/>
    <w:qFormat/>
    <w:locked/>
    <w:uiPriority w:val="0"/>
    <w:rPr>
      <w:rFonts w:ascii="Calibri" w:hAnsi="Calibri" w:eastAsia="宋体"/>
      <w:kern w:val="2"/>
      <w:sz w:val="21"/>
      <w:szCs w:val="22"/>
      <w:lang w:val="en-US" w:eastAsia="zh-CN" w:bidi="ar-SA"/>
    </w:rPr>
  </w:style>
  <w:style w:type="character" w:customStyle="1" w:styleId="229">
    <w:name w:val="正文文本缩进 2 Char"/>
    <w:qFormat/>
    <w:uiPriority w:val="0"/>
    <w:rPr>
      <w:rFonts w:ascii="Times New Roman" w:hAnsi="Times New Roman" w:eastAsia="宋体" w:cs="Times New Roman"/>
      <w:sz w:val="32"/>
      <w:szCs w:val="20"/>
    </w:rPr>
  </w:style>
  <w:style w:type="character" w:customStyle="1" w:styleId="230">
    <w:name w:val="style23"/>
    <w:basedOn w:val="49"/>
    <w:qFormat/>
    <w:uiPriority w:val="0"/>
  </w:style>
  <w:style w:type="character" w:customStyle="1" w:styleId="231">
    <w:name w:val="font31"/>
    <w:qFormat/>
    <w:uiPriority w:val="0"/>
    <w:rPr>
      <w:rFonts w:hint="eastAsia" w:ascii="宋体" w:hAnsi="宋体" w:eastAsia="宋体" w:cs="宋体"/>
      <w:color w:val="FF0000"/>
      <w:sz w:val="22"/>
      <w:szCs w:val="22"/>
      <w:u w:val="none"/>
    </w:rPr>
  </w:style>
  <w:style w:type="character" w:customStyle="1" w:styleId="232">
    <w:name w:val="正文文本 Char1"/>
    <w:link w:val="20"/>
    <w:qFormat/>
    <w:uiPriority w:val="0"/>
    <w:rPr>
      <w:rFonts w:ascii="Times New Roman" w:hAnsi="Times New Roman" w:eastAsia="宋体" w:cs="Times New Roman"/>
      <w:sz w:val="24"/>
      <w:szCs w:val="24"/>
    </w:rPr>
  </w:style>
  <w:style w:type="character" w:customStyle="1" w:styleId="233">
    <w:name w:val="标题 6 Char1"/>
    <w:link w:val="8"/>
    <w:qFormat/>
    <w:uiPriority w:val="0"/>
    <w:rPr>
      <w:rFonts w:ascii="Arial" w:hAnsi="Arial" w:eastAsia="黑体"/>
      <w:b/>
      <w:kern w:val="2"/>
      <w:sz w:val="24"/>
      <w:szCs w:val="24"/>
      <w:lang w:val="en-US" w:eastAsia="zh-CN" w:bidi="ar-SA"/>
    </w:rPr>
  </w:style>
  <w:style w:type="character" w:customStyle="1" w:styleId="234">
    <w:name w:val="font21"/>
    <w:qFormat/>
    <w:uiPriority w:val="0"/>
    <w:rPr>
      <w:rFonts w:hint="default" w:ascii="Times New Roman" w:hAnsi="Times New Roman" w:cs="Times New Roman"/>
      <w:color w:val="000000"/>
      <w:sz w:val="22"/>
      <w:szCs w:val="22"/>
      <w:u w:val="none"/>
    </w:rPr>
  </w:style>
  <w:style w:type="character" w:customStyle="1" w:styleId="235">
    <w:name w:val="正文文本缩进 Char1"/>
    <w:link w:val="21"/>
    <w:qFormat/>
    <w:uiPriority w:val="0"/>
    <w:rPr>
      <w:rFonts w:ascii="仿宋_GB2312" w:hAnsi="Times New Roman" w:eastAsia="仿宋_GB2312" w:cs="Times New Roman"/>
      <w:sz w:val="32"/>
      <w:szCs w:val="20"/>
    </w:rPr>
  </w:style>
  <w:style w:type="character" w:customStyle="1" w:styleId="236">
    <w:name w:val="hover15"/>
    <w:basedOn w:val="49"/>
    <w:qFormat/>
    <w:uiPriority w:val="0"/>
  </w:style>
  <w:style w:type="character" w:customStyle="1" w:styleId="237">
    <w:name w:val="标题 9 Char1"/>
    <w:link w:val="12"/>
    <w:qFormat/>
    <w:uiPriority w:val="0"/>
    <w:rPr>
      <w:rFonts w:ascii="Arial" w:hAnsi="Arial" w:eastAsia="黑体"/>
      <w:kern w:val="2"/>
      <w:sz w:val="21"/>
      <w:szCs w:val="24"/>
      <w:lang w:val="en-US" w:eastAsia="zh-CN" w:bidi="ar-SA"/>
    </w:rPr>
  </w:style>
  <w:style w:type="character" w:customStyle="1" w:styleId="238">
    <w:name w:val="页眉 Char1"/>
    <w:link w:val="32"/>
    <w:qFormat/>
    <w:uiPriority w:val="0"/>
    <w:rPr>
      <w:rFonts w:ascii="Times New Roman" w:hAnsi="Times New Roman" w:eastAsia="宋体" w:cs="Times New Roman"/>
      <w:sz w:val="18"/>
      <w:szCs w:val="18"/>
    </w:rPr>
  </w:style>
  <w:style w:type="character" w:customStyle="1" w:styleId="239">
    <w:name w:val="Char Char12"/>
    <w:qFormat/>
    <w:uiPriority w:val="0"/>
    <w:rPr>
      <w:rFonts w:ascii="Arial" w:hAnsi="Arial" w:eastAsia="宋体"/>
      <w:b/>
      <w:bCs/>
      <w:kern w:val="2"/>
      <w:sz w:val="21"/>
      <w:szCs w:val="21"/>
      <w:lang w:bidi="ar-SA"/>
    </w:rPr>
  </w:style>
  <w:style w:type="character" w:customStyle="1" w:styleId="240">
    <w:name w:val="正文文本缩进 2 Char1"/>
    <w:link w:val="30"/>
    <w:qFormat/>
    <w:uiPriority w:val="0"/>
    <w:rPr>
      <w:rFonts w:ascii="Times New Roman" w:hAnsi="Times New Roman" w:eastAsia="宋体" w:cs="Times New Roman"/>
      <w:sz w:val="32"/>
      <w:szCs w:val="20"/>
    </w:rPr>
  </w:style>
  <w:style w:type="character" w:customStyle="1" w:styleId="241">
    <w:name w:val="纯文本 Char1"/>
    <w:qFormat/>
    <w:uiPriority w:val="0"/>
    <w:rPr>
      <w:rFonts w:ascii="宋体" w:hAnsi="Courier New" w:eastAsia="宋体" w:cs="Courier New"/>
      <w:szCs w:val="21"/>
    </w:rPr>
  </w:style>
  <w:style w:type="character" w:customStyle="1" w:styleId="242">
    <w:name w:val="标题 7 Char1"/>
    <w:link w:val="10"/>
    <w:qFormat/>
    <w:uiPriority w:val="0"/>
    <w:rPr>
      <w:rFonts w:ascii="Calibri" w:hAnsi="Calibri" w:eastAsia="宋体"/>
      <w:b/>
      <w:kern w:val="2"/>
      <w:sz w:val="24"/>
      <w:szCs w:val="24"/>
      <w:lang w:val="en-US" w:eastAsia="zh-CN" w:bidi="ar-SA"/>
    </w:rPr>
  </w:style>
  <w:style w:type="character" w:customStyle="1" w:styleId="243">
    <w:name w:val="textstyle1"/>
    <w:qFormat/>
    <w:uiPriority w:val="0"/>
    <w:rPr>
      <w:rFonts w:hint="eastAsia" w:ascii="宋体" w:hAnsi="宋体" w:eastAsia="宋体"/>
      <w:sz w:val="18"/>
      <w:szCs w:val="18"/>
    </w:rPr>
  </w:style>
  <w:style w:type="character" w:customStyle="1" w:styleId="244">
    <w:name w:val="正文文本缩进 3 Char1"/>
    <w:link w:val="38"/>
    <w:qFormat/>
    <w:uiPriority w:val="0"/>
    <w:rPr>
      <w:rFonts w:ascii="Times New Roman" w:hAnsi="Times New Roman" w:eastAsia="宋体" w:cs="Times New Roman"/>
      <w:sz w:val="16"/>
      <w:szCs w:val="16"/>
    </w:rPr>
  </w:style>
  <w:style w:type="character" w:customStyle="1" w:styleId="245">
    <w:name w:val="普通文字 Char Char3"/>
    <w:qFormat/>
    <w:uiPriority w:val="0"/>
    <w:rPr>
      <w:rFonts w:ascii="宋体" w:hAnsi="Courier New" w:eastAsia="宋体" w:cs="Courier New"/>
      <w:szCs w:val="21"/>
    </w:rPr>
  </w:style>
  <w:style w:type="character" w:customStyle="1" w:styleId="246">
    <w:name w:val="链接"/>
    <w:qFormat/>
    <w:uiPriority w:val="0"/>
    <w:rPr>
      <w:rFonts w:ascii="Times New Roman" w:eastAsia="宋体"/>
      <w:color w:val="0000FF"/>
      <w:sz w:val="21"/>
      <w:u w:val="single" w:color="0000FF"/>
      <w:vertAlign w:val="baseline"/>
      <w:lang w:val="en-US" w:eastAsia="zh-CN"/>
    </w:rPr>
  </w:style>
  <w:style w:type="character" w:customStyle="1" w:styleId="247">
    <w:name w:val="彩色列表 - 着色 1 Char"/>
    <w:link w:val="153"/>
    <w:qFormat/>
    <w:locked/>
    <w:uiPriority w:val="0"/>
    <w:rPr>
      <w:kern w:val="2"/>
      <w:sz w:val="21"/>
    </w:rPr>
  </w:style>
  <w:style w:type="character" w:customStyle="1" w:styleId="248">
    <w:name w:val="标题 Char"/>
    <w:link w:val="45"/>
    <w:qFormat/>
    <w:uiPriority w:val="0"/>
    <w:rPr>
      <w:rFonts w:ascii="Arial" w:hAnsi="Arial" w:cs="Arial"/>
      <w:b/>
      <w:bCs/>
      <w:kern w:val="2"/>
      <w:sz w:val="32"/>
      <w:szCs w:val="32"/>
    </w:rPr>
  </w:style>
  <w:style w:type="character" w:customStyle="1" w:styleId="249">
    <w:name w:val="bds_more4"/>
    <w:qFormat/>
    <w:uiPriority w:val="0"/>
    <w:rPr>
      <w:rFonts w:hint="eastAsia" w:ascii="宋体" w:hAnsi="宋体" w:eastAsia="宋体" w:cs="宋体"/>
      <w:color w:val="454545"/>
      <w:sz w:val="21"/>
      <w:szCs w:val="21"/>
    </w:rPr>
  </w:style>
  <w:style w:type="character" w:customStyle="1" w:styleId="250">
    <w:name w:val="checked"/>
    <w:basedOn w:val="49"/>
    <w:qFormat/>
    <w:uiPriority w:val="0"/>
  </w:style>
  <w:style w:type="character" w:customStyle="1" w:styleId="251">
    <w:name w:val="页脚 Char"/>
    <w:qFormat/>
    <w:uiPriority w:val="0"/>
    <w:rPr>
      <w:rFonts w:ascii="Times New Roman" w:hAnsi="Times New Roman" w:eastAsia="宋体" w:cs="Times New Roman"/>
      <w:sz w:val="18"/>
      <w:szCs w:val="18"/>
    </w:rPr>
  </w:style>
  <w:style w:type="character" w:customStyle="1" w:styleId="252">
    <w:name w:val="标题 3 Char"/>
    <w:qFormat/>
    <w:uiPriority w:val="0"/>
    <w:rPr>
      <w:rFonts w:ascii="Times New Roman" w:hAnsi="Times New Roman" w:eastAsia="宋体" w:cs="Times New Roman"/>
      <w:b/>
      <w:bCs/>
      <w:sz w:val="32"/>
      <w:szCs w:val="32"/>
    </w:rPr>
  </w:style>
  <w:style w:type="character" w:customStyle="1" w:styleId="253">
    <w:name w:val="正文（绿盟科技） Char"/>
    <w:link w:val="164"/>
    <w:qFormat/>
    <w:locked/>
    <w:uiPriority w:val="0"/>
    <w:rPr>
      <w:rFonts w:eastAsia="Times New Roman"/>
      <w:szCs w:val="21"/>
      <w:lang w:val="en-US" w:eastAsia="zh-CN" w:bidi="ar-SA"/>
    </w:rPr>
  </w:style>
  <w:style w:type="character" w:customStyle="1" w:styleId="254">
    <w:name w:val="标题 4 Char"/>
    <w:qFormat/>
    <w:uiPriority w:val="0"/>
    <w:rPr>
      <w:rFonts w:ascii="Arial" w:hAnsi="Arial" w:eastAsia="黑体" w:cs="Times New Roman"/>
      <w:kern w:val="0"/>
      <w:sz w:val="28"/>
      <w:szCs w:val="20"/>
    </w:rPr>
  </w:style>
  <w:style w:type="character" w:customStyle="1" w:styleId="255">
    <w:name w:val="小标1级 Char"/>
    <w:link w:val="122"/>
    <w:qFormat/>
    <w:uiPriority w:val="0"/>
    <w:rPr>
      <w:rFonts w:ascii="仿宋_GB2312" w:hAnsi="宋体" w:eastAsia="仿宋_GB2312"/>
      <w:b/>
      <w:kern w:val="2"/>
      <w:sz w:val="28"/>
      <w:szCs w:val="28"/>
    </w:rPr>
  </w:style>
  <w:style w:type="character" w:customStyle="1" w:styleId="256">
    <w:name w:val="ca-8"/>
    <w:basedOn w:val="49"/>
    <w:qFormat/>
    <w:uiPriority w:val="0"/>
  </w:style>
  <w:style w:type="character" w:customStyle="1" w:styleId="257">
    <w:name w:val="日期 Char"/>
    <w:qFormat/>
    <w:uiPriority w:val="0"/>
    <w:rPr>
      <w:rFonts w:ascii="宋体" w:hAnsi="Courier New" w:eastAsia="宋体" w:cs="Courier New"/>
      <w:szCs w:val="21"/>
    </w:rPr>
  </w:style>
  <w:style w:type="character" w:customStyle="1" w:styleId="258">
    <w:name w:val="正文缩进 Char"/>
    <w:qFormat/>
    <w:uiPriority w:val="0"/>
    <w:rPr>
      <w:rFonts w:eastAsia="宋体"/>
      <w:kern w:val="2"/>
      <w:sz w:val="21"/>
      <w:lang w:val="en-US" w:eastAsia="zh-CN" w:bidi="ar-SA"/>
    </w:rPr>
  </w:style>
  <w:style w:type="character" w:customStyle="1" w:styleId="259">
    <w:name w:val="case31"/>
    <w:qFormat/>
    <w:uiPriority w:val="0"/>
    <w:rPr>
      <w:rFonts w:hint="default"/>
      <w:spacing w:val="390"/>
      <w:sz w:val="21"/>
      <w:szCs w:val="21"/>
    </w:rPr>
  </w:style>
  <w:style w:type="character" w:customStyle="1" w:styleId="260">
    <w:name w:val="标题 4 Char1"/>
    <w:link w:val="6"/>
    <w:qFormat/>
    <w:uiPriority w:val="0"/>
    <w:rPr>
      <w:rFonts w:ascii="Arial" w:hAnsi="Arial" w:eastAsia="黑体" w:cs="Times New Roman"/>
      <w:kern w:val="0"/>
      <w:sz w:val="28"/>
      <w:szCs w:val="20"/>
    </w:rPr>
  </w:style>
  <w:style w:type="character" w:customStyle="1" w:styleId="261">
    <w:name w:val="普通文字 Char Char1"/>
    <w:qFormat/>
    <w:uiPriority w:val="0"/>
    <w:rPr>
      <w:rFonts w:ascii="宋体" w:hAnsi="Courier New" w:eastAsia="宋体" w:cs="Courier New"/>
      <w:szCs w:val="21"/>
    </w:rPr>
  </w:style>
  <w:style w:type="table" w:customStyle="1" w:styleId="262">
    <w:name w:val="Table Normal"/>
    <w:qFormat/>
    <w:uiPriority w:val="0"/>
    <w:tblPr>
      <w:tblCellMar>
        <w:top w:w="0" w:type="dxa"/>
        <w:left w:w="0" w:type="dxa"/>
        <w:bottom w:w="0" w:type="dxa"/>
        <w:right w:w="0" w:type="dxa"/>
      </w:tblCellMar>
    </w:tblPr>
  </w:style>
  <w:style w:type="paragraph" w:customStyle="1" w:styleId="263">
    <w:name w:val="标题 #2"/>
    <w:basedOn w:val="1"/>
    <w:qFormat/>
    <w:uiPriority w:val="99"/>
    <w:pPr>
      <w:shd w:val="clear" w:color="auto" w:fill="FFFFFF"/>
      <w:spacing w:after="450" w:line="590" w:lineRule="exact"/>
      <w:jc w:val="center"/>
      <w:outlineLvl w:val="1"/>
    </w:pPr>
    <w:rPr>
      <w:rFonts w:ascii="黑体" w:hAnsi="黑体" w:eastAsia="黑体" w:cs="黑体"/>
      <w:sz w:val="36"/>
      <w:szCs w:val="36"/>
      <w:lang w:val="zh-CN"/>
    </w:rPr>
  </w:style>
  <w:style w:type="paragraph" w:customStyle="1" w:styleId="264">
    <w:name w:val="Body text|4"/>
    <w:basedOn w:val="1"/>
    <w:qFormat/>
    <w:uiPriority w:val="99"/>
    <w:pPr>
      <w:spacing w:line="281" w:lineRule="exact"/>
      <w:jc w:val="center"/>
    </w:pPr>
    <w:rPr>
      <w:rFonts w:ascii="宋体" w:hAnsi="宋体" w:cs="宋体"/>
      <w:b/>
      <w:bCs/>
      <w:sz w:val="17"/>
      <w:szCs w:val="17"/>
      <w:lang w:val="zh-CN"/>
    </w:rPr>
  </w:style>
  <w:style w:type="paragraph" w:customStyle="1" w:styleId="265">
    <w:name w:val="正文文本 (12)"/>
    <w:basedOn w:val="1"/>
    <w:qFormat/>
    <w:uiPriority w:val="99"/>
    <w:pPr>
      <w:shd w:val="clear" w:color="auto" w:fill="FFFFFF"/>
      <w:spacing w:after="80"/>
      <w:jc w:val="center"/>
    </w:pPr>
    <w:rPr>
      <w:rFonts w:ascii="宋体" w:hAnsi="宋体" w:cs="宋体"/>
      <w:sz w:val="17"/>
      <w:szCs w:val="17"/>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5264</Words>
  <Characters>30011</Characters>
  <Lines>250</Lines>
  <Paragraphs>70</Paragraphs>
  <TotalTime>58</TotalTime>
  <ScaleCrop>false</ScaleCrop>
  <LinksUpToDate>false</LinksUpToDate>
  <CharactersWithSpaces>35205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2019-02-25T09:52:00Z</dcterms:created>
  <dc:creator>李溪梅</dc:creator>
  <cp:lastModifiedBy>FirstBlood1375667811</cp:lastModifiedBy>
  <cp:lastPrinted>2019-03-04T08:53:00Z</cp:lastPrinted>
  <dcterms:modified xsi:type="dcterms:W3CDTF">2020-11-09T13:16:59Z</dcterms:modified>
  <dc:title>广西国盛招标有限公司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