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仿宋" w:hAnsi="仿宋" w:eastAsia="仿宋" w:cs="仿宋"/>
          <w:b/>
          <w:color w:val="000000" w:themeColor="text1"/>
          <w:sz w:val="24"/>
          <w14:textFill>
            <w14:solidFill>
              <w14:schemeClr w14:val="tx1"/>
            </w14:solidFill>
          </w14:textFill>
        </w:rPr>
      </w:pPr>
    </w:p>
    <w:p>
      <w:pPr>
        <w:wordWrap w:val="0"/>
        <w:spacing w:line="360" w:lineRule="auto"/>
        <w:jc w:val="center"/>
        <w:rPr>
          <w:rFonts w:ascii="仿宋" w:hAnsi="仿宋" w:eastAsia="仿宋" w:cs="仿宋"/>
          <w:b/>
          <w:color w:val="000000" w:themeColor="text1"/>
          <w:sz w:val="24"/>
          <w14:textFill>
            <w14:solidFill>
              <w14:schemeClr w14:val="tx1"/>
            </w14:solidFill>
          </w14:textFill>
        </w:rPr>
      </w:pPr>
    </w:p>
    <w:p>
      <w:pPr>
        <w:wordWrap w:val="0"/>
        <w:jc w:val="center"/>
        <w:rPr>
          <w:rFonts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 </w:t>
      </w:r>
      <w:r>
        <w:rPr>
          <w:rFonts w:hint="eastAsia" w:ascii="仿宋" w:hAnsi="仿宋" w:eastAsia="仿宋" w:cs="仿宋"/>
          <w:b/>
          <w:color w:val="000000" w:themeColor="text1"/>
          <w:sz w:val="72"/>
          <w:szCs w:val="72"/>
          <w14:textFill>
            <w14:solidFill>
              <w14:schemeClr w14:val="tx1"/>
            </w14:solidFill>
          </w14:textFill>
        </w:rPr>
        <w:t>政府采购公开招标文件</w:t>
      </w:r>
    </w:p>
    <w:p>
      <w:pPr>
        <w:widowControl/>
        <w:wordWrap w:val="0"/>
        <w:jc w:val="center"/>
        <w:rPr>
          <w:rFonts w:ascii="仿宋" w:hAnsi="仿宋" w:eastAsia="仿宋" w:cs="仿宋"/>
          <w:b/>
          <w:color w:val="000000" w:themeColor="text1"/>
          <w:sz w:val="44"/>
          <w:szCs w:val="44"/>
          <w14:textFill>
            <w14:solidFill>
              <w14:schemeClr w14:val="tx1"/>
            </w14:solidFill>
          </w14:textFill>
        </w:rPr>
      </w:pPr>
    </w:p>
    <w:p>
      <w:pPr>
        <w:widowControl/>
        <w:wordWrap w:val="0"/>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tbl>
      <w:tblPr>
        <w:tblStyle w:val="63"/>
        <w:tblpPr w:leftFromText="180" w:rightFromText="180" w:vertAnchor="text" w:horzAnchor="page" w:tblpX="2004" w:tblpY="441"/>
        <w:tblOverlap w:val="never"/>
        <w:tblW w:w="0" w:type="auto"/>
        <w:tblInd w:w="0" w:type="dxa"/>
        <w:tblLayout w:type="fixed"/>
        <w:tblCellMar>
          <w:top w:w="0" w:type="dxa"/>
          <w:left w:w="108" w:type="dxa"/>
          <w:bottom w:w="0" w:type="dxa"/>
          <w:right w:w="108" w:type="dxa"/>
        </w:tblCellMar>
      </w:tblPr>
      <w:tblGrid>
        <w:gridCol w:w="2148"/>
        <w:gridCol w:w="5995"/>
      </w:tblGrid>
      <w:tr>
        <w:tblPrEx>
          <w:tblCellMar>
            <w:top w:w="0" w:type="dxa"/>
            <w:left w:w="108" w:type="dxa"/>
            <w:bottom w:w="0" w:type="dxa"/>
            <w:right w:w="108" w:type="dxa"/>
          </w:tblCellMar>
        </w:tblPrEx>
        <w:trPr>
          <w:trHeight w:val="1213" w:hRule="atLeast"/>
        </w:trPr>
        <w:tc>
          <w:tcPr>
            <w:tcW w:w="2148" w:type="dxa"/>
            <w:vAlign w:val="center"/>
          </w:tcPr>
          <w:p>
            <w:pPr>
              <w:wordWrap w:val="0"/>
              <w:spacing w:line="44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项目名称：</w:t>
            </w:r>
          </w:p>
        </w:tc>
        <w:tc>
          <w:tcPr>
            <w:tcW w:w="5995" w:type="dxa"/>
            <w:vAlign w:val="center"/>
          </w:tcPr>
          <w:p>
            <w:pPr>
              <w:pStyle w:val="35"/>
              <w:wordWrap w:val="0"/>
              <w:snapToGrid w:val="0"/>
              <w:spacing w:line="440" w:lineRule="exac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2024年-2026年笕桥周边区块市政设施长效养护服务项目</w:t>
            </w:r>
          </w:p>
        </w:tc>
      </w:tr>
      <w:tr>
        <w:tblPrEx>
          <w:tblCellMar>
            <w:top w:w="0" w:type="dxa"/>
            <w:left w:w="108" w:type="dxa"/>
            <w:bottom w:w="0" w:type="dxa"/>
            <w:right w:w="108" w:type="dxa"/>
          </w:tblCellMar>
        </w:tblPrEx>
        <w:trPr>
          <w:trHeight w:val="1213" w:hRule="atLeast"/>
        </w:trPr>
        <w:tc>
          <w:tcPr>
            <w:tcW w:w="2148" w:type="dxa"/>
            <w:vAlign w:val="center"/>
          </w:tcPr>
          <w:p>
            <w:pPr>
              <w:wordWrap w:val="0"/>
              <w:spacing w:line="440" w:lineRule="exac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项目编号：</w:t>
            </w:r>
          </w:p>
        </w:tc>
        <w:tc>
          <w:tcPr>
            <w:tcW w:w="5995" w:type="dxa"/>
            <w:vAlign w:val="center"/>
          </w:tcPr>
          <w:p>
            <w:pPr>
              <w:wordWrap w:val="0"/>
              <w:spacing w:line="440" w:lineRule="exac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 xml:space="preserve"> ZJKJ2023-临[2023]5410号</w:t>
            </w:r>
          </w:p>
        </w:tc>
      </w:tr>
    </w:tbl>
    <w:p>
      <w:pPr>
        <w:wordWrap w:val="0"/>
        <w:spacing w:line="440" w:lineRule="exact"/>
        <w:jc w:val="center"/>
        <w:rPr>
          <w:rFonts w:ascii="仿宋" w:hAnsi="仿宋" w:eastAsia="仿宋" w:cs="仿宋"/>
          <w:b/>
          <w:color w:val="000000" w:themeColor="text1"/>
          <w:sz w:val="24"/>
          <w14:textFill>
            <w14:solidFill>
              <w14:schemeClr w14:val="tx1"/>
            </w14:solidFill>
          </w14:textFill>
        </w:rPr>
      </w:pPr>
    </w:p>
    <w:p>
      <w:pPr>
        <w:wordWrap w:val="0"/>
        <w:spacing w:line="440" w:lineRule="exact"/>
        <w:jc w:val="center"/>
        <w:rPr>
          <w:rFonts w:ascii="仿宋" w:hAnsi="仿宋" w:eastAsia="仿宋" w:cs="仿宋"/>
          <w:color w:val="000000" w:themeColor="text1"/>
          <w:kern w:val="0"/>
          <w:sz w:val="24"/>
          <w14:textFill>
            <w14:solidFill>
              <w14:schemeClr w14:val="tx1"/>
            </w14:solidFill>
          </w14:textFill>
        </w:rPr>
      </w:pPr>
    </w:p>
    <w:p>
      <w:pPr>
        <w:wordWrap w:val="0"/>
        <w:spacing w:line="440" w:lineRule="exact"/>
        <w:jc w:val="center"/>
        <w:rPr>
          <w:rFonts w:ascii="仿宋" w:hAnsi="仿宋" w:eastAsia="仿宋" w:cs="仿宋"/>
          <w:color w:val="000000" w:themeColor="text1"/>
          <w:sz w:val="24"/>
          <w14:textFill>
            <w14:solidFill>
              <w14:schemeClr w14:val="tx1"/>
            </w14:solidFill>
          </w14:textFill>
        </w:rPr>
      </w:pPr>
    </w:p>
    <w:p>
      <w:pPr>
        <w:wordWrap w:val="0"/>
        <w:spacing w:line="440" w:lineRule="exact"/>
        <w:jc w:val="center"/>
        <w:rPr>
          <w:rFonts w:ascii="仿宋" w:hAnsi="仿宋" w:eastAsia="仿宋" w:cs="仿宋"/>
          <w:color w:val="000000" w:themeColor="text1"/>
          <w:sz w:val="24"/>
          <w14:textFill>
            <w14:solidFill>
              <w14:schemeClr w14:val="tx1"/>
            </w14:solidFill>
          </w14:textFill>
        </w:rPr>
      </w:pPr>
    </w:p>
    <w:p>
      <w:pPr>
        <w:wordWrap w:val="0"/>
        <w:spacing w:line="440" w:lineRule="exact"/>
        <w:jc w:val="center"/>
        <w:rPr>
          <w:rFonts w:ascii="仿宋" w:hAnsi="仿宋" w:eastAsia="仿宋" w:cs="仿宋"/>
          <w:color w:val="000000" w:themeColor="text1"/>
          <w:sz w:val="24"/>
          <w14:textFill>
            <w14:solidFill>
              <w14:schemeClr w14:val="tx1"/>
            </w14:solidFill>
          </w14:textFill>
        </w:rPr>
      </w:pPr>
    </w:p>
    <w:p>
      <w:pPr>
        <w:pStyle w:val="2"/>
        <w:rPr>
          <w:rFonts w:ascii="仿宋" w:hAnsi="仿宋" w:eastAsia="仿宋" w:cs="仿宋"/>
          <w:color w:val="000000" w:themeColor="text1"/>
          <w14:textFill>
            <w14:solidFill>
              <w14:schemeClr w14:val="tx1"/>
            </w14:solidFill>
          </w14:textFill>
        </w:rPr>
      </w:pPr>
    </w:p>
    <w:p>
      <w:pPr>
        <w:pStyle w:val="2"/>
        <w:rPr>
          <w:rFonts w:ascii="仿宋" w:hAnsi="仿宋" w:eastAsia="仿宋" w:cs="仿宋"/>
          <w:color w:val="000000" w:themeColor="text1"/>
          <w14:textFill>
            <w14:solidFill>
              <w14:schemeClr w14:val="tx1"/>
            </w14:solidFill>
          </w14:textFill>
        </w:rPr>
      </w:pPr>
    </w:p>
    <w:p>
      <w:pPr>
        <w:wordWrap w:val="0"/>
        <w:spacing w:line="440" w:lineRule="exact"/>
        <w:jc w:val="center"/>
        <w:rPr>
          <w:rFonts w:ascii="仿宋" w:hAnsi="仿宋" w:eastAsia="仿宋" w:cs="仿宋"/>
          <w:color w:val="000000" w:themeColor="text1"/>
          <w:sz w:val="24"/>
          <w14:textFill>
            <w14:solidFill>
              <w14:schemeClr w14:val="tx1"/>
            </w14:solidFill>
          </w14:textFill>
        </w:rPr>
      </w:pPr>
    </w:p>
    <w:p>
      <w:pPr>
        <w:pStyle w:val="2"/>
        <w:wordWrap w:val="0"/>
        <w:spacing w:line="440" w:lineRule="exact"/>
        <w:rPr>
          <w:rFonts w:ascii="仿宋" w:hAnsi="仿宋" w:eastAsia="仿宋" w:cs="仿宋"/>
          <w:color w:val="000000" w:themeColor="text1"/>
          <w:szCs w:val="24"/>
          <w14:textFill>
            <w14:solidFill>
              <w14:schemeClr w14:val="tx1"/>
            </w14:solidFill>
          </w14:textFill>
        </w:rPr>
      </w:pPr>
    </w:p>
    <w:p>
      <w:pPr>
        <w:pStyle w:val="2"/>
        <w:wordWrap w:val="0"/>
        <w:spacing w:line="440" w:lineRule="exact"/>
        <w:rPr>
          <w:rFonts w:ascii="仿宋" w:hAnsi="仿宋" w:eastAsia="仿宋" w:cs="仿宋"/>
          <w:color w:val="000000" w:themeColor="text1"/>
          <w:szCs w:val="24"/>
          <w14:textFill>
            <w14:solidFill>
              <w14:schemeClr w14:val="tx1"/>
            </w14:solidFill>
          </w14:textFill>
        </w:rPr>
      </w:pPr>
    </w:p>
    <w:p>
      <w:pPr>
        <w:pStyle w:val="2"/>
        <w:wordWrap w:val="0"/>
        <w:spacing w:line="440" w:lineRule="exact"/>
        <w:rPr>
          <w:rFonts w:ascii="仿宋" w:hAnsi="仿宋" w:eastAsia="仿宋" w:cs="仿宋"/>
          <w:color w:val="000000" w:themeColor="text1"/>
          <w:szCs w:val="24"/>
          <w14:textFill>
            <w14:solidFill>
              <w14:schemeClr w14:val="tx1"/>
            </w14:solidFill>
          </w14:textFill>
        </w:rPr>
      </w:pPr>
    </w:p>
    <w:p>
      <w:pPr>
        <w:pStyle w:val="2"/>
        <w:wordWrap w:val="0"/>
        <w:spacing w:line="440" w:lineRule="exact"/>
        <w:rPr>
          <w:rFonts w:ascii="仿宋" w:hAnsi="仿宋" w:eastAsia="仿宋" w:cs="仿宋"/>
          <w:color w:val="000000" w:themeColor="text1"/>
          <w:szCs w:val="24"/>
          <w14:textFill>
            <w14:solidFill>
              <w14:schemeClr w14:val="tx1"/>
            </w14:solidFill>
          </w14:textFill>
        </w:rPr>
      </w:pPr>
    </w:p>
    <w:tbl>
      <w:tblPr>
        <w:tblStyle w:val="63"/>
        <w:tblW w:w="0" w:type="auto"/>
        <w:jc w:val="center"/>
        <w:tblLayout w:type="fixed"/>
        <w:tblCellMar>
          <w:top w:w="0" w:type="dxa"/>
          <w:left w:w="108" w:type="dxa"/>
          <w:bottom w:w="0" w:type="dxa"/>
          <w:right w:w="108" w:type="dxa"/>
        </w:tblCellMar>
      </w:tblPr>
      <w:tblGrid>
        <w:gridCol w:w="2247"/>
        <w:gridCol w:w="5778"/>
      </w:tblGrid>
      <w:tr>
        <w:tblPrEx>
          <w:tblCellMar>
            <w:top w:w="0" w:type="dxa"/>
            <w:left w:w="108" w:type="dxa"/>
            <w:bottom w:w="0" w:type="dxa"/>
            <w:right w:w="108" w:type="dxa"/>
          </w:tblCellMar>
        </w:tblPrEx>
        <w:trPr>
          <w:trHeight w:val="858" w:hRule="atLeast"/>
          <w:jc w:val="center"/>
        </w:trPr>
        <w:tc>
          <w:tcPr>
            <w:tcW w:w="2247" w:type="dxa"/>
            <w:vAlign w:val="center"/>
          </w:tcPr>
          <w:p>
            <w:pPr>
              <w:wordWrap w:val="0"/>
              <w:spacing w:line="440" w:lineRule="exact"/>
              <w:ind w:firstLine="361" w:firstLineChars="1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采购人</w:t>
            </w:r>
          </w:p>
          <w:p>
            <w:pPr>
              <w:wordWrap w:val="0"/>
              <w:spacing w:line="440" w:lineRule="exact"/>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（招标人）：</w:t>
            </w:r>
          </w:p>
        </w:tc>
        <w:tc>
          <w:tcPr>
            <w:tcW w:w="5778" w:type="dxa"/>
            <w:vAlign w:val="center"/>
          </w:tcPr>
          <w:p>
            <w:pPr>
              <w:pStyle w:val="35"/>
              <w:wordWrap w:val="0"/>
              <w:snapToGrid w:val="0"/>
              <w:spacing w:line="440" w:lineRule="exact"/>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杭州市上城区综合行政执法局</w:t>
            </w:r>
          </w:p>
        </w:tc>
      </w:tr>
      <w:tr>
        <w:tblPrEx>
          <w:tblCellMar>
            <w:top w:w="0" w:type="dxa"/>
            <w:left w:w="108" w:type="dxa"/>
            <w:bottom w:w="0" w:type="dxa"/>
            <w:right w:w="108" w:type="dxa"/>
          </w:tblCellMar>
        </w:tblPrEx>
        <w:trPr>
          <w:trHeight w:val="943" w:hRule="atLeast"/>
          <w:jc w:val="center"/>
        </w:trPr>
        <w:tc>
          <w:tcPr>
            <w:tcW w:w="2247" w:type="dxa"/>
            <w:vAlign w:val="center"/>
          </w:tcPr>
          <w:p>
            <w:pPr>
              <w:wordWrap w:val="0"/>
              <w:spacing w:line="440" w:lineRule="exact"/>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代理机构：</w:t>
            </w:r>
          </w:p>
        </w:tc>
        <w:tc>
          <w:tcPr>
            <w:tcW w:w="5778" w:type="dxa"/>
            <w:vAlign w:val="center"/>
          </w:tcPr>
          <w:p>
            <w:pPr>
              <w:pStyle w:val="35"/>
              <w:wordWrap w:val="0"/>
              <w:snapToGrid w:val="0"/>
              <w:spacing w:line="440" w:lineRule="exact"/>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浙江科佳工程咨询有限公司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wordWrap w:val="0"/>
              <w:spacing w:line="440" w:lineRule="exac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日    期：</w:t>
            </w:r>
          </w:p>
        </w:tc>
        <w:tc>
          <w:tcPr>
            <w:tcW w:w="5778" w:type="dxa"/>
            <w:vAlign w:val="center"/>
          </w:tcPr>
          <w:p>
            <w:pPr>
              <w:wordWrap w:val="0"/>
              <w:spacing w:line="440" w:lineRule="exac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 xml:space="preserve">二〇二三年 </w:t>
            </w:r>
            <w:r>
              <w:rPr>
                <w:rFonts w:hint="eastAsia" w:ascii="仿宋" w:hAnsi="仿宋" w:eastAsia="仿宋" w:cs="仿宋"/>
                <w:b/>
                <w:bCs/>
                <w:color w:val="000000" w:themeColor="text1"/>
                <w:sz w:val="36"/>
                <w:szCs w:val="36"/>
                <w:lang w:val="en-US" w:eastAsia="zh-CN"/>
                <w14:textFill>
                  <w14:solidFill>
                    <w14:schemeClr w14:val="tx1"/>
                  </w14:solidFill>
                </w14:textFill>
              </w:rPr>
              <w:t>十一</w:t>
            </w:r>
            <w:r>
              <w:rPr>
                <w:rFonts w:hint="eastAsia" w:ascii="仿宋" w:hAnsi="仿宋" w:eastAsia="仿宋" w:cs="仿宋"/>
                <w:b/>
                <w:bCs/>
                <w:color w:val="000000" w:themeColor="text1"/>
                <w:sz w:val="36"/>
                <w:szCs w:val="36"/>
                <w14:textFill>
                  <w14:solidFill>
                    <w14:schemeClr w14:val="tx1"/>
                  </w14:solidFill>
                </w14:textFill>
              </w:rPr>
              <w:t xml:space="preserve">月 </w:t>
            </w:r>
            <w:r>
              <w:rPr>
                <w:rFonts w:hint="eastAsia" w:ascii="仿宋" w:hAnsi="仿宋" w:eastAsia="仿宋" w:cs="仿宋"/>
                <w:b/>
                <w:bCs/>
                <w:color w:val="000000" w:themeColor="text1"/>
                <w:sz w:val="36"/>
                <w:szCs w:val="36"/>
                <w:lang w:val="en-US" w:eastAsia="zh-CN"/>
                <w14:textFill>
                  <w14:solidFill>
                    <w14:schemeClr w14:val="tx1"/>
                  </w14:solidFill>
                </w14:textFill>
              </w:rPr>
              <w:t>一</w:t>
            </w:r>
            <w:r>
              <w:rPr>
                <w:rFonts w:hint="eastAsia" w:ascii="仿宋" w:hAnsi="仿宋" w:eastAsia="仿宋" w:cs="仿宋"/>
                <w:b/>
                <w:bCs/>
                <w:color w:val="000000" w:themeColor="text1"/>
                <w:sz w:val="36"/>
                <w:szCs w:val="36"/>
                <w14:textFill>
                  <w14:solidFill>
                    <w14:schemeClr w14:val="tx1"/>
                  </w14:solidFill>
                </w14:textFill>
              </w:rPr>
              <w:t>日</w:t>
            </w:r>
          </w:p>
        </w:tc>
      </w:tr>
    </w:tbl>
    <w:p>
      <w:pPr>
        <w:wordWrap w:val="0"/>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p>
    <w:p>
      <w:pPr>
        <w:wordWrap w:val="0"/>
        <w:spacing w:line="360" w:lineRule="auto"/>
        <w:jc w:val="center"/>
        <w:rPr>
          <w:rFonts w:ascii="仿宋" w:hAnsi="仿宋" w:eastAsia="仿宋" w:cs="仿宋"/>
          <w:color w:val="000000" w:themeColor="text1"/>
          <w:sz w:val="24"/>
          <w14:textFill>
            <w14:solidFill>
              <w14:schemeClr w14:val="tx1"/>
            </w14:solidFill>
          </w14:textFill>
        </w:rPr>
      </w:pPr>
    </w:p>
    <w:p>
      <w:pPr>
        <w:wordWrap w:val="0"/>
        <w:spacing w:line="360" w:lineRule="auto"/>
        <w:ind w:firstLine="1103" w:firstLineChars="229"/>
        <w:rPr>
          <w:rFonts w:ascii="仿宋" w:hAnsi="仿宋" w:eastAsia="仿宋" w:cs="仿宋"/>
          <w:b/>
          <w:color w:val="000000" w:themeColor="text1"/>
          <w:sz w:val="48"/>
          <w:szCs w:val="48"/>
          <w14:textFill>
            <w14:solidFill>
              <w14:schemeClr w14:val="tx1"/>
            </w14:solidFill>
          </w14:textFill>
        </w:rPr>
      </w:pPr>
      <w:bookmarkStart w:id="1" w:name="_Hlt91233176"/>
      <w:bookmarkEnd w:id="1"/>
      <w:bookmarkStart w:id="2" w:name="_Toc91899869"/>
      <w:r>
        <w:rPr>
          <w:rFonts w:hint="eastAsia" w:ascii="仿宋" w:hAnsi="仿宋" w:eastAsia="仿宋" w:cs="仿宋"/>
          <w:b/>
          <w:color w:val="000000" w:themeColor="text1"/>
          <w:sz w:val="48"/>
          <w:szCs w:val="48"/>
          <w14:textFill>
            <w14:solidFill>
              <w14:schemeClr w14:val="tx1"/>
            </w14:solidFill>
          </w14:textFill>
        </w:rPr>
        <w:t xml:space="preserve"> </w:t>
      </w:r>
    </w:p>
    <w:p>
      <w:pPr>
        <w:wordWrap w:val="0"/>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目录</w:t>
      </w:r>
    </w:p>
    <w:p>
      <w:pPr>
        <w:pStyle w:val="45"/>
        <w:tabs>
          <w:tab w:val="right" w:leader="dot" w:pos="9071"/>
        </w:tabs>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TOC \o "1-1" \h \u </w:instrText>
      </w:r>
      <w:r>
        <w:rPr>
          <w:rFonts w:hint="eastAsia" w:ascii="仿宋" w:hAnsi="仿宋" w:eastAsia="仿宋" w:cs="仿宋"/>
          <w:color w:val="000000" w:themeColor="text1"/>
          <w:sz w:val="28"/>
          <w:szCs w:val="28"/>
          <w14:textFill>
            <w14:solidFill>
              <w14:schemeClr w14:val="tx1"/>
            </w14:solidFill>
          </w14:textFill>
        </w:rPr>
        <w:fldChar w:fldCharType="separate"/>
      </w:r>
      <w:r>
        <w:fldChar w:fldCharType="begin"/>
      </w:r>
      <w:r>
        <w:instrText xml:space="preserve"> HYPERLINK \l "_Toc20857" </w:instrText>
      </w:r>
      <w:r>
        <w:fldChar w:fldCharType="separate"/>
      </w:r>
      <w:r>
        <w:rPr>
          <w:rFonts w:hint="eastAsia" w:ascii="仿宋" w:hAnsi="仿宋" w:eastAsia="仿宋" w:cs="仿宋"/>
          <w:color w:val="000000" w:themeColor="text1"/>
          <w:sz w:val="28"/>
          <w:szCs w:val="28"/>
          <w14:textFill>
            <w14:solidFill>
              <w14:schemeClr w14:val="tx1"/>
            </w14:solidFill>
          </w14:textFill>
        </w:rPr>
        <w:t>第一部分 招标公告</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_Toc20857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pPr>
        <w:pStyle w:val="45"/>
        <w:tabs>
          <w:tab w:val="right" w:leader="dot" w:pos="9071"/>
        </w:tabs>
        <w:spacing w:line="360" w:lineRule="auto"/>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"_Toc24964" </w:instrText>
      </w:r>
      <w:r>
        <w:fldChar w:fldCharType="separate"/>
      </w:r>
      <w:r>
        <w:rPr>
          <w:rFonts w:hint="eastAsia" w:ascii="仿宋" w:hAnsi="仿宋" w:eastAsia="仿宋" w:cs="仿宋"/>
          <w:color w:val="000000" w:themeColor="text1"/>
          <w:sz w:val="28"/>
          <w:szCs w:val="28"/>
          <w14:textFill>
            <w14:solidFill>
              <w14:schemeClr w14:val="tx1"/>
            </w14:solidFill>
          </w14:textFill>
        </w:rPr>
        <w:t>第二部分 投标人须知</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_Toc24964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pPr>
        <w:pStyle w:val="45"/>
        <w:tabs>
          <w:tab w:val="right" w:leader="dot" w:pos="9071"/>
        </w:tabs>
        <w:spacing w:line="360" w:lineRule="auto"/>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"_Toc377" </w:instrText>
      </w:r>
      <w:r>
        <w:fldChar w:fldCharType="separate"/>
      </w:r>
      <w:r>
        <w:rPr>
          <w:rFonts w:hint="eastAsia" w:ascii="仿宋" w:hAnsi="仿宋" w:eastAsia="仿宋" w:cs="仿宋"/>
          <w:color w:val="000000" w:themeColor="text1"/>
          <w:sz w:val="28"/>
          <w:szCs w:val="28"/>
          <w14:textFill>
            <w14:solidFill>
              <w14:schemeClr w14:val="tx1"/>
            </w14:solidFill>
          </w14:textFill>
        </w:rPr>
        <w:t>第三部分 采购需求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_Toc377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pPr>
        <w:pStyle w:val="45"/>
        <w:tabs>
          <w:tab w:val="right" w:leader="dot" w:pos="9071"/>
        </w:tabs>
        <w:spacing w:line="360" w:lineRule="auto"/>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"_Toc14411" </w:instrText>
      </w:r>
      <w:r>
        <w:fldChar w:fldCharType="separate"/>
      </w:r>
      <w:r>
        <w:rPr>
          <w:rFonts w:hint="eastAsia" w:ascii="仿宋" w:hAnsi="仿宋" w:eastAsia="仿宋" w:cs="仿宋"/>
          <w:color w:val="000000" w:themeColor="text1"/>
          <w:sz w:val="28"/>
          <w:szCs w:val="28"/>
          <w14:textFill>
            <w14:solidFill>
              <w14:schemeClr w14:val="tx1"/>
            </w14:solidFill>
          </w14:textFill>
        </w:rPr>
        <w:t>第四部分 评标办法</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_Toc14411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29</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pPr>
        <w:pStyle w:val="45"/>
        <w:tabs>
          <w:tab w:val="right" w:leader="dot" w:pos="9071"/>
        </w:tabs>
        <w:spacing w:line="360" w:lineRule="auto"/>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"_Toc3651" </w:instrText>
      </w:r>
      <w:r>
        <w:fldChar w:fldCharType="separate"/>
      </w:r>
      <w:r>
        <w:rPr>
          <w:rFonts w:hint="eastAsia" w:ascii="仿宋" w:hAnsi="仿宋" w:eastAsia="仿宋" w:cs="仿宋"/>
          <w:color w:val="000000" w:themeColor="text1"/>
          <w:sz w:val="28"/>
          <w:szCs w:val="28"/>
          <w14:textFill>
            <w14:solidFill>
              <w14:schemeClr w14:val="tx1"/>
            </w14:solidFill>
          </w14:textFill>
        </w:rPr>
        <w:t>第五部分 拟签订的合同文本</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_Toc3651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39</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pPr>
        <w:pStyle w:val="45"/>
        <w:tabs>
          <w:tab w:val="right" w:leader="dot" w:pos="9071"/>
        </w:tabs>
        <w:spacing w:line="360" w:lineRule="auto"/>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"_Toc2144" </w:instrText>
      </w:r>
      <w:r>
        <w:fldChar w:fldCharType="separate"/>
      </w:r>
      <w:r>
        <w:rPr>
          <w:rFonts w:hint="eastAsia" w:ascii="仿宋" w:hAnsi="仿宋" w:eastAsia="仿宋" w:cs="仿宋"/>
          <w:color w:val="000000" w:themeColor="text1"/>
          <w:sz w:val="28"/>
          <w:szCs w:val="28"/>
          <w14:textFill>
            <w14:solidFill>
              <w14:schemeClr w14:val="tx1"/>
            </w14:solidFill>
          </w14:textFill>
        </w:rPr>
        <w:t>第六部分 应提交的有关格式范例</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_Toc2144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49</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pPr>
        <w:pStyle w:val="45"/>
        <w:tabs>
          <w:tab w:val="right" w:leader="dot" w:pos="9071"/>
        </w:tabs>
        <w:spacing w:line="360" w:lineRule="auto"/>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"_Toc1812" </w:instrText>
      </w:r>
      <w:r>
        <w:fldChar w:fldCharType="separate"/>
      </w:r>
      <w:r>
        <w:rPr>
          <w:rFonts w:hint="eastAsia" w:ascii="仿宋" w:hAnsi="仿宋" w:eastAsia="仿宋" w:cs="仿宋"/>
          <w:color w:val="000000" w:themeColor="text1"/>
          <w:sz w:val="28"/>
          <w:szCs w:val="28"/>
          <w14:textFill>
            <w14:solidFill>
              <w14:schemeClr w14:val="tx1"/>
            </w14:solidFill>
          </w14:textFill>
        </w:rPr>
        <w:t>附件</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_Toc1812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75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pPr>
        <w:pStyle w:val="62"/>
        <w:wordWrap w:val="0"/>
        <w:spacing w:line="360" w:lineRule="auto"/>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end"/>
      </w: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ind w:firstLine="549" w:firstLineChars="229"/>
        <w:rPr>
          <w:rFonts w:ascii="仿宋" w:hAnsi="仿宋" w:eastAsia="仿宋" w:cs="仿宋"/>
          <w:color w:val="000000" w:themeColor="text1"/>
          <w:sz w:val="24"/>
          <w14:textFill>
            <w14:solidFill>
              <w14:schemeClr w14:val="tx1"/>
            </w14:solidFill>
          </w14:textFill>
        </w:rPr>
      </w:pPr>
    </w:p>
    <w:p>
      <w:pPr>
        <w:wordWrap w:val="0"/>
        <w:spacing w:line="360" w:lineRule="auto"/>
        <w:rPr>
          <w:rFonts w:ascii="仿宋" w:hAnsi="仿宋" w:eastAsia="仿宋" w:cs="仿宋"/>
          <w:color w:val="000000" w:themeColor="text1"/>
          <w:sz w:val="24"/>
          <w14:textFill>
            <w14:solidFill>
              <w14:schemeClr w14:val="tx1"/>
            </w14:solidFill>
          </w14:textFill>
        </w:rPr>
      </w:pPr>
    </w:p>
    <w:p>
      <w:pPr>
        <w:wordWrap w:val="0"/>
        <w:adjustRightInd/>
        <w:spacing w:line="360" w:lineRule="auto"/>
        <w:jc w:val="center"/>
        <w:outlineLvl w:val="0"/>
        <w:rPr>
          <w:rFonts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22995"/>
      <w:bookmarkStart w:id="9" w:name="_Toc597"/>
      <w:bookmarkStart w:id="10" w:name="_Toc31815"/>
      <w:bookmarkStart w:id="11" w:name="_Toc20857"/>
      <w:bookmarkStart w:id="12" w:name="_Toc14735"/>
      <w:bookmarkStart w:id="13" w:name="_Toc18065"/>
      <w:bookmarkStart w:id="14" w:name="第二部分"/>
      <w:bookmarkStart w:id="15" w:name="_Toc91899870"/>
      <w:bookmarkStart w:id="16" w:name="_Toc91899871"/>
      <w:r>
        <w:rPr>
          <w:rFonts w:hint="eastAsia" w:ascii="仿宋" w:hAnsi="仿宋" w:eastAsia="仿宋" w:cs="仿宋"/>
          <w:b/>
          <w:color w:val="000000" w:themeColor="text1"/>
          <w:sz w:val="36"/>
          <w:szCs w:val="20"/>
          <w14:textFill>
            <w14:solidFill>
              <w14:schemeClr w14:val="tx1"/>
            </w14:solidFill>
          </w14:textFill>
        </w:rPr>
        <w:t>第一部分 招标公告</w:t>
      </w:r>
      <w:bookmarkEnd w:id="8"/>
      <w:bookmarkEnd w:id="9"/>
      <w:bookmarkEnd w:id="10"/>
      <w:bookmarkEnd w:id="11"/>
      <w:bookmarkEnd w:id="12"/>
      <w:bookmarkEnd w:id="13"/>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w:t>
      </w:r>
      <w:r>
        <w:rPr>
          <w:rFonts w:hint="eastAsia" w:ascii="仿宋" w:hAnsi="仿宋" w:eastAsia="仿宋" w:cs="仿宋"/>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"https://www.zcygov.cn/）获取（下载）招标文件，并于2022年%20月%20日%20点%20分00秒" </w:instrText>
      </w:r>
      <w:r>
        <w:fldChar w:fldCharType="separate"/>
      </w:r>
      <w:r>
        <w:rPr>
          <w:rStyle w:val="77"/>
          <w:rFonts w:hint="eastAsia" w:ascii="仿宋" w:hAnsi="仿宋" w:eastAsia="仿宋" w:cs="仿宋"/>
          <w:snapToGrid/>
          <w:color w:val="000000" w:themeColor="text1"/>
          <w:kern w:val="2"/>
          <w:sz w:val="24"/>
          <w:szCs w:val="24"/>
          <w14:textFill>
            <w14:solidFill>
              <w14:schemeClr w14:val="tx1"/>
            </w14:solidFill>
          </w14:textFill>
        </w:rPr>
        <w:t>https://www.zcygov.cn/）获取（下载）招标文件，并于2023年</w:t>
      </w:r>
      <w:r>
        <w:rPr>
          <w:rStyle w:val="77"/>
          <w:rFonts w:hint="eastAsia" w:ascii="仿宋" w:hAnsi="仿宋" w:eastAsia="仿宋" w:cs="仿宋"/>
          <w:snapToGrid/>
          <w:color w:val="000000" w:themeColor="text1"/>
          <w:kern w:val="2"/>
          <w:sz w:val="24"/>
          <w:szCs w:val="24"/>
          <w:lang w:val="en-US" w:eastAsia="zh-CN"/>
          <w14:textFill>
            <w14:solidFill>
              <w14:schemeClr w14:val="tx1"/>
            </w14:solidFill>
          </w14:textFill>
        </w:rPr>
        <w:t>11</w:t>
      </w:r>
      <w:r>
        <w:rPr>
          <w:rStyle w:val="77"/>
          <w:rFonts w:hint="eastAsia" w:ascii="仿宋" w:hAnsi="仿宋" w:eastAsia="仿宋" w:cs="仿宋"/>
          <w:snapToGrid/>
          <w:color w:val="000000" w:themeColor="text1"/>
          <w:kern w:val="2"/>
          <w:sz w:val="24"/>
          <w:szCs w:val="24"/>
          <w14:textFill>
            <w14:solidFill>
              <w14:schemeClr w14:val="tx1"/>
            </w14:solidFill>
          </w14:textFill>
        </w:rPr>
        <w:t xml:space="preserve"> 月</w:t>
      </w:r>
      <w:r>
        <w:rPr>
          <w:rStyle w:val="77"/>
          <w:rFonts w:hint="eastAsia" w:ascii="仿宋" w:hAnsi="仿宋" w:eastAsia="仿宋" w:cs="仿宋"/>
          <w:snapToGrid/>
          <w:color w:val="000000" w:themeColor="text1"/>
          <w:kern w:val="2"/>
          <w:sz w:val="24"/>
          <w:szCs w:val="24"/>
          <w:lang w:val="en-US" w:eastAsia="zh-CN"/>
          <w14:textFill>
            <w14:solidFill>
              <w14:schemeClr w14:val="tx1"/>
            </w14:solidFill>
          </w14:textFill>
        </w:rPr>
        <w:t>23</w:t>
      </w:r>
      <w:r>
        <w:rPr>
          <w:rStyle w:val="77"/>
          <w:rFonts w:hint="eastAsia" w:ascii="仿宋" w:hAnsi="仿宋" w:eastAsia="仿宋" w:cs="仿宋"/>
          <w:snapToGrid/>
          <w:color w:val="000000" w:themeColor="text1"/>
          <w:kern w:val="2"/>
          <w:sz w:val="24"/>
          <w:szCs w:val="24"/>
          <w14:textFill>
            <w14:solidFill>
              <w14:schemeClr w14:val="tx1"/>
            </w14:solidFill>
          </w14:textFill>
        </w:rPr>
        <w:t xml:space="preserve"> 日</w:t>
      </w:r>
      <w:r>
        <w:rPr>
          <w:rStyle w:val="77"/>
          <w:rFonts w:hint="eastAsia" w:ascii="仿宋" w:hAnsi="仿宋" w:eastAsia="仿宋" w:cs="仿宋"/>
          <w:snapToGrid/>
          <w:color w:val="000000" w:themeColor="text1"/>
          <w:kern w:val="2"/>
          <w:sz w:val="24"/>
          <w:szCs w:val="24"/>
          <w:lang w:val="en-US" w:eastAsia="zh-CN"/>
          <w14:textFill>
            <w14:solidFill>
              <w14:schemeClr w14:val="tx1"/>
            </w14:solidFill>
          </w14:textFill>
        </w:rPr>
        <w:t>9</w:t>
      </w:r>
      <w:r>
        <w:rPr>
          <w:rStyle w:val="77"/>
          <w:rFonts w:hint="eastAsia" w:ascii="仿宋" w:hAnsi="仿宋" w:eastAsia="仿宋" w:cs="仿宋"/>
          <w:snapToGrid/>
          <w:color w:val="000000" w:themeColor="text1"/>
          <w:kern w:val="2"/>
          <w:sz w:val="24"/>
          <w:szCs w:val="24"/>
          <w14:textFill>
            <w14:solidFill>
              <w14:schemeClr w14:val="tx1"/>
            </w14:solidFill>
          </w14:textFill>
        </w:rPr>
        <w:t xml:space="preserve"> 点00分</w:t>
      </w:r>
      <w:r>
        <w:rPr>
          <w:rStyle w:val="77"/>
          <w:rFonts w:hint="eastAsia" w:ascii="仿宋" w:hAnsi="仿宋" w:eastAsia="仿宋" w:cs="仿宋"/>
          <w:bCs/>
          <w:snapToGrid/>
          <w:color w:val="000000" w:themeColor="text1"/>
          <w:kern w:val="2"/>
          <w:sz w:val="24"/>
          <w:szCs w:val="24"/>
          <w14:textFill>
            <w14:solidFill>
              <w14:schemeClr w14:val="tx1"/>
            </w14:solidFill>
          </w14:textFill>
        </w:rPr>
        <w:t>00秒</w:t>
      </w:r>
      <w:r>
        <w:rPr>
          <w:rStyle w:val="77"/>
          <w:rFonts w:hint="eastAsia" w:ascii="仿宋" w:hAnsi="仿宋" w:eastAsia="仿宋" w:cs="仿宋"/>
          <w:bCs/>
          <w:snapToGrid/>
          <w:color w:val="000000" w:themeColor="text1"/>
          <w:kern w:val="2"/>
          <w:sz w:val="24"/>
          <w:szCs w:val="24"/>
          <w14:textFill>
            <w14:solidFill>
              <w14:schemeClr w14:val="tx1"/>
            </w14:solidFill>
          </w14:textFill>
        </w:rPr>
        <w:fldChar w:fldCharType="end"/>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pPr>
        <w:wordWrap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项目编号：ZJKJ2023-临[2023]5410号</w:t>
      </w:r>
      <w:r>
        <w:rPr>
          <w:rFonts w:hint="eastAsia" w:ascii="仿宋" w:hAnsi="仿宋" w:eastAsia="仿宋" w:cs="仿宋"/>
          <w:color w:val="000000" w:themeColor="text1"/>
          <w:sz w:val="24"/>
          <w14:textFill>
            <w14:solidFill>
              <w14:schemeClr w14:val="tx1"/>
            </w14:solidFill>
          </w14:textFill>
        </w:rPr>
        <w:t xml:space="preserve"> </w:t>
      </w:r>
    </w:p>
    <w:p>
      <w:pPr>
        <w:wordWrap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项目名称：</w:t>
      </w:r>
      <w:bookmarkStart w:id="17" w:name="_Hlk91669529"/>
      <w:r>
        <w:rPr>
          <w:rFonts w:hint="eastAsia" w:ascii="仿宋" w:hAnsi="仿宋" w:eastAsia="仿宋" w:cs="仿宋"/>
          <w:color w:val="000000" w:themeColor="text1"/>
          <w:sz w:val="24"/>
          <w14:textFill>
            <w14:solidFill>
              <w14:schemeClr w14:val="tx1"/>
            </w14:solidFill>
          </w14:textFill>
        </w:rPr>
        <w:t>2024年-2026年笕桥周边区块市政设施长效养护服务项目</w:t>
      </w:r>
    </w:p>
    <w:bookmarkEnd w:id="17"/>
    <w:p>
      <w:pPr>
        <w:wordWrap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预算金额（元）：</w:t>
      </w:r>
      <w:r>
        <w:rPr>
          <w:rFonts w:hint="eastAsia" w:ascii="仿宋" w:hAnsi="仿宋" w:eastAsia="仿宋" w:cs="仿宋"/>
          <w:color w:val="000000" w:themeColor="text1"/>
          <w:sz w:val="24"/>
          <w14:textFill>
            <w14:solidFill>
              <w14:schemeClr w14:val="tx1"/>
            </w14:solidFill>
          </w14:textFill>
        </w:rPr>
        <w:t>52066214.45</w:t>
      </w:r>
    </w:p>
    <w:p>
      <w:pPr>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color w:val="000000" w:themeColor="text1"/>
          <w:sz w:val="24"/>
          <w14:textFill>
            <w14:solidFill>
              <w14:schemeClr w14:val="tx1"/>
            </w14:solidFill>
          </w14:textFill>
        </w:rPr>
        <w:t>52066214.45（17355404.82 元/年，其中道路经费11482367.76 元；排水经费5873037.056元）</w:t>
      </w:r>
    </w:p>
    <w:p>
      <w:pPr>
        <w:pStyle w:val="16"/>
        <w:spacing w:line="360" w:lineRule="auto"/>
        <w:ind w:firstLine="480"/>
        <w:outlineLvl w:val="1"/>
        <w:rPr>
          <w:rFonts w:ascii="仿宋_GB2312" w:hAnsi="仿宋" w:eastAsia="仿宋_GB2312" w:cs="仿宋_GB2312"/>
          <w:bCs/>
          <w:snapToGrid/>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bookmarkStart w:id="18" w:name="_Hlk135386628"/>
      <w:r>
        <w:rPr>
          <w:rFonts w:hint="eastAsia" w:ascii="仿宋_GB2312" w:hAnsi="仿宋" w:eastAsia="仿宋_GB2312" w:cs="仿宋_GB2312"/>
          <w:color w:val="000000" w:themeColor="text1"/>
          <w:sz w:val="24"/>
          <w14:textFill>
            <w14:solidFill>
              <w14:schemeClr w14:val="tx1"/>
            </w14:solidFill>
          </w14:textFill>
        </w:rPr>
        <w:t>2024年-2026年笕桥周边区块市政设施长效养护服务包括道路、</w:t>
      </w:r>
      <w:r>
        <w:rPr>
          <w:rFonts w:hint="eastAsia" w:ascii="仿宋" w:hAnsi="仿宋" w:eastAsia="仿宋" w:cs="仿宋"/>
          <w:color w:val="000000" w:themeColor="text1"/>
          <w:sz w:val="24"/>
          <w:szCs w:val="24"/>
          <w14:textFill>
            <w14:solidFill>
              <w14:schemeClr w14:val="tx1"/>
            </w14:solidFill>
          </w14:textFill>
        </w:rPr>
        <w:t>桥梁、排水设施</w:t>
      </w:r>
      <w:r>
        <w:rPr>
          <w:rFonts w:hint="eastAsia" w:ascii="仿宋_GB2312" w:hAnsi="仿宋" w:eastAsia="仿宋_GB2312" w:cs="仿宋_GB2312"/>
          <w:color w:val="000000" w:themeColor="text1"/>
          <w:sz w:val="24"/>
          <w14:textFill>
            <w14:solidFill>
              <w14:schemeClr w14:val="tx1"/>
            </w14:solidFill>
          </w14:textFill>
        </w:rPr>
        <w:t>及附属设施等市政设施的日常维修、保养、巡查、应急保障、节日保障、技术档案制作、临时维护（配套管线、管沟、无产权单位窨井发生下沉、坍塌等）等市政设施长效养护服务，并按照道路、桥梁、</w:t>
      </w:r>
      <w:r>
        <w:rPr>
          <w:rFonts w:hint="eastAsia" w:ascii="仿宋" w:hAnsi="仿宋" w:eastAsia="仿宋" w:cs="仿宋"/>
          <w:color w:val="000000" w:themeColor="text1"/>
          <w:sz w:val="24"/>
          <w:szCs w:val="24"/>
          <w14:textFill>
            <w14:solidFill>
              <w14:schemeClr w14:val="tx1"/>
            </w14:solidFill>
          </w14:textFill>
        </w:rPr>
        <w:t>排水设施</w:t>
      </w:r>
      <w:r>
        <w:rPr>
          <w:rFonts w:hint="eastAsia" w:ascii="仿宋_GB2312" w:hAnsi="仿宋" w:eastAsia="仿宋_GB2312" w:cs="仿宋_GB2312"/>
          <w:color w:val="000000" w:themeColor="text1"/>
          <w:sz w:val="24"/>
          <w14:textFill>
            <w14:solidFill>
              <w14:schemeClr w14:val="tx1"/>
            </w14:solidFill>
          </w14:textFill>
        </w:rPr>
        <w:t>等设施养护的有关规范和技术要求进行道路、桥梁、</w:t>
      </w:r>
      <w:r>
        <w:rPr>
          <w:rFonts w:hint="eastAsia" w:ascii="仿宋" w:hAnsi="仿宋" w:eastAsia="仿宋" w:cs="仿宋"/>
          <w:color w:val="000000" w:themeColor="text1"/>
          <w:sz w:val="24"/>
          <w:szCs w:val="24"/>
          <w14:textFill>
            <w14:solidFill>
              <w14:schemeClr w14:val="tx1"/>
            </w14:solidFill>
          </w14:textFill>
        </w:rPr>
        <w:t>排水设施</w:t>
      </w:r>
      <w:r>
        <w:rPr>
          <w:rFonts w:hint="eastAsia" w:ascii="仿宋_GB2312" w:hAnsi="仿宋" w:eastAsia="仿宋_GB2312" w:cs="仿宋_GB2312"/>
          <w:color w:val="000000" w:themeColor="text1"/>
          <w:sz w:val="24"/>
          <w14:textFill>
            <w14:solidFill>
              <w14:schemeClr w14:val="tx1"/>
            </w14:solidFill>
          </w14:textFill>
        </w:rPr>
        <w:t>的</w:t>
      </w:r>
      <w:r>
        <w:rPr>
          <w:rFonts w:ascii="仿宋_GB2312" w:hAnsi="仿宋" w:eastAsia="仿宋_GB2312" w:cs="仿宋_GB2312"/>
          <w:color w:val="000000" w:themeColor="text1"/>
          <w:sz w:val="24"/>
          <w14:textFill>
            <w14:solidFill>
              <w14:schemeClr w14:val="tx1"/>
            </w14:solidFill>
          </w14:textFill>
        </w:rPr>
        <w:t>常规检测及评价</w:t>
      </w:r>
      <w:r>
        <w:rPr>
          <w:rFonts w:hint="eastAsia" w:ascii="仿宋_GB2312" w:hAnsi="仿宋" w:eastAsia="仿宋_GB2312" w:cs="仿宋_GB2312"/>
          <w:color w:val="000000" w:themeColor="text1"/>
          <w:sz w:val="24"/>
          <w14:textFill>
            <w14:solidFill>
              <w14:schemeClr w14:val="tx1"/>
            </w14:solidFill>
          </w14:textFill>
        </w:rPr>
        <w:t>、其他检测服务、包括但不限于市政设施大面积维修、栏杆维修等。</w:t>
      </w:r>
      <w:bookmarkEnd w:id="18"/>
      <w:r>
        <w:rPr>
          <w:rFonts w:hint="eastAsia" w:ascii="仿宋_GB2312" w:hAnsi="仿宋" w:eastAsia="仿宋_GB2312" w:cs="仿宋_GB2312"/>
          <w:color w:val="000000" w:themeColor="text1"/>
          <w:sz w:val="24"/>
          <w14:textFill>
            <w14:solidFill>
              <w14:schemeClr w14:val="tx1"/>
            </w14:solidFill>
          </w14:textFill>
        </w:rPr>
        <w:t>具体要求以招标文件第三部分采购需求为准，供应商可点击本公告下方“浏览采购文件”查看采购需求。</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合同履约期限：</w:t>
      </w:r>
      <w:r>
        <w:rPr>
          <w:rFonts w:hint="eastAsia" w:ascii="仿宋" w:hAnsi="仿宋" w:eastAsia="仿宋" w:cs="仿宋"/>
          <w:bCs/>
          <w:color w:val="000000" w:themeColor="text1"/>
          <w:sz w:val="24"/>
          <w14:textFill>
            <w14:solidFill>
              <w14:schemeClr w14:val="tx1"/>
            </w14:solidFill>
          </w14:textFill>
        </w:rPr>
        <w:t>3年，</w:t>
      </w:r>
      <w:r>
        <w:rPr>
          <w:rFonts w:ascii="仿宋" w:hAnsi="仿宋" w:eastAsia="仿宋" w:cs="仿宋"/>
          <w:bCs/>
          <w:color w:val="000000" w:themeColor="text1"/>
          <w:sz w:val="24"/>
          <w14:textFill>
            <w14:solidFill>
              <w14:schemeClr w14:val="tx1"/>
            </w14:solidFill>
          </w14:textFill>
        </w:rPr>
        <w:t>202</w:t>
      </w:r>
      <w:r>
        <w:rPr>
          <w:rFonts w:hint="eastAsia" w:ascii="仿宋" w:hAnsi="仿宋" w:eastAsia="仿宋" w:cs="仿宋"/>
          <w:color w:val="000000" w:themeColor="text1"/>
          <w:sz w:val="24"/>
          <w14:textFill>
            <w14:solidFill>
              <w14:schemeClr w14:val="tx1"/>
            </w14:solidFill>
          </w14:textFill>
        </w:rPr>
        <w:t>4年1月1日至2026年12月31日。</w:t>
      </w:r>
    </w:p>
    <w:p>
      <w:pPr>
        <w:wordWrap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本项目（是）接受联合体投标。</w:t>
      </w:r>
    </w:p>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pPr>
        <w:wordWrap w:val="0"/>
        <w:spacing w:line="360" w:lineRule="auto"/>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spacing w:line="360" w:lineRule="auto"/>
        <w:ind w:firstLine="480" w:firstLineChars="20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2.落实政府采购政策需满足的资格要求：</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sz w:val="24"/>
          <w14:textFill>
            <w14:solidFill>
              <w14:schemeClr w14:val="tx1"/>
            </w14:solidFill>
          </w14:textFill>
        </w:rPr>
        <w:t>无；</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A3"/>
      </w:r>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pPr>
        <w:wordWrap w:val="0"/>
        <w:spacing w:line="360" w:lineRule="auto"/>
        <w:ind w:firstLine="897" w:firstLineChars="37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A3"/>
      </w:r>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pPr>
        <w:wordWrap w:val="0"/>
        <w:spacing w:line="360" w:lineRule="auto"/>
        <w:ind w:firstLine="897" w:firstLineChars="374"/>
        <w:rPr>
          <w:rFonts w:ascii="仿宋" w:hAnsi="仿宋" w:eastAsia="仿宋" w:cs="仿宋"/>
          <w:color w:val="000000" w:themeColor="text1"/>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14:textFill>
            <w14:solidFill>
              <w14:schemeClr w14:val="tx1"/>
            </w14:solidFill>
          </w14:textFill>
        </w:rPr>
        <w:t>；</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如果供应商本身提供所有标的均由中小企业制造、承建或承接，视同符合了资格条件，无需再向中小企业分包，无需提供分包意向协议。</w:t>
      </w:r>
    </w:p>
    <w:p>
      <w:pPr>
        <w:spacing w:line="360" w:lineRule="auto"/>
        <w:ind w:firstLine="480" w:firstLineChars="200"/>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3.本项目的特定资格要求：</w:t>
      </w:r>
      <w:r>
        <w:rPr>
          <w:rFonts w:hint="eastAsia" w:ascii="仿宋_GB2312" w:hAnsi="仿宋" w:eastAsia="仿宋_GB2312"/>
          <w:color w:val="000000" w:themeColor="text1"/>
          <w:sz w:val="24"/>
          <w14:textFill>
            <w14:solidFill>
              <w14:schemeClr w14:val="tx1"/>
            </w14:solidFill>
          </w14:textFill>
        </w:rPr>
        <w:t>（1）</w:t>
      </w:r>
      <w:r>
        <w:rPr>
          <w:rFonts w:hint="eastAsia" w:ascii="仿宋" w:hAnsi="仿宋" w:eastAsia="仿宋" w:cs="宋体"/>
          <w:color w:val="000000" w:themeColor="text1"/>
          <w:spacing w:val="8"/>
          <w:kern w:val="0"/>
          <w:sz w:val="24"/>
          <w14:textFill>
            <w14:solidFill>
              <w14:schemeClr w14:val="tx1"/>
            </w14:solidFill>
          </w14:textFill>
        </w:rPr>
        <w:t>具有市政公用工程施工总承包企业资质三级（含）以上</w:t>
      </w:r>
      <w:r>
        <w:rPr>
          <w:rFonts w:hint="eastAsia" w:ascii="仿宋_GB2312" w:hAnsi="仿宋" w:eastAsia="仿宋_GB2312"/>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（2）具有有效期内的安全生产许可证；（3）联合体投标的，联合体成员均应满足资格要求，成员数量不多于 2 个，合同份额占比大的作为牵头人,项目负责人由牵头人派遣。</w:t>
      </w:r>
    </w:p>
    <w:p>
      <w:pPr>
        <w:numPr>
          <w:ilvl w:val="255"/>
          <w:numId w:val="0"/>
        </w:numPr>
        <w:wordWrap w:val="0"/>
        <w:spacing w:line="360" w:lineRule="auto"/>
        <w:ind w:firstLine="480" w:firstLineChars="200"/>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wordWrap w:val="0"/>
        <w:adjustRightInd/>
        <w:spacing w:line="360" w:lineRule="auto"/>
        <w:jc w:val="left"/>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14:textFill>
            <w14:solidFill>
              <w14:schemeClr w14:val="tx1"/>
            </w14:solidFill>
          </w14:textFill>
        </w:rPr>
        <w:t xml:space="preserve">2023年 </w:t>
      </w:r>
      <w:r>
        <w:rPr>
          <w:rFonts w:hint="eastAsia" w:ascii="仿宋" w:hAnsi="仿宋" w:eastAsia="仿宋" w:cs="仿宋"/>
          <w:color w:val="000000" w:themeColor="text1"/>
          <w:sz w:val="24"/>
          <w:u w:val="single"/>
          <w:lang w:val="en-US" w:eastAsia="zh-CN"/>
          <w14:textFill>
            <w14:solidFill>
              <w14:schemeClr w14:val="tx1"/>
            </w14:solidFill>
          </w14:textFill>
        </w:rPr>
        <w:t>11</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23</w:t>
      </w:r>
      <w:r>
        <w:rPr>
          <w:rFonts w:hint="eastAsia" w:ascii="仿宋" w:hAnsi="仿宋" w:eastAsia="仿宋" w:cs="仿宋"/>
          <w:color w:val="000000" w:themeColor="text1"/>
          <w:sz w:val="24"/>
          <w:u w:val="single"/>
          <w14:textFill>
            <w14:solidFill>
              <w14:schemeClr w14:val="tx1"/>
            </w14:solidFill>
          </w14:textFill>
        </w:rPr>
        <w:t xml:space="preserve"> 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，下午12:00至23:59（北京时间，线上获取法定节假日均可，线下获取文件法定节假日除外）</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 xml:space="preserve">0 </w:t>
      </w:r>
      <w:r>
        <w:rPr>
          <w:rFonts w:hint="eastAsia" w:ascii="仿宋" w:hAnsi="仿宋" w:eastAsia="仿宋" w:cs="仿宋"/>
          <w:color w:val="000000" w:themeColor="text1"/>
          <w:sz w:val="24"/>
          <w14:textFill>
            <w14:solidFill>
              <w14:schemeClr w14:val="tx1"/>
            </w14:solidFill>
          </w14:textFill>
        </w:rPr>
        <w:tab/>
      </w:r>
    </w:p>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提交投标文件截止时间：</w:t>
      </w:r>
      <w:r>
        <w:rPr>
          <w:rFonts w:hint="eastAsia" w:ascii="仿宋" w:hAnsi="仿宋" w:eastAsia="仿宋" w:cs="仿宋"/>
          <w:color w:val="000000" w:themeColor="text1"/>
          <w:sz w:val="24"/>
          <w:u w:val="single"/>
          <w14:textFill>
            <w14:solidFill>
              <w14:schemeClr w14:val="tx1"/>
            </w14:solidFill>
          </w14:textFill>
        </w:rPr>
        <w:t xml:space="preserve"> 2023年</w:t>
      </w:r>
      <w:r>
        <w:rPr>
          <w:rFonts w:hint="eastAsia" w:ascii="仿宋" w:hAnsi="仿宋" w:eastAsia="仿宋" w:cs="仿宋"/>
          <w:color w:val="000000" w:themeColor="text1"/>
          <w:sz w:val="24"/>
          <w:u w:val="single"/>
          <w:lang w:val="en-US" w:eastAsia="zh-CN"/>
          <w14:textFill>
            <w14:solidFill>
              <w14:schemeClr w14:val="tx1"/>
            </w14:solidFill>
          </w14:textFill>
        </w:rPr>
        <w:t>11</w:t>
      </w:r>
      <w:r>
        <w:rPr>
          <w:rFonts w:hint="eastAsia" w:ascii="仿宋" w:hAnsi="仿宋" w:eastAsia="仿宋" w:cs="仿宋"/>
          <w:color w:val="000000" w:themeColor="text1"/>
          <w:sz w:val="24"/>
          <w:u w:val="single"/>
          <w14:textFill>
            <w14:solidFill>
              <w14:schemeClr w14:val="tx1"/>
            </w14:solidFill>
          </w14:textFill>
        </w:rPr>
        <w:t xml:space="preserve"> 月</w:t>
      </w:r>
      <w:r>
        <w:rPr>
          <w:rFonts w:hint="eastAsia" w:ascii="仿宋" w:hAnsi="仿宋" w:eastAsia="仿宋" w:cs="仿宋"/>
          <w:color w:val="000000" w:themeColor="text1"/>
          <w:sz w:val="24"/>
          <w:u w:val="single"/>
          <w:lang w:val="en-US" w:eastAsia="zh-CN"/>
          <w14:textFill>
            <w14:solidFill>
              <w14:schemeClr w14:val="tx1"/>
            </w14:solidFill>
          </w14:textFill>
        </w:rPr>
        <w:t>23</w:t>
      </w:r>
      <w:r>
        <w:rPr>
          <w:rFonts w:hint="eastAsia" w:ascii="仿宋" w:hAnsi="仿宋" w:eastAsia="仿宋" w:cs="仿宋"/>
          <w:color w:val="000000" w:themeColor="text1"/>
          <w:sz w:val="24"/>
          <w:u w:val="single"/>
          <w14:textFill>
            <w14:solidFill>
              <w14:schemeClr w14:val="tx1"/>
            </w14:solidFill>
          </w14:textFill>
        </w:rPr>
        <w:t xml:space="preserve"> 日 </w:t>
      </w:r>
      <w:r>
        <w:rPr>
          <w:rFonts w:hint="eastAsia" w:ascii="仿宋" w:hAnsi="仿宋" w:eastAsia="仿宋" w:cs="仿宋"/>
          <w:color w:val="000000" w:themeColor="text1"/>
          <w:sz w:val="24"/>
          <w:u w:val="single"/>
          <w:lang w:val="en-US" w:eastAsia="zh-CN"/>
          <w14:textFill>
            <w14:solidFill>
              <w14:schemeClr w14:val="tx1"/>
            </w14:solidFill>
          </w14:textFill>
        </w:rPr>
        <w:t>9</w:t>
      </w:r>
      <w:r>
        <w:rPr>
          <w:rFonts w:hint="eastAsia" w:ascii="仿宋" w:hAnsi="仿宋" w:eastAsia="仿宋" w:cs="仿宋"/>
          <w:color w:val="000000" w:themeColor="text1"/>
          <w:sz w:val="24"/>
          <w:u w:val="single"/>
          <w14:textFill>
            <w14:solidFill>
              <w14:schemeClr w14:val="tx1"/>
            </w14:solidFill>
          </w14:textFill>
        </w:rPr>
        <w:t>点00分</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（北京时间）</w:t>
      </w:r>
    </w:p>
    <w:p>
      <w:pPr>
        <w:wordWrap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pPr>
        <w:wordWrap w:val="0"/>
        <w:spacing w:line="360" w:lineRule="auto"/>
        <w:ind w:firstLine="482"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开标时间：</w:t>
      </w:r>
      <w:r>
        <w:rPr>
          <w:rFonts w:hint="eastAsia" w:ascii="仿宋" w:hAnsi="仿宋" w:eastAsia="仿宋" w:cs="仿宋"/>
          <w:color w:val="000000" w:themeColor="text1"/>
          <w:sz w:val="24"/>
          <w:u w:val="single"/>
          <w14:textFill>
            <w14:solidFill>
              <w14:schemeClr w14:val="tx1"/>
            </w14:solidFill>
          </w14:textFill>
        </w:rPr>
        <w:t xml:space="preserve">2023年 </w:t>
      </w:r>
      <w:r>
        <w:rPr>
          <w:rFonts w:hint="eastAsia" w:ascii="仿宋" w:hAnsi="仿宋" w:eastAsia="仿宋" w:cs="仿宋"/>
          <w:color w:val="000000" w:themeColor="text1"/>
          <w:sz w:val="24"/>
          <w:u w:val="single"/>
          <w:lang w:val="en-US" w:eastAsia="zh-CN"/>
          <w14:textFill>
            <w14:solidFill>
              <w14:schemeClr w14:val="tx1"/>
            </w14:solidFill>
          </w14:textFill>
        </w:rPr>
        <w:t>11</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23</w:t>
      </w:r>
      <w:r>
        <w:rPr>
          <w:rFonts w:hint="eastAsia" w:ascii="仿宋" w:hAnsi="仿宋" w:eastAsia="仿宋" w:cs="仿宋"/>
          <w:color w:val="000000" w:themeColor="text1"/>
          <w:sz w:val="24"/>
          <w:u w:val="single"/>
          <w14:textFill>
            <w14:solidFill>
              <w14:schemeClr w14:val="tx1"/>
            </w14:solidFill>
          </w14:textFill>
        </w:rPr>
        <w:t xml:space="preserve"> 日 </w:t>
      </w:r>
      <w:r>
        <w:rPr>
          <w:rFonts w:hint="eastAsia" w:ascii="仿宋" w:hAnsi="仿宋" w:eastAsia="仿宋" w:cs="仿宋"/>
          <w:color w:val="000000" w:themeColor="text1"/>
          <w:sz w:val="24"/>
          <w:u w:val="single"/>
          <w:lang w:val="en-US" w:eastAsia="zh-CN"/>
          <w14:textFill>
            <w14:solidFill>
              <w14:schemeClr w14:val="tx1"/>
            </w14:solidFill>
          </w14:textFill>
        </w:rPr>
        <w:t>9</w:t>
      </w:r>
      <w:r>
        <w:rPr>
          <w:rFonts w:hint="eastAsia" w:ascii="仿宋" w:hAnsi="仿宋" w:eastAsia="仿宋" w:cs="仿宋"/>
          <w:color w:val="000000" w:themeColor="text1"/>
          <w:sz w:val="24"/>
          <w:u w:val="single"/>
          <w14:textFill>
            <w14:solidFill>
              <w14:schemeClr w14:val="tx1"/>
            </w14:solidFill>
          </w14:textFill>
        </w:rPr>
        <w:t>点00分</w:t>
      </w:r>
      <w:r>
        <w:rPr>
          <w:rFonts w:hint="eastAsia" w:ascii="仿宋" w:hAnsi="仿宋" w:eastAsia="仿宋" w:cs="仿宋"/>
          <w:bCs/>
          <w:color w:val="000000" w:themeColor="text1"/>
          <w:sz w:val="24"/>
          <w:u w:val="single"/>
          <w14:textFill>
            <w14:solidFill>
              <w14:schemeClr w14:val="tx1"/>
            </w14:solidFill>
          </w14:textFill>
        </w:rPr>
        <w:t xml:space="preserve"> </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五、采购意向公开链接</w:t>
      </w:r>
    </w:p>
    <w:p>
      <w:pPr>
        <w:wordWrap w:val="0"/>
        <w:spacing w:line="360" w:lineRule="auto"/>
        <w:rPr>
          <w:rFonts w:ascii="仿宋" w:hAnsi="仿宋" w:eastAsia="仿宋" w:cs="仿宋"/>
          <w:color w:val="auto"/>
          <w:sz w:val="24"/>
        </w:rPr>
      </w:pPr>
      <w:r>
        <w:rPr>
          <w:rFonts w:hint="eastAsia" w:ascii="仿宋" w:hAnsi="仿宋" w:eastAsia="仿宋" w:cs="仿宋"/>
          <w:color w:val="auto"/>
          <w:sz w:val="24"/>
        </w:rPr>
        <w:t>https://zfcg.czt.zj.gov.cn/luban/detail?parentId=600007&amp;articleId=paCaR4suDH8Uv%2BNy27MZ8Q%3D%3D&amp;utm=luban.luban-PC-37000.979-pc-websitegroup-zhejiang-secondPage-front.7.9d324060779611eebb6a874e12766c18</w:t>
      </w:r>
    </w:p>
    <w:p>
      <w:pPr>
        <w:wordWrap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六、公告期限 </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自本公告发布之日起5个工作日。</w:t>
      </w:r>
    </w:p>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七、其他补充事宜</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w:t>
      </w:r>
      <w:r>
        <w:rPr>
          <w:rFonts w:ascii="仿宋" w:hAnsi="仿宋" w:eastAsia="仿宋" w:cs="仿宋"/>
          <w:color w:val="000000" w:themeColor="text1"/>
          <w:sz w:val="24"/>
          <w14:textFill>
            <w14:solidFill>
              <w14:schemeClr w14:val="tx1"/>
            </w14:solidFill>
          </w14:textFill>
        </w:rPr>
        <w:t>2023年</w:t>
      </w:r>
      <w:r>
        <w:rPr>
          <w:rFonts w:hint="eastAsia" w:ascii="仿宋" w:hAnsi="仿宋" w:eastAsia="仿宋" w:cs="仿宋"/>
          <w:color w:val="000000" w:themeColor="text1"/>
          <w:sz w:val="24"/>
          <w:lang w:val="en-US" w:eastAsia="zh-CN"/>
          <w14:textFill>
            <w14:solidFill>
              <w14:schemeClr w14:val="tx1"/>
            </w14:solidFill>
          </w14:textFill>
        </w:rPr>
        <w:t>11</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日。</w:t>
      </w:r>
    </w:p>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八、对本次采购提出询问、质疑、投诉，请按以下方式联系</w:t>
      </w:r>
    </w:p>
    <w:p>
      <w:pPr>
        <w:wordWrap w:val="0"/>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1.采购人信息</w:t>
      </w:r>
    </w:p>
    <w:p>
      <w:pPr>
        <w:wordWrap w:val="0"/>
        <w:spacing w:line="440" w:lineRule="exact"/>
        <w:ind w:firstLine="480" w:firstLineChars="200"/>
        <w:jc w:val="left"/>
        <w:rPr>
          <w:rFonts w:ascii="仿宋" w:hAnsi="仿宋" w:eastAsia="仿宋" w:cs="仿宋"/>
          <w:color w:val="auto"/>
          <w:sz w:val="24"/>
          <w:lang w:val="zh-TW"/>
        </w:rPr>
      </w:pPr>
      <w:r>
        <w:rPr>
          <w:rFonts w:hint="eastAsia" w:ascii="仿宋" w:hAnsi="仿宋" w:eastAsia="仿宋" w:cs="仿宋"/>
          <w:color w:val="auto"/>
          <w:sz w:val="24"/>
          <w:lang w:val="zh-TW" w:eastAsia="zh-TW"/>
        </w:rPr>
        <w:t>名称：</w:t>
      </w:r>
      <w:r>
        <w:rPr>
          <w:rFonts w:hint="eastAsia" w:ascii="仿宋" w:hAnsi="仿宋" w:eastAsia="仿宋" w:cs="仿宋"/>
          <w:color w:val="auto"/>
          <w:sz w:val="24"/>
          <w:lang w:val="zh-TW"/>
        </w:rPr>
        <w:t>杭州市上城区综合行政执法局</w:t>
      </w:r>
    </w:p>
    <w:p>
      <w:pPr>
        <w:wordWrap w:val="0"/>
        <w:spacing w:line="440" w:lineRule="exact"/>
        <w:ind w:firstLine="480" w:firstLineChars="200"/>
        <w:rPr>
          <w:rFonts w:hint="eastAsia" w:ascii="仿宋" w:hAnsi="仿宋" w:eastAsia="仿宋" w:cs="仿宋"/>
          <w:color w:val="auto"/>
          <w:sz w:val="24"/>
          <w:lang w:val="zh-TW" w:eastAsia="zh-CN"/>
        </w:rPr>
      </w:pPr>
      <w:r>
        <w:rPr>
          <w:rFonts w:hint="eastAsia" w:ascii="仿宋" w:hAnsi="仿宋" w:eastAsia="仿宋" w:cs="仿宋"/>
          <w:color w:val="auto"/>
          <w:sz w:val="24"/>
          <w:lang w:val="zh-TW"/>
        </w:rPr>
        <w:t>地址：</w:t>
      </w:r>
      <w:r>
        <w:rPr>
          <w:rFonts w:hint="eastAsia" w:ascii="仿宋" w:hAnsi="仿宋" w:eastAsia="仿宋" w:cs="仿宋"/>
          <w:color w:val="auto"/>
          <w:sz w:val="24"/>
          <w:lang w:val="zh-TW" w:eastAsia="zh-CN"/>
        </w:rPr>
        <w:t>上城区环站东路358号</w:t>
      </w:r>
    </w:p>
    <w:p>
      <w:pPr>
        <w:wordWrap w:val="0"/>
        <w:spacing w:line="440" w:lineRule="exact"/>
        <w:ind w:firstLine="480" w:firstLineChars="200"/>
        <w:rPr>
          <w:rFonts w:ascii="仿宋" w:hAnsi="仿宋" w:eastAsia="仿宋" w:cs="仿宋"/>
          <w:color w:val="auto"/>
          <w:sz w:val="24"/>
          <w:lang w:val="zh-TW" w:eastAsia="zh-TW"/>
        </w:rPr>
      </w:pPr>
      <w:r>
        <w:rPr>
          <w:rFonts w:hint="eastAsia" w:ascii="仿宋" w:hAnsi="仿宋" w:eastAsia="仿宋" w:cs="仿宋"/>
          <w:color w:val="auto"/>
          <w:sz w:val="24"/>
          <w:lang w:val="zh-TW" w:eastAsia="zh-TW"/>
        </w:rPr>
        <w:t>项目联系人（询问）：</w:t>
      </w:r>
      <w:r>
        <w:rPr>
          <w:rFonts w:hint="eastAsia" w:ascii="仿宋" w:hAnsi="仿宋" w:eastAsia="仿宋" w:cs="仿宋"/>
          <w:color w:val="auto"/>
          <w:sz w:val="24"/>
          <w:lang w:val="zh-TW"/>
        </w:rPr>
        <w:t>周颖</w:t>
      </w:r>
      <w:r>
        <w:rPr>
          <w:rFonts w:hint="eastAsia" w:ascii="仿宋" w:hAnsi="仿宋" w:eastAsia="仿宋" w:cs="仿宋"/>
          <w:color w:val="auto"/>
          <w:sz w:val="24"/>
          <w:lang w:val="zh-TW" w:eastAsia="zh-TW"/>
        </w:rPr>
        <w:t> </w:t>
      </w:r>
      <w:bookmarkStart w:id="539" w:name="_GoBack"/>
      <w:bookmarkEnd w:id="539"/>
    </w:p>
    <w:p>
      <w:pPr>
        <w:wordWrap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lang w:val="zh-TW" w:eastAsia="zh-TW"/>
        </w:rPr>
        <w:t>项目联系方式（询问）：</w:t>
      </w:r>
      <w:r>
        <w:rPr>
          <w:rFonts w:hint="eastAsia" w:ascii="仿宋" w:hAnsi="仿宋" w:eastAsia="仿宋" w:cs="仿宋"/>
          <w:color w:val="auto"/>
          <w:sz w:val="24"/>
          <w:lang w:val="zh-TW"/>
        </w:rPr>
        <w:t>0571-</w:t>
      </w:r>
      <w:r>
        <w:rPr>
          <w:rFonts w:hint="eastAsia" w:ascii="仿宋" w:hAnsi="仿宋" w:eastAsia="仿宋" w:cs="仿宋"/>
          <w:color w:val="auto"/>
          <w:sz w:val="24"/>
          <w:highlight w:val="none"/>
          <w:lang w:val="zh-TW" w:eastAsia="zh-CN"/>
        </w:rPr>
        <w:t>86550136</w:t>
      </w:r>
    </w:p>
    <w:p>
      <w:pPr>
        <w:wordWrap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lang w:val="zh-TW" w:eastAsia="zh-TW"/>
        </w:rPr>
        <w:t>质疑联系人：</w:t>
      </w:r>
      <w:r>
        <w:rPr>
          <w:rFonts w:hint="eastAsia" w:ascii="仿宋" w:hAnsi="仿宋" w:eastAsia="仿宋"/>
          <w:color w:val="auto"/>
          <w:sz w:val="24"/>
        </w:rPr>
        <w:t>叶峰</w:t>
      </w:r>
    </w:p>
    <w:p>
      <w:pPr>
        <w:wordWrap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lang w:val="zh-TW" w:eastAsia="zh-TW"/>
        </w:rPr>
        <w:t>质疑联系方式 ：0571-86550285</w:t>
      </w:r>
    </w:p>
    <w:p>
      <w:pPr>
        <w:wordWrap w:val="0"/>
        <w:spacing w:line="440" w:lineRule="exact"/>
        <w:rPr>
          <w:rFonts w:ascii="仿宋" w:hAnsi="仿宋" w:eastAsia="仿宋" w:cs="仿宋"/>
          <w:color w:val="auto"/>
          <w:sz w:val="24"/>
        </w:rPr>
      </w:pPr>
      <w:r>
        <w:rPr>
          <w:rFonts w:hint="eastAsia" w:ascii="仿宋" w:hAnsi="仿宋" w:eastAsia="仿宋" w:cs="仿宋"/>
          <w:color w:val="auto"/>
          <w:sz w:val="24"/>
        </w:rPr>
        <w:t xml:space="preserve">    2.采购代理机构信息            </w:t>
      </w:r>
    </w:p>
    <w:p>
      <w:pPr>
        <w:wordWrap w:val="0"/>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名    称：浙江科佳工程咨询有限公司          </w:t>
      </w:r>
    </w:p>
    <w:p>
      <w:pPr>
        <w:wordWrap w:val="0"/>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地    址：杭州市上城区环站东路99号云峰大厦1号楼702室 </w:t>
      </w:r>
    </w:p>
    <w:p>
      <w:pPr>
        <w:wordWrap w:val="0"/>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传    真：0571-88198126            </w:t>
      </w:r>
    </w:p>
    <w:p>
      <w:pPr>
        <w:wordWrap w:val="0"/>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项目联系人（询问）：费工</w:t>
      </w:r>
    </w:p>
    <w:p>
      <w:pPr>
        <w:wordWrap w:val="0"/>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项目联系方式（询问）：0571-88198126 </w:t>
      </w:r>
    </w:p>
    <w:p>
      <w:pPr>
        <w:wordWrap w:val="0"/>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质疑联系人：季晓瑾             </w:t>
      </w:r>
    </w:p>
    <w:p>
      <w:pPr>
        <w:wordWrap w:val="0"/>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质疑联系方式：15395828515</w:t>
      </w:r>
    </w:p>
    <w:p>
      <w:pPr>
        <w:wordWrap w:val="0"/>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3.同级政府采购监督管理部门            </w:t>
      </w:r>
    </w:p>
    <w:p>
      <w:pPr>
        <w:wordWrap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名称：上城区财政局</w:t>
      </w:r>
    </w:p>
    <w:p>
      <w:pPr>
        <w:wordWrap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地址：杭州市上城区望潮路77号</w:t>
      </w:r>
    </w:p>
    <w:p>
      <w:pPr>
        <w:wordWrap w:val="0"/>
        <w:spacing w:line="44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wordWrap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联系人：余工</w:t>
      </w:r>
    </w:p>
    <w:p>
      <w:pPr>
        <w:wordWrap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监督投诉电话：0571-89500860</w:t>
      </w:r>
    </w:p>
    <w:p>
      <w:pPr>
        <w:wordWrap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wordWrap w:val="0"/>
        <w:spacing w:line="440" w:lineRule="exact"/>
        <w:ind w:firstLine="480" w:firstLineChars="200"/>
        <w:rPr>
          <w:rFonts w:ascii="仿宋" w:hAnsi="仿宋" w:eastAsia="仿宋" w:cs="仿宋"/>
          <w:color w:val="000000" w:themeColor="text1"/>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pPr>
        <w:wordWrap w:val="0"/>
        <w:adjustRightInd/>
        <w:spacing w:line="360" w:lineRule="auto"/>
        <w:jc w:val="center"/>
        <w:outlineLvl w:val="0"/>
        <w:rPr>
          <w:rFonts w:ascii="仿宋" w:hAnsi="仿宋" w:eastAsia="仿宋" w:cs="仿宋"/>
          <w:b/>
          <w:color w:val="000000" w:themeColor="text1"/>
          <w:sz w:val="36"/>
          <w:szCs w:val="20"/>
          <w14:textFill>
            <w14:solidFill>
              <w14:schemeClr w14:val="tx1"/>
            </w14:solidFill>
          </w14:textFill>
        </w:rPr>
      </w:pPr>
      <w:bookmarkStart w:id="19" w:name="_Toc24511"/>
      <w:bookmarkStart w:id="20" w:name="_Toc26106"/>
      <w:bookmarkStart w:id="21" w:name="_Toc29805"/>
      <w:bookmarkStart w:id="22" w:name="_Toc24964"/>
      <w:bookmarkStart w:id="23" w:name="_Toc27972"/>
      <w:bookmarkStart w:id="24" w:name="_Toc25593"/>
      <w:r>
        <w:rPr>
          <w:rFonts w:hint="eastAsia" w:ascii="仿宋" w:hAnsi="仿宋" w:eastAsia="仿宋" w:cs="仿宋"/>
          <w:b/>
          <w:color w:val="000000" w:themeColor="text1"/>
          <w:sz w:val="36"/>
          <w:szCs w:val="20"/>
          <w14:textFill>
            <w14:solidFill>
              <w14:schemeClr w14:val="tx1"/>
            </w14:solidFill>
          </w14:textFill>
        </w:rPr>
        <w:t>第二部分</w:t>
      </w:r>
      <w:bookmarkEnd w:id="14"/>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15"/>
      <w:bookmarkEnd w:id="19"/>
      <w:bookmarkEnd w:id="20"/>
      <w:bookmarkEnd w:id="21"/>
      <w:bookmarkEnd w:id="22"/>
      <w:bookmarkEnd w:id="23"/>
      <w:bookmarkEnd w:id="24"/>
    </w:p>
    <w:p>
      <w:pPr>
        <w:wordWrap w:val="0"/>
        <w:snapToGrid w:val="0"/>
        <w:spacing w:line="360" w:lineRule="auto"/>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12"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标的：</w:t>
            </w:r>
            <w:r>
              <w:rPr>
                <w:rFonts w:hint="eastAsia" w:ascii="仿宋" w:hAnsi="仿宋" w:eastAsia="仿宋" w:cs="仿宋"/>
                <w:color w:val="000000" w:themeColor="text1"/>
                <w:kern w:val="0"/>
                <w:sz w:val="24"/>
                <w:u w:val="single"/>
                <w14:textFill>
                  <w14:solidFill>
                    <w14:schemeClr w14:val="tx1"/>
                  </w14:solidFill>
                </w14:textFill>
              </w:rPr>
              <w:t xml:space="preserve">2024年-2026年笕桥周边区块市政设施长效养护服务项目 </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 xml:space="preserve"> 其他未列明</w:t>
            </w:r>
            <w:r>
              <w:rPr>
                <w:rFonts w:hint="eastAsia" w:ascii="仿宋" w:hAnsi="仿宋" w:eastAsia="仿宋" w:cs="仿宋"/>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w:t>
            </w:r>
          </w:p>
          <w:p>
            <w:pPr>
              <w:wordWrap w:val="0"/>
              <w:snapToGrid w:val="0"/>
              <w:spacing w:line="312"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sz w:val="24"/>
                <w14:textFill>
                  <w14:solidFill>
                    <w14:schemeClr w14:val="tx1"/>
                  </w14:solidFill>
                </w14:textFill>
              </w:rPr>
              <w:t>服务类项目不适用</w:t>
            </w:r>
            <w:r>
              <w:rPr>
                <w:rFonts w:hint="eastAsia" w:ascii="仿宋" w:hAnsi="仿宋" w:eastAsia="仿宋" w:cs="仿宋"/>
                <w:color w:val="000000" w:themeColor="text1"/>
                <w:kern w:val="0"/>
                <w:sz w:val="24"/>
                <w14:textFill>
                  <w14:solidFill>
                    <w14:schemeClr w14:val="tx1"/>
                  </w14:solidFill>
                </w14:textFill>
              </w:rPr>
              <w:t>。</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241932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07922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同</w:t>
            </w:r>
            <w:r>
              <w:rPr>
                <w:rFonts w:hint="eastAsia" w:ascii="仿宋" w:hAnsi="仿宋" w:eastAsia="仿宋" w:cs="仿宋"/>
                <w:color w:val="000000" w:themeColor="text1"/>
                <w:sz w:val="24"/>
                <w14:textFill>
                  <w14:solidFill>
                    <w14:schemeClr w14:val="tx1"/>
                  </w14:solidFill>
                </w14:textFill>
              </w:rPr>
              <w:t>意分包，同意将非主体、非关键性</w:t>
            </w:r>
            <w:r>
              <w:rPr>
                <w:rFonts w:hint="eastAsia" w:ascii="仿宋" w:hAnsi="仿宋" w:eastAsia="仿宋" w:cs="仿宋"/>
                <w:color w:val="000000" w:themeColor="text1"/>
                <w:sz w:val="24"/>
                <w:u w:val="single"/>
                <w14:textFill>
                  <w14:solidFill>
                    <w14:schemeClr w14:val="tx1"/>
                  </w14:solidFill>
                </w14:textFill>
              </w:rPr>
              <w:t xml:space="preserve">  栏杆维修、道路和桥梁结构性检测</w:t>
            </w:r>
            <w:r>
              <w:rPr>
                <w:rFonts w:hint="eastAsia" w:ascii="仿宋_GB2312" w:hAnsi="仿宋" w:eastAsia="仿宋_GB2312" w:cs="仿宋_GB2312"/>
                <w:color w:val="000000" w:themeColor="text1"/>
                <w:sz w:val="24"/>
                <w:u w:val="single"/>
                <w14:textFill>
                  <w14:solidFill>
                    <w14:schemeClr w14:val="tx1"/>
                  </w14:solidFill>
                </w14:textFill>
              </w:rPr>
              <w:t>、CCTV检测</w:t>
            </w:r>
            <w:r>
              <w:rPr>
                <w:rFonts w:hint="eastAsia" w:ascii="仿宋" w:hAnsi="仿宋" w:eastAsia="仿宋" w:cs="仿宋"/>
                <w:color w:val="000000" w:themeColor="text1"/>
                <w:sz w:val="24"/>
                <w14:textFill>
                  <w14:solidFill>
                    <w14:schemeClr w14:val="tx1"/>
                  </w14:solidFill>
                </w14:textFill>
              </w:rPr>
              <w:t>工作分包。（若非主体、非关键性工作已由联合体成员承担的，则不允许分包。）</w:t>
            </w:r>
          </w:p>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☐非联合体参加的，同意将“</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”分包。</w:t>
            </w:r>
          </w:p>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☐不同意分包。</w:t>
            </w:r>
          </w:p>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▲注：分包份额不得超过总包单位。投标人中标后以分包方式履行合同的，提供分包意向协议（附件7）；不以分包方式履行合同的，则无需提供。不得限制大中型企业向小微企业合理分包。</w:t>
            </w:r>
            <w:r>
              <w:rPr>
                <w:rFonts w:ascii="仿宋" w:hAnsi="仿宋" w:eastAsia="仿宋" w:cs="仿宋"/>
                <w:color w:val="000000" w:themeColor="text1"/>
                <w:sz w:val="24"/>
                <w:lang w:bidi="ar"/>
                <w14:textFill>
                  <w14:solidFill>
                    <w14:schemeClr w14:val="tx1"/>
                  </w14:solidFill>
                </w14:textFill>
              </w:rPr>
              <w:sym w:font="Wingdings" w:char="00A8"/>
            </w:r>
            <w:r>
              <w:rPr>
                <w:rFonts w:hint="eastAsia" w:ascii="仿宋" w:hAnsi="仿宋" w:eastAsia="仿宋" w:cs="仿宋"/>
                <w:color w:val="000000" w:themeColor="text1"/>
                <w:sz w:val="24"/>
                <w:lang w:bidi="ar"/>
                <w14:textFill>
                  <w14:solidFill>
                    <w14:schemeClr w14:val="tx1"/>
                  </w14:solidFill>
                </w14:textFill>
              </w:rPr>
              <w:t>本项目专门面向</w:t>
            </w:r>
            <w:r>
              <w:rPr>
                <w:rFonts w:hint="eastAsia" w:ascii="仿宋" w:hAnsi="仿宋" w:eastAsia="仿宋" w:cs="仿宋"/>
                <w:color w:val="000000" w:themeColor="text1"/>
                <w:sz w:val="24"/>
                <w:u w:val="single"/>
                <w:lang w:bidi="ar"/>
                <w14:textFill>
                  <w14:solidFill>
                    <w14:schemeClr w14:val="tx1"/>
                  </w14:solidFill>
                </w14:textFill>
              </w:rPr>
              <w:t xml:space="preserve">  /  </w:t>
            </w:r>
            <w:r>
              <w:rPr>
                <w:rFonts w:hint="eastAsia" w:ascii="仿宋" w:hAnsi="仿宋" w:eastAsia="仿宋" w:cs="仿宋"/>
                <w:color w:val="000000" w:themeColor="text1"/>
                <w:sz w:val="24"/>
                <w:lang w:bidi="ar"/>
                <w14:textFill>
                  <w14:solidFill>
                    <w14:schemeClr w14:val="tx1"/>
                  </w14:solidFill>
                </w14:textFill>
              </w:rPr>
              <w:t>企业采购，分包单位必须为</w:t>
            </w:r>
            <w:r>
              <w:rPr>
                <w:rFonts w:hint="eastAsia" w:ascii="仿宋" w:hAnsi="仿宋" w:eastAsia="仿宋" w:cs="仿宋"/>
                <w:color w:val="000000" w:themeColor="text1"/>
                <w:sz w:val="24"/>
                <w:u w:val="single"/>
                <w:lang w:bidi="ar"/>
                <w14:textFill>
                  <w14:solidFill>
                    <w14:schemeClr w14:val="tx1"/>
                  </w14:solidFill>
                </w14:textFill>
              </w:rPr>
              <w:t xml:space="preserve"> /  </w:t>
            </w:r>
            <w:r>
              <w:rPr>
                <w:rFonts w:hint="eastAsia" w:ascii="仿宋" w:hAnsi="仿宋" w:eastAsia="仿宋" w:cs="仿宋"/>
                <w:color w:val="000000" w:themeColor="text1"/>
                <w:sz w:val="24"/>
                <w:lang w:bidi="ar"/>
                <w14:textFill>
                  <w14:solidFill>
                    <w14:schemeClr w14:val="tx1"/>
                  </w14:solidFill>
                </w14:textFill>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10510452"/>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pPr>
              <w:wordWrap w:val="0"/>
              <w:spacing w:line="312"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pPr>
              <w:wordWrap w:val="0"/>
              <w:spacing w:line="312"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B要求提供，</w:t>
            </w:r>
          </w:p>
          <w:p>
            <w:pPr>
              <w:wordWrap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wordWrap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wordWrap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pPr>
              <w:wordWrap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（4）是否需要随样品提交检测报告：</w:t>
            </w:r>
            <w:sdt>
              <w:sdtPr>
                <w:rPr>
                  <w:rFonts w:hint="eastAsia" w:ascii="仿宋" w:hAnsi="仿宋" w:eastAsia="仿宋" w:cs="仿宋"/>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否；</w:t>
            </w:r>
            <w:sdt>
              <w:sdtPr>
                <w:rPr>
                  <w:rFonts w:hint="eastAsia" w:ascii="仿宋" w:hAnsi="仿宋" w:eastAsia="仿宋" w:cs="仿宋"/>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25219893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wordWrap w:val="0"/>
              <w:spacing w:line="312"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讲解演示。每个投标人时间不超过</w:t>
            </w:r>
            <w:r>
              <w:rPr>
                <w:rFonts w:hint="eastAsia" w:ascii="仿宋" w:hAnsi="仿宋" w:eastAsia="仿宋" w:cs="仿宋"/>
                <w:color w:val="000000" w:themeColor="text1"/>
                <w:kern w:val="0"/>
                <w:sz w:val="24"/>
                <w:u w:val="single"/>
                <w14:textFill>
                  <w14:solidFill>
                    <w14:schemeClr w14:val="tx1"/>
                  </w14:solidFill>
                </w14:textFill>
              </w:rPr>
              <w:t xml:space="preserve">  10 </w:t>
            </w:r>
            <w:r>
              <w:rPr>
                <w:rFonts w:hint="eastAsia" w:ascii="仿宋" w:hAnsi="仿宋" w:eastAsia="仿宋" w:cs="仿宋"/>
                <w:color w:val="000000" w:themeColor="text1"/>
                <w:kern w:val="0"/>
                <w:sz w:val="24"/>
                <w14:textFill>
                  <w14:solidFill>
                    <w14:schemeClr w14:val="tx1"/>
                  </w14:solidFill>
                </w14:textFill>
              </w:rPr>
              <w:t>分钟，讲解次序以投标文件解密时间先后次序为准，讲解演示人员（</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项目组人员</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）不超过</w:t>
            </w:r>
            <w:r>
              <w:rPr>
                <w:rFonts w:hint="eastAsia" w:ascii="仿宋" w:hAnsi="仿宋" w:eastAsia="仿宋" w:cs="仿宋"/>
                <w:color w:val="000000" w:themeColor="text1"/>
                <w:kern w:val="0"/>
                <w:sz w:val="24"/>
                <w:u w:val="single"/>
                <w14:textFill>
                  <w14:solidFill>
                    <w14:schemeClr w14:val="tx1"/>
                  </w14:solidFill>
                </w14:textFill>
              </w:rPr>
              <w:t xml:space="preserve"> 2</w:t>
            </w:r>
            <w:r>
              <w:rPr>
                <w:rFonts w:hint="eastAsia" w:ascii="仿宋" w:hAnsi="仿宋" w:eastAsia="仿宋" w:cs="仿宋"/>
                <w:color w:val="000000" w:themeColor="text1"/>
                <w:kern w:val="0"/>
                <w:sz w:val="24"/>
                <w14:textFill>
                  <w14:solidFill>
                    <w14:schemeClr w14:val="tx1"/>
                  </w14:solidFill>
                </w14:textFill>
              </w:rPr>
              <w:t>人。讲解演示结束后按要求解答评标委员会提问。</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（2）方案讲解演示按以下方式</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kern w:val="0"/>
                <w:sz w:val="24"/>
                <w14:textFill>
                  <w14:solidFill>
                    <w14:schemeClr w14:val="tx1"/>
                  </w14:solidFill>
                </w14:textFill>
              </w:rPr>
              <w:t>：</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方式二：代理机构评标场所现场讲解演示。现场讲解地点为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方式三：采用视频录制方式，用U盘介质储存快递或邮寄至代理机构（公告中列明的地址），视频中演示人应出示身份证。未派遣投标文件中的</w:t>
            </w:r>
            <w:r>
              <w:rPr>
                <w:rFonts w:hint="eastAsia" w:ascii="仿宋" w:hAnsi="仿宋" w:eastAsia="仿宋" w:cs="仿宋"/>
                <w:color w:val="000000" w:themeColor="text1"/>
                <w:kern w:val="0"/>
                <w:sz w:val="24"/>
                <w:u w:val="single"/>
                <w14:textFill>
                  <w14:solidFill>
                    <w14:schemeClr w14:val="tx1"/>
                  </w14:solidFill>
                </w14:textFill>
              </w:rPr>
              <w:t>项目组人员</w:t>
            </w:r>
            <w:r>
              <w:rPr>
                <w:rFonts w:hint="eastAsia" w:ascii="仿宋" w:hAnsi="仿宋" w:eastAsia="仿宋" w:cs="仿宋"/>
                <w:color w:val="000000" w:themeColor="text1"/>
                <w:kern w:val="0"/>
                <w:sz w:val="24"/>
                <w14:textFill>
                  <w14:solidFill>
                    <w14:schemeClr w14:val="tx1"/>
                  </w14:solidFill>
                </w14:textFill>
              </w:rPr>
              <w:t>进行演示讲解或未提供身份证明的，评分项不得分。若因U盘损坏或打不开则按视为未提交。</w:t>
            </w:r>
          </w:p>
          <w:p>
            <w:pPr>
              <w:wordWrap w:val="0"/>
              <w:snapToGrid w:val="0"/>
              <w:spacing w:line="312"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方式四：采用现场钉钉直播演示的。开标后，演示人请加钉钉号</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kern w:val="0"/>
                <w:sz w:val="24"/>
                <w14:textFill>
                  <w14:solidFill>
                    <w14:schemeClr w14:val="tx1"/>
                  </w14:solidFill>
                </w14:textFill>
              </w:rPr>
              <w:t>，请求发送后，代理工作人员将通过好友验证。直播演示前，首先演示人进行身份信息直播核对。未派遣投标文件中的项目组人员进行直播演示讲解或未提供身份证明的，评分项不得分。</w:t>
            </w:r>
          </w:p>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r>
              <w:rPr>
                <w:rFonts w:hint="eastAsia" w:ascii="仿宋" w:hAnsi="仿宋" w:eastAsia="仿宋" w:cs="仿宋"/>
                <w:b/>
                <w:color w:val="000000" w:themeColor="text1"/>
                <w:sz w:val="24"/>
                <w:lang w:bidi="ar"/>
                <w14:textFill>
                  <w14:solidFill>
                    <w14:schemeClr w14:val="tx1"/>
                  </w14:solidFill>
                </w14:textFill>
              </w:rPr>
              <w:t>（服务项目不适用）</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12"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应考虑完成本项目全部内容可能发生的各项费用，即人工费、材料设备（仪器）费、交通费、通讯费、配件更换费、成果资料打印装订费、企业管理费、利润、税金等均计入报价。</w:t>
            </w:r>
          </w:p>
          <w:p>
            <w:pPr>
              <w:wordWrap w:val="0"/>
              <w:snapToGrid w:val="0"/>
              <w:spacing w:line="312"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其中，人员</w:t>
            </w:r>
            <w:r>
              <w:rPr>
                <w:rFonts w:hint="eastAsia" w:ascii="仿宋" w:hAnsi="仿宋" w:eastAsia="仿宋" w:cs="仿宋"/>
                <w:color w:val="000000" w:themeColor="text1"/>
                <w:kern w:val="0"/>
                <w:sz w:val="24"/>
                <w14:textFill>
                  <w14:solidFill>
                    <w14:schemeClr w14:val="tx1"/>
                  </w14:solidFill>
                </w14:textFill>
              </w:rPr>
              <w:t>每月</w:t>
            </w:r>
            <w:r>
              <w:rPr>
                <w:rFonts w:hint="eastAsia" w:ascii="仿宋" w:hAnsi="仿宋" w:eastAsia="仿宋" w:cs="仿宋"/>
                <w:color w:val="000000" w:themeColor="text1"/>
                <w:kern w:val="0"/>
                <w:sz w:val="24"/>
                <w:lang w:val="zh-CN"/>
                <w14:textFill>
                  <w14:solidFill>
                    <w14:schemeClr w14:val="tx1"/>
                  </w14:solidFill>
                </w14:textFill>
              </w:rPr>
              <w:t>工资不得低于杭州市最低工资标准，</w:t>
            </w:r>
            <w:r>
              <w:rPr>
                <w:rFonts w:hint="eastAsia" w:ascii="仿宋" w:hAnsi="仿宋" w:eastAsia="仿宋" w:cs="仿宋"/>
                <w:color w:val="000000" w:themeColor="text1"/>
                <w:kern w:val="0"/>
                <w:sz w:val="24"/>
                <w14:textFill>
                  <w14:solidFill>
                    <w14:schemeClr w14:val="tx1"/>
                  </w14:solidFill>
                </w14:textFill>
              </w:rPr>
              <w:t>每月按时缴纳社会保险</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员工</w:t>
            </w:r>
            <w:r>
              <w:rPr>
                <w:rFonts w:hint="eastAsia" w:ascii="仿宋" w:hAnsi="仿宋" w:eastAsia="仿宋" w:cs="仿宋"/>
                <w:color w:val="000000" w:themeColor="text1"/>
                <w:kern w:val="0"/>
                <w:sz w:val="24"/>
                <w:lang w:val="zh-CN"/>
                <w14:textFill>
                  <w14:solidFill>
                    <w14:schemeClr w14:val="tx1"/>
                  </w14:solidFill>
                </w14:textFill>
              </w:rPr>
              <w:t>加班费支付符合《劳动法》规定。</w:t>
            </w:r>
            <w:r>
              <w:rPr>
                <w:rFonts w:hint="eastAsia" w:ascii="仿宋" w:hAnsi="仿宋" w:eastAsia="仿宋" w:cs="仿宋"/>
                <w:b/>
                <w:bCs/>
                <w:color w:val="000000" w:themeColor="text1"/>
                <w:kern w:val="0"/>
                <w:sz w:val="24"/>
                <w:lang w:val="zh-CN"/>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pPr>
              <w:widowControl/>
              <w:wordWrap w:val="0"/>
              <w:snapToGrid w:val="0"/>
              <w:spacing w:line="312"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提醒：</w:t>
            </w:r>
            <w:r>
              <w:rPr>
                <w:rFonts w:hint="eastAsia" w:ascii="仿宋" w:hAnsi="仿宋" w:eastAsia="仿宋" w:cs="仿宋"/>
                <w:b/>
                <w:color w:val="000000" w:themeColor="text1"/>
                <w:kern w:val="0"/>
                <w:sz w:val="24"/>
                <w:lang w:val="zh-CN"/>
                <w14:textFill>
                  <w14:solidFill>
                    <w14:schemeClr w14:val="tx1"/>
                  </w14:solidFill>
                </w14:textFill>
              </w:rPr>
              <w:sym w:font="Wingdings" w:char="00A8"/>
            </w:r>
            <w:r>
              <w:rPr>
                <w:rFonts w:hint="eastAsia" w:ascii="仿宋" w:hAnsi="仿宋" w:eastAsia="仿宋" w:cs="仿宋"/>
                <w:b/>
                <w:color w:val="000000" w:themeColor="text1"/>
                <w:kern w:val="0"/>
                <w:sz w:val="24"/>
                <w:lang w:val="zh-CN"/>
                <w14:textFill>
                  <w14:solidFill>
                    <w14:schemeClr w14:val="tx1"/>
                  </w14:solidFill>
                </w14:textFill>
              </w:rPr>
              <w:t>本项目履约验收时委托第三方</w:t>
            </w:r>
            <w:r>
              <w:rPr>
                <w:rFonts w:hint="eastAsia" w:ascii="仿宋" w:hAnsi="仿宋" w:eastAsia="仿宋" w:cs="仿宋"/>
                <w:b/>
                <w:color w:val="000000" w:themeColor="text1"/>
                <w:kern w:val="0"/>
                <w:sz w:val="24"/>
                <w14:textFill>
                  <w14:solidFill>
                    <w14:schemeClr w14:val="tx1"/>
                  </w14:solidFill>
                </w14:textFill>
              </w:rPr>
              <w:t>检测/测量</w:t>
            </w:r>
            <w:r>
              <w:rPr>
                <w:rFonts w:hint="eastAsia" w:ascii="仿宋" w:hAnsi="仿宋" w:eastAsia="仿宋" w:cs="仿宋"/>
                <w:b/>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首次</w:t>
            </w:r>
            <w:r>
              <w:rPr>
                <w:rFonts w:hint="eastAsia" w:ascii="仿宋" w:hAnsi="仿宋" w:eastAsia="仿宋" w:cs="仿宋"/>
                <w:b/>
                <w:color w:val="000000" w:themeColor="text1"/>
                <w:kern w:val="0"/>
                <w:sz w:val="24"/>
                <w:lang w:val="zh-CN"/>
                <w14:textFill>
                  <w14:solidFill>
                    <w14:schemeClr w14:val="tx1"/>
                  </w14:solidFill>
                </w14:textFill>
              </w:rPr>
              <w:t>验收时</w:t>
            </w:r>
            <w:r>
              <w:rPr>
                <w:rFonts w:hint="eastAsia" w:ascii="仿宋" w:hAnsi="仿宋" w:eastAsia="仿宋" w:cs="仿宋"/>
                <w:b/>
                <w:color w:val="000000" w:themeColor="text1"/>
                <w:kern w:val="0"/>
                <w:sz w:val="24"/>
                <w14:textFill>
                  <w14:solidFill>
                    <w14:schemeClr w14:val="tx1"/>
                  </w14:solidFill>
                </w14:textFill>
              </w:rPr>
              <w:t>检测/测量</w:t>
            </w:r>
            <w:r>
              <w:rPr>
                <w:rFonts w:hint="eastAsia" w:ascii="仿宋" w:hAnsi="仿宋" w:eastAsia="仿宋" w:cs="仿宋"/>
                <w:b/>
                <w:color w:val="000000" w:themeColor="text1"/>
                <w:kern w:val="0"/>
                <w:sz w:val="24"/>
                <w:lang w:val="zh-CN"/>
                <w14:textFill>
                  <w14:solidFill>
                    <w14:schemeClr w14:val="tx1"/>
                  </w14:solidFill>
                </w14:textFill>
              </w:rPr>
              <w:t>费用由采购人承担，不包含在投标总价中。首次验收不合格，重新验收过程中产生的检测</w:t>
            </w:r>
            <w:r>
              <w:rPr>
                <w:rFonts w:hint="eastAsia" w:ascii="仿宋" w:hAnsi="仿宋" w:eastAsia="仿宋" w:cs="仿宋"/>
                <w:b/>
                <w:color w:val="000000" w:themeColor="text1"/>
                <w:kern w:val="0"/>
                <w:sz w:val="24"/>
                <w14:textFill>
                  <w14:solidFill>
                    <w14:schemeClr w14:val="tx1"/>
                  </w14:solidFill>
                </w14:textFill>
              </w:rPr>
              <w:t>/测量</w:t>
            </w:r>
            <w:r>
              <w:rPr>
                <w:rFonts w:hint="eastAsia" w:ascii="仿宋" w:hAnsi="仿宋" w:eastAsia="仿宋" w:cs="仿宋"/>
                <w:b/>
                <w:color w:val="000000" w:themeColor="text1"/>
                <w:kern w:val="0"/>
                <w:sz w:val="24"/>
                <w:lang w:val="zh-CN"/>
                <w14:textFill>
                  <w14:solidFill>
                    <w14:schemeClr w14:val="tx1"/>
                  </w14:solidFill>
                </w14:textFill>
              </w:rPr>
              <w:t>费用，由</w:t>
            </w:r>
            <w:r>
              <w:rPr>
                <w:rFonts w:hint="eastAsia" w:ascii="仿宋" w:hAnsi="仿宋" w:eastAsia="仿宋" w:cs="仿宋"/>
                <w:b/>
                <w:color w:val="000000" w:themeColor="text1"/>
                <w:kern w:val="0"/>
                <w:sz w:val="24"/>
                <w14:textFill>
                  <w14:solidFill>
                    <w14:schemeClr w14:val="tx1"/>
                  </w14:solidFill>
                </w14:textFill>
              </w:rPr>
              <w:t>供应商</w:t>
            </w:r>
            <w:r>
              <w:rPr>
                <w:rFonts w:hint="eastAsia" w:ascii="仿宋" w:hAnsi="仿宋" w:eastAsia="仿宋" w:cs="仿宋"/>
                <w:b/>
                <w:color w:val="000000" w:themeColor="text1"/>
                <w:kern w:val="0"/>
                <w:sz w:val="24"/>
                <w:lang w:val="zh-CN"/>
                <w14:textFill>
                  <w14:solidFill>
                    <w14:schemeClr w14:val="tx1"/>
                  </w14:solidFill>
                </w14:textFill>
              </w:rPr>
              <w:t>承担。</w:t>
            </w:r>
            <w:r>
              <w:rPr>
                <w:rFonts w:hint="eastAsia" w:ascii="仿宋" w:hAnsi="仿宋" w:eastAsia="仿宋" w:cs="仿宋"/>
                <w:b/>
                <w:color w:val="000000" w:themeColor="text1"/>
                <w:kern w:val="0"/>
                <w:sz w:val="24"/>
                <w:lang w:val="zh-CN"/>
                <w14:textFill>
                  <w14:solidFill>
                    <w14:schemeClr w14:val="tx1"/>
                  </w14:solidFill>
                </w14:textFill>
              </w:rPr>
              <w:sym w:font="Wingdings" w:char="00FE"/>
            </w:r>
            <w:r>
              <w:rPr>
                <w:rFonts w:hint="eastAsia" w:ascii="仿宋" w:hAnsi="仿宋" w:eastAsia="仿宋" w:cs="仿宋"/>
                <w:b/>
                <w:color w:val="000000" w:themeColor="text1"/>
                <w:kern w:val="0"/>
                <w:sz w:val="24"/>
                <w:lang w:val="zh-CN"/>
                <w14:textFill>
                  <w14:solidFill>
                    <w14:schemeClr w14:val="tx1"/>
                  </w14:solidFill>
                </w14:textFill>
              </w:rPr>
              <w:t>本项目履约验收时不委托第三方检测</w:t>
            </w:r>
            <w:r>
              <w:rPr>
                <w:rFonts w:hint="eastAsia" w:ascii="仿宋" w:hAnsi="仿宋" w:eastAsia="仿宋" w:cs="仿宋"/>
                <w:b/>
                <w:color w:val="000000" w:themeColor="text1"/>
                <w:kern w:val="0"/>
                <w:sz w:val="24"/>
                <w14:textFill>
                  <w14:solidFill>
                    <w14:schemeClr w14:val="tx1"/>
                  </w14:solidFill>
                </w14:textFill>
              </w:rPr>
              <w:t>/测量</w:t>
            </w:r>
            <w:r>
              <w:rPr>
                <w:rFonts w:hint="eastAsia" w:ascii="仿宋" w:hAnsi="仿宋" w:eastAsia="仿宋" w:cs="仿宋"/>
                <w:b/>
                <w:color w:val="000000" w:themeColor="text1"/>
                <w:kern w:val="0"/>
                <w:sz w:val="24"/>
                <w:lang w:val="zh-CN"/>
                <w14:textFill>
                  <w14:solidFill>
                    <w14:schemeClr w14:val="tx1"/>
                  </w14:solidFill>
                </w14:textFill>
              </w:rPr>
              <w:t>。</w:t>
            </w:r>
          </w:p>
          <w:p>
            <w:pPr>
              <w:wordWrap w:val="0"/>
              <w:snapToGrid w:val="0"/>
              <w:spacing w:line="312"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wordWrap w:val="0"/>
              <w:snapToGrid w:val="0"/>
              <w:spacing w:line="312" w:lineRule="auto"/>
              <w:ind w:firstLine="482" w:firstLineChars="200"/>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w:t>
            </w: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wordWrap w:val="0"/>
              <w:snapToGrid w:val="0"/>
              <w:spacing w:line="312" w:lineRule="auto"/>
              <w:ind w:firstLine="482"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pPr>
              <w:wordWrap w:val="0"/>
              <w:spacing w:line="312"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14:textFill>
                  <w14:solidFill>
                    <w14:schemeClr w14:val="tx1"/>
                  </w14:solidFill>
                </w14:textFill>
              </w:rPr>
              <w:t>;</w:t>
            </w:r>
          </w:p>
          <w:p>
            <w:pPr>
              <w:wordWrap w:val="0"/>
              <w:spacing w:line="312"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w:t>
            </w:r>
          </w:p>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12" w:lineRule="auto"/>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备份投标文件送达地点和签收</w:t>
            </w:r>
          </w:p>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wordWrap w:val="0"/>
              <w:spacing w:line="312" w:lineRule="auto"/>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auto"/>
                <w:kern w:val="28"/>
                <w:sz w:val="24"/>
                <w:szCs w:val="24"/>
              </w:rPr>
              <w:t>投标人如提交备份投标文件的，请送至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杭州市环站东路99号云峰大厦702</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8"/>
                <w:sz w:val="24"/>
                <w:szCs w:val="24"/>
              </w:rPr>
              <w:t>；备份投标文件签收人员：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费工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0571-88198126</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4" w:hRule="atLeast"/>
        </w:trPr>
        <w:tc>
          <w:tcPr>
            <w:tcW w:w="629" w:type="dxa"/>
            <w:tcBorders>
              <w:top w:val="single" w:color="auto" w:sz="4" w:space="0"/>
              <w:left w:val="single" w:color="000000" w:sz="8" w:space="0"/>
              <w:right w:val="single" w:color="000000" w:sz="2" w:space="0"/>
            </w:tcBorders>
            <w:vAlign w:val="center"/>
          </w:tcPr>
          <w:p>
            <w:pPr>
              <w:wordWrap w:val="0"/>
              <w:snapToGrid w:val="0"/>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843" w:type="dxa"/>
            <w:tcBorders>
              <w:top w:val="single" w:color="000000" w:sz="8" w:space="0"/>
              <w:left w:val="single" w:color="000000" w:sz="2" w:space="0"/>
              <w:right w:val="single" w:color="000000" w:sz="8" w:space="0"/>
            </w:tcBorders>
            <w:vAlign w:val="center"/>
          </w:tcPr>
          <w:p>
            <w:pPr>
              <w:wordWrap w:val="0"/>
              <w:snapToGrid w:val="0"/>
              <w:spacing w:line="312"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12" w:lineRule="auto"/>
              <w:rPr>
                <w:rFonts w:ascii="仿宋" w:hAnsi="仿宋" w:eastAsia="仿宋" w:cs="仿宋"/>
                <w:color w:val="auto"/>
                <w:sz w:val="24"/>
              </w:rPr>
            </w:pPr>
            <w:r>
              <w:rPr>
                <w:rFonts w:hint="eastAsia" w:ascii="仿宋" w:hAnsi="仿宋" w:eastAsia="仿宋" w:cs="仿宋"/>
                <w:color w:val="auto"/>
                <w:sz w:val="24"/>
              </w:rPr>
              <w:t>1.采购代理服务费：经与采购人签订合同，约定本项目采购代理服务费由中标人支付给采购代理机构。采购代理服务费按《国家计委关于印发&lt;招标代理服务收费管理暂行办法&gt;的通知》（计价格[2002]1980号）中规定的收费标准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92.5%</w:t>
            </w:r>
            <w:r>
              <w:rPr>
                <w:rFonts w:hint="eastAsia" w:ascii="仿宋" w:hAnsi="仿宋" w:eastAsia="仿宋" w:cs="仿宋"/>
                <w:color w:val="auto"/>
                <w:sz w:val="24"/>
                <w:u w:val="single"/>
              </w:rPr>
              <w:t xml:space="preserve">  </w:t>
            </w:r>
            <w:r>
              <w:rPr>
                <w:rFonts w:hint="eastAsia" w:ascii="仿宋" w:hAnsi="仿宋" w:eastAsia="仿宋" w:cs="仿宋"/>
                <w:color w:val="auto"/>
                <w:sz w:val="24"/>
              </w:rPr>
              <w:t>计取，收费基数为中标价。投标人在报价时应计入此费用。采购代理服务费交纳形式：汇票/支票/电汇</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采购代理服务费由中标人在收到中标通知书时以人民币方式向采购代理机构支付。汇入以下账户：</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户 名：</w:t>
            </w:r>
            <w:r>
              <w:rPr>
                <w:rFonts w:hint="eastAsia" w:ascii="仿宋" w:hAnsi="仿宋" w:eastAsia="仿宋" w:cs="仿宋"/>
                <w:color w:val="auto"/>
                <w:sz w:val="24"/>
                <w:lang w:eastAsia="zh-CN"/>
              </w:rPr>
              <w:t>浙江科佳工程咨询有限公司</w:t>
            </w:r>
            <w:r>
              <w:rPr>
                <w:rFonts w:hint="eastAsia" w:ascii="仿宋" w:hAnsi="仿宋" w:eastAsia="仿宋" w:cs="仿宋"/>
                <w:color w:val="auto"/>
                <w:sz w:val="24"/>
              </w:rPr>
              <w:t xml:space="preserve"> </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开户行</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中信银行杭州天水支行 </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账  号：7331110182600053000</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注：主动放弃中标资格或未签订合同的供应商仍应承担代理费。</w:t>
            </w:r>
          </w:p>
          <w:p>
            <w:pPr>
              <w:pStyle w:val="35"/>
              <w:wordWrap w:val="0"/>
              <w:spacing w:line="312" w:lineRule="auto"/>
              <w:jc w:val="left"/>
              <w:rPr>
                <w:rFonts w:ascii="仿宋" w:hAnsi="仿宋" w:eastAsia="仿宋" w:cs="仿宋"/>
                <w:color w:val="auto"/>
                <w:sz w:val="24"/>
                <w:szCs w:val="24"/>
              </w:rPr>
            </w:pPr>
            <w:r>
              <w:rPr>
                <w:rFonts w:hint="eastAsia" w:ascii="仿宋" w:hAnsi="仿宋" w:eastAsia="仿宋" w:cs="仿宋"/>
                <w:color w:val="auto"/>
                <w:sz w:val="24"/>
                <w:szCs w:val="24"/>
              </w:rPr>
              <w:t>2.投标文件存在下列情况之一的，视为撤回：</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（1）电子投标文件（含备份文件）无法解密的；</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（2）投标文件未按时解密或备份文件无法成功导入的；</w:t>
            </w:r>
          </w:p>
          <w:p>
            <w:pPr>
              <w:pStyle w:val="35"/>
              <w:spacing w:line="312" w:lineRule="auto"/>
              <w:rPr>
                <w:rFonts w:ascii="仿宋" w:hAnsi="仿宋" w:eastAsia="仿宋" w:cs="仿宋"/>
                <w:color w:val="auto"/>
                <w:sz w:val="24"/>
              </w:rPr>
            </w:pPr>
            <w:r>
              <w:rPr>
                <w:rFonts w:hint="eastAsia" w:ascii="仿宋" w:hAnsi="仿宋" w:eastAsia="仿宋" w:cs="仿宋"/>
                <w:color w:val="auto"/>
                <w:sz w:val="24"/>
              </w:rPr>
              <w:t>（3）投标截止时间前，投标人仅递交了“备份投标文件”而未将“电子加密投标文件”成功上传至“政府采购云平台”的。</w:t>
            </w:r>
          </w:p>
          <w:p>
            <w:pPr>
              <w:pStyle w:val="35"/>
              <w:wordWrap w:val="0"/>
              <w:spacing w:line="312" w:lineRule="auto"/>
              <w:rPr>
                <w:rFonts w:ascii="仿宋" w:hAnsi="仿宋" w:eastAsia="仿宋" w:cs="仿宋"/>
                <w:color w:val="auto"/>
                <w:sz w:val="24"/>
                <w:szCs w:val="24"/>
              </w:rPr>
            </w:pPr>
            <w:r>
              <w:rPr>
                <w:rFonts w:hint="eastAsia" w:ascii="仿宋" w:hAnsi="仿宋" w:eastAsia="仿宋" w:cs="仿宋"/>
                <w:color w:val="auto"/>
                <w:sz w:val="24"/>
                <w:szCs w:val="24"/>
              </w:rPr>
              <w:t>3.政采云平台如对电子化开标及评审程序有调整的，按调整后的程序操作。</w:t>
            </w:r>
          </w:p>
          <w:p>
            <w:pPr>
              <w:pStyle w:val="35"/>
              <w:wordWrap w:val="0"/>
              <w:spacing w:line="312"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4.</w:t>
            </w:r>
            <w:r>
              <w:rPr>
                <w:rFonts w:hint="eastAsia" w:ascii="仿宋" w:hAnsi="仿宋" w:eastAsia="仿宋" w:cs="仿宋"/>
                <w:color w:val="auto"/>
                <w:sz w:val="24"/>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rPr>
              <w:t>。</w:t>
            </w:r>
          </w:p>
        </w:tc>
      </w:tr>
      <w:bookmarkEnd w:id="16"/>
    </w:tbl>
    <w:p>
      <w:pPr>
        <w:wordWrap w:val="0"/>
        <w:rPr>
          <w:rFonts w:ascii="仿宋" w:hAnsi="仿宋" w:eastAsia="仿宋" w:cs="仿宋"/>
          <w:b/>
          <w:color w:val="000000" w:themeColor="text1"/>
          <w:sz w:val="32"/>
          <w:szCs w:val="20"/>
          <w14:textFill>
            <w14:solidFill>
              <w14:schemeClr w14:val="tx1"/>
            </w14:solidFill>
          </w14:textFill>
        </w:rPr>
      </w:pPr>
      <w:bookmarkStart w:id="25" w:name="第三部分"/>
      <w:bookmarkStart w:id="26" w:name="_Toc164416483"/>
      <w:r>
        <w:rPr>
          <w:rFonts w:hint="eastAsia" w:ascii="仿宋" w:hAnsi="仿宋" w:eastAsia="仿宋" w:cs="仿宋"/>
          <w:b/>
          <w:color w:val="000000" w:themeColor="text1"/>
          <w:sz w:val="32"/>
          <w:szCs w:val="20"/>
          <w14:textFill>
            <w14:solidFill>
              <w14:schemeClr w14:val="tx1"/>
            </w14:solidFill>
          </w14:textFill>
        </w:rPr>
        <w:br w:type="page"/>
      </w:r>
    </w:p>
    <w:p>
      <w:pPr>
        <w:wordWrap w:val="0"/>
        <w:adjustRightInd/>
        <w:spacing w:line="360" w:lineRule="auto"/>
        <w:ind w:firstLine="3845" w:firstLineChars="1197"/>
        <w:outlineLvl w:val="1"/>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pPr>
        <w:wordWrap w:val="0"/>
        <w:snapToGrid w:val="0"/>
        <w:spacing w:line="360" w:lineRule="auto"/>
        <w:jc w:val="left"/>
        <w:outlineLvl w:val="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pPr>
        <w:wordWrap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numPr>
          <w:ilvl w:val="0"/>
          <w:numId w:val="1"/>
        </w:numPr>
        <w:wordWrap w:val="0"/>
        <w:adjustRightInd/>
        <w:spacing w:line="360" w:lineRule="auto"/>
        <w:outlineLvl w:val="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定义</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“采购代理机构”系指招标公告中载明的本项目的采购代理机构。</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“投标人”系指是指响应招标、参加投标竞争的法人、其他组织或者自然人。</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r>
        <w:rPr>
          <w:rFonts w:hint="eastAsia" w:ascii="Wingdings" w:hAnsi="Wingdings" w:eastAsia="仿宋" w:cs="仿宋"/>
          <w:color w:val="000000" w:themeColor="text1"/>
          <w:kern w:val="0"/>
          <w:sz w:val="24"/>
          <w14:textFill>
            <w14:solidFill>
              <w14:schemeClr w14:val="tx1"/>
            </w14:solidFill>
          </w14:textFill>
        </w:rPr>
        <w:t>þ</w:t>
      </w:r>
      <w:r>
        <w:rPr>
          <w:rFonts w:hint="eastAsia" w:ascii="仿宋" w:hAnsi="仿宋" w:eastAsia="仿宋" w:cs="仿宋"/>
          <w:color w:val="000000" w:themeColor="text1"/>
          <w:sz w:val="24"/>
          <w14:textFill>
            <w14:solidFill>
              <w14:schemeClr w14:val="tx1"/>
            </w14:solidFill>
          </w14:textFill>
        </w:rPr>
        <w:t>” 系指适用本项目的要求，“</w:t>
      </w:r>
      <w:sdt>
        <w:sdtPr>
          <w:rPr>
            <w:rFonts w:hint="eastAsia" w:ascii="仿宋" w:hAnsi="仿宋" w:eastAsia="仿宋" w:cs="仿宋"/>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系指不适用本项目的要求。</w:t>
      </w:r>
    </w:p>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采购项目需要落实的政府采购政策</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pPr>
        <w:wordWrap w:val="0"/>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000000" w:themeColor="text1"/>
          <w:sz w:val="24"/>
          <w14:textFill>
            <w14:solidFill>
              <w14:schemeClr w14:val="tx1"/>
            </w14:solidFill>
          </w14:textFill>
        </w:rPr>
        <w:t>（本项目不适用）</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3.2.2 </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本项目为修缮、装修类项目，采购的建材绿色建筑和绿色建材性能、指标等实质性条件详见采购需求和合同。</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pPr>
        <w:widowControl/>
        <w:wordWrap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wordWrap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支持创新发展（本项目不适用）</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3.5平等对待内外资企业和符合条件的破产重整企业</w:t>
      </w:r>
    </w:p>
    <w:p>
      <w:pPr>
        <w:wordWrap w:val="0"/>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b/>
          <w:color w:val="000000" w:themeColor="text1"/>
          <w:sz w:val="24"/>
          <w14:textFill>
            <w14:solidFill>
              <w14:schemeClr w14:val="tx1"/>
            </w14:solidFill>
          </w14:textFill>
        </w:rPr>
        <w:t>4. 询问、质疑、投诉</w:t>
      </w:r>
    </w:p>
    <w:p>
      <w:pPr>
        <w:wordWrap w:val="0"/>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供应商询问</w:t>
      </w:r>
    </w:p>
    <w:p>
      <w:pPr>
        <w:wordWrap w:val="0"/>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供应商质疑</w:t>
      </w:r>
    </w:p>
    <w:p>
      <w:pPr>
        <w:pStyle w:val="35"/>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wordWrap w:val="0"/>
        <w:spacing w:line="360" w:lineRule="auto"/>
        <w:ind w:firstLine="480" w:firstLineChars="200"/>
        <w:rPr>
          <w:rFonts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pPr>
        <w:pStyle w:val="35"/>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4.3.2.2对采购过程提出质疑的，质疑期限为各采购程序环节结束之日起计算。</w:t>
      </w:r>
    </w:p>
    <w:p>
      <w:pPr>
        <w:pStyle w:val="35"/>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4.3.2.3对采购结果提出质疑的，质疑期限自采购结果公告期限届满之日起计算。</w:t>
      </w:r>
    </w:p>
    <w:p>
      <w:pPr>
        <w:pStyle w:val="35"/>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pPr>
        <w:pStyle w:val="35"/>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.3.1供应商的姓名或者名称、地址、邮编、联系人及联系电话；</w:t>
      </w:r>
    </w:p>
    <w:p>
      <w:pPr>
        <w:pStyle w:val="35"/>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.3.2质疑项目的名称、编号；</w:t>
      </w:r>
    </w:p>
    <w:p>
      <w:pPr>
        <w:pStyle w:val="35"/>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.3.3具体、明确的质疑事项和与质疑事项相关的请求；</w:t>
      </w:r>
    </w:p>
    <w:p>
      <w:pPr>
        <w:pStyle w:val="35"/>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.3.4事实依据；</w:t>
      </w:r>
    </w:p>
    <w:p>
      <w:pPr>
        <w:pStyle w:val="35"/>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.3.5必要的法律依据；</w:t>
      </w:r>
    </w:p>
    <w:p>
      <w:pPr>
        <w:pStyle w:val="35"/>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.3.6提出质疑的日期。</w:t>
      </w:r>
    </w:p>
    <w:p>
      <w:pPr>
        <w:pStyle w:val="888"/>
        <w:shd w:val="clear" w:color="auto" w:fill="FFFFFF"/>
        <w:wordWrap w:val="0"/>
        <w:snapToGrid w:val="0"/>
        <w:spacing w:before="0" w:beforeAutospacing="0" w:after="0" w:afterAutospacing="0" w:line="360" w:lineRule="auto"/>
        <w:ind w:firstLine="403"/>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3.4对同一采购程序环节的质疑，供应商须在法定质疑期内一次性提出。</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3.6询问或者质疑事项可能影响采购结果的，采购人应当暂停签订合同，已经签订合同的，应当中止履行合同。</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CN"/>
          <w14:textFill>
            <w14:solidFill>
              <w14:schemeClr w14:val="tx1"/>
            </w14:solidFill>
          </w14:textFill>
        </w:rPr>
        <w:t>供应商投诉</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供应商投诉的事项不得超出已质疑事项的范围，基于质疑答复内容提出的投诉事项除外。</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4.4.3供应商投诉应当有明确的请求和必要的证明材料。</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4.4.4 以联合体形式参加政府采购活动的，其投诉应当由组成联合体的所有供应商共同提出。</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pPr>
        <w:pStyle w:val="130"/>
        <w:wordWrap w:val="0"/>
        <w:snapToGrid w:val="0"/>
        <w:spacing w:before="0"/>
        <w:ind w:firstLine="360"/>
        <w:rPr>
          <w:rFonts w:ascii="仿宋" w:hAnsi="仿宋" w:eastAsia="仿宋" w:cs="仿宋"/>
          <w:color w:val="000000" w:themeColor="text1"/>
          <w:sz w:val="18"/>
          <w:szCs w:val="18"/>
          <w14:textFill>
            <w14:solidFill>
              <w14:schemeClr w14:val="tx1"/>
            </w14:solidFill>
          </w14:textFill>
        </w:rPr>
      </w:pPr>
    </w:p>
    <w:p>
      <w:pPr>
        <w:wordWrap w:val="0"/>
        <w:adjustRightInd/>
        <w:spacing w:line="360" w:lineRule="auto"/>
        <w:jc w:val="center"/>
        <w:outlineLvl w:val="1"/>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二、招标文件的构成、澄清、修改</w:t>
      </w:r>
    </w:p>
    <w:p>
      <w:pPr>
        <w:pStyle w:val="35"/>
        <w:wordWrap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5．招标文件的构成</w:t>
      </w:r>
    </w:p>
    <w:p>
      <w:pPr>
        <w:pStyle w:val="35"/>
        <w:wordWrap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 招标文件包括下列文件及附件：</w:t>
      </w:r>
    </w:p>
    <w:p>
      <w:pPr>
        <w:pStyle w:val="35"/>
        <w:tabs>
          <w:tab w:val="left" w:pos="840"/>
        </w:tabs>
        <w:wordWrap w:val="0"/>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5.1.1招标公告；</w:t>
      </w:r>
    </w:p>
    <w:p>
      <w:pPr>
        <w:pStyle w:val="35"/>
        <w:tabs>
          <w:tab w:val="left" w:pos="840"/>
        </w:tabs>
        <w:wordWrap w:val="0"/>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5.1.2投标人须知；</w:t>
      </w:r>
    </w:p>
    <w:p>
      <w:pPr>
        <w:pStyle w:val="35"/>
        <w:tabs>
          <w:tab w:val="left" w:pos="840"/>
        </w:tabs>
        <w:wordWrap w:val="0"/>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5.1.3采购需求；</w:t>
      </w:r>
    </w:p>
    <w:p>
      <w:pPr>
        <w:pStyle w:val="35"/>
        <w:tabs>
          <w:tab w:val="left" w:pos="840"/>
        </w:tabs>
        <w:wordWrap w:val="0"/>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5.1.4评标办法；</w:t>
      </w:r>
    </w:p>
    <w:p>
      <w:pPr>
        <w:pStyle w:val="35"/>
        <w:tabs>
          <w:tab w:val="left" w:pos="840"/>
        </w:tabs>
        <w:wordWrap w:val="0"/>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5.1.5拟签订的合同文本；</w:t>
      </w:r>
    </w:p>
    <w:p>
      <w:pPr>
        <w:pStyle w:val="35"/>
        <w:tabs>
          <w:tab w:val="left" w:pos="840"/>
        </w:tabs>
        <w:wordWrap w:val="0"/>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5.1.6</w:t>
      </w:r>
      <w:r>
        <w:rPr>
          <w:rFonts w:hint="eastAsia" w:ascii="仿宋" w:hAnsi="仿宋" w:eastAsia="仿宋" w:cs="仿宋"/>
          <w:color w:val="000000" w:themeColor="text1"/>
          <w:sz w:val="24"/>
          <w:szCs w:val="24"/>
          <w14:textFill>
            <w14:solidFill>
              <w14:schemeClr w14:val="tx1"/>
            </w14:solidFill>
          </w14:textFill>
        </w:rPr>
        <w:t>应提交的有关格式范例。</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5.2与本项目有关的</w:t>
      </w:r>
      <w:r>
        <w:rPr>
          <w:rFonts w:hint="eastAsia" w:ascii="仿宋" w:hAnsi="仿宋" w:eastAsia="仿宋" w:cs="仿宋"/>
          <w:bCs/>
          <w:color w:val="000000" w:themeColor="text1"/>
          <w:sz w:val="24"/>
          <w14:textFill>
            <w14:solidFill>
              <w14:schemeClr w14:val="tx1"/>
            </w14:solidFill>
          </w14:textFill>
        </w:rPr>
        <w:t>澄清或者修改的内容为招标文件的组成部分</w:t>
      </w:r>
      <w:r>
        <w:rPr>
          <w:rFonts w:hint="eastAsia" w:ascii="仿宋" w:hAnsi="仿宋" w:eastAsia="仿宋" w:cs="仿宋"/>
          <w:color w:val="000000" w:themeColor="text1"/>
          <w:sz w:val="24"/>
          <w14:textFill>
            <w14:solidFill>
              <w14:schemeClr w14:val="tx1"/>
            </w14:solidFill>
          </w14:textFill>
        </w:rPr>
        <w:t>。</w:t>
      </w:r>
    </w:p>
    <w:p>
      <w:pPr>
        <w:pStyle w:val="35"/>
        <w:wordWrap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pPr>
        <w:pStyle w:val="130"/>
        <w:wordWrap w:val="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6.1已获取招标文件的潜在投标人，若有问题需要澄清，应于投标截止时间前，以书面形式或政采云线上询问方式向采购代理机构提出。</w:t>
      </w:r>
    </w:p>
    <w:p>
      <w:pPr>
        <w:pStyle w:val="130"/>
        <w:wordWrap w:val="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wordWrap w:val="0"/>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pPr>
        <w:wordWrap w:val="0"/>
        <w:adjustRightInd/>
        <w:spacing w:line="360" w:lineRule="auto"/>
        <w:jc w:val="center"/>
        <w:outlineLvl w:val="1"/>
        <w:rPr>
          <w:rFonts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三、投标</w:t>
      </w:r>
    </w:p>
    <w:p>
      <w:pPr>
        <w:pStyle w:val="35"/>
        <w:wordWrap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 招标文件的获取</w:t>
      </w:r>
    </w:p>
    <w:p>
      <w:pPr>
        <w:wordWrap w:val="0"/>
        <w:spacing w:line="360" w:lineRule="auto"/>
        <w:ind w:firstLine="480" w:firstLineChars="200"/>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pPr>
        <w:pStyle w:val="35"/>
        <w:numPr>
          <w:ilvl w:val="0"/>
          <w:numId w:val="2"/>
        </w:numPr>
        <w:wordWrap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开标前答疑会或现场考察</w:t>
      </w:r>
    </w:p>
    <w:p>
      <w:pPr>
        <w:pStyle w:val="35"/>
        <w:wordWrap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numPr>
          <w:ilvl w:val="0"/>
          <w:numId w:val="2"/>
        </w:numPr>
        <w:wordWrap w:val="0"/>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投标保证金</w:t>
      </w:r>
    </w:p>
    <w:p>
      <w:pPr>
        <w:pStyle w:val="16"/>
        <w:wordWrap w:val="0"/>
        <w:spacing w:line="360" w:lineRule="auto"/>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pPr>
        <w:pStyle w:val="35"/>
        <w:wordWrap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投标文件的语言</w:t>
      </w:r>
    </w:p>
    <w:p>
      <w:pPr>
        <w:wordWrap w:val="0"/>
        <w:autoSpaceDE w:val="0"/>
        <w:autoSpaceDN w:val="0"/>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pPr>
        <w:pStyle w:val="35"/>
        <w:wordWrap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11.1.3联合协议（联合体参加的提供）；</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11.1.4满足政府采购政策的资格要求证明材料；</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11.1.5满足本项目特定资格要求的证明材料。</w:t>
      </w:r>
    </w:p>
    <w:p>
      <w:pPr>
        <w:wordWrap w:val="0"/>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11.</w:t>
      </w:r>
      <w:r>
        <w:rPr>
          <w:rFonts w:hint="eastAsia" w:ascii="仿宋" w:hAnsi="仿宋" w:eastAsia="仿宋" w:cs="仿宋"/>
          <w:b/>
          <w:bCs/>
          <w:color w:val="000000" w:themeColor="text1"/>
          <w:sz w:val="24"/>
          <w14:textFill>
            <w14:solidFill>
              <w14:schemeClr w14:val="tx1"/>
            </w14:solidFill>
          </w14:textFill>
        </w:rPr>
        <w:t>2</w:t>
      </w:r>
      <w:r>
        <w:rPr>
          <w:rFonts w:hint="eastAsia" w:ascii="仿宋" w:hAnsi="仿宋" w:eastAsia="仿宋" w:cs="仿宋"/>
          <w:b/>
          <w:bCs/>
          <w:color w:val="000000" w:themeColor="text1"/>
          <w:sz w:val="24"/>
          <w:lang w:val="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商务技术</w:t>
      </w:r>
      <w:r>
        <w:rPr>
          <w:rFonts w:hint="eastAsia" w:ascii="仿宋" w:hAnsi="仿宋" w:eastAsia="仿宋" w:cs="仿宋"/>
          <w:b/>
          <w:bCs/>
          <w:color w:val="000000" w:themeColor="text1"/>
          <w:sz w:val="24"/>
          <w:lang w:val="zh-CN"/>
          <w14:textFill>
            <w14:solidFill>
              <w14:schemeClr w14:val="tx1"/>
            </w14:solidFill>
          </w14:textFill>
        </w:rPr>
        <w:t>文件：</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11.2.1投标函；</w:t>
      </w:r>
      <w:r>
        <w:rPr>
          <w:rFonts w:hint="eastAsia" w:ascii="仿宋" w:hAnsi="仿宋" w:eastAsia="仿宋" w:cs="仿宋"/>
          <w:color w:val="000000" w:themeColor="text1"/>
          <w:sz w:val="24"/>
          <w:lang w:val="zh-CN"/>
          <w14:textFill>
            <w14:solidFill>
              <w14:schemeClr w14:val="tx1"/>
            </w14:solidFill>
          </w14:textFill>
        </w:rPr>
        <w:t xml:space="preserve"> </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11.2.3分包意向协议（拟分包的提供)；</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11.2.4符合性审查资料；</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11.2.5评标标准相应的商务技术资料；</w:t>
      </w:r>
    </w:p>
    <w:p>
      <w:pPr>
        <w:wordWrap w:val="0"/>
        <w:snapToGrid w:val="0"/>
        <w:spacing w:line="360" w:lineRule="auto"/>
        <w:ind w:firstLine="960" w:firstLineChars="4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pPr>
        <w:wordWrap w:val="0"/>
        <w:snapToGrid w:val="0"/>
        <w:spacing w:line="360" w:lineRule="auto"/>
        <w:ind w:firstLine="480" w:firstLineChars="200"/>
        <w:rPr>
          <w:rFonts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11.</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11.3.1开标一览表（报价表）；</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11.3.2投标价格组成明细表；</w:t>
      </w:r>
    </w:p>
    <w:p>
      <w:pPr>
        <w:wordWrap w:val="0"/>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11.3.3中小企业声明函（若有）。</w:t>
      </w:r>
    </w:p>
    <w:p>
      <w:pPr>
        <w:wordWrap w:val="0"/>
        <w:spacing w:line="360" w:lineRule="auto"/>
        <w:ind w:firstLine="723" w:firstLineChars="3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pPr>
        <w:wordWrap w:val="0"/>
        <w:spacing w:line="360" w:lineRule="auto"/>
        <w:ind w:firstLine="723" w:firstLineChars="3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pPr>
        <w:pStyle w:val="130"/>
        <w:numPr>
          <w:ilvl w:val="0"/>
          <w:numId w:val="3"/>
        </w:numPr>
        <w:wordWrap w:val="0"/>
        <w:snapToGrid w:val="0"/>
        <w:spacing w:before="0"/>
        <w:ind w:firstLine="0" w:firstLineChars="0"/>
        <w:outlineLvl w:val="2"/>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投标文件的编制</w:t>
      </w:r>
    </w:p>
    <w:p>
      <w:pPr>
        <w:wordWrap w:val="0"/>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numPr>
          <w:ilvl w:val="0"/>
          <w:numId w:val="3"/>
        </w:numPr>
        <w:wordWrap w:val="0"/>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投标文件的签署、盖章</w:t>
      </w:r>
    </w:p>
    <w:p>
      <w:pPr>
        <w:pStyle w:val="130"/>
        <w:wordWrap w:val="0"/>
        <w:snapToGrid w:val="0"/>
        <w:spacing w:before="0"/>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pPr>
        <w:pStyle w:val="130"/>
        <w:wordWrap w:val="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wordWrap w:val="0"/>
        <w:snapToGrid w:val="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pPr>
        <w:pStyle w:val="130"/>
        <w:wordWrap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14. 投标文件的提交、补充、修改、撤回</w:t>
      </w:r>
    </w:p>
    <w:p>
      <w:pPr>
        <w:pStyle w:val="130"/>
        <w:wordWrap w:val="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wordWrap w:val="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wordWrap w:val="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5"/>
        <w:wordWrap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 备份投标文件</w:t>
      </w:r>
    </w:p>
    <w:p>
      <w:pPr>
        <w:pStyle w:val="35"/>
        <w:wordWrap w:val="0"/>
        <w:spacing w:line="360" w:lineRule="auto"/>
        <w:ind w:firstLine="360" w:firstLineChars="15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15.1投标人在电子交易平台传输递交投标文件后，可以在投标截止时间前直接提交或者以快递方式递交备份投标文件1份（</w:t>
      </w:r>
      <w:r>
        <w:rPr>
          <w:rFonts w:hint="eastAsia" w:ascii="仿宋" w:hAnsi="仿宋" w:eastAsia="仿宋" w:cs="仿宋"/>
          <w:b/>
          <w:color w:val="000000" w:themeColor="text1"/>
          <w:sz w:val="24"/>
          <w:szCs w:val="24"/>
          <w14:textFill>
            <w14:solidFill>
              <w14:schemeClr w14:val="tx1"/>
            </w14:solidFill>
          </w14:textFill>
        </w:rPr>
        <w:t>非强制要求，投标人自行考虑，快递到付或包裹破损拒绝接受）。</w:t>
      </w:r>
    </w:p>
    <w:p>
      <w:pPr>
        <w:pStyle w:val="35"/>
        <w:wordWrap w:val="0"/>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14:textFill>
            <w14:solidFill>
              <w14:schemeClr w14:val="tx1"/>
            </w14:solidFill>
          </w14:textFill>
        </w:rPr>
        <w:t>DVD光盘或U盘</w:t>
      </w:r>
      <w:r>
        <w:rPr>
          <w:rFonts w:hint="eastAsia" w:ascii="仿宋" w:hAnsi="仿宋" w:eastAsia="仿宋" w:cs="仿宋"/>
          <w:color w:val="000000" w:themeColor="text1"/>
          <w:sz w:val="24"/>
          <w:szCs w:val="24"/>
          <w14:textFill>
            <w14:solidFill>
              <w14:schemeClr w14:val="tx1"/>
            </w14:solidFill>
          </w14:textFill>
        </w:rPr>
        <w:t>中。备份投标文件应当密封包装并在包装上加盖公章并注明投标项目名称，投标人名称(</w:t>
      </w:r>
      <w:r>
        <w:rPr>
          <w:rFonts w:hint="eastAsia" w:ascii="仿宋" w:hAnsi="仿宋" w:eastAsia="仿宋" w:cs="仿宋"/>
          <w:b/>
          <w:bCs/>
          <w:color w:val="000000" w:themeColor="text1"/>
          <w:sz w:val="24"/>
          <w:szCs w:val="24"/>
          <w14:textFill>
            <w14:solidFill>
              <w14:schemeClr w14:val="tx1"/>
            </w14:solidFill>
          </w14:textFill>
        </w:rPr>
        <w:t>联合体投标的，包装物封面需注明联合体投标，并注明联合体成员各方的名称和联合协议中约定的牵头人的名称</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不符合上述制作、</w:t>
      </w:r>
      <w:r>
        <w:rPr>
          <w:rFonts w:hint="eastAsia" w:ascii="仿宋" w:hAnsi="仿宋" w:eastAsia="仿宋" w:cs="仿宋"/>
          <w:b/>
          <w:bCs/>
          <w:color w:val="000000" w:themeColor="text1"/>
          <w:sz w:val="24"/>
          <w:szCs w:val="24"/>
          <w14:textFill>
            <w14:solidFill>
              <w14:schemeClr w14:val="tx1"/>
            </w14:solidFill>
          </w14:textFill>
        </w:rPr>
        <w:t>存储、密封规定的备份投标文件将被视为无效或者被拒绝接收。</w:t>
      </w:r>
    </w:p>
    <w:p>
      <w:pPr>
        <w:pStyle w:val="35"/>
        <w:wordWrap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5"/>
        <w:wordWrap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5"/>
        <w:wordWrap w:val="0"/>
        <w:spacing w:line="360" w:lineRule="auto"/>
        <w:ind w:firstLine="479" w:firstLineChars="199"/>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15.5投标人仅提交备份投标文件，未在电子交易平台传输递交投标文件的，投标无效。</w:t>
      </w:r>
    </w:p>
    <w:p>
      <w:pPr>
        <w:pStyle w:val="130"/>
        <w:numPr>
          <w:ilvl w:val="0"/>
          <w:numId w:val="4"/>
        </w:numPr>
        <w:wordWrap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投标文件的无效处理</w:t>
      </w:r>
    </w:p>
    <w:p>
      <w:pPr>
        <w:pStyle w:val="27"/>
        <w:wordWrap w:val="0"/>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有招标文件第四部分第</w:t>
      </w:r>
      <w:r>
        <w:rPr>
          <w:rFonts w:hint="eastAsia" w:ascii="仿宋" w:hAnsi="仿宋" w:eastAsia="仿宋" w:cs="仿宋"/>
          <w:color w:val="000000" w:themeColor="text1"/>
          <w14:textFill>
            <w14:solidFill>
              <w14:schemeClr w14:val="tx1"/>
            </w14:solidFill>
          </w14:textFill>
        </w:rPr>
        <w:t>4.2项规定</w:t>
      </w:r>
      <w:r>
        <w:rPr>
          <w:rFonts w:hint="eastAsia" w:ascii="仿宋" w:hAnsi="仿宋" w:eastAsia="仿宋" w:cs="仿宋"/>
          <w:color w:val="000000" w:themeColor="text1"/>
          <w:szCs w:val="21"/>
          <w14:textFill>
            <w14:solidFill>
              <w14:schemeClr w14:val="tx1"/>
            </w14:solidFill>
          </w14:textFill>
        </w:rPr>
        <w:t>的情形之一的，投标无效。</w:t>
      </w:r>
    </w:p>
    <w:p>
      <w:pPr>
        <w:pStyle w:val="130"/>
        <w:numPr>
          <w:ilvl w:val="0"/>
          <w:numId w:val="4"/>
        </w:numPr>
        <w:wordWrap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投标有效期</w:t>
      </w:r>
    </w:p>
    <w:p>
      <w:pPr>
        <w:wordWrap w:val="0"/>
        <w:spacing w:line="360" w:lineRule="auto"/>
        <w:ind w:firstLine="480" w:firstLineChars="2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14:textFill>
            <w14:solidFill>
              <w14:schemeClr w14:val="tx1"/>
            </w14:solidFill>
          </w14:textFill>
        </w:rPr>
        <w:t>投标人的投标文件中承</w:t>
      </w:r>
      <w:r>
        <w:rPr>
          <w:rFonts w:hint="eastAsia" w:ascii="仿宋" w:hAnsi="仿宋" w:eastAsia="仿宋" w:cs="仿宋"/>
          <w:b/>
          <w:color w:val="000000" w:themeColor="text1"/>
          <w:sz w:val="24"/>
          <w:szCs w:val="21"/>
          <w14:textFill>
            <w14:solidFill>
              <w14:schemeClr w14:val="tx1"/>
            </w14:solidFill>
          </w14:textFill>
        </w:rPr>
        <w:t>诺的投标有效期少于招标文件中载明的投标有效期的，投标无效。</w:t>
      </w:r>
    </w:p>
    <w:p>
      <w:pPr>
        <w:pStyle w:val="130"/>
        <w:wordWrap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pPr>
        <w:pStyle w:val="130"/>
        <w:wordWrap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wordWrap w:val="0"/>
        <w:spacing w:before="0"/>
        <w:ind w:firstLine="643"/>
        <w:rPr>
          <w:rFonts w:ascii="仿宋" w:hAnsi="仿宋" w:eastAsia="仿宋" w:cs="仿宋"/>
          <w:b/>
          <w:color w:val="000000" w:themeColor="text1"/>
          <w:sz w:val="32"/>
          <w14:textFill>
            <w14:solidFill>
              <w14:schemeClr w14:val="tx1"/>
            </w14:solidFill>
          </w14:textFill>
        </w:rPr>
      </w:pPr>
    </w:p>
    <w:p>
      <w:pPr>
        <w:pStyle w:val="130"/>
        <w:wordWrap w:val="0"/>
        <w:spacing w:before="0"/>
        <w:ind w:firstLine="1928" w:firstLineChars="600"/>
        <w:outlineLvl w:val="1"/>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四、开标、资格审查与信用信息查询</w:t>
      </w:r>
    </w:p>
    <w:p>
      <w:pPr>
        <w:pStyle w:val="557"/>
        <w:wordWrap w:val="0"/>
        <w:spacing w:before="0" w:line="360" w:lineRule="auto"/>
        <w:ind w:left="0" w:firstLine="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18. 开标</w:t>
      </w:r>
      <w:r>
        <w:rPr>
          <w:rFonts w:hint="eastAsia" w:ascii="仿宋" w:hAnsi="仿宋" w:eastAsia="仿宋" w:cs="仿宋"/>
          <w:color w:val="000000" w:themeColor="text1"/>
          <w:sz w:val="24"/>
          <w14:textFill>
            <w14:solidFill>
              <w14:schemeClr w14:val="tx1"/>
            </w14:solidFill>
          </w14:textFill>
        </w:rPr>
        <w:t xml:space="preserve"> </w:t>
      </w:r>
    </w:p>
    <w:p>
      <w:pPr>
        <w:pStyle w:val="557"/>
        <w:wordWrap w:val="0"/>
        <w:spacing w:before="0" w:line="360" w:lineRule="auto"/>
        <w:ind w:left="0" w:firstLine="480"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pPr>
        <w:pStyle w:val="557"/>
        <w:wordWrap w:val="0"/>
        <w:spacing w:before="0" w:line="360" w:lineRule="auto"/>
        <w:ind w:left="0" w:firstLine="240" w:firstLineChars="1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7"/>
        <w:wordWrap w:val="0"/>
        <w:spacing w:before="0" w:line="360" w:lineRule="auto"/>
        <w:ind w:left="0" w:firstLine="240" w:firstLineChars="100"/>
        <w:contextualSpacing/>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557"/>
        <w:wordWrap w:val="0"/>
        <w:spacing w:before="0" w:line="360" w:lineRule="auto"/>
        <w:ind w:left="0" w:firstLine="480" w:firstLineChars="200"/>
        <w:contextualSpacing/>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18.4本项目唱标顺序：</w:t>
      </w:r>
      <w:r>
        <w:rPr>
          <w:rFonts w:hint="eastAsia" w:ascii="仿宋" w:hAnsi="仿宋" w:eastAsia="仿宋" w:cs="仿宋"/>
          <w:color w:val="000000" w:themeColor="text1"/>
          <w:sz w:val="24"/>
          <w:u w:val="single"/>
          <w14:textFill>
            <w14:solidFill>
              <w14:schemeClr w14:val="tx1"/>
            </w14:solidFill>
          </w14:textFill>
        </w:rPr>
        <w:sym w:font="Wingdings" w:char="00FE"/>
      </w:r>
      <w:r>
        <w:rPr>
          <w:rFonts w:hint="eastAsia" w:ascii="仿宋" w:hAnsi="仿宋" w:eastAsia="仿宋" w:cs="仿宋"/>
          <w:color w:val="000000" w:themeColor="text1"/>
          <w:sz w:val="24"/>
          <w:u w:val="single"/>
          <w14:textFill>
            <w14:solidFill>
              <w14:schemeClr w14:val="tx1"/>
            </w14:solidFill>
          </w14:textFill>
        </w:rPr>
        <w:t>先技术商务后报价（后唱标），</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报价技术商务同时开（先唱标）。</w:t>
      </w:r>
    </w:p>
    <w:p>
      <w:pPr>
        <w:pStyle w:val="557"/>
        <w:wordWrap w:val="0"/>
        <w:spacing w:before="0" w:line="360" w:lineRule="auto"/>
        <w:ind w:left="0" w:firstLine="0"/>
        <w:contextualSpacing/>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19. 资格审查</w:t>
      </w:r>
    </w:p>
    <w:p>
      <w:pPr>
        <w:pStyle w:val="130"/>
        <w:wordWrap w:val="0"/>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19.1开标后，采购人或采购代理机构将依法对投标人的资格进行审查。</w:t>
      </w: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采购人或采购代理机构依据法律法规和招标文件的规定，对投标人的基本资格条件、特定资格条件进行审查。</w:t>
      </w:r>
    </w:p>
    <w:p>
      <w:pPr>
        <w:pStyle w:val="130"/>
        <w:wordWrap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pPr>
        <w:pStyle w:val="130"/>
        <w:wordWrap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pPr>
        <w:pStyle w:val="130"/>
        <w:wordWrap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5合格投标人不足3家的，不再继续评标。</w:t>
      </w:r>
    </w:p>
    <w:p>
      <w:pPr>
        <w:pStyle w:val="130"/>
        <w:numPr>
          <w:ilvl w:val="0"/>
          <w:numId w:val="5"/>
        </w:numPr>
        <w:wordWrap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信用信息查询</w:t>
      </w:r>
    </w:p>
    <w:p>
      <w:pPr>
        <w:pStyle w:val="130"/>
        <w:wordWrap w:val="0"/>
        <w:spacing w:before="0"/>
        <w:ind w:firstLine="495"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pPr>
        <w:pStyle w:val="130"/>
        <w:wordWrap w:val="0"/>
        <w:spacing w:before="0"/>
        <w:ind w:firstLine="495"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0"/>
        <w:wordWrap w:val="0"/>
        <w:spacing w:before="0"/>
        <w:ind w:firstLine="495"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wordWrap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pPr>
        <w:pStyle w:val="130"/>
        <w:wordWrap w:val="0"/>
        <w:spacing w:before="0"/>
        <w:ind w:firstLine="0" w:firstLineChars="0"/>
        <w:rPr>
          <w:rFonts w:ascii="仿宋" w:hAnsi="仿宋" w:eastAsia="仿宋" w:cs="仿宋"/>
          <w:color w:val="000000" w:themeColor="text1"/>
          <w:kern w:val="0"/>
          <w:szCs w:val="24"/>
          <w14:textFill>
            <w14:solidFill>
              <w14:schemeClr w14:val="tx1"/>
            </w14:solidFill>
          </w14:textFill>
        </w:rPr>
      </w:pPr>
    </w:p>
    <w:p>
      <w:pPr>
        <w:wordWrap w:val="0"/>
        <w:snapToGrid w:val="0"/>
        <w:spacing w:line="360" w:lineRule="auto"/>
        <w:jc w:val="center"/>
        <w:outlineLvl w:val="1"/>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五、评标</w:t>
      </w:r>
    </w:p>
    <w:p>
      <w:pPr>
        <w:wordWrap w:val="0"/>
        <w:spacing w:line="360" w:lineRule="auto"/>
        <w:ind w:firstLine="241" w:firstLineChars="100"/>
        <w:rPr>
          <w:rFonts w:ascii="仿宋" w:hAnsi="仿宋" w:eastAsia="仿宋" w:cs="仿宋"/>
          <w:b/>
          <w:color w:val="000000" w:themeColor="text1"/>
          <w:sz w:val="24"/>
          <w14:textFill>
            <w14:solidFill>
              <w14:schemeClr w14:val="tx1"/>
            </w14:solidFill>
          </w14:textFill>
        </w:rPr>
      </w:pPr>
      <w:bookmarkStart w:id="27" w:name="_Toc91899903"/>
      <w:r>
        <w:rPr>
          <w:rFonts w:hint="eastAsia" w:ascii="仿宋" w:hAnsi="仿宋" w:eastAsia="仿宋" w:cs="仿宋"/>
          <w:b/>
          <w:color w:val="000000" w:themeColor="text1"/>
          <w:sz w:val="24"/>
          <w14:textFill>
            <w14:solidFill>
              <w14:schemeClr w14:val="tx1"/>
            </w14:solidFill>
          </w14:textFill>
        </w:rPr>
        <w:t>21.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14:textFill>
            <w14:solidFill>
              <w14:schemeClr w14:val="tx1"/>
            </w14:solidFill>
          </w14:textFill>
        </w:rPr>
        <w:t>详见招标文件第四部分评标办法。</w:t>
      </w: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napToGrid w:val="0"/>
        <w:spacing w:line="360" w:lineRule="auto"/>
        <w:jc w:val="center"/>
        <w:outlineLvl w:val="1"/>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pPr>
        <w:pStyle w:val="27"/>
        <w:wordWrap w:val="0"/>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确定中标供应商</w:t>
      </w:r>
    </w:p>
    <w:p>
      <w:pPr>
        <w:pStyle w:val="130"/>
        <w:wordWrap w:val="0"/>
        <w:snapToGrid w:val="0"/>
        <w:spacing w:before="0"/>
        <w:ind w:firstLine="48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wordWrap w:val="0"/>
        <w:snapToGrid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pPr>
        <w:widowControl/>
        <w:shd w:val="clear" w:color="auto" w:fill="FFFFFF"/>
        <w:wordWrap w:val="0"/>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wordWrap w:val="0"/>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wordWrap w:val="0"/>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pPr>
        <w:wordWrap w:val="0"/>
        <w:snapToGrid w:val="0"/>
        <w:spacing w:line="360" w:lineRule="auto"/>
        <w:ind w:left="120" w:leftChars="57" w:firstLine="482" w:firstLineChars="150"/>
        <w:jc w:val="center"/>
        <w:outlineLvl w:val="1"/>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pPr>
        <w:pStyle w:val="27"/>
        <w:wordWrap w:val="0"/>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pPr>
        <w:pStyle w:val="27"/>
        <w:wordWrap w:val="0"/>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pPr>
        <w:widowControl/>
        <w:shd w:val="clear" w:color="auto" w:fill="FFFFFF"/>
        <w:wordWrap w:val="0"/>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25.1</w:t>
      </w:r>
      <w:r>
        <w:rPr>
          <w:rFonts w:hint="eastAsia" w:ascii="仿宋" w:hAnsi="仿宋" w:eastAsia="仿宋" w:cs="仿宋"/>
          <w:color w:val="000000" w:themeColor="text1"/>
          <w:kern w:val="0"/>
          <w:sz w:val="24"/>
          <w14:textFill>
            <w14:solidFill>
              <w14:schemeClr w14:val="tx1"/>
            </w14:solidFill>
          </w14:textFill>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wordWrap w:val="0"/>
        <w:snapToGrid w:val="0"/>
        <w:spacing w:before="0"/>
        <w:ind w:firstLine="480"/>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0"/>
        <w:wordWrap w:val="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0"/>
        <w:wordWrap w:val="0"/>
        <w:snapToGrid w:val="0"/>
        <w:spacing w:before="0" w:after="12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25.4中标供应商拒绝与采购人签订合同的，采购人可以按照评标报告推荐的中标候选人名单排序，确定下一候选人为中标供应商，也可以重新开展政府采购活动。</w:t>
      </w:r>
    </w:p>
    <w:p>
      <w:pPr>
        <w:pStyle w:val="130"/>
        <w:wordWrap w:val="0"/>
        <w:snapToGrid w:val="0"/>
        <w:spacing w:before="0" w:after="12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7"/>
        <w:wordWrap w:val="0"/>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26. 履约保证金</w:t>
      </w:r>
    </w:p>
    <w:p>
      <w:pPr>
        <w:tabs>
          <w:tab w:val="left" w:pos="0"/>
        </w:tabs>
        <w:wordWrap w:val="0"/>
        <w:spacing w:line="360" w:lineRule="auto"/>
        <w:ind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wordWrap w:val="0"/>
        <w:spacing w:line="360" w:lineRule="auto"/>
        <w:ind w:firstLine="48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27.预付款</w:t>
      </w:r>
    </w:p>
    <w:p>
      <w:pPr>
        <w:tabs>
          <w:tab w:val="left" w:pos="0"/>
        </w:tabs>
        <w:wordWrap w:val="0"/>
        <w:spacing w:line="360" w:lineRule="auto"/>
        <w:ind w:firstLine="48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val="0"/>
        <w:snapToGrid w:val="0"/>
        <w:spacing w:line="360" w:lineRule="auto"/>
        <w:ind w:firstLine="3357" w:firstLineChars="1045"/>
        <w:rPr>
          <w:rFonts w:ascii="仿宋" w:hAnsi="仿宋" w:eastAsia="仿宋" w:cs="仿宋"/>
          <w:b/>
          <w:color w:val="000000" w:themeColor="text1"/>
          <w:sz w:val="32"/>
          <w14:textFill>
            <w14:solidFill>
              <w14:schemeClr w14:val="tx1"/>
            </w14:solidFill>
          </w14:textFill>
        </w:rPr>
      </w:pPr>
    </w:p>
    <w:p>
      <w:pPr>
        <w:wordWrap w:val="0"/>
        <w:snapToGrid w:val="0"/>
        <w:spacing w:line="360" w:lineRule="auto"/>
        <w:ind w:firstLine="3357" w:firstLineChars="1045"/>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pPr>
        <w:pStyle w:val="130"/>
        <w:wordWrap w:val="0"/>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bCs/>
          <w:color w:val="000000" w:themeColor="text1"/>
          <w:szCs w:val="24"/>
          <w14:textFill>
            <w14:solidFill>
              <w14:schemeClr w14:val="tx1"/>
            </w14:solidFill>
          </w14:textFill>
        </w:rPr>
        <w:t xml:space="preserve">8. </w:t>
      </w:r>
      <w:r>
        <w:rPr>
          <w:rFonts w:hint="eastAsia" w:ascii="仿宋" w:hAnsi="仿宋" w:eastAsia="仿宋" w:cs="仿宋"/>
          <w:b/>
          <w:color w:val="000000" w:themeColor="text1"/>
          <w:szCs w:val="24"/>
          <w14:textFill>
            <w14:solidFill>
              <w14:schemeClr w14:val="tx1"/>
            </w14:solidFill>
          </w14:textFill>
        </w:rPr>
        <w:t>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pPr>
        <w:tabs>
          <w:tab w:val="left" w:pos="0"/>
        </w:tabs>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28.1电子交易平台发生故障而无法登录访问的； </w:t>
      </w:r>
    </w:p>
    <w:p>
      <w:pPr>
        <w:tabs>
          <w:tab w:val="left" w:pos="0"/>
        </w:tabs>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28.2电子交易平台应用或数据库出现错误，不能进行正常操作的；</w:t>
      </w:r>
    </w:p>
    <w:p>
      <w:pPr>
        <w:tabs>
          <w:tab w:val="left" w:pos="0"/>
        </w:tabs>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28.3电子交易平台发现严重安全漏洞，有潜在泄密危险的；</w:t>
      </w:r>
    </w:p>
    <w:p>
      <w:pPr>
        <w:tabs>
          <w:tab w:val="left" w:pos="0"/>
        </w:tabs>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28.4病毒发作导致不能进行正常操作的； </w:t>
      </w:r>
    </w:p>
    <w:p>
      <w:pPr>
        <w:tabs>
          <w:tab w:val="left" w:pos="0"/>
        </w:tabs>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28.5其他无法保证电子交易的公平、公正和安全的情况。</w:t>
      </w:r>
    </w:p>
    <w:p>
      <w:pPr>
        <w:tabs>
          <w:tab w:val="left" w:pos="0"/>
        </w:tabs>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pPr>
        <w:wordWrap w:val="0"/>
        <w:snapToGrid w:val="0"/>
        <w:spacing w:line="360" w:lineRule="auto"/>
        <w:ind w:left="120" w:leftChars="57" w:firstLine="482" w:firstLineChars="150"/>
        <w:jc w:val="center"/>
        <w:outlineLvl w:val="1"/>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pPr>
        <w:pStyle w:val="27"/>
        <w:wordWrap w:val="0"/>
        <w:spacing w:line="360" w:lineRule="auto"/>
        <w:ind w:firstLine="0" w:firstLineChars="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30. 验收</w:t>
      </w:r>
    </w:p>
    <w:p>
      <w:pPr>
        <w:tabs>
          <w:tab w:val="left" w:pos="0"/>
        </w:tabs>
        <w:wordWrap w:val="0"/>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wordWrap w:val="0"/>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wordWrap w:val="0"/>
        <w:spacing w:line="360" w:lineRule="auto"/>
        <w:ind w:firstLine="48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pPr>
        <w:tabs>
          <w:tab w:val="left" w:pos="0"/>
        </w:tabs>
        <w:wordWrap w:val="0"/>
        <w:spacing w:line="360" w:lineRule="auto"/>
        <w:ind w:firstLine="480"/>
        <w:rPr>
          <w:rFonts w:ascii="仿宋" w:hAnsi="仿宋" w:eastAsia="仿宋" w:cs="仿宋"/>
          <w:color w:val="000000" w:themeColor="text1"/>
          <w:kern w:val="0"/>
          <w:sz w:val="24"/>
          <w14:textFill>
            <w14:solidFill>
              <w14:schemeClr w14:val="tx1"/>
            </w14:solidFill>
          </w14:textFill>
        </w:rPr>
        <w:sectPr>
          <w:pgSz w:w="11905" w:h="16838"/>
          <w:pgMar w:top="652" w:right="1417" w:bottom="680" w:left="1417" w:header="539" w:footer="425" w:gutter="0"/>
          <w:cols w:space="0" w:num="1"/>
          <w:titlePg/>
          <w:docGrid w:linePitch="312" w:charSpace="0"/>
        </w:sectPr>
      </w:pPr>
      <w:bookmarkStart w:id="28" w:name="_Hlt74707468"/>
      <w:bookmarkEnd w:id="28"/>
      <w:bookmarkStart w:id="29" w:name="_Hlt74729768"/>
      <w:bookmarkEnd w:id="29"/>
      <w:bookmarkStart w:id="30" w:name="_Hlt68057669"/>
      <w:bookmarkEnd w:id="30"/>
      <w:bookmarkStart w:id="31" w:name="_Hlt68072990"/>
      <w:bookmarkEnd w:id="31"/>
      <w:bookmarkStart w:id="32" w:name="_Hlt75236101"/>
      <w:bookmarkEnd w:id="32"/>
      <w:bookmarkStart w:id="33" w:name="_Hlt75236290"/>
      <w:bookmarkEnd w:id="33"/>
      <w:bookmarkStart w:id="34" w:name="_Hlt75236011"/>
      <w:bookmarkEnd w:id="34"/>
      <w:bookmarkStart w:id="35" w:name="_Hlt68403820"/>
      <w:bookmarkEnd w:id="35"/>
      <w:bookmarkStart w:id="36" w:name="_Hlt68072998"/>
      <w:bookmarkEnd w:id="36"/>
      <w:bookmarkStart w:id="37" w:name="_Hlt74714665"/>
      <w:bookmarkEnd w:id="37"/>
      <w:bookmarkStart w:id="38" w:name="_Hlt74730295"/>
      <w:bookmarkEnd w:id="38"/>
      <w:bookmarkStart w:id="39" w:name="_Hlt68073093"/>
      <w:bookmarkEnd w:id="39"/>
    </w:p>
    <w:bookmarkEnd w:id="25"/>
    <w:bookmarkEnd w:id="26"/>
    <w:p>
      <w:pPr>
        <w:wordWrap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bookmarkStart w:id="40" w:name="_Toc377"/>
      <w:bookmarkStart w:id="41" w:name="_Toc135"/>
      <w:bookmarkStart w:id="42" w:name="_Toc17637"/>
      <w:bookmarkStart w:id="43" w:name="_Toc16672"/>
      <w:bookmarkStart w:id="44" w:name="_Toc23290"/>
      <w:bookmarkStart w:id="45" w:name="_Toc10476"/>
      <w:bookmarkStart w:id="46" w:name="第四部分"/>
      <w:r>
        <w:rPr>
          <w:rFonts w:hint="eastAsia" w:ascii="仿宋" w:hAnsi="仿宋" w:eastAsia="仿宋" w:cs="仿宋"/>
          <w:b/>
          <w:color w:val="000000" w:themeColor="text1"/>
          <w:sz w:val="36"/>
          <w:szCs w:val="36"/>
          <w14:textFill>
            <w14:solidFill>
              <w14:schemeClr w14:val="tx1"/>
            </w14:solidFill>
          </w14:textFill>
        </w:rPr>
        <w:t>第三部分 采购需求</w:t>
      </w:r>
      <w:bookmarkEnd w:id="40"/>
      <w:bookmarkEnd w:id="41"/>
      <w:bookmarkEnd w:id="42"/>
      <w:bookmarkEnd w:id="43"/>
      <w:bookmarkEnd w:id="44"/>
      <w:bookmarkEnd w:id="45"/>
    </w:p>
    <w:p>
      <w:pPr>
        <w:autoSpaceDE w:val="0"/>
        <w:autoSpaceDN w:val="0"/>
        <w:spacing w:line="360" w:lineRule="auto"/>
        <w:outlineLvl w:val="1"/>
        <w:rPr>
          <w:rFonts w:ascii="仿宋" w:hAnsi="仿宋" w:eastAsia="仿宋" w:cs="仿宋"/>
          <w:b/>
          <w:bCs/>
          <w:color w:val="000000" w:themeColor="text1"/>
          <w:sz w:val="24"/>
          <w14:textFill>
            <w14:solidFill>
              <w14:schemeClr w14:val="tx1"/>
            </w14:solidFill>
          </w14:textFill>
        </w:rPr>
      </w:pPr>
      <w:bookmarkStart w:id="47" w:name="_Toc5794"/>
      <w:bookmarkStart w:id="48" w:name="_Toc23824"/>
      <w:bookmarkStart w:id="49" w:name="_Toc17094"/>
      <w:r>
        <w:rPr>
          <w:rFonts w:hint="eastAsia" w:ascii="仿宋" w:hAnsi="仿宋" w:eastAsia="仿宋" w:cs="仿宋"/>
          <w:b/>
          <w:bCs/>
          <w:color w:val="000000" w:themeColor="text1"/>
          <w:sz w:val="24"/>
          <w14:textFill>
            <w14:solidFill>
              <w14:schemeClr w14:val="tx1"/>
            </w14:solidFill>
          </w14:textFill>
        </w:rPr>
        <w:t>一、项目概况</w:t>
      </w:r>
    </w:p>
    <w:p>
      <w:pPr>
        <w:autoSpaceDE w:val="0"/>
        <w:autoSpaceDN w:val="0"/>
        <w:spacing w:line="360" w:lineRule="auto"/>
        <w:ind w:firstLine="480" w:firstLineChars="200"/>
        <w:outlineLvl w:val="1"/>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笕桥周边区块市政设施长效养护服务项目主要为笕桥片区，东到德胜东路，南到同协路，西到石桥路，北到华丰中路，道路共</w:t>
      </w:r>
      <w:r>
        <w:rPr>
          <w:rFonts w:hint="eastAsia" w:ascii="仿宋" w:hAnsi="仿宋" w:eastAsia="仿宋" w:cs="仿宋"/>
          <w:snapToGrid w:val="0"/>
          <w:color w:val="000000" w:themeColor="text1"/>
          <w:kern w:val="28"/>
          <w:sz w:val="24"/>
          <w:lang w:val="en-US" w:eastAsia="zh-CN"/>
          <w14:textFill>
            <w14:solidFill>
              <w14:schemeClr w14:val="tx1"/>
            </w14:solidFill>
          </w14:textFill>
        </w:rPr>
        <w:t>17</w:t>
      </w:r>
      <w:r>
        <w:rPr>
          <w:rFonts w:hint="eastAsia" w:ascii="仿宋" w:hAnsi="仿宋" w:eastAsia="仿宋" w:cs="仿宋"/>
          <w:snapToGrid w:val="0"/>
          <w:color w:val="000000" w:themeColor="text1"/>
          <w:kern w:val="28"/>
          <w:sz w:val="24"/>
          <w14:textFill>
            <w14:solidFill>
              <w14:schemeClr w14:val="tx1"/>
            </w14:solidFill>
          </w14:textFill>
        </w:rPr>
        <w:t>条（其中预招标4条，包含1座天桥），涉及市政道路、桥梁及排水设施养护。道路总面积934259.50㎡。</w:t>
      </w:r>
    </w:p>
    <w:p>
      <w:pPr>
        <w:autoSpaceDE w:val="0"/>
        <w:autoSpaceDN w:val="0"/>
        <w:spacing w:line="360" w:lineRule="auto"/>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w:t>
      </w:r>
      <w:r>
        <w:rPr>
          <w:rFonts w:ascii="仿宋" w:hAnsi="仿宋" w:eastAsia="仿宋" w:cs="仿宋"/>
          <w:b/>
          <w:bCs/>
          <w:color w:val="000000" w:themeColor="text1"/>
          <w:sz w:val="24"/>
          <w14:textFill>
            <w14:solidFill>
              <w14:schemeClr w14:val="tx1"/>
            </w14:solidFill>
          </w14:textFill>
        </w:rPr>
        <w:t>招标范围</w:t>
      </w:r>
    </w:p>
    <w:p>
      <w:pPr>
        <w:pStyle w:val="16"/>
        <w:numPr>
          <w:ilvl w:val="255"/>
          <w:numId w:val="0"/>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本次招标范围为</w:t>
      </w:r>
      <w:r>
        <w:rPr>
          <w:rFonts w:hint="eastAsia" w:ascii="仿宋_GB2312" w:hAnsi="仿宋" w:eastAsia="仿宋_GB2312" w:cs="仿宋_GB2312"/>
          <w:color w:val="000000" w:themeColor="text1"/>
          <w:sz w:val="24"/>
          <w14:textFill>
            <w14:solidFill>
              <w14:schemeClr w14:val="tx1"/>
            </w14:solidFill>
          </w14:textFill>
        </w:rPr>
        <w:t>2024年-2026年笕桥周边区块市政设施长效养护服务，包括道路、</w:t>
      </w:r>
      <w:r>
        <w:rPr>
          <w:rFonts w:hint="eastAsia" w:ascii="仿宋" w:hAnsi="仿宋" w:eastAsia="仿宋" w:cs="仿宋"/>
          <w:color w:val="000000" w:themeColor="text1"/>
          <w:sz w:val="24"/>
          <w:szCs w:val="24"/>
          <w14:textFill>
            <w14:solidFill>
              <w14:schemeClr w14:val="tx1"/>
            </w14:solidFill>
          </w14:textFill>
        </w:rPr>
        <w:t>桥梁、排水设施</w:t>
      </w:r>
      <w:r>
        <w:rPr>
          <w:rFonts w:hint="eastAsia" w:ascii="仿宋_GB2312" w:hAnsi="仿宋" w:eastAsia="仿宋_GB2312" w:cs="仿宋_GB2312"/>
          <w:color w:val="000000" w:themeColor="text1"/>
          <w:sz w:val="24"/>
          <w14:textFill>
            <w14:solidFill>
              <w14:schemeClr w14:val="tx1"/>
            </w14:solidFill>
          </w14:textFill>
        </w:rPr>
        <w:t>及附属设施等市政设施的日常维修、保养、巡查、应急保障、节日保障、技术档案制作、临时维护（配套管线、管沟、无产权单位窨井发生下沉、坍塌等）等市政设施长效养护服务</w:t>
      </w:r>
      <w:r>
        <w:rPr>
          <w:rFonts w:hint="eastAsia" w:ascii="仿宋" w:hAnsi="仿宋" w:eastAsia="仿宋" w:cs="仿宋"/>
          <w:color w:val="000000" w:themeColor="text1"/>
          <w:sz w:val="24"/>
          <w:szCs w:val="24"/>
          <w14:textFill>
            <w14:solidFill>
              <w14:schemeClr w14:val="tx1"/>
            </w14:solidFill>
          </w14:textFill>
        </w:rPr>
        <w:t>，并按照道路、桥梁、排水设施等设施养护的有关规范和技术要求进行道路、桥梁、排水设施的常规检测及评价、</w:t>
      </w:r>
      <w:r>
        <w:rPr>
          <w:rFonts w:hint="eastAsia" w:ascii="仿宋_GB2312" w:hAnsi="仿宋" w:eastAsia="仿宋_GB2312" w:cs="仿宋_GB2312"/>
          <w:color w:val="000000" w:themeColor="text1"/>
          <w:sz w:val="24"/>
          <w14:textFill>
            <w14:solidFill>
              <w14:schemeClr w14:val="tx1"/>
            </w14:solidFill>
          </w14:textFill>
        </w:rPr>
        <w:t>其他检测服务、包括但不限于市政设施大面积维修、栏杆维修等。</w:t>
      </w:r>
    </w:p>
    <w:p>
      <w:pPr>
        <w:pStyle w:val="16"/>
        <w:numPr>
          <w:ilvl w:val="255"/>
          <w:numId w:val="0"/>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服务期3年，即2024年1月1日至2026年12月31日。</w:t>
      </w:r>
    </w:p>
    <w:p>
      <w:pPr>
        <w:pStyle w:val="16"/>
        <w:spacing w:line="360" w:lineRule="auto"/>
        <w:ind w:firstLine="0"/>
        <w:outlineLvl w:val="1"/>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三、承包方式</w:t>
      </w:r>
    </w:p>
    <w:p>
      <w:pPr>
        <w:pStyle w:val="16"/>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中标人</w:t>
      </w:r>
      <w:r>
        <w:rPr>
          <w:rFonts w:hint="eastAsia" w:ascii="仿宋" w:hAnsi="仿宋" w:eastAsia="仿宋" w:cs="仿宋"/>
          <w:color w:val="000000" w:themeColor="text1"/>
          <w:sz w:val="24"/>
          <w:szCs w:val="24"/>
          <w14:textFill>
            <w14:solidFill>
              <w14:schemeClr w14:val="tx1"/>
            </w14:solidFill>
          </w14:textFill>
        </w:rPr>
        <w:t>在确定的范围内以包工包料的方式实施固定单价承包且结算价不超过合同签约价。养护设施、养护内容及工作量以工程量清单为准,工程量清单详见附件。</w:t>
      </w:r>
    </w:p>
    <w:p>
      <w:pPr>
        <w:pStyle w:val="16"/>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2.除特殊材料及新工艺、新材料需报采购人认可外，养护所需一般材料、成品、设备等，均由</w:t>
      </w:r>
      <w:r>
        <w:rPr>
          <w:rFonts w:hint="eastAsia" w:ascii="仿宋" w:hAnsi="仿宋" w:eastAsia="仿宋" w:cs="仿宋"/>
          <w:color w:val="000000" w:themeColor="text1"/>
          <w:kern w:val="0"/>
          <w:sz w:val="24"/>
          <w:lang w:val="zh-CN"/>
          <w14:textFill>
            <w14:solidFill>
              <w14:schemeClr w14:val="tx1"/>
            </w14:solidFill>
          </w14:textFill>
        </w:rPr>
        <w:t>中标人</w:t>
      </w:r>
      <w:r>
        <w:rPr>
          <w:rFonts w:hint="eastAsia" w:ascii="仿宋" w:hAnsi="仿宋" w:eastAsia="仿宋" w:cs="仿宋"/>
          <w:color w:val="000000" w:themeColor="text1"/>
          <w:sz w:val="24"/>
          <w:szCs w:val="24"/>
          <w14:textFill>
            <w14:solidFill>
              <w14:schemeClr w14:val="tx1"/>
            </w14:solidFill>
          </w14:textFill>
        </w:rPr>
        <w:t>自行解决，但必须符合有关养护及施工技术规程、规范要求。</w:t>
      </w:r>
    </w:p>
    <w:p>
      <w:pPr>
        <w:pStyle w:val="16"/>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中标人</w:t>
      </w:r>
      <w:r>
        <w:rPr>
          <w:rFonts w:hint="eastAsia" w:ascii="仿宋" w:hAnsi="仿宋" w:eastAsia="仿宋" w:cs="仿宋"/>
          <w:color w:val="000000" w:themeColor="text1"/>
          <w:sz w:val="24"/>
          <w:szCs w:val="24"/>
          <w14:textFill>
            <w14:solidFill>
              <w14:schemeClr w14:val="tx1"/>
            </w14:solidFill>
          </w14:textFill>
        </w:rPr>
        <w:t>存在以下情况之一的，一经发现立即取消承包资格，作违约处理，并承担由此引起的法律责任及一切经济损失：</w:t>
      </w:r>
    </w:p>
    <w:p>
      <w:pPr>
        <w:pStyle w:val="16"/>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（1）除允许分包的</w:t>
      </w:r>
      <w:r>
        <w:rPr>
          <w:rFonts w:hint="eastAsia" w:ascii="仿宋" w:hAnsi="仿宋" w:eastAsia="仿宋" w:cs="仿宋"/>
          <w:color w:val="000000" w:themeColor="text1"/>
          <w:sz w:val="24"/>
          <w14:textFill>
            <w14:solidFill>
              <w14:schemeClr w14:val="tx1"/>
            </w14:solidFill>
          </w14:textFill>
        </w:rPr>
        <w:t>栏杆维修、道路和桥梁结构性检测、CCTV检测</w:t>
      </w:r>
      <w:r>
        <w:rPr>
          <w:rFonts w:hint="eastAsia" w:ascii="仿宋" w:hAnsi="仿宋" w:eastAsia="仿宋" w:cs="仿宋"/>
          <w:color w:val="000000" w:themeColor="text1"/>
          <w:sz w:val="24"/>
          <w:szCs w:val="24"/>
          <w14:textFill>
            <w14:solidFill>
              <w14:schemeClr w14:val="tx1"/>
            </w14:solidFill>
          </w14:textFill>
        </w:rPr>
        <w:t>工作外，其他工作进行分包；</w:t>
      </w:r>
    </w:p>
    <w:p>
      <w:pPr>
        <w:pStyle w:val="16"/>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（2）项目转包、内部经济承包及变相经济转承包。</w:t>
      </w:r>
    </w:p>
    <w:p>
      <w:pPr>
        <w:pStyle w:val="16"/>
        <w:spacing w:line="360" w:lineRule="auto"/>
        <w:ind w:firstLine="0"/>
        <w:outlineLvl w:val="1"/>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四、道路市政养护规范</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《城镇道路养护技术规范》（CJJ36-2016）</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《沥青路面施工及验收规范》（GB50092-96）</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《杭州市城市道路管理养护技术要求(试行)》（杭城管〔2011〕37号）</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《杭州市城市道路市政养护技术规程》（CJS-02-2000）</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《城市桥梁养护标准》（CJJ99-2017）</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《城市桥梁检测和养护维修管理办法》（建设部2003年118号令）</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《杭州市城市桥梁养护技术规程》（CJS-03-2000）</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《杭州市市政设施管理条例》</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《城市道路杆件及标识整合技术规范》（DB3301/T 0232—2018）</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《关于进一步加强道路、河道养护及环卫保洁作业设备管理的通知》（杭城管委〔2018〕255号）</w:t>
      </w:r>
    </w:p>
    <w:p>
      <w:pPr>
        <w:pStyle w:val="16"/>
        <w:numPr>
          <w:ilvl w:val="0"/>
          <w:numId w:val="6"/>
        </w:numPr>
        <w:spacing w:line="360" w:lineRule="auto"/>
        <w:ind w:firstLine="480" w:firstLineChars="200"/>
        <w:rPr>
          <w:rFonts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《道路交通指示标识英文译写规范》（DB3301T0170-2016）</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《关于印发2021年度各区县（市）政府（管委会）城市管理考核相关评分细则的通知（杭城管综执联办〔2021〕3号）》</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关于印发《杭州市区城市道路路面技术状况检测方案》的通知（杭城管委﹝2016﹞292号）</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《城市道路养护规范》（DB3301/T0012-2013）</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关于印发《杭州市城市道路市政检查井提升改造通用图》的通知（杭城管委〔2015〕149号）</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关于进一步加强临时占用挖掘城市道路批后监管的通知（杭城管委〔2015〕207号）</w:t>
      </w:r>
    </w:p>
    <w:p>
      <w:pPr>
        <w:numPr>
          <w:ilvl w:val="0"/>
          <w:numId w:val="6"/>
        </w:numPr>
        <w:spacing w:line="360" w:lineRule="auto"/>
        <w:ind w:firstLine="480" w:firstLineChars="200"/>
        <w:rPr>
          <w:rFonts w:eastAsia="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关于印发《上城区综合行政执法局市政设施监管考核实施细则(指引)》的通知（上综法〔2022〕29号） </w:t>
      </w:r>
    </w:p>
    <w:p>
      <w:pPr>
        <w:numPr>
          <w:ilvl w:val="0"/>
          <w:numId w:val="6"/>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《建筑与市政工程无障碍通用规范》（GB55019-2021）</w:t>
      </w:r>
    </w:p>
    <w:p>
      <w:pPr>
        <w:pStyle w:val="16"/>
        <w:numPr>
          <w:ilvl w:val="0"/>
          <w:numId w:val="6"/>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《杭州市市政设施无障碍环境提升改善工作指南》（杭城管知 (2023)11号</w:t>
      </w:r>
      <w:r>
        <w:rPr>
          <w:rFonts w:hint="eastAsia"/>
          <w:color w:val="000000" w:themeColor="text1"/>
          <w14:textFill>
            <w14:solidFill>
              <w14:schemeClr w14:val="tx1"/>
            </w14:solidFill>
          </w14:textFill>
        </w:rPr>
        <w:t>）</w:t>
      </w:r>
    </w:p>
    <w:p>
      <w:pPr>
        <w:pStyle w:val="16"/>
        <w:numPr>
          <w:ilvl w:val="0"/>
          <w:numId w:val="6"/>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﹝2021﹞20号《关于进一步加强城市防汛排涝工作的通知》</w:t>
      </w:r>
    </w:p>
    <w:p>
      <w:pPr>
        <w:pStyle w:val="16"/>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注：如市、区相应规范标准有更新，按照最新版本执行。</w:t>
      </w:r>
    </w:p>
    <w:p>
      <w:pPr>
        <w:snapToGrid w:val="0"/>
        <w:spacing w:line="360" w:lineRule="auto"/>
        <w:outlineLvl w:val="1"/>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w:t>
      </w:r>
      <w:r>
        <w:rPr>
          <w:rFonts w:hint="eastAsia" w:ascii="仿宋" w:hAnsi="仿宋" w:eastAsia="仿宋" w:cs="仿宋"/>
          <w:b/>
          <w:bCs/>
          <w:color w:val="000000" w:themeColor="text1"/>
          <w:sz w:val="24"/>
          <w:lang w:val="zh-CN"/>
          <w14:textFill>
            <w14:solidFill>
              <w14:schemeClr w14:val="tx1"/>
            </w14:solidFill>
          </w14:textFill>
        </w:rPr>
        <w:t>、养护质量标准和要求</w:t>
      </w:r>
    </w:p>
    <w:p>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（一）养护质量标准</w:t>
      </w:r>
    </w:p>
    <w:p>
      <w:pPr>
        <w:pStyle w:val="16"/>
        <w:spacing w:line="36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根据《城镇道路养护技术规范》(CJJ36—2006)、《城市道路养护规范》（DB 3301/T 0012-2013）、《城市桥梁养护技术规范》（CJJ99-2017）、《城市桥梁检测和养护维修管理办法》（建设部2003年118号令）、新颁布的相关规程、规范等和国家有关强制性标准的规定执行。</w:t>
      </w:r>
    </w:p>
    <w:p>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（二）养护考核</w:t>
      </w:r>
    </w:p>
    <w:p>
      <w:pPr>
        <w:widowControl/>
        <w:snapToGrid w:val="0"/>
        <w:spacing w:line="360" w:lineRule="auto"/>
        <w:ind w:firstLine="480" w:firstLineChars="200"/>
        <w:rPr>
          <w:rFonts w:ascii="仿宋" w:hAnsi="仿宋" w:eastAsia="方正小标宋简体"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按照国家有关规范、技术标准、</w:t>
      </w:r>
      <w:r>
        <w:rPr>
          <w:rFonts w:hint="eastAsia" w:ascii="仿宋" w:hAnsi="仿宋" w:eastAsia="仿宋" w:cs="仿宋"/>
          <w:color w:val="000000" w:themeColor="text1"/>
          <w:sz w:val="24"/>
          <w14:textFill>
            <w14:solidFill>
              <w14:schemeClr w14:val="tx1"/>
            </w14:solidFill>
          </w14:textFill>
        </w:rPr>
        <w:t>《关于印发2021年度各区县（市）政府（管委会）城市管理考核相关评分细则的通知（杭城管综执联办〔2021〕3号）》及《关于印发《上城区综合行政执法局市政设施监管考核实施细则(指引)》的通知（上综法〔2022〕29号）》</w:t>
      </w:r>
      <w:r>
        <w:rPr>
          <w:rFonts w:hint="eastAsia" w:ascii="仿宋" w:hAnsi="仿宋" w:eastAsia="仿宋" w:cs="仿宋"/>
          <w:color w:val="000000" w:themeColor="text1"/>
          <w:kern w:val="0"/>
          <w:sz w:val="24"/>
          <w:lang w:val="zh-CN"/>
          <w14:textFill>
            <w14:solidFill>
              <w14:schemeClr w14:val="tx1"/>
            </w14:solidFill>
          </w14:textFill>
        </w:rPr>
        <w:t>等相关规定执行，如市、区相应规范标准有更新，按照最新版本执行。</w:t>
      </w:r>
    </w:p>
    <w:p>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（三）养护检测评估</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根据《关于印发&lt;杭州市区城市道路路面技术状况检测方案）&gt;的通知》（杭城管委[2016]292号）和《关于进一步规范城市桥梁检查检测工作的通知》（杭城管委[2017]247号）等相关通知要求，在道路及桥梁设施养护过程中，配备与养护设施量相适应</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lang w:val="zh-CN"/>
          <w14:textFill>
            <w14:solidFill>
              <w14:schemeClr w14:val="tx1"/>
            </w14:solidFill>
          </w14:textFill>
        </w:rPr>
        <w:t>养护技术人员、检查工具和检测设备，进行经常性检查：</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合同范围内所有道路、桥梁在合同期内进行</w:t>
      </w:r>
      <w:r>
        <w:rPr>
          <w:rFonts w:hint="eastAsia" w:ascii="仿宋" w:hAnsi="仿宋" w:eastAsia="仿宋" w:cs="仿宋"/>
          <w:color w:val="000000" w:themeColor="text1"/>
          <w:kern w:val="0"/>
          <w:sz w:val="24"/>
          <w14:textFill>
            <w14:solidFill>
              <w14:schemeClr w14:val="tx1"/>
            </w14:solidFill>
          </w14:textFill>
        </w:rPr>
        <w:t>三次（每年一次）</w:t>
      </w:r>
      <w:r>
        <w:rPr>
          <w:rFonts w:hint="eastAsia" w:ascii="仿宋" w:hAnsi="仿宋" w:eastAsia="仿宋" w:cs="仿宋"/>
          <w:color w:val="000000" w:themeColor="text1"/>
          <w:kern w:val="0"/>
          <w:sz w:val="24"/>
          <w:lang w:val="zh-CN"/>
          <w14:textFill>
            <w14:solidFill>
              <w14:schemeClr w14:val="tx1"/>
            </w14:solidFill>
          </w14:textFill>
        </w:rPr>
        <w:t>常规检测（含桥梁沉降观测），</w:t>
      </w:r>
      <w:r>
        <w:rPr>
          <w:rFonts w:hint="eastAsia" w:ascii="仿宋" w:hAnsi="仿宋" w:eastAsia="仿宋" w:cs="仿宋"/>
          <w:color w:val="000000" w:themeColor="text1"/>
          <w:kern w:val="0"/>
          <w:sz w:val="24"/>
          <w14:textFill>
            <w14:solidFill>
              <w14:schemeClr w14:val="tx1"/>
            </w14:solidFill>
          </w14:textFill>
        </w:rPr>
        <w:t>每年</w:t>
      </w:r>
      <w:r>
        <w:rPr>
          <w:rFonts w:hint="eastAsia" w:ascii="仿宋" w:hAnsi="仿宋" w:eastAsia="仿宋" w:cs="仿宋"/>
          <w:color w:val="000000" w:themeColor="text1"/>
          <w:kern w:val="0"/>
          <w:sz w:val="24"/>
          <w:lang w:val="zh-CN"/>
          <w14:textFill>
            <w14:solidFill>
              <w14:schemeClr w14:val="tx1"/>
            </w14:solidFill>
          </w14:textFill>
        </w:rPr>
        <w:t>11月底前提供相关检测报告。</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在合同期内进行</w:t>
      </w:r>
      <w:r>
        <w:rPr>
          <w:rFonts w:hint="eastAsia" w:ascii="仿宋" w:hAnsi="仿宋" w:eastAsia="仿宋" w:cs="仿宋"/>
          <w:color w:val="000000" w:themeColor="text1"/>
          <w:kern w:val="0"/>
          <w:sz w:val="24"/>
          <w14:textFill>
            <w14:solidFill>
              <w14:schemeClr w14:val="tx1"/>
            </w14:solidFill>
          </w14:textFill>
        </w:rPr>
        <w:t>三次（每年一次）</w:t>
      </w:r>
      <w:r>
        <w:rPr>
          <w:rFonts w:hint="eastAsia" w:ascii="仿宋" w:hAnsi="仿宋" w:eastAsia="仿宋" w:cs="仿宋"/>
          <w:color w:val="000000" w:themeColor="text1"/>
          <w:kern w:val="0"/>
          <w:sz w:val="24"/>
          <w:lang w:val="zh-CN"/>
          <w14:textFill>
            <w14:solidFill>
              <w14:schemeClr w14:val="tx1"/>
            </w14:solidFill>
          </w14:textFill>
        </w:rPr>
        <w:t>道路、桥梁结构性检测，</w:t>
      </w:r>
      <w:r>
        <w:rPr>
          <w:rFonts w:hint="eastAsia" w:ascii="仿宋" w:hAnsi="仿宋" w:eastAsia="仿宋" w:cs="仿宋"/>
          <w:color w:val="000000" w:themeColor="text1"/>
          <w:kern w:val="0"/>
          <w:sz w:val="24"/>
          <w14:textFill>
            <w14:solidFill>
              <w14:schemeClr w14:val="tx1"/>
            </w14:solidFill>
          </w14:textFill>
        </w:rPr>
        <w:t>每年检测范围为</w:t>
      </w:r>
      <w:r>
        <w:rPr>
          <w:rFonts w:hint="eastAsia" w:ascii="仿宋" w:hAnsi="仿宋" w:eastAsia="仿宋" w:cs="仿宋"/>
          <w:color w:val="000000" w:themeColor="text1"/>
          <w:kern w:val="0"/>
          <w:sz w:val="24"/>
          <w:lang w:val="zh-CN"/>
          <w14:textFill>
            <w14:solidFill>
              <w14:schemeClr w14:val="tx1"/>
            </w14:solidFill>
          </w14:textFill>
        </w:rPr>
        <w:t>合同范围内总面积三分之一的道路，占总座数六分之一的桥梁，检测计划由采购人于合同期始制定。</w:t>
      </w:r>
      <w:r>
        <w:rPr>
          <w:rFonts w:hint="eastAsia" w:ascii="仿宋" w:hAnsi="仿宋" w:eastAsia="仿宋" w:cs="仿宋"/>
          <w:color w:val="000000" w:themeColor="text1"/>
          <w:kern w:val="0"/>
          <w:sz w:val="24"/>
          <w14:textFill>
            <w14:solidFill>
              <w14:schemeClr w14:val="tx1"/>
            </w14:solidFill>
          </w14:textFill>
        </w:rPr>
        <w:t>每年</w:t>
      </w:r>
      <w:r>
        <w:rPr>
          <w:rFonts w:hint="eastAsia" w:ascii="仿宋" w:hAnsi="仿宋" w:eastAsia="仿宋" w:cs="仿宋"/>
          <w:color w:val="000000" w:themeColor="text1"/>
          <w:kern w:val="0"/>
          <w:sz w:val="24"/>
          <w:lang w:val="zh-CN"/>
          <w14:textFill>
            <w14:solidFill>
              <w14:schemeClr w14:val="tx1"/>
            </w14:solidFill>
          </w14:textFill>
        </w:rPr>
        <w:t>11月底前提供相关检测报告。</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合同范围内所有管道每年按照管道总长度的二分之一进行CCTV检测，二年进行一轮全覆盖，由中标单位负责检测（或委托有检测资质单位实施）。每年11月底前向采购人提供相关检测报告</w:t>
      </w:r>
    </w:p>
    <w:p>
      <w:pPr>
        <w:widowControl/>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注：检测工作应由具有相应检测资质单位承担，投标人具有相应检测资质的可自行承担检测工作或分包，投标人无相应检测资质的，则必须分包与具有相应检测资质单位。</w:t>
      </w:r>
    </w:p>
    <w:p>
      <w:pPr>
        <w:widowControl/>
        <w:snapToGrid w:val="0"/>
        <w:spacing w:line="360" w:lineRule="auto"/>
        <w:ind w:firstLine="482"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（四）人员、设备配置</w:t>
      </w:r>
    </w:p>
    <w:p>
      <w:pPr>
        <w:widowControl/>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1.项目组</w:t>
      </w:r>
      <w:r>
        <w:rPr>
          <w:rFonts w:hint="eastAsia" w:ascii="仿宋" w:hAnsi="仿宋" w:eastAsia="仿宋" w:cs="仿宋"/>
          <w:color w:val="000000" w:themeColor="text1"/>
          <w:kern w:val="0"/>
          <w:sz w:val="24"/>
          <w:lang w:val="zh-CN"/>
          <w14:textFill>
            <w14:solidFill>
              <w14:schemeClr w14:val="tx1"/>
            </w14:solidFill>
          </w14:textFill>
        </w:rPr>
        <w:t>人员</w:t>
      </w:r>
      <w:r>
        <w:rPr>
          <w:rFonts w:hint="eastAsia" w:ascii="仿宋" w:hAnsi="仿宋" w:eastAsia="仿宋" w:cs="仿宋"/>
          <w:color w:val="000000" w:themeColor="text1"/>
          <w:kern w:val="0"/>
          <w:sz w:val="24"/>
          <w14:textFill>
            <w14:solidFill>
              <w14:schemeClr w14:val="tx1"/>
            </w14:solidFill>
          </w14:textFill>
        </w:rPr>
        <w:t>配备要求</w:t>
      </w:r>
    </w:p>
    <w:p>
      <w:pPr>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1.1项目管理组</w:t>
      </w:r>
    </w:p>
    <w:p>
      <w:pPr>
        <w:widowControl/>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包括项目负责人，技术负责人，实施管理人员（如质量负责人、机械设备负责人、道路养护项目主管、桥梁养护主管、排水设施养护主管、巡查负责人、安全负责人、财务主管等管理人员）等。</w:t>
      </w:r>
    </w:p>
    <w:p>
      <w:pPr>
        <w:widowControl/>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 项目作业组</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包括2</w:t>
      </w:r>
      <w:r>
        <w:rPr>
          <w:rFonts w:hint="eastAsia" w:ascii="仿宋" w:hAnsi="仿宋" w:eastAsia="仿宋" w:cs="仿宋"/>
          <w:color w:val="000000" w:themeColor="text1"/>
          <w:kern w:val="0"/>
          <w:sz w:val="24"/>
          <w:lang w:val="zh-CN"/>
          <w14:textFill>
            <w14:solidFill>
              <w14:schemeClr w14:val="tx1"/>
            </w14:solidFill>
          </w14:textFill>
        </w:rPr>
        <w:t>个沥青班组（每个班组8人）</w:t>
      </w:r>
      <w:r>
        <w:rPr>
          <w:rFonts w:hint="eastAsia" w:ascii="仿宋" w:hAnsi="仿宋" w:eastAsia="仿宋" w:cs="仿宋"/>
          <w:color w:val="000000" w:themeColor="text1"/>
          <w:kern w:val="0"/>
          <w:sz w:val="24"/>
          <w14:textFill>
            <w14:solidFill>
              <w14:schemeClr w14:val="tx1"/>
            </w14:solidFill>
          </w14:textFill>
        </w:rPr>
        <w:t>和</w:t>
      </w:r>
      <w:r>
        <w:rPr>
          <w:rFonts w:hint="eastAsia" w:ascii="仿宋" w:hAnsi="仿宋" w:eastAsia="仿宋" w:cs="仿宋"/>
          <w:color w:val="000000" w:themeColor="text1"/>
          <w:kern w:val="0"/>
          <w:sz w:val="24"/>
          <w:lang w:val="zh-CN"/>
          <w14:textFill>
            <w14:solidFill>
              <w14:schemeClr w14:val="tx1"/>
            </w14:solidFill>
          </w14:textFill>
        </w:rPr>
        <w:t>3个人行道班组（每个班组4人），排水养护班组配备2个班组（每个班组4人）、1个管道检测班组（4人）。。</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2.本项目养护作业</w:t>
      </w:r>
      <w:r>
        <w:rPr>
          <w:rFonts w:hint="eastAsia" w:ascii="仿宋" w:hAnsi="仿宋" w:eastAsia="仿宋" w:cs="仿宋"/>
          <w:color w:val="000000" w:themeColor="text1"/>
          <w:kern w:val="0"/>
          <w:sz w:val="24"/>
          <w:lang w:val="zh-CN"/>
          <w14:textFill>
            <w14:solidFill>
              <w14:schemeClr w14:val="tx1"/>
            </w14:solidFill>
          </w14:textFill>
        </w:rPr>
        <w:t>设备、</w:t>
      </w:r>
      <w:r>
        <w:rPr>
          <w:rFonts w:hint="eastAsia" w:ascii="仿宋" w:hAnsi="仿宋" w:eastAsia="仿宋" w:cs="仿宋"/>
          <w:color w:val="000000" w:themeColor="text1"/>
          <w:kern w:val="0"/>
          <w:sz w:val="24"/>
          <w14:textFill>
            <w14:solidFill>
              <w14:schemeClr w14:val="tx1"/>
            </w14:solidFill>
          </w14:textFill>
        </w:rPr>
        <w:t>车辆配备</w:t>
      </w:r>
      <w:r>
        <w:rPr>
          <w:rFonts w:hint="eastAsia" w:ascii="仿宋" w:hAnsi="仿宋" w:eastAsia="仿宋" w:cs="仿宋"/>
          <w:color w:val="000000" w:themeColor="text1"/>
          <w:kern w:val="0"/>
          <w:sz w:val="24"/>
          <w:lang w:val="zh-CN"/>
          <w14:textFill>
            <w14:solidFill>
              <w14:schemeClr w14:val="tx1"/>
            </w14:solidFill>
          </w14:textFill>
        </w:rPr>
        <w:t>要求：</w:t>
      </w:r>
    </w:p>
    <w:p>
      <w:pPr>
        <w:widowControl/>
        <w:numPr>
          <w:ilvl w:val="0"/>
          <w:numId w:val="7"/>
        </w:numPr>
        <w:snapToGrid w:val="0"/>
        <w:spacing w:line="360" w:lineRule="auto"/>
        <w:ind w:left="-60" w:firstLine="48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道路养护设备：5t(含）及以上</w:t>
      </w:r>
      <w:r>
        <w:rPr>
          <w:rFonts w:hint="eastAsia" w:ascii="仿宋" w:hAnsi="仿宋" w:eastAsia="仿宋" w:cs="仿宋"/>
          <w:color w:val="000000" w:themeColor="text1"/>
          <w:kern w:val="0"/>
          <w:sz w:val="24"/>
          <w:lang w:val="zh-CN"/>
          <w14:textFill>
            <w14:solidFill>
              <w14:schemeClr w14:val="tx1"/>
            </w14:solidFill>
          </w14:textFill>
        </w:rPr>
        <w:t>压路机、</w:t>
      </w:r>
      <w:r>
        <w:rPr>
          <w:rFonts w:hint="eastAsia" w:ascii="仿宋" w:hAnsi="仿宋" w:eastAsia="仿宋" w:cs="仿宋"/>
          <w:color w:val="000000" w:themeColor="text1"/>
          <w:kern w:val="0"/>
          <w:sz w:val="24"/>
          <w14:textFill>
            <w14:solidFill>
              <w14:schemeClr w14:val="tx1"/>
            </w14:solidFill>
          </w14:textFill>
        </w:rPr>
        <w:t>宽度3米（含）以上</w:t>
      </w:r>
      <w:r>
        <w:rPr>
          <w:rFonts w:hint="eastAsia" w:ascii="仿宋" w:hAnsi="仿宋" w:eastAsia="仿宋" w:cs="仿宋"/>
          <w:color w:val="000000" w:themeColor="text1"/>
          <w:kern w:val="0"/>
          <w:sz w:val="24"/>
          <w:lang w:val="zh-CN"/>
          <w14:textFill>
            <w14:solidFill>
              <w14:schemeClr w14:val="tx1"/>
            </w14:solidFill>
          </w14:textFill>
        </w:rPr>
        <w:t>摊铺机、</w:t>
      </w:r>
      <w:r>
        <w:rPr>
          <w:rFonts w:hint="eastAsia" w:ascii="仿宋" w:hAnsi="仿宋" w:eastAsia="仿宋" w:cs="仿宋"/>
          <w:color w:val="000000" w:themeColor="text1"/>
          <w:kern w:val="0"/>
          <w:sz w:val="24"/>
          <w14:textFill>
            <w14:solidFill>
              <w14:schemeClr w14:val="tx1"/>
            </w14:solidFill>
          </w14:textFill>
        </w:rPr>
        <w:t>宽度300mm（含）以上</w:t>
      </w:r>
      <w:r>
        <w:rPr>
          <w:rFonts w:hint="eastAsia" w:ascii="仿宋" w:hAnsi="仿宋" w:eastAsia="仿宋" w:cs="仿宋"/>
          <w:color w:val="000000" w:themeColor="text1"/>
          <w:kern w:val="0"/>
          <w:sz w:val="24"/>
          <w:lang w:val="zh-CN"/>
          <w14:textFill>
            <w14:solidFill>
              <w14:schemeClr w14:val="tx1"/>
            </w14:solidFill>
          </w14:textFill>
        </w:rPr>
        <w:t>铣刨机、</w:t>
      </w:r>
      <w:r>
        <w:rPr>
          <w:rFonts w:hint="eastAsia" w:ascii="仿宋" w:hAnsi="仿宋" w:eastAsia="仿宋" w:cs="仿宋"/>
          <w:color w:val="000000" w:themeColor="text1"/>
          <w:kern w:val="0"/>
          <w:sz w:val="24"/>
          <w14:textFill>
            <w14:solidFill>
              <w14:schemeClr w14:val="tx1"/>
            </w14:solidFill>
          </w14:textFill>
        </w:rPr>
        <w:t>核定载质量6t(含）以上</w:t>
      </w:r>
      <w:r>
        <w:rPr>
          <w:rFonts w:hint="eastAsia" w:ascii="仿宋" w:hAnsi="仿宋" w:eastAsia="仿宋" w:cs="仿宋"/>
          <w:color w:val="000000" w:themeColor="text1"/>
          <w:kern w:val="0"/>
          <w:sz w:val="24"/>
          <w:lang w:val="zh-CN"/>
          <w14:textFill>
            <w14:solidFill>
              <w14:schemeClr w14:val="tx1"/>
            </w14:solidFill>
          </w14:textFill>
        </w:rPr>
        <w:t>沥青保温车、装载车（</w:t>
      </w:r>
      <w:r>
        <w:rPr>
          <w:rFonts w:hint="eastAsia" w:ascii="仿宋" w:hAnsi="仿宋" w:eastAsia="仿宋" w:cs="仿宋"/>
          <w:color w:val="000000" w:themeColor="text1"/>
          <w:kern w:val="0"/>
          <w:sz w:val="24"/>
          <w14:textFill>
            <w14:solidFill>
              <w14:schemeClr w14:val="tx1"/>
            </w14:solidFill>
          </w14:textFill>
        </w:rPr>
        <w:t>货车</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灌缝机、多功能滑移装载机、沥青</w:t>
      </w:r>
      <w:r>
        <w:rPr>
          <w:rFonts w:hint="eastAsia" w:ascii="仿宋" w:hAnsi="仿宋" w:eastAsia="仿宋" w:cs="仿宋"/>
          <w:color w:val="000000" w:themeColor="text1"/>
          <w:sz w:val="24"/>
          <w14:textFill>
            <w14:solidFill>
              <w14:schemeClr w14:val="tx1"/>
            </w14:solidFill>
          </w14:textFill>
        </w:rPr>
        <w:t>热再生设备</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登高作业车（园林吊）等。</w:t>
      </w:r>
    </w:p>
    <w:p>
      <w:pPr>
        <w:widowControl/>
        <w:numPr>
          <w:ilvl w:val="0"/>
          <w:numId w:val="7"/>
        </w:numPr>
        <w:snapToGrid w:val="0"/>
        <w:spacing w:line="360" w:lineRule="auto"/>
        <w:ind w:left="-60" w:firstLine="48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排水管道养护设备：排水养护班组必须配备排水管道养护冲洗车、吸泥车、管道毒气检测仪，管道检测班组必须配备水泵、封堵气囊、CCTV检测仪等设备。</w:t>
      </w:r>
    </w:p>
    <w:p>
      <w:pPr>
        <w:widowControl/>
        <w:numPr>
          <w:ilvl w:val="0"/>
          <w:numId w:val="7"/>
        </w:numPr>
        <w:snapToGrid w:val="0"/>
        <w:spacing w:line="360" w:lineRule="auto"/>
        <w:ind w:left="-60" w:firstLine="48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应急抢险设备</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排水泵（功率≥150m³/h）、排水泵车（排水量≥1500m³/h）</w:t>
      </w:r>
      <w:r>
        <w:rPr>
          <w:rFonts w:hint="eastAsia" w:ascii="仿宋" w:hAnsi="仿宋" w:eastAsia="仿宋" w:cs="仿宋"/>
          <w:color w:val="000000" w:themeColor="text1"/>
          <w:sz w:val="24"/>
          <w:lang w:val="zh-CN"/>
          <w14:textFill>
            <w14:solidFill>
              <w14:schemeClr w14:val="tx1"/>
            </w14:solidFill>
          </w14:textFill>
        </w:rPr>
        <w:t>。</w:t>
      </w:r>
    </w:p>
    <w:p>
      <w:pPr>
        <w:widowControl/>
        <w:numPr>
          <w:ilvl w:val="0"/>
          <w:numId w:val="7"/>
        </w:numPr>
        <w:snapToGrid w:val="0"/>
        <w:spacing w:line="360" w:lineRule="auto"/>
        <w:ind w:left="-60" w:firstLine="48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应急抢险保障工程救险车辆</w:t>
      </w:r>
      <w:r>
        <w:rPr>
          <w:rFonts w:hint="eastAsia" w:ascii="仿宋" w:hAnsi="仿宋" w:eastAsia="仿宋" w:cs="仿宋"/>
          <w:color w:val="000000" w:themeColor="text1"/>
          <w:sz w:val="24"/>
          <w:lang w:val="zh-CN"/>
          <w14:textFill>
            <w14:solidFill>
              <w14:schemeClr w14:val="tx1"/>
            </w14:solidFill>
          </w14:textFill>
        </w:rPr>
        <w:t>。</w:t>
      </w:r>
    </w:p>
    <w:p>
      <w:pPr>
        <w:widowControl/>
        <w:numPr>
          <w:ilvl w:val="0"/>
          <w:numId w:val="7"/>
        </w:numPr>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2台智慧巡检车辆。</w:t>
      </w:r>
    </w:p>
    <w:p>
      <w:pPr>
        <w:widowControl/>
        <w:numPr>
          <w:ilvl w:val="0"/>
          <w:numId w:val="7"/>
        </w:numPr>
        <w:snapToGrid w:val="0"/>
        <w:spacing w:line="360" w:lineRule="auto"/>
        <w:ind w:left="-60" w:firstLine="48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投入本项目的</w:t>
      </w:r>
      <w:r>
        <w:rPr>
          <w:rFonts w:hint="eastAsia" w:ascii="仿宋" w:hAnsi="仿宋" w:eastAsia="仿宋" w:cs="仿宋"/>
          <w:color w:val="000000" w:themeColor="text1"/>
          <w:kern w:val="0"/>
          <w:sz w:val="24"/>
          <w:lang w:val="zh-CN"/>
          <w14:textFill>
            <w14:solidFill>
              <w14:schemeClr w14:val="tx1"/>
            </w14:solidFill>
          </w14:textFill>
        </w:rPr>
        <w:t>机具车辆设备应装北斗卫星导航系统</w:t>
      </w:r>
      <w:r>
        <w:rPr>
          <w:rFonts w:hint="eastAsia" w:ascii="仿宋" w:hAnsi="仿宋" w:eastAsia="仿宋" w:cs="仿宋"/>
          <w:color w:val="000000" w:themeColor="text1"/>
          <w:sz w:val="24"/>
          <w:lang w:val="zh-CN"/>
          <w14:textFill>
            <w14:solidFill>
              <w14:schemeClr w14:val="tx1"/>
            </w14:solidFill>
          </w14:textFill>
        </w:rPr>
        <w:t>模块</w:t>
      </w:r>
      <w:r>
        <w:rPr>
          <w:rFonts w:hint="eastAsia" w:ascii="仿宋" w:hAnsi="仿宋" w:eastAsia="仿宋" w:cs="仿宋"/>
          <w:color w:val="000000" w:themeColor="text1"/>
          <w:kern w:val="0"/>
          <w:sz w:val="24"/>
          <w:lang w:val="zh-CN"/>
          <w14:textFill>
            <w14:solidFill>
              <w14:schemeClr w14:val="tx1"/>
            </w14:solidFill>
          </w14:textFill>
        </w:rPr>
        <w:t>，安装北斗卫星导航系统</w:t>
      </w:r>
      <w:r>
        <w:rPr>
          <w:rFonts w:hint="eastAsia" w:ascii="仿宋" w:hAnsi="仿宋" w:eastAsia="仿宋" w:cs="仿宋"/>
          <w:color w:val="000000" w:themeColor="text1"/>
          <w:sz w:val="24"/>
          <w:lang w:val="zh-CN"/>
          <w14:textFill>
            <w14:solidFill>
              <w14:schemeClr w14:val="tx1"/>
            </w14:solidFill>
          </w14:textFill>
        </w:rPr>
        <w:t>模块</w:t>
      </w:r>
      <w:r>
        <w:rPr>
          <w:rFonts w:hint="eastAsia" w:ascii="仿宋" w:hAnsi="仿宋" w:eastAsia="仿宋" w:cs="仿宋"/>
          <w:color w:val="000000" w:themeColor="text1"/>
          <w:kern w:val="0"/>
          <w:sz w:val="24"/>
          <w:lang w:val="zh-CN"/>
          <w14:textFill>
            <w14:solidFill>
              <w14:schemeClr w14:val="tx1"/>
            </w14:solidFill>
          </w14:textFill>
        </w:rPr>
        <w:t>的设备信息须</w:t>
      </w:r>
      <w:r>
        <w:rPr>
          <w:rFonts w:hint="eastAsia" w:ascii="仿宋" w:hAnsi="仿宋" w:eastAsia="仿宋" w:cs="仿宋"/>
          <w:color w:val="000000" w:themeColor="text1"/>
          <w:sz w:val="24"/>
          <w:lang w:val="zh-CN"/>
          <w14:textFill>
            <w14:solidFill>
              <w14:schemeClr w14:val="tx1"/>
            </w14:solidFill>
          </w14:textFill>
        </w:rPr>
        <w:t>满足</w:t>
      </w:r>
      <w:r>
        <w:rPr>
          <w:rFonts w:hint="eastAsia" w:ascii="仿宋" w:hAnsi="仿宋" w:eastAsia="仿宋" w:cs="仿宋"/>
          <w:color w:val="000000" w:themeColor="text1"/>
          <w:kern w:val="0"/>
          <w:sz w:val="24"/>
          <w:lang w:val="zh-CN"/>
          <w14:textFill>
            <w14:solidFill>
              <w14:schemeClr w14:val="tx1"/>
            </w14:solidFill>
          </w14:textFill>
        </w:rPr>
        <w:t>接入</w:t>
      </w:r>
      <w:r>
        <w:rPr>
          <w:rFonts w:hint="eastAsia" w:ascii="仿宋" w:hAnsi="仿宋" w:eastAsia="仿宋" w:cs="仿宋"/>
          <w:color w:val="000000" w:themeColor="text1"/>
          <w:sz w:val="24"/>
          <w:lang w:val="zh-CN"/>
          <w14:textFill>
            <w14:solidFill>
              <w14:schemeClr w14:val="tx1"/>
            </w14:solidFill>
          </w14:textFill>
        </w:rPr>
        <w:t>杭州</w:t>
      </w:r>
      <w:r>
        <w:rPr>
          <w:rFonts w:hint="eastAsia" w:ascii="仿宋" w:hAnsi="仿宋" w:eastAsia="仿宋" w:cs="仿宋"/>
          <w:color w:val="000000" w:themeColor="text1"/>
          <w:kern w:val="0"/>
          <w:sz w:val="24"/>
          <w:lang w:val="zh-CN"/>
          <w14:textFill>
            <w14:solidFill>
              <w14:schemeClr w14:val="tx1"/>
            </w14:solidFill>
          </w14:textFill>
        </w:rPr>
        <w:t>市城管委智慧城管统一定位系统。若养护单位需调整、更换车辆设备，必须经</w:t>
      </w:r>
      <w:r>
        <w:rPr>
          <w:rFonts w:hint="eastAsia" w:ascii="仿宋" w:hAnsi="仿宋" w:eastAsia="仿宋" w:cs="仿宋"/>
          <w:color w:val="000000" w:themeColor="text1"/>
          <w:sz w:val="24"/>
          <w:lang w:val="zh-CN"/>
          <w14:textFill>
            <w14:solidFill>
              <w14:schemeClr w14:val="tx1"/>
            </w14:solidFill>
          </w14:textFill>
        </w:rPr>
        <w:t>甲方</w:t>
      </w:r>
      <w:r>
        <w:rPr>
          <w:rFonts w:hint="eastAsia" w:ascii="仿宋" w:hAnsi="仿宋" w:eastAsia="仿宋" w:cs="仿宋"/>
          <w:color w:val="000000" w:themeColor="text1"/>
          <w:kern w:val="0"/>
          <w:sz w:val="24"/>
          <w:lang w:val="zh-CN"/>
          <w14:textFill>
            <w14:solidFill>
              <w14:schemeClr w14:val="tx1"/>
            </w14:solidFill>
          </w14:textFill>
        </w:rPr>
        <w:t>同意后方可调整。</w:t>
      </w:r>
    </w:p>
    <w:p>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（五）应急保障措施：</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防汛防台、抗雪防冻、突发事件应急处理及重大活动保障等服务。</w:t>
      </w:r>
      <w:r>
        <w:rPr>
          <w:rFonts w:hint="eastAsia" w:ascii="仿宋" w:hAnsi="仿宋" w:eastAsia="仿宋" w:cs="仿宋"/>
          <w:color w:val="000000" w:themeColor="text1"/>
          <w:kern w:val="0"/>
          <w:sz w:val="24"/>
          <w14:textFill>
            <w14:solidFill>
              <w14:schemeClr w14:val="tx1"/>
            </w14:solidFill>
          </w14:textFill>
        </w:rPr>
        <w:t>中标人应</w:t>
      </w:r>
      <w:r>
        <w:rPr>
          <w:rFonts w:hint="eastAsia" w:ascii="仿宋" w:hAnsi="仿宋" w:eastAsia="仿宋" w:cs="仿宋"/>
          <w:color w:val="000000" w:themeColor="text1"/>
          <w:kern w:val="0"/>
          <w:sz w:val="24"/>
          <w:lang w:val="zh-CN"/>
          <w14:textFill>
            <w14:solidFill>
              <w14:schemeClr w14:val="tx1"/>
            </w14:solidFill>
          </w14:textFill>
        </w:rPr>
        <w:t>提供24小时值班服务等。</w:t>
      </w:r>
    </w:p>
    <w:p>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（六）档案资料：</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以一条路为单位建立道路、桥梁养护档案，健全日常养护作业记录，认真做好台账的整理和归档工作，尤其是及时将日常养护、维修、检测、技术状况评价等相关数据，及时、准确录入市级监管部门的管理系统；每年11月底将养护档案资料、道路和桥梁的检测报告上报采购人一份。</w:t>
      </w:r>
    </w:p>
    <w:p>
      <w:pPr>
        <w:pStyle w:val="4"/>
        <w:ind w:left="420" w:leftChars="200" w:firstLine="0"/>
        <w:jc w:val="both"/>
        <w:rPr>
          <w:rFonts w:ascii="仿宋" w:eastAsia="仿宋" w:cs="仿宋"/>
          <w:snapToGrid w:val="0"/>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14:textFill>
            <w14:solidFill>
              <w14:schemeClr w14:val="tx1"/>
            </w14:solidFill>
          </w14:textFill>
        </w:rPr>
        <w:t>（七）</w:t>
      </w:r>
      <w:r>
        <w:rPr>
          <w:rFonts w:hint="eastAsia" w:ascii="仿宋" w:eastAsia="仿宋" w:cs="仿宋"/>
          <w:snapToGrid w:val="0"/>
          <w:color w:val="000000" w:themeColor="text1"/>
          <w:sz w:val="24"/>
          <w:szCs w:val="24"/>
          <w14:textFill>
            <w14:solidFill>
              <w14:schemeClr w14:val="tx1"/>
            </w14:solidFill>
          </w14:textFill>
        </w:rPr>
        <w:t>验收方式：</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按照《杭州市政府采购履约验收暂行办法》（杭财采监〔2019〕10号）文件规定，</w:t>
      </w:r>
      <w:r>
        <w:rPr>
          <w:rFonts w:hint="eastAsia" w:ascii="仿宋" w:hAnsi="仿宋" w:eastAsia="仿宋" w:cs="仿宋"/>
          <w:color w:val="000000" w:themeColor="text1"/>
          <w:kern w:val="0"/>
          <w:sz w:val="24"/>
          <w14:textFill>
            <w14:solidFill>
              <w14:schemeClr w14:val="tx1"/>
            </w14:solidFill>
          </w14:textFill>
        </w:rPr>
        <w:t>采用一般程序、一次性</w:t>
      </w:r>
      <w:r>
        <w:rPr>
          <w:rFonts w:hint="eastAsia" w:ascii="仿宋" w:hAnsi="仿宋" w:eastAsia="仿宋" w:cs="仿宋"/>
          <w:color w:val="000000" w:themeColor="text1"/>
          <w:kern w:val="0"/>
          <w:sz w:val="24"/>
          <w:lang w:val="zh-CN"/>
          <w14:textFill>
            <w14:solidFill>
              <w14:schemeClr w14:val="tx1"/>
            </w14:solidFill>
          </w14:textFill>
        </w:rPr>
        <w:t>验收方式做好履约验收相关工作。</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bookmarkStart w:id="50" w:name="_Hlk135383910"/>
      <w:r>
        <w:rPr>
          <w:rFonts w:hint="eastAsia" w:ascii="仿宋" w:hAnsi="仿宋" w:eastAsia="仿宋" w:cs="仿宋"/>
          <w:color w:val="000000" w:themeColor="text1"/>
          <w:kern w:val="0"/>
          <w:sz w:val="24"/>
          <w:lang w:val="zh-CN"/>
          <w14:textFill>
            <w14:solidFill>
              <w14:schemeClr w14:val="tx1"/>
            </w14:solidFill>
          </w14:textFill>
        </w:rPr>
        <w:t>养护结束后以组织专家验收会的形式，对项目成果进行验收，检测成果需达到国家相关验收标准。若一次验收不通过，再次验收产生的费用由中标人承担。</w:t>
      </w:r>
    </w:p>
    <w:bookmarkEnd w:id="50"/>
    <w:p>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八</w:t>
      </w:r>
      <w:r>
        <w:rPr>
          <w:rFonts w:hint="eastAsia" w:ascii="仿宋" w:hAnsi="仿宋" w:eastAsia="仿宋" w:cs="仿宋"/>
          <w:b/>
          <w:bCs/>
          <w:color w:val="000000" w:themeColor="text1"/>
          <w:sz w:val="24"/>
          <w:lang w:val="zh-CN"/>
          <w14:textFill>
            <w14:solidFill>
              <w14:schemeClr w14:val="tx1"/>
            </w14:solidFill>
          </w14:textFill>
        </w:rPr>
        <w:t>）其他：</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承担养护范围内的雨水检查井盖的日常管理工作(包括窨井盖补盖工作)。对养护范围内的其他窨井盖，如接到举报或发现窨井盖缺失，应在1小时内用备用井盖覆盖，确保行人、车辆安全，再查找产权单位，</w:t>
      </w:r>
      <w:bookmarkStart w:id="51" w:name="_Hlk117694529"/>
      <w:r>
        <w:rPr>
          <w:rFonts w:hint="eastAsia" w:ascii="仿宋" w:hAnsi="仿宋" w:eastAsia="仿宋" w:cs="仿宋"/>
          <w:color w:val="000000" w:themeColor="text1"/>
          <w:kern w:val="0"/>
          <w:sz w:val="24"/>
          <w:lang w:val="zh-CN"/>
          <w14:textFill>
            <w14:solidFill>
              <w14:schemeClr w14:val="tx1"/>
            </w14:solidFill>
          </w14:textFill>
        </w:rPr>
        <w:t>对道路上确认无主认领、存在安全隐患的检查井予以填埋</w:t>
      </w:r>
      <w:bookmarkEnd w:id="51"/>
      <w:r>
        <w:rPr>
          <w:rFonts w:hint="eastAsia" w:ascii="仿宋" w:hAnsi="仿宋" w:eastAsia="仿宋" w:cs="仿宋"/>
          <w:color w:val="000000" w:themeColor="text1"/>
          <w:kern w:val="0"/>
          <w:sz w:val="24"/>
          <w:lang w:val="zh-CN"/>
          <w14:textFill>
            <w14:solidFill>
              <w14:schemeClr w14:val="tx1"/>
            </w14:solidFill>
          </w14:textFill>
        </w:rPr>
        <w:t>；其余按《杭州市地下管线盖板管理办法》及有关文件、规定执行。</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为进一步保障职工合法权益，按照《关于进一步落实好城管一线职工待遇的通知》（杭城管局〔2019〕103号）文件精神，落实职工待遇，在投标文件中须明确对职工工资、福利待遇等到位情况的要求，若出现集体上访事件，对中标人作出相应处罚。</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3.桥头跳车整治、护栏升级改造、伸缩缝整治满足省、市要求。</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lang w:val="zh-CN"/>
          <w14:textFill>
            <w14:solidFill>
              <w14:schemeClr w14:val="tx1"/>
            </w14:solidFill>
          </w14:textFill>
        </w:rPr>
        <w:t>隧道定期检测、防汛设施设备安装配套满足省、市要求。</w:t>
      </w:r>
    </w:p>
    <w:p>
      <w:pPr>
        <w:snapToGrid w:val="0"/>
        <w:spacing w:line="360" w:lineRule="auto"/>
        <w:outlineLvl w:val="1"/>
        <w:rPr>
          <w:rFonts w:ascii="仿宋" w:hAnsi="仿宋" w:eastAsia="仿宋" w:cs="仿宋"/>
          <w:b/>
          <w:bCs/>
          <w:color w:val="000000" w:themeColor="text1"/>
          <w:sz w:val="24"/>
          <w:u w:val="double"/>
          <w:lang w:val="zh-CN"/>
          <w14:textFill>
            <w14:solidFill>
              <w14:schemeClr w14:val="tx1"/>
            </w14:solidFill>
          </w14:textFill>
        </w:rPr>
      </w:pPr>
      <w:r>
        <w:rPr>
          <w:rFonts w:hint="eastAsia" w:ascii="仿宋" w:hAnsi="仿宋" w:eastAsia="仿宋" w:cs="仿宋"/>
          <w:b/>
          <w:bCs/>
          <w:color w:val="000000" w:themeColor="text1"/>
          <w:sz w:val="24"/>
          <w:u w:val="double"/>
          <w14:textFill>
            <w14:solidFill>
              <w14:schemeClr w14:val="tx1"/>
            </w14:solidFill>
          </w14:textFill>
        </w:rPr>
        <w:t>六、养护设施范围（包括养护道路、桥梁、排水清单设施量、资料卡、明细等）</w:t>
      </w:r>
      <w:r>
        <w:rPr>
          <w:rFonts w:hint="eastAsia" w:ascii="仿宋" w:hAnsi="仿宋" w:eastAsia="仿宋" w:cs="仿宋"/>
          <w:b/>
          <w:bCs/>
          <w:color w:val="000000" w:themeColor="text1"/>
          <w:sz w:val="24"/>
          <w:u w:val="double"/>
          <w:lang w:val="zh-CN"/>
          <w14:textFill>
            <w14:solidFill>
              <w14:schemeClr w14:val="tx1"/>
            </w14:solidFill>
          </w14:textFill>
        </w:rPr>
        <w:t>详见附</w:t>
      </w:r>
      <w:r>
        <w:rPr>
          <w:rFonts w:hint="eastAsia" w:ascii="仿宋" w:hAnsi="仿宋" w:eastAsia="仿宋" w:cs="仿宋"/>
          <w:b/>
          <w:bCs/>
          <w:color w:val="000000" w:themeColor="text1"/>
          <w:sz w:val="24"/>
          <w:u w:val="double"/>
          <w14:textFill>
            <w14:solidFill>
              <w14:schemeClr w14:val="tx1"/>
            </w14:solidFill>
          </w14:textFill>
        </w:rPr>
        <w:t>件</w:t>
      </w:r>
      <w:r>
        <w:rPr>
          <w:rFonts w:hint="eastAsia" w:ascii="仿宋" w:hAnsi="仿宋" w:eastAsia="仿宋" w:cs="仿宋"/>
          <w:b/>
          <w:bCs/>
          <w:color w:val="000000" w:themeColor="text1"/>
          <w:sz w:val="24"/>
          <w:u w:val="double"/>
          <w:lang w:val="zh-CN"/>
          <w14:textFill>
            <w14:solidFill>
              <w14:schemeClr w14:val="tx1"/>
            </w14:solidFill>
          </w14:textFill>
        </w:rPr>
        <w:t>。</w:t>
      </w:r>
    </w:p>
    <w:p>
      <w:pPr>
        <w:spacing w:line="360" w:lineRule="auto"/>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七、商务要求</w:t>
      </w:r>
    </w:p>
    <w:p>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▲（一）报价要求</w:t>
      </w:r>
    </w:p>
    <w:p>
      <w:pPr>
        <w:pStyle w:val="25"/>
        <w:rPr>
          <w:rFonts w:ascii="仿宋" w:hAnsi="仿宋" w:eastAsia="仿宋" w:cs="仿宋"/>
          <w:color w:val="000000" w:themeColor="text1"/>
          <w:szCs w:val="24"/>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1.投标报价应包括为完成本项目全部内容可能发生的各项费用，</w:t>
      </w:r>
      <w:r>
        <w:rPr>
          <w:rFonts w:hint="eastAsia" w:ascii="仿宋_GB2312" w:hAnsi="仿宋" w:eastAsia="仿宋_GB2312"/>
          <w:color w:val="000000" w:themeColor="text1"/>
          <w:kern w:val="0"/>
          <w14:textFill>
            <w14:solidFill>
              <w14:schemeClr w14:val="tx1"/>
            </w14:solidFill>
          </w14:textFill>
        </w:rPr>
        <w:t>即</w:t>
      </w:r>
      <w:r>
        <w:rPr>
          <w:rFonts w:hint="eastAsia" w:ascii="仿宋" w:hAnsi="仿宋" w:eastAsia="仿宋" w:cs="仿宋"/>
          <w:color w:val="000000" w:themeColor="text1"/>
          <w:kern w:val="0"/>
          <w14:textFill>
            <w14:solidFill>
              <w14:schemeClr w14:val="tx1"/>
            </w14:solidFill>
          </w14:textFill>
        </w:rPr>
        <w:t>人工费、材料设备（仪器）费、交通费、通讯费、配件更换费、成果资料打印装订费、企业管理费、利润、税金</w:t>
      </w:r>
      <w:r>
        <w:rPr>
          <w:rFonts w:hint="eastAsia" w:ascii="仿宋_GB2312" w:hAnsi="仿宋" w:eastAsia="仿宋_GB2312"/>
          <w:color w:val="000000" w:themeColor="text1"/>
          <w:kern w:val="0"/>
          <w:lang w:val="en-US"/>
          <w14:textFill>
            <w14:solidFill>
              <w14:schemeClr w14:val="tx1"/>
            </w14:solidFill>
          </w14:textFill>
        </w:rPr>
        <w:t>等</w:t>
      </w:r>
      <w:r>
        <w:rPr>
          <w:rFonts w:hint="eastAsia" w:ascii="仿宋_GB2312" w:hAnsi="仿宋" w:eastAsia="仿宋_GB2312"/>
          <w:color w:val="000000" w:themeColor="text1"/>
          <w:kern w:val="0"/>
          <w14:textFill>
            <w14:solidFill>
              <w14:schemeClr w14:val="tx1"/>
            </w14:solidFill>
          </w14:textFill>
        </w:rPr>
        <w:t>。</w:t>
      </w:r>
    </w:p>
    <w:p>
      <w:pPr>
        <w:pStyle w:val="25"/>
        <w:rPr>
          <w:rFonts w:ascii="仿宋" w:hAnsi="仿宋" w:eastAsia="仿宋" w:cs="仿宋"/>
          <w:b/>
          <w:bCs/>
          <w:color w:val="000000" w:themeColor="text1"/>
          <w:szCs w:val="24"/>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2.人员每月工资不得低于杭州市最低工资标准，每月按时缴纳社会保险。员工加班费支付符合《劳动法》规定。</w:t>
      </w:r>
    </w:p>
    <w:p>
      <w:pPr>
        <w:pStyle w:val="25"/>
        <w:ind w:firstLine="482" w:firstLineChars="20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（二）签订合同</w:t>
      </w: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本项目合同甲方为杭州市上城区综合行政执法局，乙方为中标人，合同款由甲方支付给乙方。</w:t>
      </w: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（三）履约保证金交纳</w:t>
      </w:r>
    </w:p>
    <w:p>
      <w:pPr>
        <w:spacing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▲按《第五部分 拟签订的合同文本》规定。</w:t>
      </w: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（四）付款条件</w:t>
      </w:r>
    </w:p>
    <w:p>
      <w:pPr>
        <w:spacing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▲按《第五部分 拟签订的合同文本》规定。</w:t>
      </w:r>
    </w:p>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八、其他内容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1.合同详见招标文件的</w:t>
      </w:r>
      <w:r>
        <w:rPr>
          <w:rFonts w:hint="eastAsia" w:ascii="仿宋" w:hAnsi="仿宋" w:eastAsia="仿宋" w:cs="仿宋"/>
          <w:b/>
          <w:bCs/>
          <w:color w:val="000000" w:themeColor="text1"/>
          <w:sz w:val="24"/>
          <w:u w:val="single"/>
          <w14:textFill>
            <w14:solidFill>
              <w14:schemeClr w14:val="tx1"/>
            </w14:solidFill>
          </w14:textFill>
        </w:rPr>
        <w:t>《第五部分 拟签订的合同文本》</w:t>
      </w:r>
      <w:r>
        <w:rPr>
          <w:rFonts w:hint="eastAsia" w:ascii="仿宋" w:hAnsi="仿宋" w:eastAsia="仿宋" w:cs="仿宋"/>
          <w:color w:val="000000" w:themeColor="text1"/>
          <w:sz w:val="24"/>
          <w14:textFill>
            <w14:solidFill>
              <w14:schemeClr w14:val="tx1"/>
            </w14:solidFill>
          </w14:textFill>
        </w:rPr>
        <w:t>，投标人应对合同内容进行审核，如有偏离，请在投标文件的“商务技术偏离表”中反映。</w:t>
      </w:r>
    </w:p>
    <w:p>
      <w:pPr>
        <w:wordWrap w:val="0"/>
        <w:spacing w:line="360" w:lineRule="auto"/>
        <w:ind w:firstLine="480" w:firstLineChars="200"/>
        <w:outlineLvl w:val="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2.本项目无属于节能产品品目清单内政府强制采购产品。</w:t>
      </w:r>
      <w:bookmarkEnd w:id="47"/>
      <w:bookmarkEnd w:id="48"/>
      <w:bookmarkEnd w:id="49"/>
      <w:bookmarkStart w:id="52" w:name="_Toc24799"/>
      <w:bookmarkStart w:id="53" w:name="_Toc6657"/>
      <w:bookmarkStart w:id="54" w:name="_Toc22598"/>
    </w:p>
    <w:p>
      <w:pPr>
        <w:wordWrap w:val="0"/>
        <w:spacing w:line="360" w:lineRule="auto"/>
        <w:outlineLvl w:val="2"/>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九、</w:t>
      </w:r>
      <w:r>
        <w:rPr>
          <w:rFonts w:hint="eastAsia" w:ascii="仿宋" w:hAnsi="仿宋" w:eastAsia="仿宋" w:cs="仿宋"/>
          <w:b/>
          <w:bCs/>
          <w:color w:val="000000" w:themeColor="text1"/>
          <w:sz w:val="24"/>
          <w:lang w:val="zh-CN"/>
          <w14:textFill>
            <w14:solidFill>
              <w14:schemeClr w14:val="tx1"/>
            </w14:solidFill>
          </w14:textFill>
        </w:rPr>
        <w:t>联合体参加要求</w:t>
      </w:r>
    </w:p>
    <w:p>
      <w:pPr>
        <w:pStyle w:val="62"/>
        <w:wordWrap w:val="0"/>
        <w:spacing w:after="0" w:line="360" w:lineRule="auto"/>
        <w:ind w:left="0" w:leftChars="0"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若联合体参加的，联合体成员应根据联合协议书中相应承担的工作内容、合同份额进行各自配备相应人员和设施设备，项目负责人、技术负责人由牵头人派遣。</w:t>
      </w:r>
    </w:p>
    <w:p>
      <w:pPr>
        <w:pStyle w:val="62"/>
        <w:wordWrap w:val="0"/>
        <w:spacing w:after="0" w:line="360" w:lineRule="auto"/>
        <w:ind w:left="0" w:leftChars="0"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pPr>
        <w:spacing w:line="360" w:lineRule="auto"/>
        <w:outlineLvl w:val="1"/>
        <w:rPr>
          <w:rFonts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十</w:t>
      </w:r>
      <w:r>
        <w:rPr>
          <w:rFonts w:ascii="仿宋" w:hAnsi="仿宋" w:eastAsia="仿宋" w:cs="仿宋"/>
          <w:b/>
          <w:bCs/>
          <w:color w:val="000000" w:themeColor="text1"/>
          <w:kern w:val="0"/>
          <w:sz w:val="24"/>
          <w14:textFill>
            <w14:solidFill>
              <w14:schemeClr w14:val="tx1"/>
            </w14:solidFill>
          </w14:textFill>
        </w:rPr>
        <w:t>、</w:t>
      </w:r>
      <w:r>
        <w:rPr>
          <w:rFonts w:ascii="仿宋" w:hAnsi="仿宋" w:eastAsia="仿宋" w:cs="仿宋"/>
          <w:b/>
          <w:bCs/>
          <w:color w:val="000000" w:themeColor="text1"/>
          <w:kern w:val="0"/>
          <w:sz w:val="24"/>
          <w:lang w:val="zh-CN"/>
          <w14:textFill>
            <w14:solidFill>
              <w14:schemeClr w14:val="tx1"/>
            </w14:solidFill>
          </w14:textFill>
        </w:rPr>
        <w:t>分包要求</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根据招标文件的规定和采购项目的实际情况，拟在中标后将中标项目的非主体、非关键性的栏杆维修、道路和桥梁结构性检测、cctv检测工作分包的，应当在投标文件中载明分包承担主体，分包承担主体应当具备相应能力且不得再次分包（若非主体、非关键性工作已由联合体成员承担的，则不允许分包）。分包份额不得超过总包单位。投标人须在投标文件中提供分包意向协议，分包单位为中小企业的应在中小企业声明函中声明。</w:t>
      </w:r>
      <w:bookmarkStart w:id="55" w:name="_Toc28895"/>
      <w:bookmarkStart w:id="56" w:name="_Toc12173"/>
    </w:p>
    <w:p>
      <w:pPr>
        <w:spacing w:line="360" w:lineRule="auto"/>
        <w:ind w:firstLine="240" w:firstLineChars="100"/>
        <w:rPr>
          <w:color w:val="000000" w:themeColor="text1"/>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▲2.检测工作应由具有相应检测资质单位承担，投标人无相应检测资质的，则必须分包与具有相应检测资质单位，并在投标文件中提供分包意向协议。合同签订后，</w:t>
      </w:r>
      <w:r>
        <w:rPr>
          <w:rFonts w:hint="eastAsia" w:ascii="仿宋" w:hAnsi="仿宋" w:eastAsia="仿宋" w:cs="仿宋"/>
          <w:color w:val="000000" w:themeColor="text1"/>
          <w:sz w:val="24"/>
          <w14:textFill>
            <w14:solidFill>
              <w14:schemeClr w14:val="tx1"/>
            </w14:solidFill>
          </w14:textFill>
        </w:rPr>
        <w:t>中标人需将分包单位相应信息报招标人确认。若分包单位有变更的，更换后的分包单位应具备相应服务能力。</w:t>
      </w:r>
    </w:p>
    <w:p>
      <w:pPr>
        <w:spacing w:line="360" w:lineRule="auto"/>
        <w:ind w:firstLine="480" w:firstLineChars="200"/>
        <w:rPr>
          <w:rFonts w:ascii="仿宋" w:hAnsi="仿宋" w:eastAsia="仿宋" w:cs="仿宋"/>
          <w:color w:val="000000" w:themeColor="text1"/>
          <w:sz w:val="24"/>
          <w:lang w:bidi="ar"/>
          <w14:textFill>
            <w14:solidFill>
              <w14:schemeClr w14:val="tx1"/>
            </w14:solidFill>
          </w14:textFill>
        </w:rPr>
        <w:sectPr>
          <w:footerReference r:id="rId10" w:type="first"/>
          <w:headerReference r:id="rId8" w:type="default"/>
          <w:footerReference r:id="rId9" w:type="default"/>
          <w:pgSz w:w="11905" w:h="16838"/>
          <w:pgMar w:top="652" w:right="1417" w:bottom="680" w:left="1417" w:header="539" w:footer="425" w:gutter="0"/>
          <w:cols w:space="0" w:num="1"/>
          <w:titlePg/>
        </w:sectPr>
      </w:pPr>
    </w:p>
    <w:p>
      <w:pPr>
        <w:wordWrap w:val="0"/>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bookmarkStart w:id="57" w:name="_Toc14411"/>
      <w:r>
        <w:rPr>
          <w:rFonts w:hint="eastAsia" w:ascii="仿宋" w:hAnsi="仿宋" w:eastAsia="仿宋" w:cs="仿宋"/>
          <w:b/>
          <w:color w:val="000000" w:themeColor="text1"/>
          <w:sz w:val="36"/>
          <w:szCs w:val="36"/>
          <w14:textFill>
            <w14:solidFill>
              <w14:schemeClr w14:val="tx1"/>
            </w14:solidFill>
          </w14:textFill>
        </w:rPr>
        <w:t xml:space="preserve">第四部分 </w:t>
      </w:r>
      <w:bookmarkStart w:id="58" w:name="_Toc184314464"/>
      <w:bookmarkEnd w:id="58"/>
      <w:bookmarkStart w:id="59" w:name="_Toc184312068"/>
      <w:bookmarkEnd w:id="59"/>
      <w:bookmarkStart w:id="60" w:name="_Toc184312085"/>
      <w:bookmarkEnd w:id="60"/>
      <w:bookmarkStart w:id="61" w:name="_Toc184314417"/>
      <w:bookmarkEnd w:id="61"/>
      <w:bookmarkStart w:id="62" w:name="_Toc184310344"/>
      <w:bookmarkEnd w:id="62"/>
      <w:bookmarkStart w:id="63" w:name="_Toc184314474"/>
      <w:bookmarkEnd w:id="63"/>
      <w:bookmarkStart w:id="64" w:name="_Toc184313264"/>
      <w:bookmarkEnd w:id="64"/>
      <w:bookmarkStart w:id="65" w:name="_Toc184314443"/>
      <w:bookmarkEnd w:id="65"/>
      <w:bookmarkStart w:id="66" w:name="_Toc184314432"/>
      <w:bookmarkEnd w:id="66"/>
      <w:bookmarkStart w:id="67" w:name="_Toc184312073"/>
      <w:bookmarkEnd w:id="67"/>
      <w:bookmarkStart w:id="68" w:name="_Toc184313305"/>
      <w:bookmarkEnd w:id="68"/>
      <w:bookmarkStart w:id="69" w:name="_Toc184312092"/>
      <w:bookmarkEnd w:id="69"/>
      <w:bookmarkStart w:id="70" w:name="_Toc184308057"/>
      <w:bookmarkEnd w:id="70"/>
      <w:bookmarkStart w:id="71" w:name="_Toc184313255"/>
      <w:bookmarkEnd w:id="71"/>
      <w:bookmarkStart w:id="72" w:name="_Toc184313257"/>
      <w:bookmarkEnd w:id="72"/>
      <w:bookmarkStart w:id="73" w:name="_Toc184308088"/>
      <w:bookmarkEnd w:id="73"/>
      <w:bookmarkStart w:id="74" w:name="_Toc184308065"/>
      <w:bookmarkEnd w:id="74"/>
      <w:bookmarkStart w:id="75" w:name="_Toc184312121"/>
      <w:bookmarkEnd w:id="75"/>
      <w:bookmarkStart w:id="76" w:name="_Toc184313253"/>
      <w:bookmarkEnd w:id="76"/>
      <w:bookmarkStart w:id="77" w:name="_Toc184312122"/>
      <w:bookmarkEnd w:id="77"/>
      <w:bookmarkStart w:id="78" w:name="_Toc184313259"/>
      <w:bookmarkEnd w:id="78"/>
      <w:bookmarkStart w:id="79" w:name="_Toc184312071"/>
      <w:bookmarkEnd w:id="79"/>
      <w:bookmarkStart w:id="80" w:name="_Toc184308043"/>
      <w:bookmarkEnd w:id="80"/>
      <w:bookmarkStart w:id="81" w:name="_Toc184314481"/>
      <w:bookmarkEnd w:id="81"/>
      <w:bookmarkStart w:id="82" w:name="_Toc184308080"/>
      <w:bookmarkEnd w:id="82"/>
      <w:bookmarkStart w:id="83" w:name="_Toc184308077"/>
      <w:bookmarkEnd w:id="83"/>
      <w:bookmarkStart w:id="84" w:name="_Toc184313310"/>
      <w:bookmarkEnd w:id="84"/>
      <w:bookmarkStart w:id="85" w:name="_Toc184310323"/>
      <w:bookmarkEnd w:id="85"/>
      <w:bookmarkStart w:id="86" w:name="_Toc184310304"/>
      <w:bookmarkEnd w:id="86"/>
      <w:bookmarkStart w:id="87" w:name="_Toc184313258"/>
      <w:bookmarkEnd w:id="87"/>
      <w:bookmarkStart w:id="88" w:name="_Toc184310280"/>
      <w:bookmarkEnd w:id="88"/>
      <w:bookmarkStart w:id="89" w:name="_Toc184310289"/>
      <w:bookmarkEnd w:id="89"/>
      <w:bookmarkStart w:id="90" w:name="_Toc184314414"/>
      <w:bookmarkEnd w:id="90"/>
      <w:bookmarkStart w:id="91" w:name="_Toc184314435"/>
      <w:bookmarkEnd w:id="91"/>
      <w:bookmarkStart w:id="92" w:name="_Toc184308097"/>
      <w:bookmarkEnd w:id="92"/>
      <w:bookmarkStart w:id="93" w:name="_Toc184314477"/>
      <w:bookmarkEnd w:id="93"/>
      <w:bookmarkStart w:id="94" w:name="_Toc184312074"/>
      <w:bookmarkEnd w:id="94"/>
      <w:bookmarkStart w:id="95" w:name="_Toc184312113"/>
      <w:bookmarkEnd w:id="95"/>
      <w:bookmarkStart w:id="96" w:name="_Toc184310307"/>
      <w:bookmarkEnd w:id="96"/>
      <w:bookmarkStart w:id="97" w:name="_Toc184314440"/>
      <w:bookmarkEnd w:id="97"/>
      <w:bookmarkStart w:id="98" w:name="_Toc184312124"/>
      <w:bookmarkEnd w:id="98"/>
      <w:bookmarkStart w:id="99" w:name="_Toc184308093"/>
      <w:bookmarkEnd w:id="99"/>
      <w:bookmarkStart w:id="100" w:name="_Toc184314411"/>
      <w:bookmarkEnd w:id="100"/>
      <w:bookmarkStart w:id="101" w:name="_Toc184308054"/>
      <w:bookmarkEnd w:id="101"/>
      <w:bookmarkStart w:id="102" w:name="_Toc184312132"/>
      <w:bookmarkEnd w:id="102"/>
      <w:bookmarkStart w:id="103" w:name="_Toc184312117"/>
      <w:bookmarkEnd w:id="103"/>
      <w:bookmarkStart w:id="104" w:name="_Toc184314427"/>
      <w:bookmarkEnd w:id="104"/>
      <w:bookmarkStart w:id="105" w:name="_Toc184310313"/>
      <w:bookmarkEnd w:id="105"/>
      <w:bookmarkStart w:id="106" w:name="_Toc184313306"/>
      <w:bookmarkEnd w:id="106"/>
      <w:bookmarkStart w:id="107" w:name="_Toc184313270"/>
      <w:bookmarkEnd w:id="107"/>
      <w:bookmarkStart w:id="108" w:name="_Toc184312082"/>
      <w:bookmarkEnd w:id="108"/>
      <w:bookmarkStart w:id="109" w:name="_Toc184313307"/>
      <w:bookmarkEnd w:id="109"/>
      <w:bookmarkStart w:id="110" w:name="_Toc184312087"/>
      <w:bookmarkEnd w:id="110"/>
      <w:bookmarkStart w:id="111" w:name="_Toc184313296"/>
      <w:bookmarkEnd w:id="111"/>
      <w:bookmarkStart w:id="112" w:name="_Toc184314442"/>
      <w:bookmarkEnd w:id="112"/>
      <w:bookmarkStart w:id="113" w:name="_Toc184308091"/>
      <w:bookmarkEnd w:id="113"/>
      <w:bookmarkStart w:id="114" w:name="_Toc184312089"/>
      <w:bookmarkEnd w:id="114"/>
      <w:bookmarkStart w:id="115" w:name="_Toc184310306"/>
      <w:bookmarkEnd w:id="115"/>
      <w:bookmarkStart w:id="116" w:name="_Toc184308075"/>
      <w:bookmarkEnd w:id="116"/>
      <w:bookmarkStart w:id="117" w:name="_Toc184314412"/>
      <w:bookmarkEnd w:id="117"/>
      <w:bookmarkStart w:id="118" w:name="_Toc184314454"/>
      <w:bookmarkEnd w:id="118"/>
      <w:bookmarkStart w:id="119" w:name="_Toc184312131"/>
      <w:bookmarkEnd w:id="119"/>
      <w:bookmarkStart w:id="120" w:name="_Toc184312097"/>
      <w:bookmarkEnd w:id="120"/>
      <w:bookmarkStart w:id="121" w:name="_Toc184310343"/>
      <w:bookmarkEnd w:id="121"/>
      <w:bookmarkStart w:id="122" w:name="_Toc184313248"/>
      <w:bookmarkEnd w:id="122"/>
      <w:bookmarkStart w:id="123" w:name="_Toc184310326"/>
      <w:bookmarkEnd w:id="123"/>
      <w:bookmarkStart w:id="124" w:name="_Toc184308076"/>
      <w:bookmarkEnd w:id="124"/>
      <w:bookmarkStart w:id="125" w:name="_Toc184313268"/>
      <w:bookmarkEnd w:id="125"/>
      <w:bookmarkStart w:id="126" w:name="_Toc184312083"/>
      <w:bookmarkEnd w:id="126"/>
      <w:bookmarkStart w:id="127" w:name="_Toc184308107"/>
      <w:bookmarkEnd w:id="127"/>
      <w:bookmarkStart w:id="128" w:name="_Toc184314425"/>
      <w:bookmarkEnd w:id="128"/>
      <w:bookmarkStart w:id="129" w:name="_Toc184312101"/>
      <w:bookmarkEnd w:id="129"/>
      <w:bookmarkStart w:id="130" w:name="_Toc184308067"/>
      <w:bookmarkEnd w:id="130"/>
      <w:bookmarkStart w:id="131" w:name="_Toc184314462"/>
      <w:bookmarkEnd w:id="131"/>
      <w:bookmarkStart w:id="132" w:name="_Toc184312102"/>
      <w:bookmarkEnd w:id="132"/>
      <w:bookmarkStart w:id="133" w:name="_Toc184310315"/>
      <w:bookmarkEnd w:id="133"/>
      <w:bookmarkStart w:id="134" w:name="_Toc184312100"/>
      <w:bookmarkEnd w:id="134"/>
      <w:bookmarkStart w:id="135" w:name="_Toc184312077"/>
      <w:bookmarkEnd w:id="135"/>
      <w:bookmarkStart w:id="136" w:name="_Toc184312086"/>
      <w:bookmarkEnd w:id="136"/>
      <w:bookmarkStart w:id="137" w:name="_Toc184310337"/>
      <w:bookmarkEnd w:id="137"/>
      <w:bookmarkStart w:id="138" w:name="_Toc184310274"/>
      <w:bookmarkEnd w:id="138"/>
      <w:bookmarkStart w:id="139" w:name="_Toc184310281"/>
      <w:bookmarkEnd w:id="139"/>
      <w:bookmarkStart w:id="140" w:name="_Toc184310296"/>
      <w:bookmarkEnd w:id="140"/>
      <w:bookmarkStart w:id="141" w:name="_Toc184314451"/>
      <w:bookmarkEnd w:id="141"/>
      <w:bookmarkStart w:id="142" w:name="_Toc184312070"/>
      <w:bookmarkEnd w:id="142"/>
      <w:bookmarkStart w:id="143" w:name="_Toc184313303"/>
      <w:bookmarkEnd w:id="143"/>
      <w:bookmarkStart w:id="144" w:name="_Toc184314422"/>
      <w:bookmarkEnd w:id="144"/>
      <w:bookmarkStart w:id="145" w:name="_Toc184308042"/>
      <w:bookmarkEnd w:id="145"/>
      <w:bookmarkStart w:id="146" w:name="_Toc184312080"/>
      <w:bookmarkEnd w:id="146"/>
      <w:bookmarkStart w:id="147" w:name="_Toc184312139"/>
      <w:bookmarkEnd w:id="147"/>
      <w:bookmarkStart w:id="148" w:name="_Toc184308064"/>
      <w:bookmarkEnd w:id="148"/>
      <w:bookmarkStart w:id="149" w:name="_Toc184310299"/>
      <w:bookmarkEnd w:id="149"/>
      <w:bookmarkStart w:id="150" w:name="_Toc184310301"/>
      <w:bookmarkEnd w:id="150"/>
      <w:bookmarkStart w:id="151" w:name="_Toc184308052"/>
      <w:bookmarkEnd w:id="151"/>
      <w:bookmarkStart w:id="152" w:name="_Toc184308062"/>
      <w:bookmarkEnd w:id="152"/>
      <w:bookmarkStart w:id="153" w:name="_Toc184314434"/>
      <w:bookmarkEnd w:id="153"/>
      <w:bookmarkStart w:id="154" w:name="_Toc184310318"/>
      <w:bookmarkEnd w:id="154"/>
      <w:bookmarkStart w:id="155" w:name="_Toc184313249"/>
      <w:bookmarkEnd w:id="155"/>
      <w:bookmarkStart w:id="156" w:name="_Toc184314468"/>
      <w:bookmarkEnd w:id="156"/>
      <w:bookmarkStart w:id="157" w:name="_Toc184313308"/>
      <w:bookmarkEnd w:id="157"/>
      <w:bookmarkStart w:id="158" w:name="_Toc184308041"/>
      <w:bookmarkEnd w:id="158"/>
      <w:bookmarkStart w:id="159" w:name="_Toc184310309"/>
      <w:bookmarkEnd w:id="159"/>
      <w:bookmarkStart w:id="160" w:name="_Toc184310320"/>
      <w:bookmarkEnd w:id="160"/>
      <w:bookmarkStart w:id="161" w:name="_Toc184312130"/>
      <w:bookmarkEnd w:id="161"/>
      <w:bookmarkStart w:id="162" w:name="_Toc184310316"/>
      <w:bookmarkEnd w:id="162"/>
      <w:bookmarkStart w:id="163" w:name="_Toc184313304"/>
      <w:bookmarkEnd w:id="163"/>
      <w:bookmarkStart w:id="164" w:name="_Toc184308059"/>
      <w:bookmarkEnd w:id="164"/>
      <w:bookmarkStart w:id="165" w:name="_Toc184310342"/>
      <w:bookmarkEnd w:id="165"/>
      <w:bookmarkStart w:id="166" w:name="_Toc184314456"/>
      <w:bookmarkEnd w:id="166"/>
      <w:bookmarkStart w:id="167" w:name="_Toc184314470"/>
      <w:bookmarkEnd w:id="167"/>
      <w:bookmarkStart w:id="168" w:name="_Toc184310305"/>
      <w:bookmarkEnd w:id="168"/>
      <w:bookmarkStart w:id="169" w:name="_Toc184313251"/>
      <w:bookmarkEnd w:id="169"/>
      <w:bookmarkStart w:id="170" w:name="_Toc184314475"/>
      <w:bookmarkEnd w:id="170"/>
      <w:bookmarkStart w:id="171" w:name="_Toc184314472"/>
      <w:bookmarkEnd w:id="171"/>
      <w:bookmarkStart w:id="172" w:name="_Toc184310294"/>
      <w:bookmarkEnd w:id="172"/>
      <w:bookmarkStart w:id="173" w:name="_Toc184310303"/>
      <w:bookmarkEnd w:id="173"/>
      <w:bookmarkStart w:id="174" w:name="_Toc184308098"/>
      <w:bookmarkEnd w:id="174"/>
      <w:bookmarkStart w:id="175" w:name="_Toc184314439"/>
      <w:bookmarkEnd w:id="175"/>
      <w:bookmarkStart w:id="176" w:name="_Toc184314423"/>
      <w:bookmarkEnd w:id="176"/>
      <w:bookmarkStart w:id="177" w:name="_Toc184312118"/>
      <w:bookmarkEnd w:id="177"/>
      <w:bookmarkStart w:id="178" w:name="_Toc184310279"/>
      <w:bookmarkEnd w:id="178"/>
      <w:bookmarkStart w:id="179" w:name="_Toc184308106"/>
      <w:bookmarkEnd w:id="179"/>
      <w:bookmarkStart w:id="180" w:name="_Toc184310308"/>
      <w:bookmarkEnd w:id="180"/>
      <w:bookmarkStart w:id="181" w:name="_Toc184313287"/>
      <w:bookmarkEnd w:id="181"/>
      <w:bookmarkStart w:id="182" w:name="_Toc184314446"/>
      <w:bookmarkEnd w:id="182"/>
      <w:bookmarkStart w:id="183" w:name="_Toc184308038"/>
      <w:bookmarkEnd w:id="183"/>
      <w:bookmarkStart w:id="184" w:name="_Toc184312120"/>
      <w:bookmarkEnd w:id="184"/>
      <w:bookmarkStart w:id="185" w:name="_Toc184310317"/>
      <w:bookmarkEnd w:id="185"/>
      <w:bookmarkStart w:id="186" w:name="_Toc184312110"/>
      <w:bookmarkEnd w:id="186"/>
      <w:bookmarkStart w:id="187" w:name="_Toc184310277"/>
      <w:bookmarkEnd w:id="187"/>
      <w:bookmarkStart w:id="188" w:name="_Toc184308094"/>
      <w:bookmarkEnd w:id="188"/>
      <w:bookmarkStart w:id="189" w:name="_Toc184312096"/>
      <w:bookmarkEnd w:id="189"/>
      <w:bookmarkStart w:id="190" w:name="_Toc184312105"/>
      <w:bookmarkEnd w:id="190"/>
      <w:bookmarkStart w:id="191" w:name="_Toc184313301"/>
      <w:bookmarkEnd w:id="191"/>
      <w:bookmarkStart w:id="192" w:name="_Toc184308070"/>
      <w:bookmarkEnd w:id="192"/>
      <w:bookmarkStart w:id="193" w:name="_Toc184308084"/>
      <w:bookmarkEnd w:id="193"/>
      <w:bookmarkStart w:id="194" w:name="_Toc184312111"/>
      <w:bookmarkEnd w:id="194"/>
      <w:bookmarkStart w:id="195" w:name="_Toc184310288"/>
      <w:bookmarkEnd w:id="195"/>
      <w:bookmarkStart w:id="196" w:name="_Toc184310339"/>
      <w:bookmarkEnd w:id="196"/>
      <w:bookmarkStart w:id="197" w:name="_Toc184310273"/>
      <w:bookmarkEnd w:id="197"/>
      <w:bookmarkStart w:id="198" w:name="_Toc184313277"/>
      <w:bookmarkEnd w:id="198"/>
      <w:bookmarkStart w:id="199" w:name="_Toc184313294"/>
      <w:bookmarkEnd w:id="199"/>
      <w:bookmarkStart w:id="200" w:name="_Toc184313239"/>
      <w:bookmarkEnd w:id="200"/>
      <w:bookmarkStart w:id="201" w:name="_Toc184310336"/>
      <w:bookmarkEnd w:id="201"/>
      <w:bookmarkStart w:id="202" w:name="_Toc184308063"/>
      <w:bookmarkEnd w:id="202"/>
      <w:bookmarkStart w:id="203" w:name="_Toc184308102"/>
      <w:bookmarkEnd w:id="203"/>
      <w:bookmarkStart w:id="204" w:name="_Toc184308069"/>
      <w:bookmarkEnd w:id="204"/>
      <w:bookmarkStart w:id="205" w:name="_Toc184308060"/>
      <w:bookmarkEnd w:id="205"/>
      <w:bookmarkStart w:id="206" w:name="_Toc184312088"/>
      <w:bookmarkEnd w:id="206"/>
      <w:bookmarkStart w:id="207" w:name="_Toc184314471"/>
      <w:bookmarkEnd w:id="207"/>
      <w:bookmarkStart w:id="208" w:name="_Toc184308051"/>
      <w:bookmarkEnd w:id="208"/>
      <w:bookmarkStart w:id="209" w:name="_Toc184310324"/>
      <w:bookmarkEnd w:id="209"/>
      <w:bookmarkStart w:id="210" w:name="_Toc184313282"/>
      <w:bookmarkEnd w:id="210"/>
      <w:bookmarkStart w:id="211" w:name="_Toc184314473"/>
      <w:bookmarkEnd w:id="211"/>
      <w:bookmarkStart w:id="212" w:name="_Toc184308079"/>
      <w:bookmarkEnd w:id="212"/>
      <w:bookmarkStart w:id="213" w:name="_Toc184310293"/>
      <w:bookmarkEnd w:id="213"/>
      <w:bookmarkStart w:id="214" w:name="_Toc184310283"/>
      <w:bookmarkEnd w:id="214"/>
      <w:bookmarkStart w:id="215" w:name="_Toc184312069"/>
      <w:bookmarkEnd w:id="215"/>
      <w:bookmarkStart w:id="216" w:name="_Toc184308055"/>
      <w:bookmarkEnd w:id="216"/>
      <w:bookmarkStart w:id="217" w:name="_Toc184310330"/>
      <w:bookmarkEnd w:id="217"/>
      <w:bookmarkStart w:id="218" w:name="_Toc184312114"/>
      <w:bookmarkEnd w:id="218"/>
      <w:bookmarkStart w:id="219" w:name="_Toc184308049"/>
      <w:bookmarkEnd w:id="219"/>
      <w:bookmarkStart w:id="220" w:name="_Toc184313245"/>
      <w:bookmarkEnd w:id="220"/>
      <w:bookmarkStart w:id="221" w:name="_Toc184308090"/>
      <w:bookmarkEnd w:id="221"/>
      <w:bookmarkStart w:id="222" w:name="_Toc184312106"/>
      <w:bookmarkEnd w:id="222"/>
      <w:bookmarkStart w:id="223" w:name="_Toc184308048"/>
      <w:bookmarkEnd w:id="223"/>
      <w:bookmarkStart w:id="224" w:name="_Toc184314455"/>
      <w:bookmarkEnd w:id="224"/>
      <w:bookmarkStart w:id="225" w:name="_Toc184308103"/>
      <w:bookmarkEnd w:id="225"/>
      <w:bookmarkStart w:id="226" w:name="_Toc184310302"/>
      <w:bookmarkEnd w:id="226"/>
      <w:bookmarkStart w:id="227" w:name="_Toc184312138"/>
      <w:bookmarkEnd w:id="227"/>
      <w:bookmarkStart w:id="228" w:name="_Toc184312103"/>
      <w:bookmarkEnd w:id="228"/>
      <w:bookmarkStart w:id="229" w:name="_Toc184312109"/>
      <w:bookmarkEnd w:id="229"/>
      <w:bookmarkStart w:id="230" w:name="_Toc184314419"/>
      <w:bookmarkEnd w:id="230"/>
      <w:bookmarkStart w:id="231" w:name="_Toc184313281"/>
      <w:bookmarkEnd w:id="231"/>
      <w:bookmarkStart w:id="232" w:name="_Toc184310319"/>
      <w:bookmarkEnd w:id="232"/>
      <w:bookmarkStart w:id="233" w:name="_Toc184314463"/>
      <w:bookmarkEnd w:id="233"/>
      <w:bookmarkStart w:id="234" w:name="_Toc184314445"/>
      <w:bookmarkEnd w:id="234"/>
      <w:bookmarkStart w:id="235" w:name="_Toc184313263"/>
      <w:bookmarkEnd w:id="235"/>
      <w:bookmarkStart w:id="236" w:name="_Toc184313266"/>
      <w:bookmarkEnd w:id="236"/>
      <w:bookmarkStart w:id="237" w:name="_Toc184308058"/>
      <w:bookmarkEnd w:id="237"/>
      <w:bookmarkStart w:id="238" w:name="_Toc184310290"/>
      <w:bookmarkEnd w:id="238"/>
      <w:bookmarkStart w:id="239" w:name="_Toc184312098"/>
      <w:bookmarkEnd w:id="239"/>
      <w:bookmarkStart w:id="240" w:name="_Toc184310295"/>
      <w:bookmarkEnd w:id="240"/>
      <w:bookmarkStart w:id="241" w:name="_Toc184314413"/>
      <w:bookmarkEnd w:id="241"/>
      <w:bookmarkStart w:id="242" w:name="_Toc184310341"/>
      <w:bookmarkEnd w:id="242"/>
      <w:bookmarkStart w:id="243" w:name="_Toc184312079"/>
      <w:bookmarkEnd w:id="243"/>
      <w:bookmarkStart w:id="244" w:name="_Toc184314418"/>
      <w:bookmarkEnd w:id="244"/>
      <w:bookmarkStart w:id="245" w:name="_Toc184313280"/>
      <w:bookmarkEnd w:id="245"/>
      <w:bookmarkStart w:id="246" w:name="_Toc184314410"/>
      <w:bookmarkEnd w:id="246"/>
      <w:bookmarkStart w:id="247" w:name="_Toc184314447"/>
      <w:bookmarkEnd w:id="247"/>
      <w:bookmarkStart w:id="248" w:name="_Toc184312075"/>
      <w:bookmarkEnd w:id="248"/>
      <w:bookmarkStart w:id="249" w:name="_Toc184312084"/>
      <w:bookmarkEnd w:id="249"/>
      <w:bookmarkStart w:id="250" w:name="_Toc184308040"/>
      <w:bookmarkEnd w:id="250"/>
      <w:bookmarkStart w:id="251" w:name="_Toc184313267"/>
      <w:bookmarkEnd w:id="251"/>
      <w:bookmarkStart w:id="252" w:name="_Toc184310321"/>
      <w:bookmarkEnd w:id="252"/>
      <w:bookmarkStart w:id="253" w:name="_Toc184312136"/>
      <w:bookmarkEnd w:id="253"/>
      <w:bookmarkStart w:id="254" w:name="_Toc184312067"/>
      <w:bookmarkEnd w:id="254"/>
      <w:bookmarkStart w:id="255" w:name="_Toc184314478"/>
      <w:bookmarkEnd w:id="255"/>
      <w:bookmarkStart w:id="256" w:name="_Toc184313283"/>
      <w:bookmarkEnd w:id="256"/>
      <w:bookmarkStart w:id="257" w:name="_Toc184314450"/>
      <w:bookmarkEnd w:id="257"/>
      <w:bookmarkStart w:id="258" w:name="_Toc184313244"/>
      <w:bookmarkEnd w:id="258"/>
      <w:bookmarkStart w:id="259" w:name="_Toc184308072"/>
      <w:bookmarkEnd w:id="259"/>
      <w:bookmarkStart w:id="260" w:name="_Toc184312072"/>
      <w:bookmarkEnd w:id="260"/>
      <w:bookmarkStart w:id="261" w:name="_Toc184312128"/>
      <w:bookmarkEnd w:id="261"/>
      <w:bookmarkStart w:id="262" w:name="_Toc184314449"/>
      <w:bookmarkEnd w:id="262"/>
      <w:bookmarkStart w:id="263" w:name="_Toc184313275"/>
      <w:bookmarkEnd w:id="263"/>
      <w:bookmarkStart w:id="264" w:name="_Toc184314415"/>
      <w:bookmarkEnd w:id="264"/>
      <w:bookmarkStart w:id="265" w:name="_Toc184308046"/>
      <w:bookmarkEnd w:id="265"/>
      <w:bookmarkStart w:id="266" w:name="_Toc184308087"/>
      <w:bookmarkEnd w:id="266"/>
      <w:bookmarkStart w:id="267" w:name="_Toc184314431"/>
      <w:bookmarkEnd w:id="267"/>
      <w:bookmarkStart w:id="268" w:name="_Toc184312134"/>
      <w:bookmarkEnd w:id="268"/>
      <w:bookmarkStart w:id="269" w:name="_Toc184312099"/>
      <w:bookmarkEnd w:id="269"/>
      <w:bookmarkStart w:id="270" w:name="_Toc184314448"/>
      <w:bookmarkEnd w:id="270"/>
      <w:bookmarkStart w:id="271" w:name="_Toc184310338"/>
      <w:bookmarkEnd w:id="271"/>
      <w:bookmarkStart w:id="272" w:name="_Toc184313291"/>
      <w:bookmarkEnd w:id="272"/>
      <w:bookmarkStart w:id="273" w:name="_Toc184313286"/>
      <w:bookmarkEnd w:id="273"/>
      <w:bookmarkStart w:id="274" w:name="_Toc184314467"/>
      <w:bookmarkEnd w:id="274"/>
      <w:bookmarkStart w:id="275" w:name="_Toc184313261"/>
      <w:bookmarkEnd w:id="275"/>
      <w:bookmarkStart w:id="276" w:name="_Toc184314476"/>
      <w:bookmarkEnd w:id="276"/>
      <w:bookmarkStart w:id="277" w:name="_Toc184314441"/>
      <w:bookmarkEnd w:id="277"/>
      <w:bookmarkStart w:id="278" w:name="_Toc184313247"/>
      <w:bookmarkEnd w:id="278"/>
      <w:bookmarkStart w:id="279" w:name="_Toc184313288"/>
      <w:bookmarkEnd w:id="279"/>
      <w:bookmarkStart w:id="280" w:name="_Toc184310297"/>
      <w:bookmarkEnd w:id="280"/>
      <w:bookmarkStart w:id="281" w:name="_Toc184312078"/>
      <w:bookmarkEnd w:id="281"/>
      <w:bookmarkStart w:id="282" w:name="_Toc184308081"/>
      <w:bookmarkEnd w:id="282"/>
      <w:bookmarkStart w:id="283" w:name="_Toc184313254"/>
      <w:bookmarkEnd w:id="283"/>
      <w:bookmarkStart w:id="284" w:name="_Toc184312108"/>
      <w:bookmarkEnd w:id="284"/>
      <w:bookmarkStart w:id="285" w:name="_Toc184314482"/>
      <w:bookmarkEnd w:id="285"/>
      <w:bookmarkStart w:id="286" w:name="_Toc184314416"/>
      <w:bookmarkEnd w:id="286"/>
      <w:bookmarkStart w:id="287" w:name="_Toc184313262"/>
      <w:bookmarkEnd w:id="287"/>
      <w:bookmarkStart w:id="288" w:name="_Toc184314480"/>
      <w:bookmarkEnd w:id="288"/>
      <w:bookmarkStart w:id="289" w:name="_Toc184308108"/>
      <w:bookmarkEnd w:id="289"/>
      <w:bookmarkStart w:id="290" w:name="_Toc184310286"/>
      <w:bookmarkEnd w:id="290"/>
      <w:bookmarkStart w:id="291" w:name="_Toc184312107"/>
      <w:bookmarkEnd w:id="291"/>
      <w:bookmarkStart w:id="292" w:name="_Toc184308085"/>
      <w:bookmarkEnd w:id="292"/>
      <w:bookmarkStart w:id="293" w:name="_Toc184313238"/>
      <w:bookmarkEnd w:id="293"/>
      <w:bookmarkStart w:id="294" w:name="_Toc184308045"/>
      <w:bookmarkEnd w:id="294"/>
      <w:bookmarkStart w:id="295" w:name="_Toc184310312"/>
      <w:bookmarkEnd w:id="295"/>
      <w:bookmarkStart w:id="296" w:name="_Toc184308053"/>
      <w:bookmarkEnd w:id="296"/>
      <w:bookmarkStart w:id="297" w:name="_Toc184314469"/>
      <w:bookmarkEnd w:id="297"/>
      <w:bookmarkStart w:id="298" w:name="_Toc184313309"/>
      <w:bookmarkEnd w:id="298"/>
      <w:bookmarkStart w:id="299" w:name="_Toc184313271"/>
      <w:bookmarkEnd w:id="299"/>
      <w:bookmarkStart w:id="300" w:name="_Toc184310282"/>
      <w:bookmarkEnd w:id="300"/>
      <w:bookmarkStart w:id="301" w:name="_Toc184313250"/>
      <w:bookmarkEnd w:id="301"/>
      <w:bookmarkStart w:id="302" w:name="_Toc184314420"/>
      <w:bookmarkEnd w:id="302"/>
      <w:bookmarkStart w:id="303" w:name="_Toc184313293"/>
      <w:bookmarkEnd w:id="303"/>
      <w:bookmarkStart w:id="304" w:name="_Toc184310334"/>
      <w:bookmarkEnd w:id="304"/>
      <w:bookmarkStart w:id="305" w:name="_Toc184310291"/>
      <w:bookmarkEnd w:id="305"/>
      <w:bookmarkStart w:id="306" w:name="_Toc184313295"/>
      <w:bookmarkEnd w:id="306"/>
      <w:bookmarkStart w:id="307" w:name="_Toc184310298"/>
      <w:bookmarkEnd w:id="307"/>
      <w:bookmarkStart w:id="308" w:name="_Toc184310332"/>
      <w:bookmarkEnd w:id="308"/>
      <w:bookmarkStart w:id="309" w:name="_Toc184308100"/>
      <w:bookmarkEnd w:id="309"/>
      <w:bookmarkStart w:id="310" w:name="_Toc184314457"/>
      <w:bookmarkEnd w:id="310"/>
      <w:bookmarkStart w:id="311" w:name="_Toc184312091"/>
      <w:bookmarkEnd w:id="311"/>
      <w:bookmarkStart w:id="312" w:name="_Toc184313297"/>
      <w:bookmarkEnd w:id="312"/>
      <w:bookmarkStart w:id="313" w:name="_Toc184312076"/>
      <w:bookmarkEnd w:id="313"/>
      <w:bookmarkStart w:id="314" w:name="_Toc184308056"/>
      <w:bookmarkEnd w:id="314"/>
      <w:bookmarkStart w:id="315" w:name="_Toc184312104"/>
      <w:bookmarkEnd w:id="315"/>
      <w:bookmarkStart w:id="316" w:name="_Toc184313298"/>
      <w:bookmarkEnd w:id="316"/>
      <w:bookmarkStart w:id="317" w:name="_Toc184310322"/>
      <w:bookmarkEnd w:id="317"/>
      <w:bookmarkStart w:id="318" w:name="_Toc184314429"/>
      <w:bookmarkEnd w:id="318"/>
      <w:bookmarkStart w:id="319" w:name="_Toc184310276"/>
      <w:bookmarkEnd w:id="319"/>
      <w:bookmarkStart w:id="320" w:name="_Toc184313273"/>
      <w:bookmarkEnd w:id="320"/>
      <w:bookmarkStart w:id="321" w:name="_Toc184312093"/>
      <w:bookmarkEnd w:id="321"/>
      <w:bookmarkStart w:id="322" w:name="_Toc184308099"/>
      <w:bookmarkEnd w:id="322"/>
      <w:bookmarkStart w:id="323" w:name="_Toc184310285"/>
      <w:bookmarkEnd w:id="323"/>
      <w:bookmarkStart w:id="324" w:name="_Toc184310325"/>
      <w:bookmarkEnd w:id="324"/>
      <w:bookmarkStart w:id="325" w:name="_Toc184313260"/>
      <w:bookmarkEnd w:id="325"/>
      <w:bookmarkStart w:id="326" w:name="_Toc184312095"/>
      <w:bookmarkEnd w:id="326"/>
      <w:bookmarkStart w:id="327" w:name="_Toc184308101"/>
      <w:bookmarkEnd w:id="327"/>
      <w:bookmarkStart w:id="328" w:name="_Toc184310333"/>
      <w:bookmarkEnd w:id="328"/>
      <w:bookmarkStart w:id="329" w:name="_Toc184312123"/>
      <w:bookmarkEnd w:id="329"/>
      <w:bookmarkStart w:id="330" w:name="_Toc184310340"/>
      <w:bookmarkEnd w:id="330"/>
      <w:bookmarkStart w:id="331" w:name="_Toc184313269"/>
      <w:bookmarkEnd w:id="331"/>
      <w:bookmarkStart w:id="332" w:name="_Toc184312129"/>
      <w:bookmarkEnd w:id="332"/>
      <w:bookmarkStart w:id="333" w:name="_Toc184312119"/>
      <w:bookmarkEnd w:id="333"/>
      <w:bookmarkStart w:id="334" w:name="_Toc184310310"/>
      <w:bookmarkEnd w:id="334"/>
      <w:bookmarkStart w:id="335" w:name="_Toc184310272"/>
      <w:bookmarkEnd w:id="335"/>
      <w:bookmarkStart w:id="336" w:name="_Toc184310284"/>
      <w:bookmarkEnd w:id="336"/>
      <w:bookmarkStart w:id="337" w:name="_Toc184312090"/>
      <w:bookmarkEnd w:id="337"/>
      <w:bookmarkStart w:id="338" w:name="_Toc184313242"/>
      <w:bookmarkEnd w:id="338"/>
      <w:bookmarkStart w:id="339" w:name="_Toc184310287"/>
      <w:bookmarkEnd w:id="339"/>
      <w:bookmarkStart w:id="340" w:name="_Toc184314430"/>
      <w:bookmarkEnd w:id="340"/>
      <w:bookmarkStart w:id="341" w:name="_Toc184313299"/>
      <w:bookmarkEnd w:id="341"/>
      <w:bookmarkStart w:id="342" w:name="_Toc184314452"/>
      <w:bookmarkEnd w:id="342"/>
      <w:bookmarkStart w:id="343" w:name="_Toc184313289"/>
      <w:bookmarkEnd w:id="343"/>
      <w:bookmarkStart w:id="344" w:name="_Toc184314466"/>
      <w:bookmarkEnd w:id="344"/>
      <w:bookmarkStart w:id="345" w:name="_Toc184308036"/>
      <w:bookmarkEnd w:id="345"/>
      <w:bookmarkStart w:id="346" w:name="_Toc184314459"/>
      <w:bookmarkEnd w:id="346"/>
      <w:bookmarkStart w:id="347" w:name="_Toc184310335"/>
      <w:bookmarkEnd w:id="347"/>
      <w:bookmarkStart w:id="348" w:name="_Toc184312112"/>
      <w:bookmarkEnd w:id="348"/>
      <w:bookmarkStart w:id="349" w:name="_Toc184314453"/>
      <w:bookmarkEnd w:id="349"/>
      <w:bookmarkStart w:id="350" w:name="_Toc184308037"/>
      <w:bookmarkEnd w:id="350"/>
      <w:bookmarkStart w:id="351" w:name="_Toc184308068"/>
      <w:bookmarkEnd w:id="351"/>
      <w:bookmarkStart w:id="352" w:name="_Toc184313241"/>
      <w:bookmarkEnd w:id="352"/>
      <w:bookmarkStart w:id="353" w:name="_Toc184312133"/>
      <w:bookmarkEnd w:id="353"/>
      <w:bookmarkStart w:id="354" w:name="_Toc184314460"/>
      <w:bookmarkEnd w:id="354"/>
      <w:bookmarkStart w:id="355" w:name="_Toc184313246"/>
      <w:bookmarkEnd w:id="355"/>
      <w:bookmarkStart w:id="356" w:name="_Toc184308074"/>
      <w:bookmarkEnd w:id="356"/>
      <w:bookmarkStart w:id="357" w:name="_Toc184308092"/>
      <w:bookmarkEnd w:id="357"/>
      <w:bookmarkStart w:id="358" w:name="_Toc184308105"/>
      <w:bookmarkEnd w:id="358"/>
      <w:bookmarkStart w:id="359" w:name="_Toc184308078"/>
      <w:bookmarkEnd w:id="359"/>
      <w:bookmarkStart w:id="360" w:name="_Toc184313290"/>
      <w:bookmarkEnd w:id="360"/>
      <w:bookmarkStart w:id="361" w:name="_Toc184313278"/>
      <w:bookmarkEnd w:id="361"/>
      <w:bookmarkStart w:id="362" w:name="_Toc184313240"/>
      <w:bookmarkEnd w:id="362"/>
      <w:bookmarkStart w:id="363" w:name="_Toc184314428"/>
      <w:bookmarkEnd w:id="363"/>
      <w:bookmarkStart w:id="364" w:name="_Toc184308047"/>
      <w:bookmarkEnd w:id="364"/>
      <w:bookmarkStart w:id="365" w:name="_Toc184308044"/>
      <w:bookmarkEnd w:id="365"/>
      <w:bookmarkStart w:id="366" w:name="_Toc184314479"/>
      <w:bookmarkEnd w:id="366"/>
      <w:bookmarkStart w:id="367" w:name="_Toc184310328"/>
      <w:bookmarkEnd w:id="367"/>
      <w:bookmarkStart w:id="368" w:name="_Toc184308089"/>
      <w:bookmarkEnd w:id="368"/>
      <w:bookmarkStart w:id="369" w:name="_Toc184308073"/>
      <w:bookmarkEnd w:id="369"/>
      <w:bookmarkStart w:id="370" w:name="_Toc184314424"/>
      <w:bookmarkEnd w:id="370"/>
      <w:bookmarkStart w:id="371" w:name="_Toc184312137"/>
      <w:bookmarkEnd w:id="371"/>
      <w:bookmarkStart w:id="372" w:name="_Toc184313243"/>
      <w:bookmarkEnd w:id="372"/>
      <w:bookmarkStart w:id="373" w:name="_Toc184312125"/>
      <w:bookmarkEnd w:id="373"/>
      <w:bookmarkStart w:id="374" w:name="_Toc184313285"/>
      <w:bookmarkEnd w:id="374"/>
      <w:bookmarkStart w:id="375" w:name="_Toc184313265"/>
      <w:bookmarkEnd w:id="375"/>
      <w:bookmarkStart w:id="376" w:name="_Toc184314438"/>
      <w:bookmarkEnd w:id="376"/>
      <w:bookmarkStart w:id="377" w:name="_Toc184308086"/>
      <w:bookmarkEnd w:id="377"/>
      <w:bookmarkStart w:id="378" w:name="_Toc184310311"/>
      <w:bookmarkEnd w:id="378"/>
      <w:bookmarkStart w:id="379" w:name="_Toc184312126"/>
      <w:bookmarkEnd w:id="379"/>
      <w:bookmarkStart w:id="380" w:name="_Toc184308083"/>
      <w:bookmarkEnd w:id="380"/>
      <w:bookmarkStart w:id="381" w:name="_Toc184314461"/>
      <w:bookmarkEnd w:id="381"/>
      <w:bookmarkStart w:id="382" w:name="_Toc184313279"/>
      <w:bookmarkEnd w:id="382"/>
      <w:bookmarkStart w:id="383" w:name="_Toc184308050"/>
      <w:bookmarkEnd w:id="383"/>
      <w:bookmarkStart w:id="384" w:name="_Toc184313284"/>
      <w:bookmarkEnd w:id="384"/>
      <w:bookmarkStart w:id="385" w:name="_Toc184310314"/>
      <w:bookmarkEnd w:id="385"/>
      <w:bookmarkStart w:id="386" w:name="_Toc184308082"/>
      <w:bookmarkEnd w:id="386"/>
      <w:bookmarkStart w:id="387" w:name="_Toc184314421"/>
      <w:bookmarkEnd w:id="387"/>
      <w:bookmarkStart w:id="388" w:name="_Toc184308095"/>
      <w:bookmarkEnd w:id="388"/>
      <w:bookmarkStart w:id="389" w:name="_Toc184308104"/>
      <w:bookmarkEnd w:id="389"/>
      <w:bookmarkStart w:id="390" w:name="_Toc184310329"/>
      <w:bookmarkEnd w:id="390"/>
      <w:bookmarkStart w:id="391" w:name="_Toc184308039"/>
      <w:bookmarkEnd w:id="391"/>
      <w:bookmarkStart w:id="392" w:name="_Toc184314437"/>
      <w:bookmarkEnd w:id="392"/>
      <w:bookmarkStart w:id="393" w:name="_Toc184313256"/>
      <w:bookmarkEnd w:id="393"/>
      <w:bookmarkStart w:id="394" w:name="_Toc184312094"/>
      <w:bookmarkEnd w:id="394"/>
      <w:bookmarkStart w:id="395" w:name="_Toc184310292"/>
      <w:bookmarkEnd w:id="395"/>
      <w:bookmarkStart w:id="396" w:name="_Toc184313292"/>
      <w:bookmarkEnd w:id="396"/>
      <w:bookmarkStart w:id="397" w:name="_Toc184310278"/>
      <w:bookmarkEnd w:id="397"/>
      <w:bookmarkStart w:id="398" w:name="_Toc184313252"/>
      <w:bookmarkEnd w:id="398"/>
      <w:bookmarkStart w:id="399" w:name="_Toc184314465"/>
      <w:bookmarkEnd w:id="399"/>
      <w:bookmarkStart w:id="400" w:name="_Toc184313302"/>
      <w:bookmarkEnd w:id="400"/>
      <w:bookmarkStart w:id="401" w:name="_Toc184308061"/>
      <w:bookmarkEnd w:id="401"/>
      <w:bookmarkStart w:id="402" w:name="_Toc184308066"/>
      <w:bookmarkEnd w:id="402"/>
      <w:bookmarkStart w:id="403" w:name="_Toc184314458"/>
      <w:bookmarkEnd w:id="403"/>
      <w:bookmarkStart w:id="404" w:name="_Toc184310300"/>
      <w:bookmarkEnd w:id="404"/>
      <w:bookmarkStart w:id="405" w:name="_Toc184308096"/>
      <w:bookmarkEnd w:id="405"/>
      <w:bookmarkStart w:id="406" w:name="_Toc184312081"/>
      <w:bookmarkEnd w:id="406"/>
      <w:bookmarkStart w:id="407" w:name="_Toc184313272"/>
      <w:bookmarkEnd w:id="407"/>
      <w:bookmarkStart w:id="408" w:name="_Toc184310327"/>
      <w:bookmarkEnd w:id="408"/>
      <w:bookmarkStart w:id="409" w:name="_Toc184312127"/>
      <w:bookmarkEnd w:id="409"/>
      <w:bookmarkStart w:id="410" w:name="_Toc184308071"/>
      <w:bookmarkEnd w:id="410"/>
      <w:bookmarkStart w:id="411" w:name="_Toc184314444"/>
      <w:bookmarkEnd w:id="411"/>
      <w:bookmarkStart w:id="412" w:name="_Toc184314426"/>
      <w:bookmarkEnd w:id="412"/>
      <w:bookmarkStart w:id="413" w:name="_Toc184312115"/>
      <w:bookmarkEnd w:id="413"/>
      <w:bookmarkStart w:id="414" w:name="_Toc184312116"/>
      <w:bookmarkEnd w:id="414"/>
      <w:bookmarkStart w:id="415" w:name="_Toc184314436"/>
      <w:bookmarkEnd w:id="415"/>
      <w:bookmarkStart w:id="416" w:name="_Toc184310275"/>
      <w:bookmarkEnd w:id="416"/>
      <w:bookmarkStart w:id="417" w:name="_Toc184314433"/>
      <w:bookmarkEnd w:id="417"/>
      <w:bookmarkStart w:id="418" w:name="_Toc184313276"/>
      <w:bookmarkEnd w:id="418"/>
      <w:bookmarkStart w:id="419" w:name="_Toc184313274"/>
      <w:bookmarkEnd w:id="419"/>
      <w:bookmarkStart w:id="420" w:name="_Toc184313300"/>
      <w:bookmarkEnd w:id="420"/>
      <w:bookmarkStart w:id="421" w:name="_Toc184310331"/>
      <w:bookmarkEnd w:id="421"/>
      <w:bookmarkStart w:id="422" w:name="_Toc184312135"/>
      <w:bookmarkEnd w:id="422"/>
      <w:r>
        <w:rPr>
          <w:rFonts w:hint="eastAsia" w:ascii="仿宋" w:hAnsi="仿宋" w:eastAsia="仿宋" w:cs="仿宋"/>
          <w:b/>
          <w:color w:val="000000" w:themeColor="text1"/>
          <w:sz w:val="36"/>
          <w:szCs w:val="36"/>
          <w14:textFill>
            <w14:solidFill>
              <w14:schemeClr w14:val="tx1"/>
            </w14:solidFill>
          </w14:textFill>
        </w:rPr>
        <w:t>评标办法</w:t>
      </w:r>
      <w:bookmarkEnd w:id="52"/>
      <w:bookmarkEnd w:id="53"/>
      <w:bookmarkEnd w:id="54"/>
      <w:bookmarkEnd w:id="55"/>
      <w:bookmarkEnd w:id="56"/>
      <w:bookmarkEnd w:id="57"/>
    </w:p>
    <w:p>
      <w:pPr>
        <w:wordWrap w:val="0"/>
        <w:snapToGrid w:val="0"/>
        <w:spacing w:line="360" w:lineRule="auto"/>
        <w:jc w:val="center"/>
        <w:outlineLvl w:val="1"/>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评标办法前附表</w:t>
      </w:r>
    </w:p>
    <w:tbl>
      <w:tblPr>
        <w:tblStyle w:val="6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96"/>
        <w:gridCol w:w="723"/>
        <w:gridCol w:w="5268"/>
        <w:gridCol w:w="789"/>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序号</w:t>
            </w:r>
          </w:p>
        </w:tc>
        <w:tc>
          <w:tcPr>
            <w:tcW w:w="1696"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名称</w:t>
            </w:r>
          </w:p>
        </w:tc>
        <w:tc>
          <w:tcPr>
            <w:tcW w:w="723"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分值</w:t>
            </w:r>
          </w:p>
        </w:tc>
        <w:tc>
          <w:tcPr>
            <w:tcW w:w="5268" w:type="dxa"/>
            <w:vAlign w:val="center"/>
          </w:tcPr>
          <w:p>
            <w:pPr>
              <w:wordWrap w:val="0"/>
              <w:autoSpaceDE w:val="0"/>
              <w:autoSpaceDN w:val="0"/>
              <w:spacing w:line="360" w:lineRule="auto"/>
              <w:ind w:firstLine="420" w:firstLineChars="200"/>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评审因素</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备注</w:t>
            </w:r>
          </w:p>
        </w:tc>
        <w:tc>
          <w:tcPr>
            <w:tcW w:w="731" w:type="dxa"/>
            <w:vAlign w:val="center"/>
          </w:tcPr>
          <w:p>
            <w:pPr>
              <w:wordWrap w:val="0"/>
              <w:autoSpaceDE w:val="0"/>
              <w:autoSpaceDN w:val="0"/>
              <w:rPr>
                <w:rStyle w:val="79"/>
                <w:rFonts w:ascii="仿宋" w:hAnsi="仿宋" w:eastAsia="仿宋" w:cs="仿宋"/>
                <w:bCs/>
                <w:color w:val="000000" w:themeColor="text1"/>
                <w:sz w:val="15"/>
                <w:szCs w:val="15"/>
                <w14:textFill>
                  <w14:solidFill>
                    <w14:schemeClr w14:val="tx1"/>
                  </w14:solidFill>
                </w14:textFill>
              </w:rPr>
            </w:pPr>
            <w:r>
              <w:rPr>
                <w:rFonts w:hint="eastAsia" w:ascii="仿宋" w:hAnsi="仿宋" w:eastAsia="仿宋" w:cs="仿宋"/>
                <w:bCs/>
                <w:color w:val="000000" w:themeColor="text1"/>
                <w:sz w:val="15"/>
                <w:szCs w:val="15"/>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一</w:t>
            </w:r>
          </w:p>
        </w:tc>
        <w:tc>
          <w:tcPr>
            <w:tcW w:w="1696"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资信业绩</w:t>
            </w:r>
          </w:p>
        </w:tc>
        <w:tc>
          <w:tcPr>
            <w:tcW w:w="723"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w:t>
            </w:r>
          </w:p>
        </w:tc>
        <w:tc>
          <w:tcPr>
            <w:tcW w:w="5268" w:type="dxa"/>
            <w:vAlign w:val="center"/>
          </w:tcPr>
          <w:p>
            <w:pPr>
              <w:wordWrap w:val="0"/>
              <w:autoSpaceDE w:val="0"/>
              <w:autoSpaceDN w:val="0"/>
              <w:spacing w:line="360" w:lineRule="auto"/>
              <w:ind w:firstLine="420" w:firstLineChars="200"/>
              <w:jc w:val="center"/>
              <w:rPr>
                <w:rStyle w:val="79"/>
                <w:rFonts w:ascii="仿宋" w:hAnsi="仿宋" w:eastAsia="仿宋" w:cs="仿宋"/>
                <w:bCs/>
                <w:color w:val="000000" w:themeColor="text1"/>
                <w14:textFill>
                  <w14:solidFill>
                    <w14:schemeClr w14:val="tx1"/>
                  </w14:solidFill>
                </w14:textFill>
              </w:rPr>
            </w:pP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1</w:t>
            </w:r>
          </w:p>
        </w:tc>
        <w:tc>
          <w:tcPr>
            <w:tcW w:w="1696"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管理体系认证</w:t>
            </w:r>
          </w:p>
        </w:tc>
        <w:tc>
          <w:tcPr>
            <w:tcW w:w="723"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0-</w:t>
            </w:r>
            <w:r>
              <w:rPr>
                <w:rStyle w:val="79"/>
                <w:rFonts w:ascii="仿宋" w:hAnsi="仿宋" w:eastAsia="仿宋" w:cs="仿宋"/>
                <w:bCs/>
                <w:color w:val="000000" w:themeColor="text1"/>
                <w14:textFill>
                  <w14:solidFill>
                    <w14:schemeClr w14:val="tx1"/>
                  </w14:solidFill>
                </w14:textFill>
              </w:rPr>
              <w:t>3</w:t>
            </w:r>
          </w:p>
        </w:tc>
        <w:tc>
          <w:tcPr>
            <w:tcW w:w="5268" w:type="dxa"/>
            <w:vAlign w:val="center"/>
          </w:tcPr>
          <w:p>
            <w:pPr>
              <w:wordWrap w:val="0"/>
              <w:autoSpaceDE w:val="0"/>
              <w:autoSpaceDN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投标人（联合体投标的指任一成员）同时具有有效期内的质量管理体系认证、环境管理体系认证和职业健康管理体系认证证书的得</w:t>
            </w:r>
            <w:r>
              <w:rPr>
                <w:rFonts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p>
            <w:pPr>
              <w:wordWrap w:val="0"/>
              <w:autoSpaceDE w:val="0"/>
              <w:autoSpaceDN w:val="0"/>
              <w:spacing w:line="360" w:lineRule="auto"/>
              <w:rPr>
                <w:rStyle w:val="79"/>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证明材料提供认证证书。</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2</w:t>
            </w:r>
          </w:p>
        </w:tc>
        <w:tc>
          <w:tcPr>
            <w:tcW w:w="1696"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荣誉情况</w:t>
            </w:r>
          </w:p>
        </w:tc>
        <w:tc>
          <w:tcPr>
            <w:tcW w:w="723"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0-</w:t>
            </w:r>
            <w:r>
              <w:rPr>
                <w:rStyle w:val="79"/>
                <w:rFonts w:ascii="仿宋" w:hAnsi="仿宋" w:eastAsia="仿宋" w:cs="仿宋"/>
                <w:bCs/>
                <w:color w:val="000000" w:themeColor="text1"/>
                <w14:textFill>
                  <w14:solidFill>
                    <w14:schemeClr w14:val="tx1"/>
                  </w14:solidFill>
                </w14:textFill>
              </w:rPr>
              <w:t>1</w:t>
            </w:r>
          </w:p>
        </w:tc>
        <w:tc>
          <w:tcPr>
            <w:tcW w:w="5268" w:type="dxa"/>
            <w:vAlign w:val="center"/>
          </w:tcPr>
          <w:p>
            <w:pPr>
              <w:snapToGrid w:val="0"/>
              <w:spacing w:line="360" w:lineRule="auto"/>
              <w:jc w:val="left"/>
              <w:rPr>
                <w:rFonts w:ascii="仿宋" w:hAnsi="仿宋" w:eastAsia="仿宋" w:cs="仿宋"/>
                <w:snapToGrid w:val="0"/>
                <w:color w:val="000000" w:themeColor="text1"/>
                <w:szCs w:val="21"/>
                <w14:textFill>
                  <w14:solidFill>
                    <w14:schemeClr w14:val="tx1"/>
                  </w14:solidFill>
                </w14:textFill>
              </w:rPr>
            </w:pPr>
            <w:r>
              <w:rPr>
                <w:rFonts w:hint="eastAsia" w:ascii="仿宋" w:hAnsi="仿宋" w:eastAsia="仿宋" w:cs="仿宋"/>
                <w:snapToGrid w:val="0"/>
                <w:color w:val="000000" w:themeColor="text1"/>
                <w:szCs w:val="21"/>
                <w14:textFill>
                  <w14:solidFill>
                    <w14:schemeClr w14:val="tx1"/>
                  </w14:solidFill>
                </w14:textFill>
              </w:rPr>
              <w:t>投标人</w:t>
            </w:r>
            <w:r>
              <w:rPr>
                <w:rFonts w:hint="eastAsia" w:ascii="仿宋" w:hAnsi="仿宋" w:eastAsia="仿宋" w:cs="仿宋"/>
                <w:color w:val="000000" w:themeColor="text1"/>
                <w:szCs w:val="21"/>
                <w14:textFill>
                  <w14:solidFill>
                    <w14:schemeClr w14:val="tx1"/>
                  </w14:solidFill>
                </w14:textFill>
              </w:rPr>
              <w:t>（联合体投标的指任一成员）</w:t>
            </w:r>
            <w:r>
              <w:rPr>
                <w:rFonts w:hint="eastAsia" w:ascii="仿宋" w:hAnsi="仿宋" w:eastAsia="仿宋" w:cs="仿宋"/>
                <w:snapToGrid w:val="0"/>
                <w:color w:val="000000" w:themeColor="text1"/>
                <w:szCs w:val="21"/>
                <w14:textFill>
                  <w14:solidFill>
                    <w14:schemeClr w14:val="tx1"/>
                  </w14:solidFill>
                </w14:textFill>
              </w:rPr>
              <w:t>自2019年1月1日（含）起（以获奖证书或文件的落款时间为准，无落款时间的不予计分）获得政府部门或法律、行政法规授权行业协会（及下属专业委员会）颁发的市政设施养护类荣誉奖项的：市级的每个得0.1分，最高得0.2分；省级的每个得0.25分，最高得0.5分；国家级的每个得0.5分，最高得1分。本项最高得1分。不同级别的荣誉不累计得分。</w:t>
            </w:r>
          </w:p>
          <w:p>
            <w:pPr>
              <w:wordWrap w:val="0"/>
              <w:autoSpaceDE w:val="0"/>
              <w:autoSpaceDN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napToGrid w:val="0"/>
                <w:color w:val="000000" w:themeColor="text1"/>
                <w:szCs w:val="21"/>
                <w14:textFill>
                  <w14:solidFill>
                    <w14:schemeClr w14:val="tx1"/>
                  </w14:solidFill>
                </w14:textFill>
              </w:rPr>
              <w:t>证明材料提供获奖证书或表彰文件。若获奖证书未载明获奖单位名称的，投标文件中须另提供颁奖单位出具的相关证明材料。若出现民政部曝光的“山寨”协会颁发的荣誉奖项，则不予计分。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pPr>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3</w:t>
            </w:r>
          </w:p>
        </w:tc>
        <w:tc>
          <w:tcPr>
            <w:tcW w:w="1696" w:type="dxa"/>
            <w:vAlign w:val="center"/>
          </w:tcPr>
          <w:p>
            <w:pPr>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类似项目业绩</w:t>
            </w:r>
          </w:p>
        </w:tc>
        <w:tc>
          <w:tcPr>
            <w:tcW w:w="723" w:type="dxa"/>
            <w:vAlign w:val="center"/>
          </w:tcPr>
          <w:p>
            <w:pPr>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0-1</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联合体投标的指任一成员）自2019年1月1日（以合同签订时间为准）以来具有年度市政设施养护（养护内容至少包含市政道路或桥梁或隧道设施，且养护服务工作已履行1年及以上）服务项目业绩，每一个项目业绩得0.2分，本项最高得1分。</w:t>
            </w:r>
          </w:p>
          <w:p>
            <w:pPr>
              <w:snapToGrid w:val="0"/>
              <w:spacing w:line="360" w:lineRule="auto"/>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证明材料提供合同。注：同个项目续签多个合同的不重复计分；若合同中未体现项目特征的，则另行提供甲方证明。</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二</w:t>
            </w:r>
          </w:p>
        </w:tc>
        <w:tc>
          <w:tcPr>
            <w:tcW w:w="1696"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技术部分</w:t>
            </w:r>
          </w:p>
        </w:tc>
        <w:tc>
          <w:tcPr>
            <w:tcW w:w="723"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85</w:t>
            </w:r>
          </w:p>
        </w:tc>
        <w:tc>
          <w:tcPr>
            <w:tcW w:w="5268" w:type="dxa"/>
            <w:vAlign w:val="center"/>
          </w:tcPr>
          <w:p>
            <w:pPr>
              <w:wordWrap w:val="0"/>
              <w:autoSpaceDE w:val="0"/>
              <w:autoSpaceDN w:val="0"/>
              <w:spacing w:line="360" w:lineRule="auto"/>
              <w:ind w:firstLine="420" w:firstLineChars="200"/>
              <w:jc w:val="center"/>
              <w:rPr>
                <w:rStyle w:val="79"/>
                <w:rFonts w:ascii="仿宋" w:hAnsi="仿宋" w:eastAsia="仿宋" w:cs="仿宋"/>
                <w:bCs/>
                <w:color w:val="000000" w:themeColor="text1"/>
                <w14:textFill>
                  <w14:solidFill>
                    <w14:schemeClr w14:val="tx1"/>
                  </w14:solidFill>
                </w14:textFill>
              </w:rPr>
            </w:pP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4</w:t>
            </w:r>
          </w:p>
        </w:tc>
        <w:tc>
          <w:tcPr>
            <w:tcW w:w="1696" w:type="dxa"/>
            <w:vAlign w:val="center"/>
          </w:tcPr>
          <w:p>
            <w:pPr>
              <w:autoSpaceDE w:val="0"/>
              <w:autoSpaceDN w:val="0"/>
              <w:spacing w:line="360" w:lineRule="auto"/>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重点、难点分析及解决措施</w:t>
            </w:r>
          </w:p>
        </w:tc>
        <w:tc>
          <w:tcPr>
            <w:tcW w:w="723" w:type="dxa"/>
            <w:vAlign w:val="center"/>
          </w:tcPr>
          <w:p>
            <w:pPr>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0-4</w:t>
            </w:r>
          </w:p>
        </w:tc>
        <w:tc>
          <w:tcPr>
            <w:tcW w:w="5268" w:type="dxa"/>
            <w:vAlign w:val="center"/>
          </w:tcPr>
          <w:p>
            <w:pPr>
              <w:pStyle w:val="35"/>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（1）本项目的重点、难点分析完全</w:t>
            </w:r>
            <w:r>
              <w:rPr>
                <w:rFonts w:ascii="仿宋" w:hAnsi="仿宋" w:eastAsia="仿宋" w:cs="仿宋"/>
                <w:color w:val="000000" w:themeColor="text1"/>
                <w14:textFill>
                  <w14:solidFill>
                    <w14:schemeClr w14:val="tx1"/>
                  </w14:solidFill>
                </w14:textFill>
              </w:rPr>
              <w:t>契合采购需求</w:t>
            </w:r>
            <w:r>
              <w:rPr>
                <w:rFonts w:hint="eastAsia" w:ascii="仿宋" w:hAnsi="仿宋" w:eastAsia="仿宋" w:cs="仿宋"/>
                <w:color w:val="000000" w:themeColor="text1"/>
                <w14:textFill>
                  <w14:solidFill>
                    <w14:schemeClr w14:val="tx1"/>
                  </w14:solidFill>
                </w14:textFill>
              </w:rPr>
              <w:t>的得2分，基本契合采购需求的得1分，不契合采购需求或未提供的得0分。</w:t>
            </w:r>
          </w:p>
          <w:p>
            <w:pPr>
              <w:autoSpaceDE w:val="0"/>
              <w:autoSpaceDN w:val="0"/>
              <w:spacing w:line="360" w:lineRule="auto"/>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（2）针对性解决措施方案合理可行的</w:t>
            </w:r>
            <w:r>
              <w:rPr>
                <w:rFonts w:hint="eastAsia" w:ascii="仿宋" w:hAnsi="仿宋" w:eastAsia="仿宋" w:cs="仿宋"/>
                <w:color w:val="000000" w:themeColor="text1"/>
                <w14:textFill>
                  <w14:solidFill>
                    <w14:schemeClr w14:val="tx1"/>
                  </w14:solidFill>
                </w14:textFill>
              </w:rPr>
              <w:t>得2分，基本合理可行</w:t>
            </w:r>
            <w:r>
              <w:rPr>
                <w:rFonts w:hint="eastAsia" w:ascii="仿宋" w:hAnsi="仿宋" w:eastAsia="仿宋" w:cs="仿宋"/>
                <w:color w:val="000000" w:themeColor="text1"/>
                <w:szCs w:val="21"/>
                <w14:textFill>
                  <w14:solidFill>
                    <w14:schemeClr w14:val="tx1"/>
                  </w14:solidFill>
                </w14:textFill>
              </w:rPr>
              <w:t>的</w:t>
            </w:r>
            <w:r>
              <w:rPr>
                <w:rFonts w:hint="eastAsia" w:ascii="仿宋" w:hAnsi="仿宋" w:eastAsia="仿宋" w:cs="仿宋"/>
                <w:color w:val="000000" w:themeColor="text1"/>
                <w14:textFill>
                  <w14:solidFill>
                    <w14:schemeClr w14:val="tx1"/>
                  </w14:solidFill>
                </w14:textFill>
              </w:rPr>
              <w:t>得1分，不合理、不可行或未提供</w:t>
            </w:r>
            <w:r>
              <w:rPr>
                <w:rFonts w:hint="eastAsia" w:ascii="仿宋" w:hAnsi="仿宋" w:eastAsia="仿宋" w:cs="仿宋"/>
                <w:color w:val="000000" w:themeColor="text1"/>
                <w:szCs w:val="21"/>
                <w14:textFill>
                  <w14:solidFill>
                    <w14:schemeClr w14:val="tx1"/>
                  </w14:solidFill>
                </w14:textFill>
              </w:rPr>
              <w:t>的</w:t>
            </w:r>
            <w:r>
              <w:rPr>
                <w:rFonts w:hint="eastAsia" w:ascii="仿宋" w:hAnsi="仿宋" w:eastAsia="仿宋" w:cs="仿宋"/>
                <w:color w:val="000000" w:themeColor="text1"/>
                <w14:textFill>
                  <w14:solidFill>
                    <w14:schemeClr w14:val="tx1"/>
                  </w14:solidFill>
                </w14:textFill>
              </w:rPr>
              <w:t>得0分</w:t>
            </w:r>
            <w:r>
              <w:rPr>
                <w:rFonts w:hint="eastAsia" w:ascii="仿宋" w:hAnsi="仿宋" w:eastAsia="仿宋" w:cs="仿宋"/>
                <w:color w:val="000000" w:themeColor="text1"/>
                <w:szCs w:val="21"/>
                <w14:textFill>
                  <w14:solidFill>
                    <w14:schemeClr w14:val="tx1"/>
                  </w14:solidFill>
                </w14:textFill>
              </w:rPr>
              <w:t>。</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w:t>
            </w:r>
          </w:p>
        </w:tc>
        <w:tc>
          <w:tcPr>
            <w:tcW w:w="1696" w:type="dxa"/>
            <w:vAlign w:val="center"/>
          </w:tcPr>
          <w:p>
            <w:pPr>
              <w:autoSpaceDE w:val="0"/>
              <w:autoSpaceDN w:val="0"/>
              <w:spacing w:line="360" w:lineRule="auto"/>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养护管理方案</w:t>
            </w:r>
          </w:p>
        </w:tc>
        <w:tc>
          <w:tcPr>
            <w:tcW w:w="723" w:type="dxa"/>
            <w:vAlign w:val="center"/>
          </w:tcPr>
          <w:p>
            <w:pPr>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p>
        </w:tc>
        <w:tc>
          <w:tcPr>
            <w:tcW w:w="5268" w:type="dxa"/>
            <w:vAlign w:val="center"/>
          </w:tcPr>
          <w:p>
            <w:pPr>
              <w:autoSpaceDE w:val="0"/>
              <w:autoSpaceDN w:val="0"/>
              <w:spacing w:line="360" w:lineRule="auto"/>
              <w:jc w:val="left"/>
              <w:rPr>
                <w:rFonts w:ascii="仿宋" w:hAnsi="仿宋" w:eastAsia="仿宋" w:cs="仿宋"/>
                <w:color w:val="000000" w:themeColor="text1"/>
                <w:kern w:val="0"/>
                <w:szCs w:val="21"/>
                <w:lang w:val="zh-CN"/>
                <w14:textFill>
                  <w14:solidFill>
                    <w14:schemeClr w14:val="tx1"/>
                  </w14:solidFill>
                </w14:textFill>
              </w:rPr>
            </w:pP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5.1</w:t>
            </w:r>
          </w:p>
        </w:tc>
        <w:tc>
          <w:tcPr>
            <w:tcW w:w="1696" w:type="dxa"/>
            <w:vAlign w:val="center"/>
          </w:tcPr>
          <w:p>
            <w:pPr>
              <w:autoSpaceDE w:val="0"/>
              <w:autoSpaceDN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市政道路（包括沥青路面、人行道平侧石、桥梁、排水设施及附属设施、检查井、路牌等市政道路设施）养护方案</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0-6</w:t>
            </w:r>
          </w:p>
        </w:tc>
        <w:tc>
          <w:tcPr>
            <w:tcW w:w="5268" w:type="dxa"/>
            <w:vAlign w:val="center"/>
          </w:tcPr>
          <w:p>
            <w:pPr>
              <w:numPr>
                <w:ilvl w:val="0"/>
                <w:numId w:val="8"/>
              </w:num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投标人市政设施养护电子化、智慧化管理契合养护方案的得1分；基本契合的得0.5分；不契合或未提供的得0分。</w:t>
            </w:r>
          </w:p>
          <w:p>
            <w:pPr>
              <w:numPr>
                <w:ilvl w:val="0"/>
                <w:numId w:val="8"/>
              </w:num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针对各类养护问题采用不同的养护维修工艺或处理方法合理可行的得3分，基本合理可行的得2分，不合理、不可行或未提供的得0分。</w:t>
            </w:r>
          </w:p>
          <w:p>
            <w:pPr>
              <w:numPr>
                <w:ilvl w:val="0"/>
                <w:numId w:val="8"/>
              </w:num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实施管理人员（如质量负责人、机械设备负责人、道路养护项目主管、桥梁养护主管、排水设施养护主管、巡查负责人、安全负责人、财务主管等管理人员）按采购要求配备齐全、权责分工明确的得2分，配备齐全、权责分工基本明确的得1分，配备不齐、权责分工不明或未提供的得0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5.2</w:t>
            </w:r>
          </w:p>
        </w:tc>
        <w:tc>
          <w:tcPr>
            <w:tcW w:w="1696" w:type="dxa"/>
            <w:vAlign w:val="center"/>
          </w:tcPr>
          <w:p>
            <w:pPr>
              <w:autoSpaceDE w:val="0"/>
              <w:autoSpaceDN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新技术、新工艺</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0-4</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联合体投标的指牵头人）自2019年1月1日（以证书或验收文件或认证文件落款时间为准）具有通过建设行业主管部门认证或验收的沥青路面修复或管道修复方面的创新工艺或工法或新技术或科研项目得4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证明材料提供证书或验收文件或认证文件。</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5.3</w:t>
            </w:r>
          </w:p>
        </w:tc>
        <w:tc>
          <w:tcPr>
            <w:tcW w:w="1696" w:type="dxa"/>
            <w:vAlign w:val="center"/>
          </w:tcPr>
          <w:p>
            <w:pPr>
              <w:autoSpaceDE w:val="0"/>
              <w:autoSpaceDN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电子化、智慧化管理</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0-1</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本项目实施市政设施养护电子化、智慧化管理的得1分，未实施的不得分。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证明材料提供管理软件自行开发证明或委托开发合同或直接购买（或租赁）软件合同。租赁的则租赁服务期须满足本项目养护期。</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5.4</w:t>
            </w:r>
          </w:p>
        </w:tc>
        <w:tc>
          <w:tcPr>
            <w:tcW w:w="1696" w:type="dxa"/>
            <w:vAlign w:val="center"/>
          </w:tcPr>
          <w:p>
            <w:pPr>
              <w:autoSpaceDE w:val="0"/>
              <w:autoSpaceDN w:val="0"/>
              <w:spacing w:line="360" w:lineRule="auto"/>
              <w:jc w:val="center"/>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养护方案组织和技术措施</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（1）劳动力组织计划明确，完全满足采购需求的得1分，基本满足采购需求的得0.5分，不满足采购需求或未提供的得0分。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（2）养护工具配置方案完全满足采购需求的得1分，基本满足采购需求的得0.5分，不满足采购需求或未提供的得0分。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5.5</w:t>
            </w:r>
          </w:p>
        </w:tc>
        <w:tc>
          <w:tcPr>
            <w:tcW w:w="1696" w:type="dxa"/>
            <w:vAlign w:val="center"/>
          </w:tcPr>
          <w:p>
            <w:pPr>
              <w:autoSpaceDE w:val="0"/>
              <w:autoSpaceDN w:val="0"/>
              <w:spacing w:line="360" w:lineRule="auto"/>
              <w:jc w:val="center"/>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安全文明养护</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0-3</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（1）道路市政养护安全保证体系和安全管理制度合理有效的得1分，基本合理有效的得0.5分，不合理、无效或未提供的得0分。</w:t>
            </w:r>
          </w:p>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（2）文明养护管理措施合理可行的得1分，基本合理可行的得0.5分，不合理、不可行或未提供的得0分。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（3）环境保护措施合理可行的得1分，基本合理可行的得0.5分，不合理、不可行或未提供的得0分。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5.6</w:t>
            </w:r>
          </w:p>
        </w:tc>
        <w:tc>
          <w:tcPr>
            <w:tcW w:w="1696" w:type="dxa"/>
            <w:vAlign w:val="center"/>
          </w:tcPr>
          <w:p>
            <w:pPr>
              <w:autoSpaceDE w:val="0"/>
              <w:autoSpaceDN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道路市政养护考核方案</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内部管理制度、考核监督制度等科学合理性、具有针对性及可操作性的得2分，基本科学合理、具有一定针对性及可操作性的得1分，不科学、不合理、不具备针对性及可操作或未提供的得0分。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5.7</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道路市政养护资料管理方案</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常养护、设备维修、检测、技术状况评价等资料的整理归档方案符合相关规范要求、科学合理、具有针对性及可操作性的得2分，基本符合相关规范要求、科学合理、具有一定针对性及可操作性的得1分，不符合相关规范要求、不科学、不合理、不具备针对性及可操作或未提供的得0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6</w:t>
            </w:r>
          </w:p>
        </w:tc>
        <w:tc>
          <w:tcPr>
            <w:tcW w:w="1696" w:type="dxa"/>
            <w:vAlign w:val="center"/>
          </w:tcPr>
          <w:p>
            <w:pPr>
              <w:autoSpaceDE w:val="0"/>
              <w:autoSpaceDN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养护移交平稳过渡计划实施方案</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0-1</w:t>
            </w:r>
          </w:p>
        </w:tc>
        <w:tc>
          <w:tcPr>
            <w:tcW w:w="5268" w:type="dxa"/>
            <w:vAlign w:val="center"/>
          </w:tcPr>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养护移交平稳过渡计划实施方案完全满足采购需求的得1分，基本满足采购需求的得0.5分，不满足采购需求或未提供的得0分。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7</w:t>
            </w:r>
          </w:p>
        </w:tc>
        <w:tc>
          <w:tcPr>
            <w:tcW w:w="1696" w:type="dxa"/>
            <w:vAlign w:val="center"/>
          </w:tcPr>
          <w:p>
            <w:pPr>
              <w:autoSpaceDE w:val="0"/>
              <w:autoSpaceDN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应急保障措施</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0-3</w:t>
            </w:r>
          </w:p>
        </w:tc>
        <w:tc>
          <w:tcPr>
            <w:tcW w:w="5268" w:type="dxa"/>
            <w:vAlign w:val="center"/>
          </w:tcPr>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防汛防台、突发事件应急处理及重大活动保障的人员配备、应急处置方案，落实专职人员等措施内容完全满足采购需求的得3分，基本满足采购需求的得2分，不满足采购需求或未提供的得0分。</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8</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项目管理层人员情况</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5268" w:type="dxa"/>
            <w:vAlign w:val="center"/>
          </w:tcPr>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8.1</w:t>
            </w:r>
          </w:p>
        </w:tc>
        <w:tc>
          <w:tcPr>
            <w:tcW w:w="1696" w:type="dxa"/>
            <w:vAlign w:val="center"/>
          </w:tcPr>
          <w:p>
            <w:pPr>
              <w:snapToGrid w:val="0"/>
              <w:spacing w:line="360" w:lineRule="auto"/>
              <w:jc w:val="center"/>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项目负责人（联合体投标的由牵头人派遣）同时具备以下①和②的得2分，其他不得分。</w:t>
            </w:r>
          </w:p>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①具备市政类专业高级及以上工程师职称；②具有本科及以上学历。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证明材料提供人员证书和开标前20天内社保局出具的单位或个人专用社保证明。</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8.2</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技术负责人</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技术负责人（联合体投标的由牵头人派遣）同时具备以下①和②的得2分，其他不得分。</w:t>
            </w:r>
          </w:p>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①具备市政类专业中级及以上工程师职称；②具有本科及以上学历。</w:t>
            </w:r>
          </w:p>
          <w:p>
            <w:pPr>
              <w:snapToGrid w:val="0"/>
              <w:spacing w:line="360" w:lineRule="auto"/>
              <w:jc w:val="left"/>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证明材料提供人员证书和开标前20天内社保局出具的单位或个人专用社保证明。</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8.3</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项目组实施管理人员</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0-6</w:t>
            </w:r>
          </w:p>
        </w:tc>
        <w:tc>
          <w:tcPr>
            <w:tcW w:w="5268" w:type="dxa"/>
            <w:vAlign w:val="center"/>
          </w:tcPr>
          <w:p>
            <w:pPr>
              <w:adjustRightInd/>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质量负责人、机械设备负责人、道路养护项目主管、桥梁养护主管、排水设施养护主管、巡查负责人、安全负责人、财务主管等同时具备以下①和②的，每一人具有得1分，最高得6分。</w:t>
            </w:r>
          </w:p>
          <w:p>
            <w:pPr>
              <w:adjustRightInd/>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①具备中级及以上职称；</w:t>
            </w:r>
          </w:p>
          <w:p>
            <w:pPr>
              <w:adjustRightInd/>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②具有专科及以上学历。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证明材料提供人员证书和开标前20天内社保局出具的单位或个人专用社保证明。</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9</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项目组作业人员</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配备2个及以上沥青班组（每个班组8人）和3个及以上人行道班组（每个班组4人），</w:t>
            </w:r>
            <w:r>
              <w:rPr>
                <w:rFonts w:hint="eastAsia" w:ascii="仿宋" w:hAnsi="仿宋" w:eastAsia="仿宋" w:cs="仿宋"/>
                <w:color w:val="000000" w:themeColor="text1"/>
                <w:szCs w:val="21"/>
                <w:lang w:val="zh-CN"/>
                <w14:textFill>
                  <w14:solidFill>
                    <w14:schemeClr w14:val="tx1"/>
                  </w14:solidFill>
                </w14:textFill>
              </w:rPr>
              <w:t>排水养护班组配备2个</w:t>
            </w:r>
            <w:r>
              <w:rPr>
                <w:rFonts w:hint="eastAsia" w:ascii="仿宋" w:hAnsi="仿宋" w:eastAsia="仿宋" w:cs="仿宋"/>
                <w:color w:val="000000" w:themeColor="text1"/>
                <w:szCs w:val="21"/>
                <w14:textFill>
                  <w14:solidFill>
                    <w14:schemeClr w14:val="tx1"/>
                  </w14:solidFill>
                </w14:textFill>
              </w:rPr>
              <w:t>及以上</w:t>
            </w:r>
            <w:r>
              <w:rPr>
                <w:rFonts w:hint="eastAsia" w:ascii="仿宋" w:hAnsi="仿宋" w:eastAsia="仿宋" w:cs="仿宋"/>
                <w:color w:val="000000" w:themeColor="text1"/>
                <w:szCs w:val="21"/>
                <w:lang w:val="zh-CN"/>
                <w14:textFill>
                  <w14:solidFill>
                    <w14:schemeClr w14:val="tx1"/>
                  </w14:solidFill>
                </w14:textFill>
              </w:rPr>
              <w:t>班组（每个班组4人）、1个</w:t>
            </w:r>
            <w:r>
              <w:rPr>
                <w:rFonts w:hint="eastAsia" w:ascii="仿宋" w:hAnsi="仿宋" w:eastAsia="仿宋" w:cs="仿宋"/>
                <w:color w:val="000000" w:themeColor="text1"/>
                <w:szCs w:val="21"/>
                <w14:textFill>
                  <w14:solidFill>
                    <w14:schemeClr w14:val="tx1"/>
                  </w14:solidFill>
                </w14:textFill>
              </w:rPr>
              <w:t>及以上</w:t>
            </w:r>
            <w:r>
              <w:rPr>
                <w:rFonts w:hint="eastAsia" w:ascii="仿宋" w:hAnsi="仿宋" w:eastAsia="仿宋" w:cs="仿宋"/>
                <w:color w:val="000000" w:themeColor="text1"/>
                <w:szCs w:val="21"/>
                <w:lang w:val="zh-CN"/>
                <w14:textFill>
                  <w14:solidFill>
                    <w14:schemeClr w14:val="tx1"/>
                  </w14:solidFill>
                </w14:textFill>
              </w:rPr>
              <w:t>管道检测班组（4人）</w:t>
            </w:r>
            <w:r>
              <w:rPr>
                <w:rFonts w:hint="eastAsia" w:ascii="仿宋" w:hAnsi="仿宋" w:eastAsia="仿宋" w:cs="仿宋"/>
                <w:color w:val="000000" w:themeColor="text1"/>
                <w:szCs w:val="21"/>
                <w14:textFill>
                  <w14:solidFill>
                    <w14:schemeClr w14:val="tx1"/>
                  </w14:solidFill>
                </w14:textFill>
              </w:rPr>
              <w:t>的得2分，</w:t>
            </w:r>
            <w:r>
              <w:rPr>
                <w:rFonts w:hint="eastAsia" w:ascii="仿宋" w:hAnsi="仿宋" w:eastAsia="仿宋" w:cs="仿宋"/>
                <w:color w:val="000000" w:themeColor="text1"/>
                <w14:textFill>
                  <w14:solidFill>
                    <w14:schemeClr w14:val="tx1"/>
                  </w14:solidFill>
                </w14:textFill>
              </w:rPr>
              <w:t>其</w:t>
            </w:r>
            <w:r>
              <w:rPr>
                <w:rFonts w:hint="eastAsia" w:ascii="仿宋" w:hAnsi="仿宋" w:eastAsia="仿宋" w:cs="仿宋"/>
                <w:color w:val="000000" w:themeColor="text1"/>
                <w:szCs w:val="21"/>
                <w14:textFill>
                  <w14:solidFill>
                    <w14:schemeClr w14:val="tx1"/>
                  </w14:solidFill>
                </w14:textFill>
              </w:rPr>
              <w:t>它不得分。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证明材料提供开标前20天内社保局出具的单位或个人专用社保证明。社保由劳务公司缴纳的劳务派遣员工，则另提供投标单位与劳务公司签订的劳务派遣协议。</w:t>
            </w:r>
          </w:p>
        </w:tc>
        <w:tc>
          <w:tcPr>
            <w:tcW w:w="789"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10</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投入本项目的养护作业设施设备</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5268" w:type="dxa"/>
            <w:vAlign w:val="center"/>
          </w:tcPr>
          <w:p>
            <w:pPr>
              <w:snapToGrid w:val="0"/>
              <w:spacing w:line="360" w:lineRule="auto"/>
              <w:jc w:val="left"/>
              <w:rPr>
                <w:rFonts w:ascii="仿宋" w:hAnsi="仿宋" w:eastAsia="仿宋" w:cs="仿宋"/>
                <w:b/>
                <w:color w:val="000000" w:themeColor="text1"/>
                <w:szCs w:val="21"/>
                <w:lang w:val="zh-CN"/>
                <w14:textFill>
                  <w14:solidFill>
                    <w14:schemeClr w14:val="tx1"/>
                  </w14:solidFill>
                </w14:textFill>
              </w:rPr>
            </w:pPr>
          </w:p>
        </w:tc>
        <w:tc>
          <w:tcPr>
            <w:tcW w:w="789" w:type="dxa"/>
            <w:vAlign w:val="center"/>
          </w:tcPr>
          <w:p>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10.1</w:t>
            </w:r>
          </w:p>
        </w:tc>
        <w:tc>
          <w:tcPr>
            <w:tcW w:w="1696" w:type="dxa"/>
            <w:vAlign w:val="center"/>
          </w:tcPr>
          <w:p>
            <w:pPr>
              <w:widowControl/>
              <w:snapToGrid w:val="0"/>
              <w:spacing w:line="360" w:lineRule="auto"/>
              <w:ind w:firstLine="420" w:firstLineChars="200"/>
              <w:jc w:val="center"/>
              <w:rPr>
                <w:rFonts w:ascii="仿宋" w:hAnsi="仿宋" w:eastAsia="仿宋" w:cs="仿宋"/>
                <w:color w:val="000000" w:themeColor="text1"/>
                <w:szCs w:val="21"/>
                <w14:textFill>
                  <w14:solidFill>
                    <w14:schemeClr w14:val="tx1"/>
                  </w14:solidFill>
                </w14:textFill>
              </w:rPr>
            </w:pPr>
          </w:p>
          <w:p>
            <w:pPr>
              <w:widowControl/>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作业专用设备I</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c>
          <w:tcPr>
            <w:tcW w:w="5268" w:type="dxa"/>
            <w:vAlign w:val="center"/>
          </w:tcPr>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诺安装北斗卫星导航系统模块并接入杭州市智慧城管系统的设备：“压路机（5t及以上）≥1台”、“摊铺机（摊铺宽度3米及以上）≥1台”、“铣刨机（铣刨宽度300mm及以上）≥2台”、“沥青保温车（核定载质量6t及以上）≥2辆”、“装载车（货车）≥4辆”，每有一项的得1分，最高得5分。每一项指一个“”内容。</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证明材料同时提供“①和②和③”：</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①购置或租赁发票。若资产合并、划拨、调拨或划转的，则提供政府部门相关文件和原采购单位购置发票。若租赁的，则另提供租赁协议（租赁期须满足本项目养护期）和出租方购置设备或车辆发票。</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②设备或车辆外观照片，车辆还须提供车辆行驶证。车辆为租赁的，则车辆行驶证所有人须为出租方。</w:t>
            </w:r>
          </w:p>
          <w:p>
            <w:pPr>
              <w:spacing w:line="360" w:lineRule="auto"/>
              <w:jc w:val="left"/>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③承诺安装北斗卫星导航系统模块并接入杭州市智慧城管系统的承诺书。</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10.2</w:t>
            </w:r>
          </w:p>
        </w:tc>
        <w:tc>
          <w:tcPr>
            <w:tcW w:w="1696" w:type="dxa"/>
            <w:vAlign w:val="center"/>
          </w:tcPr>
          <w:p>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作业专用设备II</w:t>
            </w:r>
          </w:p>
          <w:p>
            <w:pPr>
              <w:spacing w:line="360" w:lineRule="auto"/>
              <w:jc w:val="center"/>
              <w:rPr>
                <w:rFonts w:ascii="仿宋" w:hAnsi="仿宋" w:eastAsia="仿宋" w:cs="仿宋"/>
                <w:color w:val="000000" w:themeColor="text1"/>
                <w:szCs w:val="21"/>
                <w14:textFill>
                  <w14:solidFill>
                    <w14:schemeClr w14:val="tx1"/>
                  </w14:solidFill>
                </w14:textFill>
              </w:rPr>
            </w:pPr>
          </w:p>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5268" w:type="dxa"/>
            <w:vAlign w:val="center"/>
          </w:tcPr>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诺安装北斗卫星导航系统模块并接入杭州市智慧城管系统的设备：“多功能滑移装载机≥1台”、“探地雷达≥1台”、“登高作业车（园林吊）≥1辆”、“沥青热再生设备≥2台”、“病害智能采集设备≥1台”，每有一项的得0.5分，最高得2分。每一项指一个“”内容。</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证明材料同时提供“①和②和③”：</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①购置或租赁发票。若资产合并、划拨、调拨或划转的，则提供政府部门相关文件和原采购单位购置发票。若租赁的，则另提供租赁协议（租赁期须满足本项目养护期）和出租方购置设备或车辆发票。</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②设备或车辆外观照片，车辆还须提供车辆行驶证（未过户的提供原单位）。车辆为租赁的，则车辆行驶证所有人须为出租方。</w:t>
            </w:r>
          </w:p>
          <w:p>
            <w:pPr>
              <w:snapToGrid w:val="0"/>
              <w:spacing w:line="360" w:lineRule="auto"/>
              <w:jc w:val="left"/>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③承诺安装北斗卫星导航系统模块并接入杭州市智慧城管系统的承诺书。</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Style w:val="79"/>
                <w:rFonts w:ascii="仿宋" w:hAnsi="仿宋" w:eastAsia="仿宋" w:cs="仿宋"/>
                <w:color w:val="000000" w:themeColor="text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10.3</w:t>
            </w:r>
          </w:p>
        </w:tc>
        <w:tc>
          <w:tcPr>
            <w:tcW w:w="1696" w:type="dxa"/>
            <w:vAlign w:val="center"/>
          </w:tcPr>
          <w:p>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作业专用设备</w:t>
            </w:r>
          </w:p>
          <w:p>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Ⅲ</w:t>
            </w:r>
          </w:p>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5268" w:type="dxa"/>
            <w:vAlign w:val="center"/>
          </w:tcPr>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配备“排水管道养护冲洗车</w:t>
            </w:r>
            <w:r>
              <w:rPr>
                <w:rFonts w:hint="eastAsia" w:ascii="仿宋" w:hAnsi="仿宋" w:eastAsia="仿宋" w:cs="仿宋"/>
                <w:color w:val="000000" w:themeColor="text1"/>
                <w:szCs w:val="21"/>
                <w14:textFill>
                  <w14:solidFill>
                    <w14:schemeClr w14:val="tx1"/>
                  </w14:solidFill>
                </w14:textFill>
              </w:rPr>
              <w:t>≥1台</w:t>
            </w:r>
            <w:r>
              <w:rPr>
                <w:rFonts w:hint="eastAsia" w:ascii="仿宋" w:hAnsi="仿宋" w:eastAsia="仿宋" w:cs="仿宋"/>
                <w:color w:val="000000" w:themeColor="text1"/>
                <w:szCs w:val="21"/>
                <w:lang w:val="zh-CN"/>
                <w14:textFill>
                  <w14:solidFill>
                    <w14:schemeClr w14:val="tx1"/>
                  </w14:solidFill>
                </w14:textFill>
              </w:rPr>
              <w:t>”、“吸泥车</w:t>
            </w:r>
            <w:r>
              <w:rPr>
                <w:rFonts w:hint="eastAsia" w:ascii="仿宋" w:hAnsi="仿宋" w:eastAsia="仿宋" w:cs="仿宋"/>
                <w:color w:val="000000" w:themeColor="text1"/>
                <w:szCs w:val="21"/>
                <w14:textFill>
                  <w14:solidFill>
                    <w14:schemeClr w14:val="tx1"/>
                  </w14:solidFill>
                </w14:textFill>
              </w:rPr>
              <w:t>≥1台</w:t>
            </w:r>
            <w:r>
              <w:rPr>
                <w:rFonts w:hint="eastAsia" w:ascii="仿宋" w:hAnsi="仿宋" w:eastAsia="仿宋" w:cs="仿宋"/>
                <w:color w:val="000000" w:themeColor="text1"/>
                <w:szCs w:val="21"/>
                <w:lang w:val="zh-CN"/>
                <w14:textFill>
                  <w14:solidFill>
                    <w14:schemeClr w14:val="tx1"/>
                  </w14:solidFill>
                </w14:textFill>
              </w:rPr>
              <w:t>”、“管道毒气检测仪</w:t>
            </w:r>
            <w:r>
              <w:rPr>
                <w:rFonts w:hint="eastAsia" w:ascii="仿宋" w:hAnsi="仿宋" w:eastAsia="仿宋" w:cs="仿宋"/>
                <w:color w:val="000000" w:themeColor="text1"/>
                <w:szCs w:val="21"/>
                <w14:textFill>
                  <w14:solidFill>
                    <w14:schemeClr w14:val="tx1"/>
                  </w14:solidFill>
                </w14:textFill>
              </w:rPr>
              <w:t>≥1台</w:t>
            </w:r>
            <w:r>
              <w:rPr>
                <w:rFonts w:hint="eastAsia" w:ascii="仿宋" w:hAnsi="仿宋" w:eastAsia="仿宋" w:cs="仿宋"/>
                <w:color w:val="000000" w:themeColor="text1"/>
                <w:szCs w:val="21"/>
                <w:lang w:val="zh-CN"/>
                <w14:textFill>
                  <w14:solidFill>
                    <w14:schemeClr w14:val="tx1"/>
                  </w14:solidFill>
                </w14:textFill>
              </w:rPr>
              <w:t>”、“CCTV检测仪</w:t>
            </w:r>
            <w:r>
              <w:rPr>
                <w:rFonts w:hint="eastAsia" w:ascii="仿宋" w:hAnsi="仿宋" w:eastAsia="仿宋" w:cs="仿宋"/>
                <w:color w:val="000000" w:themeColor="text1"/>
                <w:szCs w:val="21"/>
                <w14:textFill>
                  <w14:solidFill>
                    <w14:schemeClr w14:val="tx1"/>
                  </w14:solidFill>
                </w14:textFill>
              </w:rPr>
              <w:t>≥1台</w:t>
            </w:r>
            <w:r>
              <w:rPr>
                <w:rFonts w:hint="eastAsia"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每有一项的得0.5分，最高得2分。每一项指一个“”内容。</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证明材料同时提供“①和②和③”：</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①购置或租赁发票。若资产合并、划拨、调拨或划转的，则提供政府部门相关文件和原采购单位购置发票。若租赁的，则另提供租赁协议（租赁期须满足本项目养护期）和出租方购置设备或车辆发票。</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②设备或车辆外观照片，车辆还须提供车辆行驶证（未过户的提供原单位）。车辆为租赁的，则车辆行驶证所有人须为出租方。</w:t>
            </w:r>
          </w:p>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③承诺安装北斗卫星导航系统模块并接入杭州市智慧城管系统的承诺书。</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Merge w:val="restart"/>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10.3</w:t>
            </w:r>
          </w:p>
        </w:tc>
        <w:tc>
          <w:tcPr>
            <w:tcW w:w="1696" w:type="dxa"/>
            <w:vMerge w:val="restart"/>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应急抢险设备</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r>
              <w:rPr>
                <w:rFonts w:ascii="仿宋" w:hAnsi="仿宋" w:eastAsia="仿宋" w:cs="仿宋"/>
                <w:color w:val="000000" w:themeColor="text1"/>
                <w:szCs w:val="21"/>
                <w14:textFill>
                  <w14:solidFill>
                    <w14:schemeClr w14:val="tx1"/>
                  </w14:solidFill>
                </w14:textFill>
              </w:rPr>
              <w:t>3</w:t>
            </w:r>
          </w:p>
        </w:tc>
        <w:tc>
          <w:tcPr>
            <w:tcW w:w="5268" w:type="dxa"/>
            <w:vAlign w:val="center"/>
          </w:tcPr>
          <w:p>
            <w:pPr>
              <w:numPr>
                <w:ilvl w:val="0"/>
                <w:numId w:val="9"/>
              </w:num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每有一台排水泵（功率≥150m³/h）得0.5分，最高得3分。</w:t>
            </w:r>
          </w:p>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证明材料同时提供“①和②”：</w:t>
            </w:r>
          </w:p>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①购置或租赁发票。若资产合并、划拨、调拨或划转的，则提供政府部门相关文件和原采购单位购置发票。若租赁的，则另提供租赁协议（租赁期须满足本项目养护期）和出租方购置设备或车辆发票。</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②设备外观照片。</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Merge w:val="continue"/>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p>
        </w:tc>
        <w:tc>
          <w:tcPr>
            <w:tcW w:w="1696" w:type="dxa"/>
            <w:vMerge w:val="continue"/>
            <w:vAlign w:val="center"/>
          </w:tcPr>
          <w:p>
            <w:pPr>
              <w:wordWrap w:val="0"/>
              <w:autoSpaceDE w:val="0"/>
              <w:autoSpaceDN w:val="0"/>
              <w:spacing w:line="360" w:lineRule="auto"/>
              <w:jc w:val="center"/>
              <w:rPr>
                <w:rFonts w:ascii="仿宋" w:hAnsi="仿宋" w:eastAsia="仿宋" w:cs="仿宋"/>
                <w:color w:val="000000" w:themeColor="text1"/>
                <w:kern w:val="0"/>
                <w:szCs w:val="21"/>
                <w:lang w:val="zh-CN"/>
                <w14:textFill>
                  <w14:solidFill>
                    <w14:schemeClr w14:val="tx1"/>
                  </w14:solidFill>
                </w14:textFill>
              </w:rPr>
            </w:pPr>
          </w:p>
        </w:tc>
        <w:tc>
          <w:tcPr>
            <w:tcW w:w="723"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0</w:t>
            </w:r>
            <w:r>
              <w:rPr>
                <w:rStyle w:val="79"/>
                <w:rFonts w:ascii="仿宋" w:hAnsi="仿宋" w:eastAsia="仿宋" w:cs="仿宋"/>
                <w:bCs/>
                <w:color w:val="000000" w:themeColor="text1"/>
                <w14:textFill>
                  <w14:solidFill>
                    <w14:schemeClr w14:val="tx1"/>
                  </w14:solidFill>
                </w14:textFill>
              </w:rPr>
              <w:t>-</w:t>
            </w:r>
            <w:r>
              <w:rPr>
                <w:rStyle w:val="79"/>
                <w:rFonts w:hint="eastAsia" w:ascii="仿宋" w:hAnsi="仿宋" w:eastAsia="仿宋" w:cs="仿宋"/>
                <w:bCs/>
                <w:color w:val="000000" w:themeColor="text1"/>
                <w14:textFill>
                  <w14:solidFill>
                    <w14:schemeClr w14:val="tx1"/>
                  </w14:solidFill>
                </w14:textFill>
              </w:rPr>
              <w:t>6</w:t>
            </w:r>
          </w:p>
        </w:tc>
        <w:tc>
          <w:tcPr>
            <w:tcW w:w="5268" w:type="dxa"/>
            <w:vAlign w:val="center"/>
          </w:tcPr>
          <w:p>
            <w:pPr>
              <w:numPr>
                <w:ilvl w:val="0"/>
                <w:numId w:val="9"/>
              </w:num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承诺安装北斗卫星导航系统模块并接入杭州市智慧城管系统的有桥梁检测车得2分；排水泵车（排水量≥1500m³/h）得4分。</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证明材料同时提供“①和②和③”：</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①购置或租赁发票。若资产合并、划拨、调拨或划转的，则提供政府部门相关文件和原采购单位购置发票。若租赁的，则另提供租赁协议（租赁期须满足本项目养护期）和出租方购置设备或车辆发票。</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②设备或车辆外观照片，车辆还须提供车辆行驶证（未过户的提供原单位）。车辆为租赁的，则车辆行驶证所有人须为出租方。</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③承诺安装北斗卫星导航系统模块并接入杭州市智慧城管系统的承诺书。</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10.4</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应急抢险保障工程救险车辆【机动车行驶证上的使用性质为工程救（抢）险】</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0-4</w:t>
            </w:r>
          </w:p>
        </w:tc>
        <w:tc>
          <w:tcPr>
            <w:tcW w:w="5268" w:type="dxa"/>
            <w:vAlign w:val="center"/>
          </w:tcPr>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承诺安装北斗卫星导航系统模块并接入杭州市智慧城管系统的车辆：10（不含）-20（不含）辆的得1分，20（含）-30（不含）辆得2分，30辆（含）以上得4分，10辆及以下不得分。</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证明材料同时提供“①和②和③”：</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①购置或租赁发票。若资产合并、划拨、调拨或划转的视同自有，提供政府部门相关文件和原采购单位购置发票。若租赁的，则另提供租赁协议（租赁期须满足本项目养护期）和出租方购置设备或车辆发票。</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②设备或车辆外观照片，车辆还须提供车辆行驶证（未过户的提供原单位）。车辆为租赁的，则车辆行驶证所有人须为出租方。</w:t>
            </w:r>
          </w:p>
          <w:p>
            <w:pPr>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③承诺安装北斗卫星导航系统模块并接入杭州市智慧城管系统的承诺书。</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11</w:t>
            </w:r>
          </w:p>
        </w:tc>
        <w:tc>
          <w:tcPr>
            <w:tcW w:w="1696" w:type="dxa"/>
            <w:vAlign w:val="center"/>
          </w:tcPr>
          <w:p>
            <w:pPr>
              <w:snapToGrid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项目城区养护</w:t>
            </w:r>
          </w:p>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基地</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0-8</w:t>
            </w:r>
          </w:p>
        </w:tc>
        <w:tc>
          <w:tcPr>
            <w:tcW w:w="5268" w:type="dxa"/>
            <w:vAlign w:val="center"/>
          </w:tcPr>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联合体投标的指牵头人）具有距离项目服务范围不超过20KM（驾车距离）的养护基地：2000㎡≥总面积＞500㎡的得2分，3000㎡≥总面积＞2000㎡的得4分，4000㎡≥总面积＞3000㎡的得6分；总面积＞4000㎡的得8分。</w:t>
            </w:r>
          </w:p>
          <w:p>
            <w:pPr>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产权证书（或租赁协议）和基地离项目所在地百度或高德车程距离显示截图。投标时暂不具备的，提供中标后10个工作日内配备到位的承诺书（如中标后未能在承诺时效内配备到位的视为主动放弃中标资格。）。</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12</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沥青混凝土供应保障</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r>
              <w:rPr>
                <w:rFonts w:ascii="仿宋" w:hAnsi="仿宋" w:eastAsia="仿宋" w:cs="仿宋"/>
                <w:color w:val="000000" w:themeColor="text1"/>
                <w:szCs w:val="21"/>
                <w14:textFill>
                  <w14:solidFill>
                    <w14:schemeClr w14:val="tx1"/>
                  </w14:solidFill>
                </w14:textFill>
              </w:rPr>
              <w:t>7</w:t>
            </w:r>
          </w:p>
        </w:tc>
        <w:tc>
          <w:tcPr>
            <w:tcW w:w="5268" w:type="dxa"/>
            <w:vAlign w:val="center"/>
          </w:tcPr>
          <w:p>
            <w:pPr>
              <w:adjustRightInd/>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联合体投标的指牵头人）自有或控股或参股的投入本项目的沥青搅拌站或沥青砼生产厂（公司），且其地点距养护区域车程距离50（含）公里以内的，且不限制沥青拌和材料供应量大小、7*24小时供货的得7分；</w:t>
            </w:r>
          </w:p>
          <w:p>
            <w:pPr>
              <w:adjustRightInd/>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投标人（联合体投标的指牵头人）合作的沥青搅拌站或沥青砼生产厂（公司），且其地点距养护区域车程距离50（含）公里以内的，且不限制沥青拌和材料供应量大小、7*24小时供货的得3分。</w:t>
            </w:r>
          </w:p>
          <w:p>
            <w:pPr>
              <w:pStyle w:val="24"/>
              <w:autoSpaceDE/>
              <w:autoSpaceDN/>
              <w:adjustRightInd/>
              <w:snapToGrid w:val="0"/>
              <w:jc w:val="left"/>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沥青搅拌站或沥青砼生产厂（公司）的营业执照副本和截至投标截止时间前六个月该站或公司每月的部分沥青产量证明（供货合同或发票）；控股或参股的另提供经市场监督管理局备案的股权关系证明文件；合作的另提供合作协议；车程距离提供百度或高德电子地图车程距离显示截图（请注意工程车交通管制事项）。“不限制沥青拌和材料供应量大小、7*24小时供货”提供沥青搅拌站或沥青砼生产厂（公司）出具的承诺书。</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13</w:t>
            </w:r>
          </w:p>
        </w:tc>
        <w:tc>
          <w:tcPr>
            <w:tcW w:w="1696" w:type="dxa"/>
            <w:vAlign w:val="center"/>
          </w:tcPr>
          <w:p>
            <w:pPr>
              <w:snapToGrid w:val="0"/>
              <w:spacing w:line="360" w:lineRule="auto"/>
              <w:ind w:firstLine="210" w:firstLineChars="100"/>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内部管理制度</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（1）投标人（联合体投标的所有成员）财务管理制度科学完整有效的得1分，基本完整有效的得0.5分，不完整、无效的或未提供的得0分。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（2）投标人（联合体投标的所有成员）员工管理制度、考核制度完整有效的得1分，基本完整有效的得0.5分，不完整、无效的或未提供的得0分。</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Merge w:val="restart"/>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14</w:t>
            </w:r>
          </w:p>
        </w:tc>
        <w:tc>
          <w:tcPr>
            <w:tcW w:w="1696" w:type="dxa"/>
            <w:vMerge w:val="restart"/>
            <w:vAlign w:val="center"/>
          </w:tcPr>
          <w:p>
            <w:pPr>
              <w:snapToGrid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安全生产管理制度、安全生产</w:t>
            </w:r>
          </w:p>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培训</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r>
              <w:rPr>
                <w:rFonts w:ascii="仿宋" w:hAnsi="仿宋" w:eastAsia="仿宋" w:cs="仿宋"/>
                <w:color w:val="000000" w:themeColor="text1"/>
                <w:szCs w:val="21"/>
                <w14:textFill>
                  <w14:solidFill>
                    <w14:schemeClr w14:val="tx1"/>
                  </w14:solidFill>
                </w14:textFill>
              </w:rPr>
              <w:t>2</w:t>
            </w:r>
          </w:p>
        </w:tc>
        <w:tc>
          <w:tcPr>
            <w:tcW w:w="5268" w:type="dxa"/>
            <w:vAlign w:val="center"/>
          </w:tcPr>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（1）投标人（联合体投标的所有成员）安全生产制度制度完整有效的得2分，基本完整有效的得1分，不完整、无效的或未提供的得0分。</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主观分</w:t>
            </w:r>
          </w:p>
        </w:tc>
        <w:tc>
          <w:tcPr>
            <w:tcW w:w="731"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Merge w:val="continue"/>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p>
        </w:tc>
        <w:tc>
          <w:tcPr>
            <w:tcW w:w="1696" w:type="dxa"/>
            <w:vMerge w:val="continue"/>
            <w:vAlign w:val="center"/>
          </w:tcPr>
          <w:p>
            <w:pPr>
              <w:wordWrap w:val="0"/>
              <w:autoSpaceDE w:val="0"/>
              <w:autoSpaceDN w:val="0"/>
              <w:spacing w:line="360" w:lineRule="auto"/>
              <w:jc w:val="center"/>
              <w:rPr>
                <w:rFonts w:ascii="仿宋" w:hAnsi="仿宋" w:eastAsia="仿宋" w:cs="仿宋"/>
                <w:color w:val="000000" w:themeColor="text1"/>
                <w:kern w:val="0"/>
                <w:szCs w:val="21"/>
                <w:lang w:val="zh-CN"/>
                <w14:textFill>
                  <w14:solidFill>
                    <w14:schemeClr w14:val="tx1"/>
                  </w14:solidFill>
                </w14:textFill>
              </w:rPr>
            </w:pPr>
          </w:p>
        </w:tc>
        <w:tc>
          <w:tcPr>
            <w:tcW w:w="723"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0</w:t>
            </w:r>
            <w:r>
              <w:rPr>
                <w:rStyle w:val="79"/>
                <w:rFonts w:ascii="仿宋" w:hAnsi="仿宋" w:eastAsia="仿宋" w:cs="仿宋"/>
                <w:bCs/>
                <w:color w:val="000000" w:themeColor="text1"/>
                <w14:textFill>
                  <w14:solidFill>
                    <w14:schemeClr w14:val="tx1"/>
                  </w14:solidFill>
                </w14:textFill>
              </w:rPr>
              <w:t>-2</w:t>
            </w:r>
          </w:p>
        </w:tc>
        <w:tc>
          <w:tcPr>
            <w:tcW w:w="5268" w:type="dxa"/>
            <w:vAlign w:val="center"/>
          </w:tcPr>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人（联合体投标的所有成员）有专职安全员、定期开展安全生产培训且记录完整的，得2分；无专职安全员、或未定期开展培训或无记录的，该项不得分。证明材料提供：①安全员证书和开标前20天内社保局出具的单位或个人专用社保证明；②培训记录证明（培训通知文件和培训现场签到单和培训现场照片）。</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0"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Style w:val="79"/>
                <w:rFonts w:hint="eastAsia" w:ascii="仿宋" w:hAnsi="仿宋" w:eastAsia="仿宋" w:cs="仿宋"/>
                <w:color w:val="000000" w:themeColor="text1"/>
                <w14:textFill>
                  <w14:solidFill>
                    <w14:schemeClr w14:val="tx1"/>
                  </w14:solidFill>
                </w14:textFill>
              </w:rPr>
              <w:t>15</w:t>
            </w:r>
          </w:p>
        </w:tc>
        <w:tc>
          <w:tcPr>
            <w:tcW w:w="1696" w:type="dxa"/>
            <w:vAlign w:val="center"/>
          </w:tcPr>
          <w:p>
            <w:pPr>
              <w:snapToGrid w:val="0"/>
              <w:spacing w:line="360" w:lineRule="auto"/>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年度养护服务质考核成绩承诺</w:t>
            </w:r>
          </w:p>
        </w:tc>
        <w:tc>
          <w:tcPr>
            <w:tcW w:w="723"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5268" w:type="dxa"/>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投标人在投标文件中承诺上城区相关部门养护单位年度考核中成绩达到优胜的得2分。</w:t>
            </w:r>
          </w:p>
          <w:p>
            <w:pPr>
              <w:snapToGrid w:val="0"/>
              <w:spacing w:line="360" w:lineRule="auto"/>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证明材料提供承诺书。</w:t>
            </w:r>
          </w:p>
        </w:tc>
        <w:tc>
          <w:tcPr>
            <w:tcW w:w="789" w:type="dxa"/>
            <w:vAlign w:val="center"/>
          </w:tcPr>
          <w:p>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客观分</w:t>
            </w:r>
          </w:p>
        </w:tc>
        <w:tc>
          <w:tcPr>
            <w:tcW w:w="731" w:type="dxa"/>
            <w:vAlign w:val="center"/>
          </w:tcPr>
          <w:p>
            <w:pPr>
              <w:wordWrap w:val="0"/>
              <w:autoSpaceDE w:val="0"/>
              <w:autoSpaceDN w:val="0"/>
              <w:spacing w:line="360" w:lineRule="auto"/>
              <w:jc w:val="center"/>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三</w:t>
            </w:r>
          </w:p>
        </w:tc>
        <w:tc>
          <w:tcPr>
            <w:tcW w:w="7687" w:type="dxa"/>
            <w:gridSpan w:val="3"/>
            <w:vAlign w:val="center"/>
          </w:tcPr>
          <w:p>
            <w:pPr>
              <w:wordWrap w:val="0"/>
              <w:autoSpaceDE w:val="0"/>
              <w:autoSpaceDN w:val="0"/>
              <w:spacing w:line="360" w:lineRule="auto"/>
              <w:rPr>
                <w:rStyle w:val="79"/>
                <w:rFonts w:ascii="仿宋" w:hAnsi="仿宋" w:eastAsia="仿宋" w:cs="仿宋"/>
                <w:bCs/>
                <w:color w:val="000000" w:themeColor="text1"/>
                <w:kern w:val="0"/>
                <w14:textFill>
                  <w14:solidFill>
                    <w14:schemeClr w14:val="tx1"/>
                  </w14:solidFill>
                </w14:textFill>
              </w:rPr>
            </w:pPr>
            <w:r>
              <w:rPr>
                <w:rStyle w:val="79"/>
                <w:rFonts w:hint="eastAsia" w:ascii="仿宋" w:hAnsi="仿宋" w:eastAsia="仿宋" w:cs="仿宋"/>
                <w:bCs/>
                <w:color w:val="000000" w:themeColor="text1"/>
                <w14:textFill>
                  <w14:solidFill>
                    <w14:schemeClr w14:val="tx1"/>
                  </w14:solidFill>
                </w14:textFill>
              </w:rPr>
              <w:t>报价，10分</w:t>
            </w:r>
          </w:p>
        </w:tc>
        <w:tc>
          <w:tcPr>
            <w:tcW w:w="789" w:type="dxa"/>
            <w:vAlign w:val="center"/>
          </w:tcPr>
          <w:p>
            <w:pPr>
              <w:wordWrap w:val="0"/>
              <w:autoSpaceDE w:val="0"/>
              <w:autoSpaceDN w:val="0"/>
              <w:spacing w:line="360" w:lineRule="auto"/>
              <w:jc w:val="center"/>
              <w:rPr>
                <w:rStyle w:val="79"/>
                <w:rFonts w:ascii="仿宋" w:hAnsi="仿宋" w:eastAsia="仿宋" w:cs="仿宋"/>
                <w:bCs/>
                <w:color w:val="000000" w:themeColor="text1"/>
                <w:kern w:val="0"/>
                <w14:textFill>
                  <w14:solidFill>
                    <w14:schemeClr w14:val="tx1"/>
                  </w14:solidFill>
                </w14:textFill>
              </w:rPr>
            </w:pPr>
          </w:p>
        </w:tc>
        <w:tc>
          <w:tcPr>
            <w:tcW w:w="731" w:type="dxa"/>
            <w:vAlign w:val="center"/>
          </w:tcPr>
          <w:p>
            <w:pPr>
              <w:wordWrap w:val="0"/>
              <w:autoSpaceDE w:val="0"/>
              <w:autoSpaceDN w:val="0"/>
              <w:spacing w:line="360" w:lineRule="auto"/>
              <w:jc w:val="center"/>
              <w:rPr>
                <w:rStyle w:val="79"/>
                <w:rFonts w:ascii="仿宋" w:hAnsi="仿宋" w:eastAsia="仿宋" w:cs="仿宋"/>
                <w:bCs/>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60" w:type="dxa"/>
            <w:vAlign w:val="center"/>
          </w:tcPr>
          <w:p>
            <w:pPr>
              <w:wordWrap w:val="0"/>
              <w:autoSpaceDE w:val="0"/>
              <w:autoSpaceDN w:val="0"/>
              <w:spacing w:line="360" w:lineRule="auto"/>
              <w:jc w:val="center"/>
              <w:rPr>
                <w:rStyle w:val="79"/>
                <w:rFonts w:ascii="仿宋" w:hAnsi="仿宋" w:eastAsia="仿宋" w:cs="仿宋"/>
                <w:bCs/>
                <w:color w:val="000000" w:themeColor="text1"/>
                <w14:textFill>
                  <w14:solidFill>
                    <w14:schemeClr w14:val="tx1"/>
                  </w14:solidFill>
                </w14:textFill>
              </w:rPr>
            </w:pPr>
          </w:p>
        </w:tc>
        <w:tc>
          <w:tcPr>
            <w:tcW w:w="7687" w:type="dxa"/>
            <w:gridSpan w:val="3"/>
            <w:vAlign w:val="center"/>
          </w:tcPr>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有效投标报价的最低价作为评标基准价，其最低报价为满分；按［投标报价得分=（评标基准价/投标报价）*10］的计算公式计算。</w:t>
            </w:r>
          </w:p>
          <w:p>
            <w:pPr>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 业的合同份额占到合同总金额30%以上的，对联合体或者大中型企业的报价给予4%的扣除，用扣除后的价格参加评审。</w:t>
            </w:r>
          </w:p>
          <w:p>
            <w:pPr>
              <w:snapToGrid w:val="0"/>
              <w:spacing w:line="360" w:lineRule="auto"/>
              <w:jc w:val="left"/>
              <w:rPr>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本项目为未预留份额专门面向中小企业的政府采购服务项目。</w:t>
            </w:r>
          </w:p>
        </w:tc>
        <w:tc>
          <w:tcPr>
            <w:tcW w:w="789" w:type="dxa"/>
            <w:vAlign w:val="center"/>
          </w:tcPr>
          <w:p>
            <w:pPr>
              <w:wordWrap w:val="0"/>
              <w:autoSpaceDE w:val="0"/>
              <w:autoSpaceDN w:val="0"/>
              <w:spacing w:line="360" w:lineRule="auto"/>
              <w:jc w:val="center"/>
              <w:rPr>
                <w:rStyle w:val="79"/>
                <w:rFonts w:ascii="仿宋" w:hAnsi="仿宋" w:eastAsia="仿宋" w:cs="仿宋"/>
                <w:bCs/>
                <w:color w:val="000000" w:themeColor="text1"/>
                <w:kern w:val="0"/>
                <w14:textFill>
                  <w14:solidFill>
                    <w14:schemeClr w14:val="tx1"/>
                  </w14:solidFill>
                </w14:textFill>
              </w:rPr>
            </w:pPr>
          </w:p>
        </w:tc>
        <w:tc>
          <w:tcPr>
            <w:tcW w:w="731" w:type="dxa"/>
            <w:vAlign w:val="center"/>
          </w:tcPr>
          <w:p>
            <w:pPr>
              <w:wordWrap w:val="0"/>
              <w:autoSpaceDE w:val="0"/>
              <w:autoSpaceDN w:val="0"/>
              <w:spacing w:line="360" w:lineRule="auto"/>
              <w:jc w:val="center"/>
              <w:rPr>
                <w:rStyle w:val="79"/>
                <w:rFonts w:ascii="仿宋" w:hAnsi="仿宋" w:eastAsia="仿宋" w:cs="仿宋"/>
                <w:bCs/>
                <w:color w:val="000000" w:themeColor="text1"/>
                <w:kern w:val="0"/>
                <w14:textFill>
                  <w14:solidFill>
                    <w14:schemeClr w14:val="tx1"/>
                  </w14:solidFill>
                </w14:textFill>
              </w:rPr>
            </w:pPr>
            <w:r>
              <w:rPr>
                <w:rStyle w:val="79"/>
                <w:rFonts w:hint="eastAsia" w:ascii="仿宋" w:hAnsi="仿宋" w:eastAsia="仿宋" w:cs="仿宋"/>
                <w:bCs/>
                <w:color w:val="000000" w:themeColor="text1"/>
                <w:kern w:val="0"/>
                <w14:textFill>
                  <w14:solidFill>
                    <w14:schemeClr w14:val="tx1"/>
                  </w14:solidFill>
                </w14:textFill>
              </w:rPr>
              <w:t>/</w:t>
            </w:r>
          </w:p>
        </w:tc>
      </w:tr>
    </w:tbl>
    <w:p>
      <w:pPr>
        <w:wordWrap w:val="0"/>
        <w:snapToGrid w:val="0"/>
        <w:spacing w:line="360" w:lineRule="auto"/>
        <w:rPr>
          <w:rStyle w:val="79"/>
          <w:bCs/>
          <w:color w:val="000000" w:themeColor="text1"/>
          <w14:textFill>
            <w14:solidFill>
              <w14:schemeClr w14:val="tx1"/>
            </w14:solidFill>
          </w14:textFill>
        </w:rPr>
      </w:pPr>
    </w:p>
    <w:p>
      <w:pPr>
        <w:wordWrap w:val="0"/>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 xml:space="preserve">   </w:t>
      </w:r>
      <w:r>
        <w:rPr>
          <w:rFonts w:hint="eastAsia" w:ascii="仿宋" w:hAnsi="仿宋" w:eastAsia="仿宋" w:cs="仿宋"/>
          <w:b/>
          <w:color w:val="000000" w:themeColor="text1"/>
          <w:szCs w:val="21"/>
          <w14:textFill>
            <w14:solidFill>
              <w14:schemeClr w14:val="tx1"/>
            </w14:solidFill>
          </w14:textFill>
        </w:rPr>
        <w:t>备注：1.</w:t>
      </w:r>
      <w:r>
        <w:rPr>
          <w:rFonts w:hint="eastAsia" w:ascii="仿宋" w:hAnsi="仿宋" w:eastAsia="仿宋" w:cs="仿宋"/>
          <w:color w:val="000000" w:themeColor="text1"/>
          <w:szCs w:val="21"/>
          <w14:textFill>
            <w14:solidFill>
              <w14:schemeClr w14:val="tx1"/>
            </w14:solidFill>
          </w14:textFill>
        </w:rPr>
        <w:t>投标人编制投标文件（商务技术文件部分）时，建议按此目录（序号和内容）提供评标标准相应的商务技术资料。 </w:t>
      </w:r>
    </w:p>
    <w:p>
      <w:pPr>
        <w:wordWrap w:val="0"/>
        <w:spacing w:line="360" w:lineRule="auto"/>
        <w:ind w:firstLine="420" w:firstLineChars="20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2.证明材料提供扫描件或复制件，未提供或提供不全的不得分。</w:t>
      </w:r>
    </w:p>
    <w:p>
      <w:pPr>
        <w:wordWrap w:val="0"/>
        <w:spacing w:line="360" w:lineRule="auto"/>
        <w:ind w:firstLine="420" w:firstLineChars="20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3.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spacing w:line="360" w:lineRule="auto"/>
        <w:ind w:firstLine="420" w:firstLineChars="20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4.拟派项目组人员同一人不得兼任两个岗位。兼任的按一个最高岗位得分计。</w:t>
      </w:r>
    </w:p>
    <w:p>
      <w:pPr>
        <w:wordWrap w:val="0"/>
        <w:spacing w:line="360" w:lineRule="auto"/>
        <w:ind w:firstLine="420" w:firstLineChars="20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▲5.若联合体参加的，联合体成员应根据联合协议书中相应承担的工作内容、合同份额进行各自配备相应人员和设施设备，项目负责人、技术负责人由牵头人派遣。</w:t>
      </w:r>
    </w:p>
    <w:p>
      <w:pPr>
        <w:wordWrap w:val="0"/>
        <w:spacing w:line="360" w:lineRule="auto"/>
        <w:ind w:firstLine="643" w:firstLineChars="20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pPr>
        <w:wordWrap w:val="0"/>
        <w:snapToGrid w:val="0"/>
        <w:spacing w:line="360" w:lineRule="auto"/>
        <w:ind w:firstLine="321" w:firstLineChars="100"/>
        <w:outlineLvl w:val="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1.评标方法</w:t>
      </w:r>
    </w:p>
    <w:p>
      <w:pPr>
        <w:wordWrap w:val="0"/>
        <w:adjustRightInd/>
        <w:spacing w:line="360" w:lineRule="auto"/>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wordWrap w:val="0"/>
        <w:adjustRightInd/>
        <w:spacing w:line="360" w:lineRule="auto"/>
        <w:ind w:firstLine="321" w:firstLineChars="100"/>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2.评标标准</w:t>
      </w:r>
    </w:p>
    <w:p>
      <w:pPr>
        <w:wordWrap w:val="0"/>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见评标办法前附表。</w:t>
      </w:r>
    </w:p>
    <w:p>
      <w:pPr>
        <w:wordWrap w:val="0"/>
        <w:spacing w:line="360" w:lineRule="auto"/>
        <w:ind w:firstLine="361" w:firstLineChars="100"/>
        <w:outlineLvl w:val="1"/>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3.评标程序</w:t>
      </w:r>
    </w:p>
    <w:p>
      <w:pPr>
        <w:wordWrap w:val="0"/>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wordWrap w:val="0"/>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wordWrap w:val="0"/>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wordWrap w:val="0"/>
        <w:spacing w:line="360" w:lineRule="auto"/>
        <w:ind w:firstLine="472" w:firstLineChars="196"/>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pPr>
        <w:pStyle w:val="130"/>
        <w:wordWrap w:val="0"/>
        <w:spacing w:before="0"/>
        <w:ind w:firstLine="508" w:firstLineChars="212"/>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 报价文件开启后，如发现开标结果与报价文件不一致者，以报价文件为准。由评标委员会根据报价文件内容进行修正。</w:t>
      </w:r>
    </w:p>
    <w:p>
      <w:pPr>
        <w:pStyle w:val="130"/>
        <w:wordWrap w:val="0"/>
        <w:spacing w:before="0"/>
        <w:ind w:firstLine="508" w:firstLineChars="212"/>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3.4.2投标文件报价出现前后不一致的，按照下列规定修正：</w:t>
      </w:r>
    </w:p>
    <w:p>
      <w:pPr>
        <w:pStyle w:val="130"/>
        <w:wordWrap w:val="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w:t>
      </w:r>
      <w:r>
        <w:rPr>
          <w:rFonts w:hint="eastAsia" w:ascii="仿宋" w:hAnsi="仿宋" w:eastAsia="仿宋" w:cs="仿宋"/>
          <w:color w:val="000000" w:themeColor="text1"/>
          <w:kern w:val="0"/>
          <w:szCs w:val="24"/>
          <w14:textFill>
            <w14:solidFill>
              <w14:schemeClr w14:val="tx1"/>
            </w14:solidFill>
          </w14:textFill>
        </w:rPr>
        <w:t>2</w:t>
      </w:r>
      <w:r>
        <w:rPr>
          <w:rFonts w:ascii="仿宋" w:hAnsi="仿宋" w:eastAsia="仿宋" w:cs="仿宋"/>
          <w:color w:val="000000" w:themeColor="text1"/>
          <w:kern w:val="0"/>
          <w:szCs w:val="24"/>
          <w14:textFill>
            <w14:solidFill>
              <w14:schemeClr w14:val="tx1"/>
            </w14:solidFill>
          </w14:textFill>
        </w:rPr>
        <w:t>.1投标文件中开标一览表(报价表)内容与投标文件中相应内容不一致的，以开标一览表(报价表)为准;</w:t>
      </w:r>
      <w:r>
        <w:rPr>
          <w:rFonts w:hint="eastAsia" w:ascii="仿宋" w:hAnsi="仿宋" w:eastAsia="仿宋" w:cs="仿宋"/>
          <w:color w:val="000000" w:themeColor="text1"/>
          <w:kern w:val="0"/>
          <w:szCs w:val="24"/>
          <w14:textFill>
            <w14:solidFill>
              <w14:schemeClr w14:val="tx1"/>
            </w14:solidFill>
          </w14:textFill>
        </w:rPr>
        <w:t>但开标一览表(报价表)存在明显单位、文字错误的，则澄清、说明、补正；</w:t>
      </w:r>
    </w:p>
    <w:p>
      <w:pPr>
        <w:pStyle w:val="130"/>
        <w:wordWrap w:val="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w:t>
      </w:r>
      <w:r>
        <w:rPr>
          <w:rFonts w:hint="eastAsia" w:ascii="仿宋" w:hAnsi="仿宋" w:eastAsia="仿宋" w:cs="仿宋"/>
          <w:color w:val="000000" w:themeColor="text1"/>
          <w:kern w:val="0"/>
          <w:szCs w:val="24"/>
          <w14:textFill>
            <w14:solidFill>
              <w14:schemeClr w14:val="tx1"/>
            </w14:solidFill>
          </w14:textFill>
        </w:rPr>
        <w:t>2</w:t>
      </w:r>
      <w:r>
        <w:rPr>
          <w:rFonts w:ascii="仿宋" w:hAnsi="仿宋" w:eastAsia="仿宋" w:cs="仿宋"/>
          <w:color w:val="000000" w:themeColor="text1"/>
          <w:kern w:val="0"/>
          <w:szCs w:val="24"/>
          <w14:textFill>
            <w14:solidFill>
              <w14:schemeClr w14:val="tx1"/>
            </w14:solidFill>
          </w14:textFill>
        </w:rPr>
        <w:t>.2大写金额和小写金额不一致的，以大写金额为准;</w:t>
      </w:r>
      <w:r>
        <w:rPr>
          <w:rFonts w:hint="eastAsia" w:ascii="仿宋" w:hAnsi="仿宋" w:eastAsia="仿宋" w:cs="仿宋"/>
          <w:color w:val="000000" w:themeColor="text1"/>
          <w:kern w:val="0"/>
          <w:szCs w:val="24"/>
          <w14:textFill>
            <w14:solidFill>
              <w14:schemeClr w14:val="tx1"/>
            </w14:solidFill>
          </w14:textFill>
        </w:rPr>
        <w:t>但大写有明显单位、文字错误外的除外;</w:t>
      </w:r>
    </w:p>
    <w:p>
      <w:pPr>
        <w:pStyle w:val="130"/>
        <w:wordWrap w:val="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w:t>
      </w:r>
      <w:r>
        <w:rPr>
          <w:rFonts w:hint="eastAsia" w:ascii="仿宋" w:hAnsi="仿宋" w:eastAsia="仿宋" w:cs="仿宋"/>
          <w:color w:val="000000" w:themeColor="text1"/>
          <w:kern w:val="0"/>
          <w:szCs w:val="24"/>
          <w14:textFill>
            <w14:solidFill>
              <w14:schemeClr w14:val="tx1"/>
            </w14:solidFill>
          </w14:textFill>
        </w:rPr>
        <w:t>2</w:t>
      </w:r>
      <w:r>
        <w:rPr>
          <w:rFonts w:ascii="仿宋" w:hAnsi="仿宋" w:eastAsia="仿宋" w:cs="仿宋"/>
          <w:color w:val="000000" w:themeColor="text1"/>
          <w:kern w:val="0"/>
          <w:szCs w:val="24"/>
          <w14:textFill>
            <w14:solidFill>
              <w14:schemeClr w14:val="tx1"/>
            </w14:solidFill>
          </w14:textFill>
        </w:rPr>
        <w:t>.3单价金额小数点或者百分比有明显错位的，以开标一览表的总价为准，并修改单价;</w:t>
      </w:r>
    </w:p>
    <w:p>
      <w:pPr>
        <w:pStyle w:val="130"/>
        <w:wordWrap w:val="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w:t>
      </w:r>
      <w:r>
        <w:rPr>
          <w:rFonts w:hint="eastAsia" w:ascii="仿宋" w:hAnsi="仿宋" w:eastAsia="仿宋" w:cs="仿宋"/>
          <w:color w:val="000000" w:themeColor="text1"/>
          <w:kern w:val="0"/>
          <w:szCs w:val="24"/>
          <w14:textFill>
            <w14:solidFill>
              <w14:schemeClr w14:val="tx1"/>
            </w14:solidFill>
          </w14:textFill>
        </w:rPr>
        <w:t>2</w:t>
      </w:r>
      <w:r>
        <w:rPr>
          <w:rFonts w:ascii="仿宋" w:hAnsi="仿宋" w:eastAsia="仿宋" w:cs="仿宋"/>
          <w:color w:val="000000" w:themeColor="text1"/>
          <w:kern w:val="0"/>
          <w:szCs w:val="24"/>
          <w14:textFill>
            <w14:solidFill>
              <w14:schemeClr w14:val="tx1"/>
            </w14:solidFill>
          </w14:textFill>
        </w:rPr>
        <w:t>.4总价金额与按单价汇总金额不一致的，以单价金额计算结果为准。</w:t>
      </w:r>
    </w:p>
    <w:p>
      <w:pPr>
        <w:pStyle w:val="130"/>
        <w:wordWrap w:val="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同时出现两种以上不一致的，按照3.4.</w:t>
      </w:r>
      <w:r>
        <w:rPr>
          <w:rFonts w:hint="eastAsia" w:ascii="仿宋" w:hAnsi="仿宋" w:eastAsia="仿宋" w:cs="仿宋"/>
          <w:color w:val="000000" w:themeColor="text1"/>
          <w:kern w:val="0"/>
          <w:szCs w:val="24"/>
          <w14:textFill>
            <w14:solidFill>
              <w14:schemeClr w14:val="tx1"/>
            </w14:solidFill>
          </w14:textFill>
        </w:rPr>
        <w:t>2规定的顺序修正。修正后的报价按照财政部第</w:t>
      </w:r>
      <w:r>
        <w:rPr>
          <w:rFonts w:ascii="仿宋" w:hAnsi="仿宋" w:eastAsia="仿宋" w:cs="仿宋"/>
          <w:color w:val="000000" w:themeColor="text1"/>
          <w:kern w:val="0"/>
          <w:szCs w:val="24"/>
          <w14:textFill>
            <w14:solidFill>
              <w14:schemeClr w14:val="tx1"/>
            </w14:solidFill>
          </w14:textFill>
        </w:rPr>
        <w:t xml:space="preserve">87号令 </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wordWrap w:val="0"/>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w:t>
      </w:r>
      <w:r>
        <w:rPr>
          <w:rFonts w:hint="eastAsia" w:ascii="仿宋" w:hAnsi="仿宋" w:eastAsia="仿宋" w:cs="仿宋"/>
          <w:color w:val="000000" w:themeColor="text1"/>
          <w:kern w:val="0"/>
          <w:sz w:val="24"/>
          <w14:textFill>
            <w14:solidFill>
              <w14:schemeClr w14:val="tx1"/>
            </w14:solidFill>
          </w14:textFill>
        </w:rPr>
        <w:t>3投标文件出现不是唯一的、有选择性投标报价的，投标无效。</w:t>
      </w:r>
    </w:p>
    <w:p>
      <w:pPr>
        <w:wordWrap w:val="0"/>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w:t>
      </w:r>
      <w:r>
        <w:rPr>
          <w:rFonts w:hint="eastAsia" w:ascii="仿宋" w:hAnsi="仿宋" w:eastAsia="仿宋" w:cs="仿宋"/>
          <w:color w:val="000000" w:themeColor="text1"/>
          <w:kern w:val="0"/>
          <w:sz w:val="24"/>
          <w14:textFill>
            <w14:solidFill>
              <w14:schemeClr w14:val="tx1"/>
            </w14:solidFill>
          </w14:textFill>
        </w:rPr>
        <w:t>4投标报价超过招标文件中规定的预算金额或者最高限价的，投标无效。</w:t>
      </w:r>
    </w:p>
    <w:p>
      <w:pPr>
        <w:pStyle w:val="130"/>
        <w:wordWrap w:val="0"/>
        <w:spacing w:before="0"/>
        <w:ind w:firstLine="482"/>
        <w:rPr>
          <w:rFonts w:ascii="仿宋" w:hAnsi="仿宋" w:eastAsia="仿宋" w:cs="仿宋"/>
          <w:b/>
          <w:bCs/>
          <w:color w:val="000000" w:themeColor="text1"/>
          <w:kern w:val="0"/>
          <w:szCs w:val="24"/>
          <w14:textFill>
            <w14:solidFill>
              <w14:schemeClr w14:val="tx1"/>
            </w14:solidFill>
          </w14:textFill>
        </w:rPr>
      </w:pPr>
      <w:r>
        <w:rPr>
          <w:rFonts w:ascii="仿宋" w:hAnsi="仿宋" w:eastAsia="仿宋" w:cs="仿宋"/>
          <w:b/>
          <w:bCs/>
          <w:color w:val="000000" w:themeColor="text1"/>
          <w:kern w:val="0"/>
          <w:szCs w:val="24"/>
          <w14:textFill>
            <w14:solidFill>
              <w14:schemeClr w14:val="tx1"/>
            </w14:solidFill>
          </w14:textFill>
        </w:rPr>
        <w:t>3.4.</w:t>
      </w:r>
      <w:r>
        <w:rPr>
          <w:rFonts w:hint="eastAsia" w:ascii="仿宋" w:hAnsi="仿宋" w:eastAsia="仿宋" w:cs="仿宋"/>
          <w:b/>
          <w:bCs/>
          <w:color w:val="000000" w:themeColor="text1"/>
          <w:kern w:val="0"/>
          <w:szCs w:val="24"/>
          <w14:textFill>
            <w14:solidFill>
              <w14:schemeClr w14:val="tx1"/>
            </w14:solidFill>
          </w14:textFill>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color w:val="000000" w:themeColor="text1"/>
          <w:kern w:val="0"/>
          <w:szCs w:val="24"/>
          <w14:textFill>
            <w14:solidFill>
              <w14:schemeClr w14:val="tx1"/>
            </w14:solidFill>
          </w14:textFill>
        </w:rPr>
        <w:t>;投标人不能证明其报价合理性的，评标委员会应当将其作为无效投标处理。</w:t>
      </w:r>
    </w:p>
    <w:p>
      <w:pPr>
        <w:pStyle w:val="130"/>
        <w:wordWrap w:val="0"/>
        <w:spacing w:before="0"/>
        <w:ind w:firstLine="480"/>
        <w:rPr>
          <w:rFonts w:ascii="仿宋" w:hAnsi="仿宋" w:eastAsia="仿宋" w:cs="仿宋"/>
          <w:b/>
          <w:bCs/>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w:t>
      </w:r>
      <w:r>
        <w:rPr>
          <w:rFonts w:hint="eastAsia" w:ascii="仿宋" w:hAnsi="仿宋" w:eastAsia="仿宋" w:cs="仿宋"/>
          <w:color w:val="000000" w:themeColor="text1"/>
          <w:kern w:val="0"/>
          <w:szCs w:val="24"/>
          <w14:textFill>
            <w14:solidFill>
              <w14:schemeClr w14:val="tx1"/>
            </w14:solidFill>
          </w14:textFill>
        </w:rPr>
        <w:t>6对于未预留份额专门面向中小企业的政府采购货物或服务项目，以及预留份额政府采购货物或服务项目中的非预留部分标项，对小型和微型企业的投标报价给予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bCs/>
          <w:color w:val="000000" w:themeColor="text1"/>
          <w:kern w:val="0"/>
          <w:szCs w:val="24"/>
          <w:u w:val="single"/>
          <w14:textFill>
            <w14:solidFill>
              <w14:schemeClr w14:val="tx1"/>
            </w14:solidFill>
          </w14:textFill>
        </w:rPr>
        <w:t>10</w:t>
      </w:r>
      <w:r>
        <w:rPr>
          <w:rFonts w:hint="eastAsia" w:ascii="仿宋" w:hAnsi="仿宋" w:eastAsia="仿宋" w:cs="仿宋"/>
          <w:b/>
          <w:bCs/>
          <w:color w:val="000000" w:themeColor="text1"/>
          <w:kern w:val="0"/>
          <w:szCs w:val="24"/>
          <w:u w:val="single"/>
          <w14:textFill>
            <w14:solidFill>
              <w14:schemeClr w14:val="tx1"/>
            </w14:solidFill>
          </w14:textFill>
        </w:rPr>
        <w:t xml:space="preserve"> </w:t>
      </w:r>
      <w:r>
        <w:rPr>
          <w:rFonts w:ascii="仿宋" w:hAnsi="仿宋" w:eastAsia="仿宋" w:cs="仿宋"/>
          <w:b/>
          <w:bCs/>
          <w:color w:val="000000" w:themeColor="text1"/>
          <w:kern w:val="0"/>
          <w:szCs w:val="24"/>
          <w:u w:val="single"/>
          <w14:textFill>
            <w14:solidFill>
              <w14:schemeClr w14:val="tx1"/>
            </w14:solidFill>
          </w14:textFill>
        </w:rPr>
        <w:t>%</w:t>
      </w:r>
      <w:r>
        <w:rPr>
          <w:rFonts w:hint="eastAsia" w:ascii="仿宋" w:hAnsi="仿宋" w:eastAsia="仿宋" w:cs="仿宋"/>
          <w:color w:val="000000" w:themeColor="text1"/>
          <w:kern w:val="0"/>
          <w:szCs w:val="24"/>
          <w14:textFill>
            <w14:solidFill>
              <w14:schemeClr w14:val="tx1"/>
            </w14:solidFill>
          </w14:textFill>
        </w:rPr>
        <w:t>（10%-20%）</w:t>
      </w:r>
      <w:r>
        <w:rPr>
          <w:rFonts w:ascii="仿宋" w:hAnsi="仿宋" w:eastAsia="仿宋" w:cs="仿宋"/>
          <w:color w:val="000000" w:themeColor="text1"/>
          <w:kern w:val="0"/>
          <w:szCs w:val="24"/>
          <w14:textFill>
            <w14:solidFill>
              <w14:schemeClr w14:val="tx1"/>
            </w14:solidFill>
          </w14:textFill>
        </w:rPr>
        <w:t>的扣除，用扣除后的价格参与评审。</w:t>
      </w:r>
      <w:r>
        <w:rPr>
          <w:rFonts w:ascii="仿宋" w:hAnsi="仿宋" w:eastAsia="仿宋" w:cs="仿宋"/>
          <w:b/>
          <w:bCs/>
          <w:color w:val="000000" w:themeColor="text1"/>
          <w:kern w:val="0"/>
          <w:szCs w:val="24"/>
          <w14:textFill>
            <w14:solidFill>
              <w14:schemeClr w14:val="tx1"/>
            </w14:solidFill>
          </w14:textFill>
        </w:rPr>
        <w:t>接受大中型企业与小</w:t>
      </w:r>
      <w:r>
        <w:rPr>
          <w:rFonts w:hint="eastAsia" w:ascii="仿宋" w:hAnsi="仿宋" w:eastAsia="仿宋" w:cs="仿宋"/>
          <w:b/>
          <w:bCs/>
          <w:color w:val="000000" w:themeColor="text1"/>
          <w:kern w:val="0"/>
          <w:szCs w:val="24"/>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000000" w:themeColor="text1"/>
          <w:kern w:val="0"/>
          <w:szCs w:val="24"/>
          <w14:textFill>
            <w14:solidFill>
              <w14:schemeClr w14:val="tx1"/>
            </w14:solidFill>
          </w14:textFill>
        </w:rPr>
        <w:t>30%以上的，对联合体或者大中型企业的报价给予</w:t>
      </w:r>
      <w:r>
        <w:rPr>
          <w:rFonts w:hint="eastAsia" w:ascii="仿宋" w:hAnsi="仿宋" w:eastAsia="仿宋" w:cs="仿宋"/>
          <w:b/>
          <w:bCs/>
          <w:color w:val="000000" w:themeColor="text1"/>
          <w:kern w:val="0"/>
          <w:szCs w:val="24"/>
          <w:u w:val="single"/>
          <w14:textFill>
            <w14:solidFill>
              <w14:schemeClr w14:val="tx1"/>
            </w14:solidFill>
          </w14:textFill>
        </w:rPr>
        <w:t>4 %</w:t>
      </w:r>
      <w:r>
        <w:rPr>
          <w:rFonts w:hint="eastAsia" w:ascii="仿宋" w:hAnsi="仿宋" w:eastAsia="仿宋" w:cs="仿宋"/>
          <w:color w:val="000000" w:themeColor="text1"/>
          <w:kern w:val="0"/>
          <w:szCs w:val="24"/>
          <w14:textFill>
            <w14:solidFill>
              <w14:schemeClr w14:val="tx1"/>
            </w14:solidFill>
          </w14:textFill>
        </w:rPr>
        <w:t>（4%-6%）</w:t>
      </w:r>
      <w:r>
        <w:rPr>
          <w:rFonts w:ascii="仿宋" w:hAnsi="仿宋" w:eastAsia="仿宋" w:cs="仿宋"/>
          <w:b/>
          <w:bCs/>
          <w:color w:val="000000" w:themeColor="text1"/>
          <w:kern w:val="0"/>
          <w:szCs w:val="24"/>
          <w14:textFill>
            <w14:solidFill>
              <w14:schemeClr w14:val="tx1"/>
            </w14:solidFill>
          </w14:textFill>
        </w:rPr>
        <w:t>的扣除，用扣除后的价格参加评审。</w:t>
      </w:r>
    </w:p>
    <w:p>
      <w:pPr>
        <w:pStyle w:val="130"/>
        <w:wordWrap w:val="0"/>
        <w:spacing w:before="0"/>
        <w:ind w:firstLine="482"/>
        <w:rPr>
          <w:rFonts w:ascii="仿宋" w:hAnsi="仿宋" w:eastAsia="仿宋" w:cs="仿宋"/>
          <w:b/>
          <w:bCs/>
          <w:color w:val="000000" w:themeColor="text1"/>
          <w:kern w:val="0"/>
          <w:szCs w:val="24"/>
          <w14:textFill>
            <w14:solidFill>
              <w14:schemeClr w14:val="tx1"/>
            </w14:solidFill>
          </w14:textFill>
        </w:rPr>
      </w:pPr>
      <w:r>
        <w:rPr>
          <w:rFonts w:ascii="仿宋" w:hAnsi="仿宋" w:eastAsia="仿宋" w:cs="仿宋"/>
          <w:b/>
          <w:bCs/>
          <w:color w:val="000000" w:themeColor="text1"/>
          <w:kern w:val="0"/>
          <w:szCs w:val="24"/>
          <w14:textFill>
            <w14:solidFill>
              <w14:schemeClr w14:val="tx1"/>
            </w14:solidFill>
          </w14:textFill>
        </w:rPr>
        <w:t>组成联合体或者接受分包的小</w:t>
      </w:r>
      <w:r>
        <w:rPr>
          <w:rFonts w:hint="eastAsia" w:ascii="仿宋" w:hAnsi="仿宋" w:eastAsia="仿宋" w:cs="仿宋"/>
          <w:b/>
          <w:bCs/>
          <w:color w:val="000000" w:themeColor="text1"/>
          <w:kern w:val="0"/>
          <w:szCs w:val="24"/>
          <w14:textFill>
            <w14:solidFill>
              <w14:schemeClr w14:val="tx1"/>
            </w14:solidFill>
          </w14:textFill>
        </w:rPr>
        <w:t>微企业与联合体内其他企业、分包企业之间存在直接控股、管理关系的，不享受价格扣除优惠政策。</w:t>
      </w:r>
    </w:p>
    <w:p>
      <w:pPr>
        <w:wordWrap w:val="0"/>
        <w:spacing w:line="360" w:lineRule="auto"/>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000000" w:themeColor="text1"/>
          <w:kern w:val="0"/>
          <w:sz w:val="24"/>
          <w:u w:val="single"/>
          <w14:textFill>
            <w14:solidFill>
              <w14:schemeClr w14:val="tx1"/>
            </w14:solidFill>
          </w14:textFill>
        </w:rPr>
        <w:t>本项目推荐1名中标候选人</w:t>
      </w:r>
      <w:r>
        <w:rPr>
          <w:rFonts w:hint="eastAsia" w:ascii="仿宋" w:hAnsi="仿宋" w:eastAsia="仿宋" w:cs="仿宋"/>
          <w:color w:val="000000" w:themeColor="text1"/>
          <w:kern w:val="0"/>
          <w:sz w:val="24"/>
          <w14:textFill>
            <w14:solidFill>
              <w14:schemeClr w14:val="tx1"/>
            </w14:solidFill>
          </w14:textFill>
        </w:rPr>
        <w:t>。</w:t>
      </w:r>
    </w:p>
    <w:p>
      <w:pPr>
        <w:wordWrap w:val="0"/>
        <w:spacing w:line="360" w:lineRule="auto"/>
        <w:ind w:firstLine="480"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pPr>
        <w:wordWrap w:val="0"/>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val="0"/>
        <w:adjustRightInd/>
        <w:spacing w:after="225" w:line="315" w:lineRule="atLeast"/>
        <w:jc w:val="left"/>
        <w:outlineLvl w:val="1"/>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pPr>
        <w:pStyle w:val="130"/>
        <w:wordWrap w:val="0"/>
        <w:spacing w:before="0"/>
        <w:ind w:firstLine="472" w:firstLineChars="196"/>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wordWrap w:val="0"/>
        <w:spacing w:line="360" w:lineRule="auto"/>
        <w:ind w:left="954" w:leftChars="226" w:hanging="479" w:firstLineChars="0"/>
        <w:rPr>
          <w:rFonts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有下列情况之一的，投标无效：</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4.2.2投标文件未按照招标文件要求签署、盖章的；</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4.2.3采购人拟采购的产品属于政府强制采购的节能产品品目清单范围的，投标人未按招标文件要求提供国家确定的认证机构出具的、处于有效期之内的节能产品认证证书的；（服务项目不适用）</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4.2.4投标文件含有采购人不能接受的附加条件的；</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4.2.5投标文件中承诺的投标有效期少于招标文件中载明的投标有效期的；</w:t>
      </w:r>
    </w:p>
    <w:p>
      <w:pPr>
        <w:wordWrap w:val="0"/>
        <w:snapToGrid w:val="0"/>
        <w:spacing w:line="360" w:lineRule="auto"/>
        <w:ind w:firstLine="120" w:firstLineChars="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4.2.6投标文件出现不是唯一的、有选择性投标报价的;</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4.2.7投标报价超过招标文件中规定的预算金额或者最高限价的;</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4.2.9投标人对根据修正原则修正后的报价不确认的；</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4.2.10投标人提供虚假材料投标的；</w:t>
      </w:r>
    </w:p>
    <w:p>
      <w:pPr>
        <w:wordWrap w:val="0"/>
        <w:spacing w:line="360" w:lineRule="auto"/>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wordWrap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4.2.12投标人仅提交备份投标文件，没有在电子交易平台传输递交投标文件的，投标无效；</w:t>
      </w:r>
    </w:p>
    <w:p>
      <w:pPr>
        <w:pStyle w:val="4"/>
        <w:keepNext w:val="0"/>
        <w:keepLines w:val="0"/>
        <w:wordWrap w:val="0"/>
        <w:ind w:left="862" w:leftChars="205"/>
        <w:rPr>
          <w:rFonts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投标文件不满足招标文件的其它实质性要求的；</w:t>
      </w:r>
    </w:p>
    <w:p>
      <w:pPr>
        <w:pStyle w:val="4"/>
        <w:keepNext w:val="0"/>
        <w:keepLines w:val="0"/>
        <w:wordWrap w:val="0"/>
        <w:ind w:left="862" w:leftChars="205"/>
        <w:rPr>
          <w:rFonts w:ascii="仿宋" w:eastAsia="仿宋" w:cs="仿宋"/>
          <w:b w:val="0"/>
          <w:bCs w:val="0"/>
          <w:color w:val="000000" w:themeColor="text1"/>
          <w:sz w:val="24"/>
          <w:szCs w:val="24"/>
          <w14:textFill>
            <w14:solidFill>
              <w14:schemeClr w14:val="tx1"/>
            </w14:solidFill>
          </w14:textFill>
        </w:rPr>
      </w:pPr>
      <w:r>
        <w:rPr>
          <w:rFonts w:hint="eastAsia" w:ascii="仿宋" w:eastAsia="仿宋" w:cs="仿宋"/>
          <w:b w:val="0"/>
          <w:bCs w:val="0"/>
          <w:color w:val="000000" w:themeColor="text1"/>
          <w:kern w:val="0"/>
          <w:sz w:val="24"/>
          <w14:textFill>
            <w14:solidFill>
              <w14:schemeClr w14:val="tx1"/>
            </w14:solidFill>
          </w14:textFill>
        </w:rPr>
        <w:t>4.2.14</w:t>
      </w:r>
      <w:r>
        <w:rPr>
          <w:rFonts w:hint="eastAsia" w:ascii="仿宋" w:eastAsia="仿宋" w:cs="仿宋"/>
          <w:b w:val="0"/>
          <w:bCs w:val="0"/>
          <w:color w:val="000000" w:themeColor="text1"/>
          <w:kern w:val="0"/>
          <w:sz w:val="24"/>
          <w:lang w:val="en-US"/>
          <w14:textFill>
            <w14:solidFill>
              <w14:schemeClr w14:val="tx1"/>
            </w14:solidFill>
          </w14:textFill>
        </w:rPr>
        <w:t xml:space="preserve"> </w:t>
      </w:r>
      <w:r>
        <w:rPr>
          <w:rFonts w:hint="eastAsia" w:ascii="仿宋" w:eastAsia="仿宋" w:cs="仿宋"/>
          <w:b w:val="0"/>
          <w:bCs w:val="0"/>
          <w:color w:val="000000" w:themeColor="text1"/>
          <w:sz w:val="24"/>
          <w:szCs w:val="24"/>
          <w14:textFill>
            <w14:solidFill>
              <w14:schemeClr w14:val="tx1"/>
            </w14:solidFill>
          </w14:textFill>
        </w:rPr>
        <w:t>法律、法规、规章（适用本市的）及省级以上规范性文件（适用本市的）规</w:t>
      </w:r>
    </w:p>
    <w:p>
      <w:pPr>
        <w:pStyle w:val="4"/>
        <w:keepNext w:val="0"/>
        <w:keepLines w:val="0"/>
        <w:wordWrap w:val="0"/>
        <w:ind w:left="0" w:firstLine="0"/>
        <w:rPr>
          <w:rFonts w:ascii="仿宋" w:eastAsia="仿宋" w:cs="仿宋"/>
          <w:color w:val="000000" w:themeColor="text1"/>
          <w:kern w:val="0"/>
          <w:sz w:val="24"/>
          <w:lang w:val="en-US"/>
          <w14:textFill>
            <w14:solidFill>
              <w14:schemeClr w14:val="tx1"/>
            </w14:solidFill>
          </w14:textFill>
        </w:rPr>
      </w:pPr>
      <w:r>
        <w:rPr>
          <w:rFonts w:hint="eastAsia" w:ascii="仿宋" w:eastAsia="仿宋" w:cs="仿宋"/>
          <w:b w:val="0"/>
          <w:bCs w:val="0"/>
          <w:color w:val="000000" w:themeColor="text1"/>
          <w:sz w:val="24"/>
          <w:szCs w:val="24"/>
          <w14:textFill>
            <w14:solidFill>
              <w14:schemeClr w14:val="tx1"/>
            </w14:solidFill>
          </w14:textFill>
        </w:rPr>
        <w:t>定的其他无效情形。</w:t>
      </w:r>
    </w:p>
    <w:p>
      <w:pPr>
        <w:pStyle w:val="27"/>
        <w:wordWrap w:val="0"/>
        <w:snapToGrid w:val="0"/>
        <w:spacing w:line="360" w:lineRule="auto"/>
        <w:ind w:firstLine="472"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pPr>
        <w:pStyle w:val="27"/>
        <w:wordWrap w:val="0"/>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pPr>
        <w:pStyle w:val="27"/>
        <w:wordWrap w:val="0"/>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pPr>
        <w:pStyle w:val="27"/>
        <w:wordWrap w:val="0"/>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pPr>
        <w:pStyle w:val="27"/>
        <w:wordWrap w:val="0"/>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pPr>
        <w:pStyle w:val="27"/>
        <w:wordWrap w:val="0"/>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pPr>
        <w:pStyle w:val="27"/>
        <w:wordWrap w:val="0"/>
        <w:snapToGrid w:val="0"/>
        <w:spacing w:line="360" w:lineRule="auto"/>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wordWrap w:val="0"/>
        <w:snapToGrid w:val="0"/>
        <w:spacing w:line="360" w:lineRule="auto"/>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7"/>
        <w:wordWrap w:val="0"/>
        <w:snapToGrid w:val="0"/>
        <w:spacing w:line="360" w:lineRule="auto"/>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7.1未确定中标或者中标人的，终止本次政府采购活动，重新开展政府采购活动。</w:t>
      </w:r>
    </w:p>
    <w:p>
      <w:pPr>
        <w:pStyle w:val="27"/>
        <w:wordWrap w:val="0"/>
        <w:snapToGrid w:val="0"/>
        <w:spacing w:line="360" w:lineRule="auto"/>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wordWrap w:val="0"/>
        <w:snapToGrid w:val="0"/>
        <w:spacing w:line="360" w:lineRule="auto"/>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7"/>
        <w:wordWrap w:val="0"/>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pPr>
        <w:pStyle w:val="27"/>
        <w:wordWrap w:val="0"/>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的行为，经改正后仍然影响或者可能影响中标、成交结果或者依法被认定为中标、成交无效的，依照7.1-7.4规定处理。</w:t>
      </w:r>
    </w:p>
    <w:p>
      <w:pPr>
        <w:pStyle w:val="27"/>
        <w:wordWrap w:val="0"/>
        <w:snapToGrid w:val="0"/>
        <w:spacing w:line="360" w:lineRule="auto"/>
        <w:ind w:firstLine="0" w:firstLineChars="0"/>
        <w:rPr>
          <w:rFonts w:ascii="仿宋" w:hAnsi="仿宋" w:eastAsia="仿宋" w:cs="仿宋"/>
          <w:color w:val="000000" w:themeColor="text1"/>
          <w14:textFill>
            <w14:solidFill>
              <w14:schemeClr w14:val="tx1"/>
            </w14:solidFill>
          </w14:textFill>
        </w:rPr>
      </w:pPr>
    </w:p>
    <w:bookmarkEnd w:id="46"/>
    <w:p>
      <w:pPr>
        <w:wordWrap w:val="0"/>
        <w:spacing w:line="360" w:lineRule="auto"/>
        <w:ind w:left="720" w:leftChars="343" w:firstLine="1084" w:firstLineChars="300"/>
        <w:rPr>
          <w:rFonts w:ascii="仿宋" w:hAnsi="仿宋" w:eastAsia="仿宋" w:cs="仿宋"/>
          <w:b/>
          <w:color w:val="000000" w:themeColor="text1"/>
          <w:sz w:val="36"/>
          <w:szCs w:val="36"/>
          <w14:textFill>
            <w14:solidFill>
              <w14:schemeClr w14:val="tx1"/>
            </w14:solidFill>
          </w14:textFill>
        </w:rPr>
      </w:pPr>
      <w:bookmarkStart w:id="423" w:name="第五部分"/>
      <w:bookmarkStart w:id="424" w:name="_Toc86217003"/>
    </w:p>
    <w:p>
      <w:pPr>
        <w:wordWrap w:val="0"/>
        <w:spacing w:line="360" w:lineRule="auto"/>
        <w:ind w:left="720" w:leftChars="343" w:firstLine="1084" w:firstLineChars="300"/>
        <w:rPr>
          <w:rFonts w:ascii="仿宋" w:hAnsi="仿宋" w:eastAsia="仿宋" w:cs="仿宋"/>
          <w:b/>
          <w:color w:val="000000" w:themeColor="text1"/>
          <w:sz w:val="36"/>
          <w:szCs w:val="36"/>
          <w14:textFill>
            <w14:solidFill>
              <w14:schemeClr w14:val="tx1"/>
            </w14:solidFill>
          </w14:textFill>
        </w:rPr>
      </w:pPr>
    </w:p>
    <w:p>
      <w:pPr>
        <w:wordWrap w:val="0"/>
        <w:spacing w:line="360" w:lineRule="auto"/>
        <w:ind w:left="720" w:leftChars="343" w:firstLine="1084" w:firstLineChars="300"/>
        <w:rPr>
          <w:rFonts w:ascii="仿宋" w:hAnsi="仿宋" w:eastAsia="仿宋" w:cs="仿宋"/>
          <w:b/>
          <w:color w:val="000000" w:themeColor="text1"/>
          <w:sz w:val="36"/>
          <w:szCs w:val="36"/>
          <w14:textFill>
            <w14:solidFill>
              <w14:schemeClr w14:val="tx1"/>
            </w14:solidFill>
          </w14:textFill>
        </w:rPr>
      </w:pPr>
    </w:p>
    <w:p>
      <w:pPr>
        <w:wordWrap w:val="0"/>
        <w:spacing w:line="360" w:lineRule="auto"/>
        <w:ind w:left="720" w:leftChars="343" w:firstLine="1084" w:firstLineChars="300"/>
        <w:rPr>
          <w:rFonts w:ascii="仿宋" w:hAnsi="仿宋" w:eastAsia="仿宋" w:cs="仿宋"/>
          <w:b/>
          <w:color w:val="000000" w:themeColor="text1"/>
          <w:sz w:val="36"/>
          <w:szCs w:val="36"/>
          <w14:textFill>
            <w14:solidFill>
              <w14:schemeClr w14:val="tx1"/>
            </w14:solidFill>
          </w14:textFill>
        </w:rPr>
      </w:pPr>
    </w:p>
    <w:p>
      <w:pPr>
        <w:tabs>
          <w:tab w:val="left" w:pos="1792"/>
        </w:tabs>
        <w:wordWrap w:val="0"/>
        <w:spacing w:line="360" w:lineRule="auto"/>
        <w:ind w:left="720" w:leftChars="343" w:firstLine="1084" w:firstLineChars="30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ab/>
      </w:r>
    </w:p>
    <w:p>
      <w:pPr>
        <w:wordWrap w:val="0"/>
        <w:ind w:firstLine="1807" w:firstLineChars="500"/>
        <w:outlineLvl w:val="0"/>
        <w:rPr>
          <w:rFonts w:ascii="仿宋" w:hAnsi="仿宋" w:eastAsia="仿宋" w:cs="仿宋"/>
          <w:b/>
          <w:color w:val="000000" w:themeColor="text1"/>
          <w:sz w:val="36"/>
          <w:szCs w:val="36"/>
          <w14:textFill>
            <w14:solidFill>
              <w14:schemeClr w14:val="tx1"/>
            </w14:solidFill>
          </w14:textFill>
        </w:rPr>
        <w:sectPr>
          <w:pgSz w:w="11905" w:h="16838"/>
          <w:pgMar w:top="652" w:right="1417" w:bottom="680" w:left="1417" w:header="539" w:footer="425" w:gutter="0"/>
          <w:cols w:space="0" w:num="1"/>
          <w:titlePg/>
        </w:sectPr>
      </w:pPr>
      <w:bookmarkStart w:id="425" w:name="_Toc12903"/>
      <w:bookmarkStart w:id="426" w:name="_Toc22290"/>
      <w:bookmarkStart w:id="427" w:name="_Toc28629"/>
    </w:p>
    <w:p>
      <w:pPr>
        <w:wordWrap w:val="0"/>
        <w:ind w:firstLine="1807" w:firstLineChars="500"/>
        <w:outlineLvl w:val="0"/>
        <w:rPr>
          <w:rFonts w:ascii="仿宋" w:hAnsi="仿宋" w:eastAsia="仿宋" w:cs="仿宋"/>
          <w:b/>
          <w:color w:val="000000" w:themeColor="text1"/>
          <w:sz w:val="36"/>
          <w:szCs w:val="36"/>
          <w14:textFill>
            <w14:solidFill>
              <w14:schemeClr w14:val="tx1"/>
            </w14:solidFill>
          </w14:textFill>
        </w:rPr>
      </w:pPr>
      <w:bookmarkStart w:id="428" w:name="_Toc12722"/>
      <w:bookmarkStart w:id="429" w:name="_Toc3651"/>
      <w:bookmarkStart w:id="430" w:name="_Toc8068"/>
      <w:r>
        <w:rPr>
          <w:rFonts w:hint="eastAsia" w:ascii="仿宋" w:hAnsi="仿宋" w:eastAsia="仿宋" w:cs="仿宋"/>
          <w:b/>
          <w:color w:val="000000" w:themeColor="text1"/>
          <w:sz w:val="36"/>
          <w:szCs w:val="36"/>
          <w14:textFill>
            <w14:solidFill>
              <w14:schemeClr w14:val="tx1"/>
            </w14:solidFill>
          </w14:textFill>
        </w:rPr>
        <w:t>第五部分 拟签订的合同文本</w:t>
      </w:r>
      <w:bookmarkEnd w:id="425"/>
      <w:bookmarkEnd w:id="426"/>
      <w:bookmarkEnd w:id="427"/>
      <w:bookmarkEnd w:id="428"/>
      <w:bookmarkEnd w:id="429"/>
      <w:bookmarkEnd w:id="430"/>
    </w:p>
    <w:p>
      <w:pPr>
        <w:wordWrap w:val="0"/>
        <w:rPr>
          <w:rFonts w:ascii="仿宋" w:hAnsi="仿宋" w:eastAsia="仿宋" w:cs="仿宋"/>
          <w:color w:val="000000" w:themeColor="text1"/>
          <w:sz w:val="24"/>
          <w14:textFill>
            <w14:solidFill>
              <w14:schemeClr w14:val="tx1"/>
            </w14:solidFill>
          </w14:textFill>
        </w:rPr>
      </w:pPr>
    </w:p>
    <w:p>
      <w:pPr>
        <w:wordWrap w:val="0"/>
        <w:rPr>
          <w:rFonts w:ascii="仿宋" w:hAnsi="仿宋" w:eastAsia="仿宋" w:cs="仿宋"/>
          <w:color w:val="000000" w:themeColor="text1"/>
          <w:sz w:val="24"/>
          <w14:textFill>
            <w14:solidFill>
              <w14:schemeClr w14:val="tx1"/>
            </w14:solidFill>
          </w14:textFill>
        </w:rPr>
      </w:pPr>
    </w:p>
    <w:p>
      <w:pPr>
        <w:pStyle w:val="62"/>
        <w:ind w:firstLine="420"/>
        <w:rPr>
          <w:color w:val="000000" w:themeColor="text1"/>
          <w14:textFill>
            <w14:solidFill>
              <w14:schemeClr w14:val="tx1"/>
            </w14:solidFill>
          </w14:textFill>
        </w:rPr>
      </w:pPr>
    </w:p>
    <w:p>
      <w:pPr>
        <w:wordWrap w:val="0"/>
        <w:rPr>
          <w:rFonts w:ascii="仿宋" w:hAnsi="仿宋" w:eastAsia="仿宋" w:cs="仿宋"/>
          <w:color w:val="000000" w:themeColor="text1"/>
          <w:sz w:val="24"/>
          <w14:textFill>
            <w14:solidFill>
              <w14:schemeClr w14:val="tx1"/>
            </w14:solidFill>
          </w14:textFill>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政府采购合同</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701"/>
        <w:rPr>
          <w:rFonts w:ascii="仿宋" w:hAnsi="仿宋" w:eastAsia="仿宋"/>
          <w:color w:val="000000" w:themeColor="text1"/>
          <w:szCs w:val="24"/>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pStyle w:val="701"/>
        <w:jc w:val="center"/>
        <w:rPr>
          <w:rFonts w:ascii="仿宋" w:hAnsi="仿宋" w:eastAsia="仿宋"/>
          <w:color w:val="000000" w:themeColor="text1"/>
          <w:szCs w:val="24"/>
          <w14:textFill>
            <w14:solidFill>
              <w14:schemeClr w14:val="tx1"/>
            </w14:solidFill>
          </w14:textFill>
        </w:rPr>
      </w:pPr>
    </w:p>
    <w:p>
      <w:pPr>
        <w:rPr>
          <w:color w:val="000000" w:themeColor="text1"/>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220" w:firstLine="720" w:firstLineChars="3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2024年-2026年笕桥周边区块市政设施长效养护服务项目</w:t>
      </w:r>
    </w:p>
    <w:p>
      <w:pPr>
        <w:pStyle w:val="599"/>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杭州市上城区综合行政执法局</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widowControl/>
        <w:jc w:val="left"/>
        <w:rPr>
          <w:rFonts w:ascii="仿宋" w:hAnsi="仿宋" w:eastAsia="仿宋"/>
          <w:color w:val="000000" w:themeColor="text1"/>
          <w:kern w:val="0"/>
          <w:sz w:val="24"/>
          <w14:textFill>
            <w14:solidFill>
              <w14:schemeClr w14:val="tx1"/>
            </w14:solidFill>
          </w14:textFill>
        </w:rPr>
        <w:sectPr>
          <w:pgSz w:w="11905" w:h="16838"/>
          <w:pgMar w:top="680" w:right="1417" w:bottom="624" w:left="1417" w:header="595" w:footer="595" w:gutter="0"/>
          <w:cols w:space="0" w:num="1"/>
          <w:titlePg/>
        </w:sect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了加强杭州市上城区道路设施的养护、维修，确保市政设施完好、整洁，甲乙双方按照《中华人民共和国民法典》及其他有关规定，遵循平等、自愿、公平和诚实信用的原则，就市区道路等设施养护运行及临时应急任务等事项协商一致，订立本合同。</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一、养护范围</w:t>
      </w:r>
    </w:p>
    <w:p>
      <w:pPr>
        <w:spacing w:line="360" w:lineRule="auto"/>
        <w:ind w:firstLine="482" w:firstLineChars="200"/>
        <w:rPr>
          <w:rFonts w:ascii="仿宋" w:hAnsi="仿宋" w:eastAsia="仿宋" w:cs="仿宋"/>
          <w:b/>
          <w:color w:val="000000" w:themeColor="text1"/>
          <w:sz w:val="24"/>
          <w:u w:val="double"/>
          <w14:textFill>
            <w14:solidFill>
              <w14:schemeClr w14:val="tx1"/>
            </w14:solidFill>
          </w14:textFill>
        </w:rPr>
      </w:pPr>
      <w:r>
        <w:rPr>
          <w:rFonts w:hint="eastAsia" w:ascii="仿宋" w:hAnsi="仿宋" w:eastAsia="仿宋" w:cs="仿宋"/>
          <w:b/>
          <w:color w:val="000000" w:themeColor="text1"/>
          <w:sz w:val="24"/>
          <w:u w:val="double"/>
          <w14:textFill>
            <w14:solidFill>
              <w14:schemeClr w14:val="tx1"/>
            </w14:solidFill>
          </w14:textFill>
        </w:rPr>
        <w:t>养护设施范围（包括养护道路、桥梁、排水清单设施量、资料卡、明细等）见合同附件。</w:t>
      </w:r>
    </w:p>
    <w:p>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(以实际签订合同为准，详细养护内容合同后附)</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二、养护的内容</w:t>
      </w:r>
    </w:p>
    <w:p>
      <w:pPr>
        <w:pStyle w:val="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按清单、招标文件及甲方要求。</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三、养护承包方式</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(一)乙方在确定的范围内以包工包料的方式实施固定单价承包且结算价不超过合同签约价。</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(二)除特殊材料及新工艺、新材料需报甲方认可外，养护所需一般材料、成品、设备等，均由乙方自行解决，但必须符合有关养护及施工技术规程、规范要求。</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四、养护费用</w:t>
      </w:r>
    </w:p>
    <w:p>
      <w:pPr>
        <w:wordWrap w:val="0"/>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养护服务合同签约价：人民币大写</w:t>
      </w:r>
      <w:r>
        <w:rPr>
          <w:rFonts w:hint="eastAsia" w:ascii="仿宋" w:hAnsi="仿宋" w:eastAsia="仿宋" w:cs="仿宋"/>
          <w:color w:val="000000" w:themeColor="text1"/>
          <w:sz w:val="24"/>
          <w:u w:val="single"/>
          <w14:textFill>
            <w14:solidFill>
              <w14:schemeClr w14:val="tx1"/>
            </w14:solidFill>
          </w14:textFill>
        </w:rPr>
        <w:t xml:space="preserve">       （中标价）      </w:t>
      </w:r>
      <w:r>
        <w:rPr>
          <w:rFonts w:hint="eastAsia" w:ascii="仿宋" w:hAnsi="仿宋" w:eastAsia="仿宋" w:cs="仿宋"/>
          <w:color w:val="000000" w:themeColor="text1"/>
          <w:sz w:val="24"/>
          <w14:textFill>
            <w14:solidFill>
              <w14:schemeClr w14:val="tx1"/>
            </w14:solidFill>
          </w14:textFill>
        </w:rPr>
        <w:t>万元，人民币小写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万元。其中：年度养护金额人民币小写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万元（包含道路经费     万元；排水经费      万元）</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(若遇设施量发生变化等，则相应调整合同养护费用)</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五、养护期限</w:t>
      </w:r>
    </w:p>
    <w:p>
      <w:pPr>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本次养护期限为3年，从</w:t>
      </w:r>
      <w:r>
        <w:rPr>
          <w:rFonts w:hint="eastAsia" w:ascii="仿宋" w:hAnsi="仿宋" w:eastAsia="仿宋" w:cs="仿宋"/>
          <w:b/>
          <w:color w:val="000000" w:themeColor="text1"/>
          <w:sz w:val="24"/>
          <w:u w:val="single"/>
          <w14:textFill>
            <w14:solidFill>
              <w14:schemeClr w14:val="tx1"/>
            </w14:solidFill>
          </w14:textFill>
        </w:rPr>
        <w:t xml:space="preserve">  2024  </w:t>
      </w:r>
      <w:r>
        <w:rPr>
          <w:rFonts w:hint="eastAsia" w:ascii="仿宋" w:hAnsi="仿宋" w:eastAsia="仿宋" w:cs="仿宋"/>
          <w:b/>
          <w:color w:val="000000" w:themeColor="text1"/>
          <w:sz w:val="24"/>
          <w14:textFill>
            <w14:solidFill>
              <w14:schemeClr w14:val="tx1"/>
            </w14:solidFill>
          </w14:textFill>
        </w:rPr>
        <w:t>年</w:t>
      </w:r>
      <w:r>
        <w:rPr>
          <w:rFonts w:hint="eastAsia" w:ascii="仿宋" w:hAnsi="仿宋" w:eastAsia="仿宋" w:cs="仿宋"/>
          <w:b/>
          <w:color w:val="000000" w:themeColor="text1"/>
          <w:sz w:val="24"/>
          <w:u w:val="single"/>
          <w14:textFill>
            <w14:solidFill>
              <w14:schemeClr w14:val="tx1"/>
            </w14:solidFill>
          </w14:textFill>
        </w:rPr>
        <w:t xml:space="preserve">  1  </w:t>
      </w:r>
      <w:r>
        <w:rPr>
          <w:rFonts w:hint="eastAsia" w:ascii="仿宋" w:hAnsi="仿宋" w:eastAsia="仿宋" w:cs="仿宋"/>
          <w:b/>
          <w:color w:val="000000" w:themeColor="text1"/>
          <w:sz w:val="24"/>
          <w14:textFill>
            <w14:solidFill>
              <w14:schemeClr w14:val="tx1"/>
            </w14:solidFill>
          </w14:textFill>
        </w:rPr>
        <w:t>月</w:t>
      </w:r>
      <w:r>
        <w:rPr>
          <w:rFonts w:hint="eastAsia" w:ascii="仿宋" w:hAnsi="仿宋" w:eastAsia="仿宋" w:cs="仿宋"/>
          <w:b/>
          <w:color w:val="000000" w:themeColor="text1"/>
          <w:sz w:val="24"/>
          <w:u w:val="single"/>
          <w14:textFill>
            <w14:solidFill>
              <w14:schemeClr w14:val="tx1"/>
            </w14:solidFill>
          </w14:textFill>
        </w:rPr>
        <w:t xml:space="preserve">  1  </w:t>
      </w:r>
      <w:r>
        <w:rPr>
          <w:rFonts w:hint="eastAsia" w:ascii="仿宋" w:hAnsi="仿宋" w:eastAsia="仿宋" w:cs="仿宋"/>
          <w:b/>
          <w:color w:val="000000" w:themeColor="text1"/>
          <w:sz w:val="24"/>
          <w14:textFill>
            <w14:solidFill>
              <w14:schemeClr w14:val="tx1"/>
            </w14:solidFill>
          </w14:textFill>
        </w:rPr>
        <w:t>起至</w:t>
      </w:r>
      <w:r>
        <w:rPr>
          <w:rFonts w:hint="eastAsia" w:ascii="仿宋" w:hAnsi="仿宋" w:eastAsia="仿宋" w:cs="仿宋"/>
          <w:b/>
          <w:color w:val="000000" w:themeColor="text1"/>
          <w:sz w:val="24"/>
          <w:u w:val="single"/>
          <w14:textFill>
            <w14:solidFill>
              <w14:schemeClr w14:val="tx1"/>
            </w14:solidFill>
          </w14:textFill>
        </w:rPr>
        <w:t xml:space="preserve">  2026  </w:t>
      </w:r>
      <w:r>
        <w:rPr>
          <w:rFonts w:hint="eastAsia" w:ascii="仿宋" w:hAnsi="仿宋" w:eastAsia="仿宋" w:cs="仿宋"/>
          <w:b/>
          <w:color w:val="000000" w:themeColor="text1"/>
          <w:sz w:val="24"/>
          <w14:textFill>
            <w14:solidFill>
              <w14:schemeClr w14:val="tx1"/>
            </w14:solidFill>
          </w14:textFill>
        </w:rPr>
        <w:t>年</w:t>
      </w:r>
      <w:r>
        <w:rPr>
          <w:rFonts w:hint="eastAsia" w:ascii="仿宋" w:hAnsi="仿宋" w:eastAsia="仿宋" w:cs="仿宋"/>
          <w:b/>
          <w:color w:val="000000" w:themeColor="text1"/>
          <w:sz w:val="24"/>
          <w:u w:val="single"/>
          <w14:textFill>
            <w14:solidFill>
              <w14:schemeClr w14:val="tx1"/>
            </w14:solidFill>
          </w14:textFill>
        </w:rPr>
        <w:t xml:space="preserve">  12  </w:t>
      </w:r>
      <w:r>
        <w:rPr>
          <w:rFonts w:hint="eastAsia" w:ascii="仿宋" w:hAnsi="仿宋" w:eastAsia="仿宋" w:cs="仿宋"/>
          <w:b/>
          <w:color w:val="000000" w:themeColor="text1"/>
          <w:sz w:val="24"/>
          <w14:textFill>
            <w14:solidFill>
              <w14:schemeClr w14:val="tx1"/>
            </w14:solidFill>
          </w14:textFill>
        </w:rPr>
        <w:t>月</w:t>
      </w:r>
      <w:r>
        <w:rPr>
          <w:rFonts w:hint="eastAsia" w:ascii="仿宋" w:hAnsi="仿宋" w:eastAsia="仿宋" w:cs="仿宋"/>
          <w:b/>
          <w:color w:val="000000" w:themeColor="text1"/>
          <w:sz w:val="24"/>
          <w:u w:val="single"/>
          <w14:textFill>
            <w14:solidFill>
              <w14:schemeClr w14:val="tx1"/>
            </w14:solidFill>
          </w14:textFill>
        </w:rPr>
        <w:t xml:space="preserve">  31  </w:t>
      </w:r>
      <w:r>
        <w:rPr>
          <w:rFonts w:hint="eastAsia" w:ascii="仿宋" w:hAnsi="仿宋" w:eastAsia="仿宋" w:cs="仿宋"/>
          <w:b/>
          <w:color w:val="000000" w:themeColor="text1"/>
          <w:sz w:val="24"/>
          <w14:textFill>
            <w14:solidFill>
              <w14:schemeClr w14:val="tx1"/>
            </w14:solidFill>
          </w14:textFill>
        </w:rPr>
        <w:t>日止。</w:t>
      </w:r>
    </w:p>
    <w:p>
      <w:pPr>
        <w:spacing w:line="360" w:lineRule="auto"/>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六、甲方的权利、职责与义务</w:t>
      </w:r>
    </w:p>
    <w:p>
      <w:pPr>
        <w:numPr>
          <w:ilvl w:val="0"/>
          <w:numId w:val="10"/>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甲方的权利：</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1.对合同范围内的所有市政设施及其附属设施进行管理，对占用或利用市政设施及其附属设施设置广告、管线、标志等以及在道路保护区域范围内进行施工等进行审批。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2.审定年度和月度养护计划、大面积维修计划，检查养护计划执行情况，审定乙方上报的养护工作量报表。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3.对乙方日常养护的质量、安全和巡查工作及资料台账进行定期或不定期的检查，并对设施完好和运行安全情况进行月度、半年度、年度考核。</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4.在有必要的情况下，可要求乙方对设施进行特殊养护。</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5.甲方以及其委派的任何人，在一切合理的时间内均可对乙方养护范围内的设施养护状况进行检查。</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(二)甲方的职责与义务：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1.向乙方提供有关市政设施养护所需的设施竣工资料和规范性文件，以及相关的技术规程和考核办法，下发各类报表样式，指导乙方健全内业资料。</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b/>
          <w:color w:val="000000" w:themeColor="text1"/>
          <w:sz w:val="24"/>
          <w:u w:val="single"/>
          <w14:textFill>
            <w14:solidFill>
              <w14:schemeClr w14:val="tx1"/>
            </w14:solidFill>
          </w14:textFill>
        </w:rPr>
        <w:t>严格按照考核办法进行月度检查考核，</w:t>
      </w:r>
      <w:r>
        <w:rPr>
          <w:rFonts w:hint="eastAsia" w:ascii="仿宋" w:hAnsi="仿宋" w:eastAsia="仿宋" w:cs="仿宋"/>
          <w:color w:val="000000" w:themeColor="text1"/>
          <w:sz w:val="24"/>
          <w14:textFill>
            <w14:solidFill>
              <w14:schemeClr w14:val="tx1"/>
            </w14:solidFill>
          </w14:textFill>
        </w:rPr>
        <w:t>协助处理养护工作中与相关单位的协调工作。</w:t>
      </w:r>
      <w:r>
        <w:rPr>
          <w:rFonts w:hint="eastAsia" w:ascii="仿宋" w:hAnsi="仿宋" w:eastAsia="仿宋" w:cs="仿宋"/>
          <w:b/>
          <w:color w:val="000000" w:themeColor="text1"/>
          <w:sz w:val="24"/>
          <w:u w:val="single"/>
          <w14:textFill>
            <w14:solidFill>
              <w14:schemeClr w14:val="tx1"/>
            </w14:solidFill>
          </w14:textFill>
        </w:rPr>
        <w:t>例如确认乙方需要更换项目负责人或项目技术负责人、各类专业技术人员和道路养护工等事项，并及时报市级监管部门备案等。</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3.及时审核、下达乙方上报的月度、年度、大面积维修计划，并组织对大面积维修项目进行验收。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4.对乙方承包养护的养护工作进行检查、督促，对设施完好状况进行跟踪检测；发现乙方未按规范要求进行养护时，应按合同约定进行处理；发现设施处于危急状况时立即限期要求乙方采取应急措施。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5.对养护工作中采用新工艺、新材料、新方法的适用性、安全性进行审查。</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6.负责处理或协调因人为因素、自然因素造成的设施损坏和侵害事件。</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七、乙方的权利、职责与义务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(一)乙方的权利</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1.按照本合同确定的养护设施范围，根据考核情况取得相应确定的养护经费。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2.编制年度、月度养护计划和大面积维修计划，经甲方审定后安排日常养护工作，实施大面积维修工程。</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3.按甲方要求进行临时养护的项目，不得新增加养护费用。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(二)乙方的职责与义务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1.按照现行的有关规范要求并根据合同的各项规定，精心组织养护。</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2.掌握合同范围内设施动态，及时发现、防止和处理设施缺陷，确保市政设施完好和安全运行。</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乙方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4.对合同范围内的所有市政设施和附属设施按有关规定进行巡查，在重大活动期间和节假日应加大巡查频率，必要时采取监护措施。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5.对全部现场作业和施工方法的适应、稳妥和安全性承担全部责任。在养护工作中，力求采用成熟的工艺、材料和方法。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根据养护计划编制养护方案，并应在每月28日前报送当月完成的工作量和下月的计划。乙方在接到甲方下达的大面积维修项目计划一个月内，应编制详细的施工方案和预算，经甲方批复后组织施工；项目完成后提交完整的竣工资料。</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按合同附表配备技术熟练、经验丰富的项目负责人、项目技术负责人、各类专业技术人员和技工，并保持其岗位的相对稳定，如果需要更换项目负责人或项目技术负责人，应事先报请甲方书面同意；甲方有权要求乙方撤换那些工作不能胜任或玩忽职守、工作不负责的人员；养护期间应保证一定的机具设备，不得另作他用（具体以乙方投标文件中的相关承诺为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8.配合甲方做好合同范围内设施量及设施现状调查工作，并为甲方的检测和检查等提供协助。</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9.配合做好大型公共活动的服务及安全保障工作。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10.在合同期间内，乙方有责任发现并及时制止合同范围内的所有设施免遭人为等因素导致的损坏和侵害，并做好赔偿、修复的调查工作。</w:t>
      </w:r>
    </w:p>
    <w:p>
      <w:pPr>
        <w:pStyle w:val="27"/>
        <w:spacing w:line="360" w:lineRule="auto"/>
        <w:ind w:firstLine="482"/>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八、养护质量标准和要求</w:t>
      </w:r>
    </w:p>
    <w:p>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（一）养护质量标准</w:t>
      </w:r>
    </w:p>
    <w:p>
      <w:pPr>
        <w:pStyle w:val="16"/>
        <w:spacing w:line="36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根据《城镇道路养护技术规范》(CJJ36—2006)、《城市道路养护规范》（DB 3301/T 0012-2013）、《城市桥梁养护技术规范》（CJJ99-2017）、《城市桥梁检测和养护维修管理办法》（建设部2003年118号令）、新颁布的相关规程、规范等和国家有关强制性标准的规定执行。</w:t>
      </w:r>
    </w:p>
    <w:p>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（二）养护考核</w:t>
      </w:r>
    </w:p>
    <w:p>
      <w:pPr>
        <w:widowControl/>
        <w:snapToGrid w:val="0"/>
        <w:spacing w:line="360" w:lineRule="auto"/>
        <w:ind w:firstLine="480" w:firstLineChars="200"/>
        <w:rPr>
          <w:rFonts w:ascii="仿宋" w:hAnsi="仿宋" w:eastAsia="方正小标宋简体"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按照国家有关规范、技术标准、</w:t>
      </w:r>
      <w:r>
        <w:rPr>
          <w:rFonts w:hint="eastAsia" w:ascii="仿宋" w:hAnsi="仿宋" w:eastAsia="仿宋" w:cs="仿宋"/>
          <w:color w:val="000000" w:themeColor="text1"/>
          <w:sz w:val="24"/>
          <w14:textFill>
            <w14:solidFill>
              <w14:schemeClr w14:val="tx1"/>
            </w14:solidFill>
          </w14:textFill>
        </w:rPr>
        <w:t>《关于印发2021年度各区县（市）政府（管委会）城市管理考核相关评分细则的通知（杭城管综执联办〔2021〕3号）》及《关于印发《上城区综合行政执法局市政设施监管考核实施细则(指引)》的通知（上综法〔2022〕29号）》</w:t>
      </w:r>
      <w:r>
        <w:rPr>
          <w:rFonts w:hint="eastAsia" w:ascii="仿宋" w:hAnsi="仿宋" w:eastAsia="仿宋" w:cs="仿宋"/>
          <w:color w:val="000000" w:themeColor="text1"/>
          <w:kern w:val="0"/>
          <w:sz w:val="24"/>
          <w:lang w:val="zh-CN"/>
          <w14:textFill>
            <w14:solidFill>
              <w14:schemeClr w14:val="tx1"/>
            </w14:solidFill>
          </w14:textFill>
        </w:rPr>
        <w:t>等相关规定执行，如市、区相应规范标准有更新，按照最新版本执行。</w:t>
      </w:r>
    </w:p>
    <w:p>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（三）养护检测评估</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根据《关于印发&lt;杭州市区城市道路路面技术状况检测方案）&gt;的通知》（杭城管委[2016]292号）和《关于进一步规范城市桥梁检查检测工作的通知》（杭城管委[2017]247号）等相关通知要求，在道路及桥梁设施养护过程中，配备与养护设施量相适应养护技术人员、检查工具和检测设备，进行经常性检查：</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合同范围内所有道路、桥梁在合同期内进行</w:t>
      </w:r>
      <w:r>
        <w:rPr>
          <w:rFonts w:hint="eastAsia" w:ascii="仿宋" w:hAnsi="仿宋" w:eastAsia="仿宋" w:cs="仿宋"/>
          <w:color w:val="000000" w:themeColor="text1"/>
          <w:kern w:val="0"/>
          <w:sz w:val="24"/>
          <w14:textFill>
            <w14:solidFill>
              <w14:schemeClr w14:val="tx1"/>
            </w14:solidFill>
          </w14:textFill>
        </w:rPr>
        <w:t>三次（每年一次）</w:t>
      </w:r>
      <w:r>
        <w:rPr>
          <w:rFonts w:hint="eastAsia" w:ascii="仿宋" w:hAnsi="仿宋" w:eastAsia="仿宋" w:cs="仿宋"/>
          <w:color w:val="000000" w:themeColor="text1"/>
          <w:kern w:val="0"/>
          <w:sz w:val="24"/>
          <w:lang w:val="zh-CN"/>
          <w14:textFill>
            <w14:solidFill>
              <w14:schemeClr w14:val="tx1"/>
            </w14:solidFill>
          </w14:textFill>
        </w:rPr>
        <w:t>常规检测（含桥梁沉降观测），</w:t>
      </w:r>
      <w:r>
        <w:rPr>
          <w:rFonts w:hint="eastAsia" w:ascii="仿宋" w:hAnsi="仿宋" w:eastAsia="仿宋" w:cs="仿宋"/>
          <w:color w:val="000000" w:themeColor="text1"/>
          <w:kern w:val="0"/>
          <w:sz w:val="24"/>
          <w14:textFill>
            <w14:solidFill>
              <w14:schemeClr w14:val="tx1"/>
            </w14:solidFill>
          </w14:textFill>
        </w:rPr>
        <w:t>每年</w:t>
      </w:r>
      <w:r>
        <w:rPr>
          <w:rFonts w:hint="eastAsia" w:ascii="仿宋" w:hAnsi="仿宋" w:eastAsia="仿宋" w:cs="仿宋"/>
          <w:color w:val="000000" w:themeColor="text1"/>
          <w:kern w:val="0"/>
          <w:sz w:val="24"/>
          <w:lang w:val="zh-CN"/>
          <w14:textFill>
            <w14:solidFill>
              <w14:schemeClr w14:val="tx1"/>
            </w14:solidFill>
          </w14:textFill>
        </w:rPr>
        <w:t>11月底前提供相关检测报告。</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在合同期内进行</w:t>
      </w:r>
      <w:r>
        <w:rPr>
          <w:rFonts w:hint="eastAsia" w:ascii="仿宋" w:hAnsi="仿宋" w:eastAsia="仿宋" w:cs="仿宋"/>
          <w:color w:val="000000" w:themeColor="text1"/>
          <w:kern w:val="0"/>
          <w:sz w:val="24"/>
          <w14:textFill>
            <w14:solidFill>
              <w14:schemeClr w14:val="tx1"/>
            </w14:solidFill>
          </w14:textFill>
        </w:rPr>
        <w:t>三次（每年一次）</w:t>
      </w:r>
      <w:r>
        <w:rPr>
          <w:rFonts w:hint="eastAsia" w:ascii="仿宋" w:hAnsi="仿宋" w:eastAsia="仿宋" w:cs="仿宋"/>
          <w:color w:val="000000" w:themeColor="text1"/>
          <w:kern w:val="0"/>
          <w:sz w:val="24"/>
          <w:lang w:val="zh-CN"/>
          <w14:textFill>
            <w14:solidFill>
              <w14:schemeClr w14:val="tx1"/>
            </w14:solidFill>
          </w14:textFill>
        </w:rPr>
        <w:t>道路、桥梁结构性检测，</w:t>
      </w:r>
      <w:r>
        <w:rPr>
          <w:rFonts w:hint="eastAsia" w:ascii="仿宋" w:hAnsi="仿宋" w:eastAsia="仿宋" w:cs="仿宋"/>
          <w:color w:val="000000" w:themeColor="text1"/>
          <w:kern w:val="0"/>
          <w:sz w:val="24"/>
          <w14:textFill>
            <w14:solidFill>
              <w14:schemeClr w14:val="tx1"/>
            </w14:solidFill>
          </w14:textFill>
        </w:rPr>
        <w:t>每年检测范围为</w:t>
      </w:r>
      <w:r>
        <w:rPr>
          <w:rFonts w:hint="eastAsia" w:ascii="仿宋" w:hAnsi="仿宋" w:eastAsia="仿宋" w:cs="仿宋"/>
          <w:color w:val="000000" w:themeColor="text1"/>
          <w:kern w:val="0"/>
          <w:sz w:val="24"/>
          <w:lang w:val="zh-CN"/>
          <w14:textFill>
            <w14:solidFill>
              <w14:schemeClr w14:val="tx1"/>
            </w14:solidFill>
          </w14:textFill>
        </w:rPr>
        <w:t>合同范围内总面积三分之一的道路，占总座数六分之一的桥梁，检测计划由甲方于合同期始制定。</w:t>
      </w:r>
      <w:r>
        <w:rPr>
          <w:rFonts w:hint="eastAsia" w:ascii="仿宋" w:hAnsi="仿宋" w:eastAsia="仿宋" w:cs="仿宋"/>
          <w:color w:val="000000" w:themeColor="text1"/>
          <w:kern w:val="0"/>
          <w:sz w:val="24"/>
          <w14:textFill>
            <w14:solidFill>
              <w14:schemeClr w14:val="tx1"/>
            </w14:solidFill>
          </w14:textFill>
        </w:rPr>
        <w:t>每年</w:t>
      </w:r>
      <w:r>
        <w:rPr>
          <w:rFonts w:hint="eastAsia" w:ascii="仿宋" w:hAnsi="仿宋" w:eastAsia="仿宋" w:cs="仿宋"/>
          <w:color w:val="000000" w:themeColor="text1"/>
          <w:kern w:val="0"/>
          <w:sz w:val="24"/>
          <w:lang w:val="zh-CN"/>
          <w14:textFill>
            <w14:solidFill>
              <w14:schemeClr w14:val="tx1"/>
            </w14:solidFill>
          </w14:textFill>
        </w:rPr>
        <w:t>11月底前提供相关检测报告。</w:t>
      </w:r>
    </w:p>
    <w:p>
      <w:pPr>
        <w:widowControl/>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合同范围内所有管道每年按照管道总长度的二分之一进行CCTV检测，二年进行一轮全覆盖，由中标单位负责检测（或委托有检测资质单位实施）。每年11月底前向采购人提供相关检测报告</w:t>
      </w:r>
    </w:p>
    <w:p>
      <w:pPr>
        <w:widowControl/>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注：检测工作应由具有相应检测资质单位承担，乙方具有相应检测资质的可自行承担检测工作或分包，乙方无相应检测资质的，则必须分包与具有相应检测资质单位。</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九、突发事件处理及防汛、抗台、抗雪</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成立突发事件应急处理领导小组和应急抢险突击队，切实按照《杭州市突发事件应急抢险预案》、《杭州市防汛抗台应急抢险预案》、《杭州市抗雪应急抢险预案》制定相关预案并组织实施。认真做好防汛、抗台、抗雪防冻及突发事件应急抢险工作，确保人员、设备、材料“三落实”，并做好数据、图片和台账的记录、存档，及时反映情况，严格服从甲方的统一指挥和安排。</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若发生非养护原因引起的意外事故或人为破坏造成的设施损坏，乙方应立即采取相关措施或临时应急措施，并通知甲方和相关部门。</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十、考核及支付</w:t>
      </w:r>
    </w:p>
    <w:p>
      <w:pPr>
        <w:pStyle w:val="35"/>
        <w:spacing w:line="360" w:lineRule="auto"/>
        <w:ind w:firstLine="5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(一)考核</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1.考核办法：管理考核采取日常巡查考核和检查考核相结合，参照《上城区综合行政执法局市政设施监管考核实施细则（指引）》、</w:t>
      </w:r>
      <w:r>
        <w:rPr>
          <w:rFonts w:hint="eastAsia" w:ascii="仿宋" w:hAnsi="仿宋" w:eastAsia="仿宋" w:cs="仿宋"/>
          <w:color w:val="000000" w:themeColor="text1"/>
          <w:sz w:val="24"/>
          <w14:textFill>
            <w14:solidFill>
              <w14:schemeClr w14:val="tx1"/>
            </w14:solidFill>
          </w14:textFill>
        </w:rPr>
        <w:t>《关于印发《上城区综合行政执法局市政设施监管考核实施细则(指引)》的通知（上综法〔2022〕29号）》。</w:t>
      </w:r>
      <w:r>
        <w:rPr>
          <w:rFonts w:hint="eastAsia" w:ascii="仿宋" w:hAnsi="仿宋" w:eastAsia="仿宋" w:cs="仿宋"/>
          <w:color w:val="000000" w:themeColor="text1"/>
          <w:sz w:val="24"/>
          <w:szCs w:val="24"/>
          <w14:textFill>
            <w14:solidFill>
              <w14:schemeClr w14:val="tx1"/>
            </w14:solidFill>
          </w14:textFill>
        </w:rPr>
        <w:t>合同期内市区相关主管部门出台的最新考核办法等相关规定的，按最新规定执行考核。</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2.警告退出办法</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2.1在养护作业合同期间，有下列情景之一的给予1次警告:</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(1)防汛防台、抗雪防冻、突发事件应急处理及重大活动保障处置不力的；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(2)管理混乱，发生管养人员集体上访的；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(3)不遵守交通法规，未按照规程操作发生有责交通事故的。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(4)月度合同标段(非市场化招标的按照养护范围)数字城管问题及时整改率未达到100%的；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(5)乙方因职工工资、福利待遇、员工权益保障不到位等相关情况引发的群体上访事件。</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2.2在养护作业期间，存在以下之一的甲方有权提前终止养护合同：</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(1)组织管理机构、人员素质、养护人数与投标承诺不符,无法完成市政设施管养任务的；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(2)同一养护标段一年内累计被警告2次的；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(3)月度考核连续2次低于90分或一年内累计4次低于 90分的；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(4)上级有关部门发出整改通知书且不整改或整改不力的,合同期一年内累计达到2次的，终止合同，履约保证金不予归还；</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(5)重大违反国家有关法律法规的行为及发生严重伤亡安全事故的；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养护人员工资低于杭州市劳动保障部门有关规定，未落实职工劳保福利待遇，职工未缴纳社会保险费（养老保险、医疗保险、失业保险、工伤保险和生育保险）与住房公积金，职工休息休假权利没有保障，未足额支付加班费的；</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(7)乙方向他人转包或分包养护项目</w:t>
      </w:r>
      <w:bookmarkStart w:id="431" w:name="_Hlk117439002"/>
      <w:r>
        <w:rPr>
          <w:rFonts w:hint="eastAsia" w:ascii="仿宋" w:hAnsi="仿宋" w:eastAsia="仿宋" w:cs="仿宋"/>
          <w:color w:val="000000" w:themeColor="text1"/>
          <w:sz w:val="24"/>
          <w:szCs w:val="24"/>
          <w14:textFill>
            <w14:solidFill>
              <w14:schemeClr w14:val="tx1"/>
            </w14:solidFill>
          </w14:textFill>
        </w:rPr>
        <w:t>（除</w:t>
      </w:r>
      <w:r>
        <w:rPr>
          <w:rFonts w:hint="eastAsia" w:ascii="仿宋" w:hAnsi="仿宋" w:eastAsia="仿宋" w:cs="仿宋"/>
          <w:color w:val="000000" w:themeColor="text1"/>
          <w:sz w:val="24"/>
          <w:u w:val="single"/>
          <w14:textFill>
            <w14:solidFill>
              <w14:schemeClr w14:val="tx1"/>
            </w14:solidFill>
          </w14:textFill>
        </w:rPr>
        <w:t>栏杆维修、道路和桥梁结构性检测、CCTV检测</w:t>
      </w:r>
      <w:r>
        <w:rPr>
          <w:rFonts w:hint="eastAsia" w:ascii="仿宋" w:hAnsi="仿宋" w:eastAsia="仿宋" w:cs="仿宋"/>
          <w:color w:val="000000" w:themeColor="text1"/>
          <w:sz w:val="24"/>
          <w:szCs w:val="24"/>
          <w14:textFill>
            <w14:solidFill>
              <w14:schemeClr w14:val="tx1"/>
            </w14:solidFill>
          </w14:textFill>
        </w:rPr>
        <w:t>工作允许分包外）</w:t>
      </w:r>
      <w:bookmarkEnd w:id="431"/>
      <w:r>
        <w:rPr>
          <w:rFonts w:hint="eastAsia" w:ascii="仿宋" w:hAnsi="仿宋" w:eastAsia="仿宋" w:cs="仿宋"/>
          <w:color w:val="000000" w:themeColor="text1"/>
          <w:sz w:val="24"/>
          <w:szCs w:val="24"/>
          <w14:textFill>
            <w14:solidFill>
              <w14:schemeClr w14:val="tx1"/>
            </w14:solidFill>
          </w14:textFill>
        </w:rPr>
        <w:t>。一经发现，甲方有权全额扣除履约保证金，由此产生的法律责任和经济损失由乙方承担；</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(8)乙方在综合养护服务过程中达不到甲方的要求和标准,甲方有权按约定追究违约责任，直至终止合同。</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（二）考核扣款</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1.由区级及以上管理部门发出的考核通报及行业专报中点名批评的问题，月度考核中每个问题按类别扣除相应标段两倍分数。</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2.针对市、区级管理部门检查抄告的问题，扣款200元/件，未及时整改或整改不到位的，扣款400 元/件；被市、区级管理部门书面通报为养护质量差的道路，每次每条路扣款1万元。</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3.月度考核成绩累计三次低于90分或者年度成绩低于90 分，且年度新闻媒体曝光两次以上造成负面影响的，加扣养护单位年度养护金额的10%；道路检测全年覆盖率不足100%的，桥梁常规检测覆盖率不足100%的，分别扣除养护单位年度养护金额的5%;因养护责任不落实发生死亡1人及以上，重伤2人及以上事故的，加扣养护单位年度养护金额的15%,并报送市城管局备案。</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4.如遇省级及以上部门临时抽检，检查发现辖区内一处有责问题，扣除相应标段养护单位年度养护金额10万元，以此类推。</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5.每个月在全区范围内综合评出红、橙、黄色预警道路。“红橙黄”预警道路一经发布，被预警道路的养护单位要迅速制 定整改措施，并于3个工作日报发展中心市政科备案。“红橙黄”预警期限为2个月，到期前完成问题整改，达标后解除“红橙黄”预警。被评判为红色预警道路的，每次单条道路扣款5万元；被评判为橙色预警道路的，每次单条道路扣款3万元；被评判为黄色预警道路的，每次单条道路扣款1万元。</w:t>
      </w:r>
    </w:p>
    <w:p>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6.乙方在投标文件中承诺的上城区年度考核成绩为（    ），满足承诺的不扣款。未满足承诺的，扣除年度养护金额的5%。</w:t>
      </w:r>
    </w:p>
    <w:p>
      <w:pPr>
        <w:pStyle w:val="35"/>
        <w:spacing w:line="360" w:lineRule="auto"/>
        <w:ind w:firstLine="539"/>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(三)养护经费支付</w:t>
      </w:r>
    </w:p>
    <w:p>
      <w:pPr>
        <w:adjustRightInd/>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签订并生效后，甲方收到乙方提供的同等金额的正规发票后15日内，向财政部门申请支付乙方年度养护金额20%的预付款，乙方在收到预算款到账后，需提供预付款保函（若合同结束时工程量未达到年度养护金额20%，预付金额将实际发生数扣除后退回）；</w:t>
      </w:r>
    </w:p>
    <w:p>
      <w:pPr>
        <w:adjustRightInd/>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年预付款根据实际工作量结算完毕后，采用先作业后拨付的方式，原则上于每季度末次月支付上季度养护款，按合同季度实际养护款的80%并扣除季度养护考核后予以支付。甲方提前告知乙方，乙方按被告知的每季应得养护经费向甲方结算，并出具有效发票。</w:t>
      </w:r>
    </w:p>
    <w:p>
      <w:pPr>
        <w:adjustRightInd/>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根据考核结果，扣除相应的养护经费，于次年结清年度余款。说明：</w:t>
      </w:r>
    </w:p>
    <w:p>
      <w:pPr>
        <w:adjustRightInd/>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（1）在签订合同时，如合同乙方明确表示无需预付款或者主动要求降低预付款比例的，预付款比例以双方协商为准。</w:t>
      </w:r>
    </w:p>
    <w:p>
      <w:pPr>
        <w:adjustRightInd/>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（2）具体支付时间和金额，甲方可根据财政资金拨付情况予以调整。</w:t>
      </w:r>
    </w:p>
    <w:p>
      <w:pPr>
        <w:adjustRightInd/>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（3）甲方支付每笔费用前，乙方应先向甲方开具相应金额的发票，否则甲方有权顺延付款期限。且乙方未出具相应发票的，甲方有权拒绝支付相应款项，且不承担违约责任。</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（4）乙方可登录政采云前台大厅选择金融服务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7"/>
        <w:spacing w:line="360" w:lineRule="auto"/>
        <w:ind w:firstLine="482"/>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十一、验收</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1.由甲方负责进行验收考核，乙方协助。</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2.甲方在乙方提供相关服务的过程中，不定期对服务内容和质量进行考核。不达要求者，乙方承担一切损失和费用，验收考核详见本合同第十条“考核及支付”。</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3.本项目最终以验收小组的形式，对项目成果进行验收，检测成果需达到国家相关验收标准。若一次验收不通过，再次验收产生的费用由乙方承担。</w:t>
      </w:r>
    </w:p>
    <w:p>
      <w:pPr>
        <w:pStyle w:val="35"/>
        <w:spacing w:line="360" w:lineRule="auto"/>
        <w:ind w:firstLine="539"/>
        <w:rPr>
          <w:rFonts w:ascii="仿宋" w:hAnsi="仿宋" w:eastAsia="仿宋" w:cs="仿宋"/>
          <w:b/>
          <w:snapToGrid/>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十二、</w:t>
      </w:r>
      <w:r>
        <w:rPr>
          <w:rFonts w:hint="eastAsia" w:ascii="仿宋" w:hAnsi="仿宋" w:eastAsia="仿宋" w:cs="仿宋"/>
          <w:b/>
          <w:snapToGrid/>
          <w:color w:val="000000" w:themeColor="text1"/>
          <w:sz w:val="24"/>
          <w:szCs w:val="24"/>
          <w14:textFill>
            <w14:solidFill>
              <w14:schemeClr w14:val="tx1"/>
            </w14:solidFill>
          </w14:textFill>
        </w:rPr>
        <w:t>违约责任</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任何一方均不得无故单方解除本合同。一方擅自解除本合同，或者不履行本合同项下己方的主要义务，即构成根本违约，应按照合同签约价的20%向守约方支付违约金。若违约金不足以弥补守约方损失的，违约方还应当补足违约金和损失之间的差额。</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2．违约方还应承担守约方为追究违约方违约责任而支出的合理费用（包括但不限于诉讼费、公证费、鉴定费、差旅费、律师费等）。</w:t>
      </w:r>
    </w:p>
    <w:p>
      <w:pPr>
        <w:pStyle w:val="35"/>
        <w:spacing w:line="360" w:lineRule="auto"/>
        <w:ind w:firstLine="53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3．本合同如遇不可抗拒的原因无法继续履行时，即自然终止，双方自行承担各自损失。</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十三、争议处理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在合同履约过程中，双方如发生争议，应当协商解决，协商不成的，任意一方均可向杭州市上城区人民法院提起诉讼。</w:t>
      </w:r>
    </w:p>
    <w:p>
      <w:pPr>
        <w:pStyle w:val="27"/>
        <w:spacing w:line="360" w:lineRule="auto"/>
        <w:ind w:firstLine="482"/>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十四、安全、文明施工</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为确保安全、文明施工，应该本着“安全第一，预防为主”的原则，建立安全管理组织体系；严格贯彻国家、省、市和劳动保护、安全生产部门颁发的有关安全生产、消防工作的方针、政策、法规、条例、规定等执行。</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合同履行期间，甲乙方应签订《养护项目安全责任协议书》(详见附件)。由于乙方安全措施不力、养护工作不到位、违反安全操作规程而导致责任事故或伤害，所发生的费用均由乙方自负，甲方保留追究责任的权利。</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十五、其他</w:t>
      </w:r>
    </w:p>
    <w:p>
      <w:pPr>
        <w:snapToGrid w:val="0"/>
        <w:spacing w:line="360" w:lineRule="auto"/>
        <w:ind w:firstLine="470" w:firstLineChars="196"/>
        <w:outlineLvl w:val="2"/>
        <w:rPr>
          <w:rFonts w:ascii="仿宋" w:hAnsi="仿宋" w:eastAsia="仿宋" w:cs="仿宋"/>
          <w:color w:val="000000" w:themeColor="text1"/>
          <w:sz w:val="24"/>
          <w14:textFill>
            <w14:solidFill>
              <w14:schemeClr w14:val="tx1"/>
            </w14:solidFill>
          </w14:textFill>
        </w:rPr>
      </w:pPr>
      <w:bookmarkStart w:id="432" w:name="_Toc21853"/>
      <w:r>
        <w:rPr>
          <w:rFonts w:hint="eastAsia" w:ascii="仿宋" w:hAnsi="仿宋" w:eastAsia="仿宋" w:cs="仿宋"/>
          <w:color w:val="000000" w:themeColor="text1"/>
          <w:sz w:val="24"/>
          <w14:textFill>
            <w14:solidFill>
              <w14:schemeClr w14:val="tx1"/>
            </w14:solidFill>
          </w14:textFill>
        </w:rPr>
        <w:t>(一)履约保证金</w:t>
      </w:r>
      <w:bookmarkEnd w:id="432"/>
    </w:p>
    <w:p>
      <w:pPr>
        <w:pStyle w:val="35"/>
        <w:snapToGrid w:val="0"/>
        <w:spacing w:line="360" w:lineRule="auto"/>
        <w:ind w:firstLine="540" w:firstLineChars="225"/>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1.金额：合同签约价的1%。</w:t>
      </w:r>
    </w:p>
    <w:p>
      <w:pPr>
        <w:pStyle w:val="35"/>
        <w:snapToGrid w:val="0"/>
        <w:spacing w:line="360" w:lineRule="auto"/>
        <w:ind w:firstLine="540" w:firstLineChars="225"/>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zh-CN"/>
          <w14:textFill>
            <w14:solidFill>
              <w14:schemeClr w14:val="tx1"/>
            </w14:solidFill>
          </w14:textFill>
        </w:rPr>
        <w:t>形式：本合同采用以第（  ）种方式：</w:t>
      </w:r>
    </w:p>
    <w:p>
      <w:pPr>
        <w:pStyle w:val="35"/>
        <w:snapToGrid w:val="0"/>
        <w:spacing w:line="360" w:lineRule="auto"/>
        <w:ind w:firstLine="540" w:firstLineChars="225"/>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zh-CN"/>
          <w14:textFill>
            <w14:solidFill>
              <w14:schemeClr w14:val="tx1"/>
            </w14:solidFill>
          </w14:textFill>
        </w:rPr>
        <w:t>保函：杭州地区注册的银行（含总行、分行、支行）、保险公司出具的保函。保函的格式和内容须经甲方确认；</w:t>
      </w:r>
    </w:p>
    <w:p>
      <w:pPr>
        <w:pStyle w:val="35"/>
        <w:snapToGrid w:val="0"/>
        <w:spacing w:line="360" w:lineRule="auto"/>
        <w:ind w:firstLine="540" w:firstLineChars="225"/>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2）非保函形式</w:t>
      </w:r>
      <w:r>
        <w:rPr>
          <w:rFonts w:hint="eastAsia" w:ascii="仿宋" w:hAnsi="仿宋" w:eastAsia="仿宋" w:cs="仿宋"/>
          <w:color w:val="000000" w:themeColor="text1"/>
          <w:kern w:val="0"/>
          <w:sz w:val="24"/>
          <w:szCs w:val="24"/>
          <w:lang w:val="zh-CN"/>
          <w14:textFill>
            <w14:solidFill>
              <w14:schemeClr w14:val="tx1"/>
            </w14:solidFill>
          </w14:textFill>
        </w:rPr>
        <w:t>：通过乙方的基本账户以银行转账方式或支票、银行汇票的形式交缴纳。</w:t>
      </w:r>
    </w:p>
    <w:p>
      <w:pPr>
        <w:pStyle w:val="35"/>
        <w:snapToGrid w:val="0"/>
        <w:spacing w:line="360" w:lineRule="auto"/>
        <w:ind w:firstLine="540" w:firstLineChars="225"/>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3.提交时间：合同签订后十个工作日内。</w:t>
      </w:r>
    </w:p>
    <w:p>
      <w:pPr>
        <w:pStyle w:val="35"/>
        <w:snapToGrid w:val="0"/>
        <w:spacing w:line="360" w:lineRule="auto"/>
        <w:ind w:firstLine="540" w:firstLineChars="225"/>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4.退还时间：履约担保在合同期满（履约验收完毕）无违约的情况下，五个工作日内无息退还。</w:t>
      </w:r>
    </w:p>
    <w:p>
      <w:pPr>
        <w:pStyle w:val="35"/>
        <w:snapToGrid w:val="0"/>
        <w:spacing w:line="360" w:lineRule="auto"/>
        <w:ind w:firstLine="540" w:firstLineChars="225"/>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5.乙方如未按时交纳履约保证金，甲方有权终止合同。</w:t>
      </w:r>
    </w:p>
    <w:p>
      <w:pPr>
        <w:pStyle w:val="35"/>
        <w:snapToGrid w:val="0"/>
        <w:spacing w:line="360" w:lineRule="auto"/>
        <w:ind w:firstLine="540" w:firstLineChars="22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(二)窨井盖管理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受甲方委托，承担养护范围内的雨水检查井盖的日常管理工作(包括窨井盖补盖工作)。对养护范围内的其他窨井盖，如接到举报或发现窨井盖缺失，应在1小时内用备用井盖覆盖，再查找产权单位，对道路上确认无主认领、存在安全隐患的检查井予以填埋；其余按《杭州市地下管线盖板管理办法》及有关文件、规定执行。</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(三)三来件处理及12345回复</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乙方应建立7*24小时值班制度，及时处理三来件及12345交办事项，保证办结率和回复率达到100%，满意率98%以上。</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(四)下列内容不包括在本合同签约价内</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1.不可抗力或非乙方人为因素造成设施损坏需抢修或维修，经甲方核实同意发生的抢修费用。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2.经上级审批立项的道路专项工程费用。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3.按甲方要求进行临时养护项目。</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4.配合甲方完成本合同约定养护内容以外的工作所发生的费用。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(五)本合同在履行过程中如有未尽事宜或需变更合同内容，双方可另行签定补充协议，与合同具有相同的法律效力。</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(六)非联合体乙方应当按照本合同约定完成养护任务，除</w:t>
      </w:r>
      <w:r>
        <w:rPr>
          <w:rFonts w:hint="eastAsia" w:ascii="仿宋" w:hAnsi="仿宋" w:eastAsia="仿宋" w:cs="仿宋"/>
          <w:color w:val="000000" w:themeColor="text1"/>
          <w:sz w:val="24"/>
          <w:u w:val="single"/>
          <w14:textFill>
            <w14:solidFill>
              <w14:schemeClr w14:val="tx1"/>
            </w14:solidFill>
          </w14:textFill>
        </w:rPr>
        <w:t>栏杆维修、道路和桥梁结构性检测、cctv检测</w:t>
      </w:r>
      <w:r>
        <w:rPr>
          <w:rFonts w:hint="eastAsia" w:ascii="仿宋" w:hAnsi="仿宋" w:eastAsia="仿宋" w:cs="仿宋"/>
          <w:color w:val="000000" w:themeColor="text1"/>
          <w:sz w:val="24"/>
          <w14:textFill>
            <w14:solidFill>
              <w14:schemeClr w14:val="tx1"/>
            </w14:solidFill>
          </w14:textFill>
        </w:rPr>
        <w:t>工作允许分包外，不得向他人转包或分包。一经发现，甲方有权立即终止本合同。由此产生的法律责任和经济损失由乙方承担。对于乙方因设备或技术等原因无法实施的部分工作，在报请甲方书面同意后，委托他人实施的，乙方对分包人的所有行为负连带责任。</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(七)本合同自双方法定代表人签字、加盖单位公章后生效，合同期满后解除。</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(八)本合同一式捌份，其中正本贰份，双方各执壹份；副本陆份，双方各执叁份。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（九）合同的组成部分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本《政府采购合同（服务类）》及附件与下列文件一起构成合同的组成部分，对合同签订方产生拘束力</w:t>
      </w:r>
      <w:r>
        <w:rPr>
          <w:rFonts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本政府采购项目公开招标文件第三部分“采购需求”；</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中标通知书或委托书（如果有）；</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投标函及投标函附录或造价咨询服务建议书（如果有）；</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上述各项合同文件包括合同当事人就该项合同文件所作出的补充和修改，属于同一类内容的文件，应以最新签署的为准。</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br w:type="page"/>
      </w:r>
    </w:p>
    <w:p>
      <w:pPr>
        <w:rPr>
          <w:rFonts w:ascii="仿宋" w:hAnsi="仿宋" w:eastAsia="仿宋" w:cs="仿宋"/>
          <w:color w:val="000000" w:themeColor="text1"/>
          <w14:textFill>
            <w14:solidFill>
              <w14:schemeClr w14:val="tx1"/>
            </w14:solidFill>
          </w14:textFill>
        </w:rPr>
      </w:pPr>
      <w:bookmarkStart w:id="433" w:name="_Toc2232"/>
      <w:bookmarkStart w:id="434" w:name="_Toc24059"/>
      <w:bookmarkStart w:id="435" w:name="_Toc3029"/>
    </w:p>
    <w:bookmarkEnd w:id="433"/>
    <w:bookmarkEnd w:id="434"/>
    <w:bookmarkEnd w:id="435"/>
    <w:p>
      <w:pPr>
        <w:wordWrap w:val="0"/>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bookmarkStart w:id="436" w:name="_Toc23526"/>
      <w:bookmarkStart w:id="437" w:name="_Toc17376"/>
      <w:bookmarkStart w:id="438" w:name="_Toc3441"/>
      <w:bookmarkStart w:id="439" w:name="_Toc25525"/>
      <w:bookmarkStart w:id="440" w:name="_Toc22489"/>
      <w:bookmarkStart w:id="441" w:name="_Toc2144"/>
      <w:r>
        <w:rPr>
          <w:rFonts w:hint="eastAsia" w:ascii="仿宋" w:hAnsi="仿宋" w:eastAsia="仿宋" w:cs="仿宋"/>
          <w:b/>
          <w:color w:val="000000" w:themeColor="text1"/>
          <w:sz w:val="36"/>
          <w:szCs w:val="20"/>
          <w14:textFill>
            <w14:solidFill>
              <w14:schemeClr w14:val="tx1"/>
            </w14:solidFill>
          </w14:textFill>
        </w:rPr>
        <w:t>第六部分</w:t>
      </w:r>
      <w:bookmarkEnd w:id="423"/>
      <w:r>
        <w:rPr>
          <w:rFonts w:hint="eastAsia" w:ascii="仿宋" w:hAnsi="仿宋" w:eastAsia="仿宋" w:cs="仿宋"/>
          <w:b/>
          <w:color w:val="000000" w:themeColor="text1"/>
          <w:sz w:val="36"/>
          <w:szCs w:val="20"/>
          <w14:textFill>
            <w14:solidFill>
              <w14:schemeClr w14:val="tx1"/>
            </w14:solidFill>
          </w14:textFill>
        </w:rPr>
        <w:t xml:space="preserve"> </w:t>
      </w:r>
      <w:bookmarkEnd w:id="424"/>
      <w:r>
        <w:rPr>
          <w:rFonts w:hint="eastAsia" w:ascii="仿宋" w:hAnsi="仿宋" w:eastAsia="仿宋" w:cs="仿宋"/>
          <w:b/>
          <w:color w:val="000000" w:themeColor="text1"/>
          <w:sz w:val="36"/>
          <w:szCs w:val="20"/>
          <w14:textFill>
            <w14:solidFill>
              <w14:schemeClr w14:val="tx1"/>
            </w14:solidFill>
          </w14:textFill>
        </w:rPr>
        <w:t>应提交的有关格式范例</w:t>
      </w:r>
      <w:bookmarkEnd w:id="436"/>
      <w:bookmarkEnd w:id="437"/>
      <w:bookmarkEnd w:id="438"/>
      <w:bookmarkEnd w:id="439"/>
      <w:bookmarkEnd w:id="440"/>
      <w:bookmarkEnd w:id="441"/>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p>
    <w:p>
      <w:pPr>
        <w:wordWrap w:val="0"/>
        <w:spacing w:line="360" w:lineRule="auto"/>
        <w:jc w:val="center"/>
        <w:outlineLvl w:val="1"/>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联合体参加的指联合体双方）的营业执照或者其他由国家相关部门出具的具有独立承担民事责任能力的证明文件（自然人参加的提供身份证复制件）………………………………………………………………………………（页码）</w:t>
      </w: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（2）符合参加政府采购活动应当具备的一般条件、特殊资格条件的承诺函的承诺函…………………………………………………………………………………（页码）</w:t>
      </w: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（3）联合协议（联合体参加的提供）…………………………………………（页码）</w:t>
      </w: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（4）满足政府采购政策资格要求证明材料……………………………………（页码）</w:t>
      </w: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（5）满足本项目特定资格要求证明材料………………………………………（页码）</w:t>
      </w:r>
    </w:p>
    <w:p>
      <w:pPr>
        <w:rPr>
          <w:color w:val="000000" w:themeColor="text1"/>
          <w14:textFill>
            <w14:solidFill>
              <w14:schemeClr w14:val="tx1"/>
            </w14:solidFill>
          </w14:textFill>
        </w:rPr>
      </w:pP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p>
    <w:p>
      <w:pPr>
        <w:numPr>
          <w:ilvl w:val="0"/>
          <w:numId w:val="11"/>
        </w:numPr>
        <w:wordWrap w:val="0"/>
        <w:snapToGrid w:val="0"/>
        <w:spacing w:line="288" w:lineRule="auto"/>
        <w:ind w:right="482"/>
        <w:jc w:val="center"/>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供应商（联合体参加的指联合体双方）的营业执照或者其他由国家相关部门出具的具有独立承担民事责任能力的证明文件（自然人参加的提供身份证复制件）</w:t>
      </w:r>
    </w:p>
    <w:p>
      <w:pPr>
        <w:numPr>
          <w:ilvl w:val="255"/>
          <w:numId w:val="0"/>
        </w:numPr>
        <w:wordWrap w:val="0"/>
        <w:snapToGrid w:val="0"/>
        <w:spacing w:line="288" w:lineRule="auto"/>
        <w:ind w:right="482"/>
        <w:rPr>
          <w:rFonts w:ascii="仿宋" w:hAnsi="仿宋" w:eastAsia="仿宋" w:cs="仿宋"/>
          <w:b/>
          <w:color w:val="000000" w:themeColor="text1"/>
          <w:kern w:val="0"/>
          <w:sz w:val="32"/>
          <w:szCs w:val="32"/>
          <w14:textFill>
            <w14:solidFill>
              <w14:schemeClr w14:val="tx1"/>
            </w14:solidFill>
          </w14:textFill>
        </w:rPr>
      </w:pPr>
    </w:p>
    <w:p>
      <w:pPr>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numPr>
          <w:ilvl w:val="255"/>
          <w:numId w:val="0"/>
        </w:numPr>
        <w:wordWrap w:val="0"/>
        <w:snapToGrid w:val="0"/>
        <w:spacing w:line="288" w:lineRule="auto"/>
        <w:ind w:right="482"/>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二、符合参加政府采购活动应当具备的一般条件、特殊资格条件的承诺函</w:t>
      </w:r>
    </w:p>
    <w:p>
      <w:pPr>
        <w:wordWrap w:val="0"/>
        <w:snapToGrid w:val="0"/>
        <w:spacing w:line="360" w:lineRule="auto"/>
        <w:rPr>
          <w:rFonts w:ascii="仿宋" w:hAnsi="仿宋" w:eastAsia="仿宋" w:cs="仿宋"/>
          <w:color w:val="000000" w:themeColor="text1"/>
          <w:sz w:val="48"/>
          <w:szCs w:val="4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48"/>
          <w:szCs w:val="48"/>
          <w14:textFill>
            <w14:solidFill>
              <w14:schemeClr w14:val="tx1"/>
            </w14:solidFill>
          </w14:textFill>
        </w:rPr>
        <w:t xml:space="preserve"> 承诺函</w:t>
      </w:r>
    </w:p>
    <w:p>
      <w:pPr>
        <w:wordWrap w:val="0"/>
        <w:snapToGrid w:val="0"/>
        <w:spacing w:line="312"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sz w:val="24"/>
          <w:u w:val="single"/>
          <w:lang w:eastAsia="zh-CN"/>
          <w14:textFill>
            <w14:solidFill>
              <w14:schemeClr w14:val="tx1"/>
            </w14:solidFill>
          </w14:textFill>
        </w:rPr>
        <w:t>浙江科佳工程咨询有限公司</w:t>
      </w:r>
      <w:r>
        <w:rPr>
          <w:rFonts w:hint="eastAsia" w:ascii="仿宋" w:hAnsi="仿宋" w:eastAsia="仿宋" w:cs="仿宋"/>
          <w:color w:val="000000" w:themeColor="text1"/>
          <w:sz w:val="24"/>
          <w14:textFill>
            <w14:solidFill>
              <w14:schemeClr w14:val="tx1"/>
            </w14:solidFill>
          </w14:textFill>
        </w:rPr>
        <w:t>：</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我方（若联合体投标的指联合体所有成员）参与</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2024年-2026年笕桥周边区块市政设施长效养护服务项目【项目编号：  】</w:t>
      </w:r>
      <w:r>
        <w:rPr>
          <w:rFonts w:hint="eastAsia" w:ascii="仿宋" w:hAnsi="仿宋" w:eastAsia="仿宋" w:cs="仿宋"/>
          <w:color w:val="000000" w:themeColor="text1"/>
          <w:sz w:val="24"/>
          <w14:textFill>
            <w14:solidFill>
              <w14:schemeClr w14:val="tx1"/>
            </w14:solidFill>
          </w14:textFill>
        </w:rPr>
        <w:t>政府采购活动，郑重承诺：</w:t>
      </w:r>
    </w:p>
    <w:p>
      <w:pPr>
        <w:wordWrap w:val="0"/>
        <w:snapToGrid w:val="0"/>
        <w:spacing w:line="312"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w:t>
      </w:r>
      <w:r>
        <w:rPr>
          <w:rFonts w:hint="eastAsia" w:ascii="仿宋" w:hAnsi="仿宋" w:eastAsia="仿宋" w:cs="仿宋"/>
          <w:color w:val="000000" w:themeColor="text1"/>
          <w:sz w:val="24"/>
          <w:u w:val="single"/>
          <w14:textFill>
            <w14:solidFill>
              <w14:schemeClr w14:val="tx1"/>
            </w14:solidFill>
          </w14:textFill>
        </w:rPr>
        <w:t>本项目</w:t>
      </w:r>
      <w:r>
        <w:rPr>
          <w:rFonts w:hint="eastAsia" w:ascii="仿宋" w:hAnsi="仿宋" w:eastAsia="仿宋" w:cs="仿宋"/>
          <w:color w:val="000000" w:themeColor="text1"/>
          <w:sz w:val="24"/>
          <w14:textFill>
            <w14:solidFill>
              <w14:schemeClr w14:val="tx1"/>
            </w14:solidFill>
          </w14:textFill>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pPr>
        <w:wordWrap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wordWrap w:val="0"/>
        <w:snapToGrid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p>
    <w:p>
      <w:pPr>
        <w:wordWrap w:val="0"/>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p>
    <w:p>
      <w:pPr>
        <w:wordWrap w:val="0"/>
        <w:snapToGrid w:val="0"/>
        <w:spacing w:line="360" w:lineRule="auto"/>
        <w:ind w:firstLine="5520" w:firstLineChars="23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wordWrap w:val="0"/>
        <w:snapToGrid w:val="0"/>
        <w:spacing w:line="360" w:lineRule="auto"/>
        <w:ind w:right="480"/>
        <w:rPr>
          <w:rFonts w:ascii="仿宋" w:hAnsi="仿宋" w:eastAsia="仿宋" w:cs="仿宋_GB2312"/>
          <w:b/>
          <w:color w:val="000000" w:themeColor="text1"/>
          <w:kern w:val="0"/>
          <w:sz w:val="24"/>
          <w14:textFill>
            <w14:solidFill>
              <w14:schemeClr w14:val="tx1"/>
            </w14:solidFill>
          </w14:textFill>
        </w:rPr>
      </w:pPr>
      <w:r>
        <w:rPr>
          <w:rFonts w:hint="eastAsia" w:ascii="仿宋" w:hAnsi="仿宋" w:eastAsia="仿宋" w:cs="仿宋_GB2312"/>
          <w:b/>
          <w:color w:val="000000" w:themeColor="text1"/>
          <w:kern w:val="0"/>
          <w:sz w:val="24"/>
          <w14:textFill>
            <w14:solidFill>
              <w14:schemeClr w14:val="tx1"/>
            </w14:solidFill>
          </w14:textFill>
        </w:rPr>
        <w:t>备注：联合体投标的，联合体成员均应提供。非牵头人可提供加盖单位物理公章的原件扫描件。</w:t>
      </w:r>
    </w:p>
    <w:p>
      <w:pPr>
        <w:wordWrap w:val="0"/>
        <w:snapToGrid w:val="0"/>
        <w:spacing w:line="360" w:lineRule="auto"/>
        <w:ind w:right="480"/>
        <w:rPr>
          <w:rFonts w:ascii="仿宋" w:hAnsi="仿宋" w:eastAsia="仿宋" w:cs="仿宋"/>
          <w:b/>
          <w:color w:val="000000" w:themeColor="text1"/>
          <w:kern w:val="0"/>
          <w:sz w:val="24"/>
          <w14:textFill>
            <w14:solidFill>
              <w14:schemeClr w14:val="tx1"/>
            </w14:solidFill>
          </w14:textFill>
        </w:rPr>
      </w:pPr>
    </w:p>
    <w:p>
      <w:pPr>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widowControl/>
        <w:wordWrap w:val="0"/>
        <w:spacing w:line="360" w:lineRule="auto"/>
        <w:ind w:left="15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w:t>
      </w:r>
      <w:r>
        <w:rPr>
          <w:rFonts w:hint="eastAsia" w:ascii="仿宋" w:hAnsi="仿宋" w:eastAsia="仿宋" w:cs="仿宋_GB2312"/>
          <w:b/>
          <w:color w:val="000000" w:themeColor="text1"/>
          <w:kern w:val="0"/>
          <w:sz w:val="32"/>
          <w:szCs w:val="32"/>
          <w14:textFill>
            <w14:solidFill>
              <w14:schemeClr w14:val="tx1"/>
            </w14:solidFill>
          </w14:textFill>
        </w:rPr>
        <w:t>联合协议（联合体参加的提供）</w:t>
      </w:r>
    </w:p>
    <w:p>
      <w:pPr>
        <w:widowControl/>
        <w:wordWrap w:val="0"/>
        <w:spacing w:line="360" w:lineRule="auto"/>
        <w:ind w:left="147" w:firstLine="482" w:firstLineChars="200"/>
        <w:rPr>
          <w:rFonts w:ascii="仿宋" w:hAnsi="仿宋" w:eastAsia="仿宋" w:cs="仿宋_GB2312"/>
          <w:b/>
          <w:bCs/>
          <w:color w:val="000000" w:themeColor="text1"/>
          <w:sz w:val="24"/>
          <w14:textFill>
            <w14:solidFill>
              <w14:schemeClr w14:val="tx1"/>
            </w14:solidFill>
          </w14:textFill>
        </w:rPr>
      </w:pPr>
    </w:p>
    <w:p>
      <w:pPr>
        <w:widowControl/>
        <w:wordWrap w:val="0"/>
        <w:spacing w:line="360" w:lineRule="auto"/>
        <w:ind w:left="147" w:firstLine="482" w:firstLineChars="200"/>
        <w:rPr>
          <w:rFonts w:ascii="仿宋" w:hAnsi="仿宋" w:eastAsia="仿宋" w:cs="仿宋_GB2312"/>
          <w:b/>
          <w:bCs/>
          <w:color w:val="000000" w:themeColor="text1"/>
          <w:sz w:val="24"/>
          <w14:textFill>
            <w14:solidFill>
              <w14:schemeClr w14:val="tx1"/>
            </w14:solidFill>
          </w14:textFill>
        </w:rPr>
        <w:sectPr>
          <w:pgSz w:w="11905" w:h="16838"/>
          <w:pgMar w:top="652" w:right="1417" w:bottom="680" w:left="1417" w:header="539" w:footer="482" w:gutter="0"/>
          <w:cols w:space="0" w:num="1"/>
          <w:titlePg/>
          <w:docGrid w:linePitch="312" w:charSpace="0"/>
        </w:sectPr>
      </w:pPr>
      <w:r>
        <w:rPr>
          <w:rFonts w:hint="eastAsia" w:ascii="仿宋" w:hAnsi="仿宋" w:eastAsia="仿宋" w:cs="仿宋_GB2312"/>
          <w:b/>
          <w:bCs/>
          <w:color w:val="000000" w:themeColor="text1"/>
          <w:sz w:val="24"/>
          <w14:textFill>
            <w14:solidFill>
              <w14:schemeClr w14:val="tx1"/>
            </w14:solidFill>
          </w14:textFill>
        </w:rPr>
        <w:t>[以联合体形式投标的，提供联合协议（附件6）。]</w:t>
      </w:r>
    </w:p>
    <w:p>
      <w:pPr>
        <w:wordWrap w:val="0"/>
        <w:snapToGrid w:val="0"/>
        <w:spacing w:line="360" w:lineRule="auto"/>
        <w:ind w:right="480"/>
        <w:jc w:val="center"/>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四、满足政府采购政策资格要求证明材料</w:t>
      </w:r>
    </w:p>
    <w:p>
      <w:pPr>
        <w:wordWrap w:val="0"/>
        <w:snapToGrid w:val="0"/>
        <w:spacing w:before="50" w:after="50" w:line="360" w:lineRule="auto"/>
        <w:ind w:firstLine="472"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A.</w:t>
      </w:r>
      <w:r>
        <w:rPr>
          <w:rFonts w:hint="eastAsia" w:ascii="仿宋" w:hAnsi="仿宋" w:eastAsia="仿宋" w:cs="仿宋"/>
          <w:bCs/>
          <w:color w:val="000000" w:themeColor="text1"/>
          <w:sz w:val="24"/>
          <w14:textFill>
            <w14:solidFill>
              <w14:schemeClr w14:val="tx1"/>
            </w14:solidFill>
          </w14:textFill>
        </w:rPr>
        <w:t xml:space="preserve">本项目专门面向中小企业，服务全部由符合政策要求的中小企业（或小微企业）承接的，提供相应的中小企业声明函（附件5）。 </w:t>
      </w:r>
    </w:p>
    <w:p>
      <w:pPr>
        <w:widowControl/>
        <w:wordWrap w:val="0"/>
        <w:spacing w:line="360" w:lineRule="auto"/>
        <w:ind w:firstLine="472"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ordWrap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wordWrap w:val="0"/>
        <w:snapToGrid w:val="0"/>
        <w:spacing w:before="50" w:after="50"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p>
    <w:p>
      <w:pPr>
        <w:widowControl/>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widowControl/>
        <w:wordWrap w:val="0"/>
        <w:spacing w:line="360" w:lineRule="auto"/>
        <w:ind w:left="150"/>
        <w:jc w:val="center"/>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五、满足本项目特定资格要求的证明材料</w:t>
      </w:r>
    </w:p>
    <w:p>
      <w:pPr>
        <w:wordWrap w:val="0"/>
        <w:rPr>
          <w:rFonts w:ascii="仿宋" w:hAnsi="仿宋" w:eastAsia="仿宋" w:cs="仿宋"/>
          <w:color w:val="000000" w:themeColor="text1"/>
          <w14:textFill>
            <w14:solidFill>
              <w14:schemeClr w14:val="tx1"/>
            </w14:solidFill>
          </w14:textFill>
        </w:rPr>
      </w:pPr>
    </w:p>
    <w:p>
      <w:pPr>
        <w:widowControl/>
        <w:numPr>
          <w:ilvl w:val="0"/>
          <w:numId w:val="12"/>
        </w:numPr>
        <w:wordWrap w:val="0"/>
        <w:spacing w:line="36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市政公用工程施工总承包企业资质三级（含）以上资质证书；</w:t>
      </w:r>
    </w:p>
    <w:p>
      <w:pPr>
        <w:widowControl/>
        <w:numPr>
          <w:ilvl w:val="0"/>
          <w:numId w:val="12"/>
        </w:numPr>
        <w:wordWrap w:val="0"/>
        <w:spacing w:line="36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安全生产许可证书；</w:t>
      </w:r>
    </w:p>
    <w:p>
      <w:pPr>
        <w:widowControl/>
        <w:numPr>
          <w:ilvl w:val="0"/>
          <w:numId w:val="12"/>
        </w:numPr>
        <w:wordWrap w:val="0"/>
        <w:spacing w:line="36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联合体协议（联合体投标的提供，不用重复提供）；</w:t>
      </w:r>
    </w:p>
    <w:p>
      <w:pPr>
        <w:widowControl/>
        <w:numPr>
          <w:ilvl w:val="0"/>
          <w:numId w:val="12"/>
        </w:numPr>
        <w:wordWrap w:val="0"/>
        <w:spacing w:line="36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承诺函(同符合参加政府采购活动应当具备的一般条件、特殊资格要求的承诺函，不用重复提供）；</w:t>
      </w:r>
    </w:p>
    <w:p>
      <w:pPr>
        <w:snapToGrid w:val="0"/>
        <w:spacing w:line="360" w:lineRule="auto"/>
        <w:ind w:right="480"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注：证明材料提供原件扫描件。</w:t>
      </w:r>
    </w:p>
    <w:p>
      <w:pPr>
        <w:wordWrap w:val="0"/>
        <w:snapToGrid w:val="0"/>
        <w:spacing w:line="360" w:lineRule="auto"/>
        <w:ind w:right="480"/>
        <w:jc w:val="center"/>
        <w:rPr>
          <w:rFonts w:ascii="仿宋" w:hAnsi="仿宋" w:eastAsia="仿宋" w:cs="仿宋"/>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p>
    <w:p>
      <w:pPr>
        <w:wordWrap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pPr>
        <w:wordWrap w:val="0"/>
        <w:spacing w:line="360" w:lineRule="auto"/>
        <w:ind w:right="420" w:firstLine="3614" w:firstLineChars="1000"/>
        <w:outlineLvl w:val="1"/>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pPr>
        <w:wordWrap w:val="0"/>
        <w:spacing w:line="360" w:lineRule="auto"/>
        <w:jc w:val="center"/>
        <w:rPr>
          <w:rFonts w:ascii="仿宋" w:hAnsi="仿宋" w:eastAsia="仿宋" w:cs="仿宋"/>
          <w:b/>
          <w:color w:val="000000" w:themeColor="text1"/>
          <w:kern w:val="0"/>
          <w:sz w:val="24"/>
          <w14:textFill>
            <w14:solidFill>
              <w14:schemeClr w14:val="tx1"/>
            </w14:solidFill>
          </w14:textFill>
        </w:rPr>
      </w:pPr>
    </w:p>
    <w:p>
      <w:pPr>
        <w:wordWrap w:val="0"/>
        <w:spacing w:line="360" w:lineRule="auto"/>
        <w:jc w:val="center"/>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pPr>
        <w:wordWrap w:val="0"/>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pPr>
        <w:wordWrap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（3）分包意向协议（拟分包的提供）</w:t>
      </w:r>
      <w:r>
        <w:rPr>
          <w:rFonts w:hint="eastAsia" w:ascii="仿宋" w:hAnsi="仿宋" w:eastAsia="仿宋" w:cs="仿宋"/>
          <w:color w:val="000000" w:themeColor="text1"/>
          <w14:textFill>
            <w14:solidFill>
              <w14:schemeClr w14:val="tx1"/>
            </w14:solidFill>
          </w14:textFill>
        </w:rPr>
        <w:t>…………………………………………………（页码）</w:t>
      </w:r>
    </w:p>
    <w:p>
      <w:pPr>
        <w:wordWrap w:val="0"/>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（4）符合性审查资料</w:t>
      </w:r>
      <w:r>
        <w:rPr>
          <w:rFonts w:hint="eastAsia" w:ascii="仿宋" w:hAnsi="仿宋" w:eastAsia="仿宋" w:cs="仿宋"/>
          <w:color w:val="000000" w:themeColor="text1"/>
          <w14:textFill>
            <w14:solidFill>
              <w14:schemeClr w14:val="tx1"/>
            </w14:solidFill>
          </w14:textFill>
        </w:rPr>
        <w:t>………………………………………………………………………（页码）</w:t>
      </w:r>
    </w:p>
    <w:p>
      <w:pPr>
        <w:wordWrap w:val="0"/>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wordWrap w:val="0"/>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pPr>
        <w:wordWrap w:val="0"/>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rPr>
          <w:rFonts w:ascii="仿宋" w:hAnsi="仿宋" w:eastAsia="仿宋" w:cs="仿宋"/>
          <w:color w:val="000000" w:themeColor="text1"/>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pPr>
        <w:wordWrap w:val="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wordWrap w:val="0"/>
        <w:snapToGrid w:val="0"/>
        <w:spacing w:line="360" w:lineRule="auto"/>
        <w:jc w:val="center"/>
        <w:outlineLvl w:val="2"/>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pPr>
        <w:wordWrap w:val="0"/>
        <w:snapToGrid w:val="0"/>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sz w:val="24"/>
          <w:u w:val="single"/>
          <w:lang w:eastAsia="zh-CN"/>
          <w14:textFill>
            <w14:solidFill>
              <w14:schemeClr w14:val="tx1"/>
            </w14:solidFill>
          </w14:textFill>
        </w:rPr>
        <w:t>浙江科佳工程咨询有限公司</w:t>
      </w:r>
      <w:r>
        <w:rPr>
          <w:rFonts w:hint="eastAsia" w:ascii="仿宋" w:hAnsi="仿宋" w:eastAsia="仿宋" w:cs="仿宋"/>
          <w:color w:val="000000" w:themeColor="text1"/>
          <w:sz w:val="24"/>
          <w14:textFill>
            <w14:solidFill>
              <w14:schemeClr w14:val="tx1"/>
            </w14:solidFill>
          </w14:textFill>
        </w:rPr>
        <w:t>：</w:t>
      </w:r>
    </w:p>
    <w:p>
      <w:pPr>
        <w:wordWrap w:val="0"/>
        <w:snapToGrid w:val="0"/>
        <w:spacing w:line="288"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我方（若联合体投标的，指联合体所有成员）参加你方组织的</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2024年-2026年笕桥周边区块市政设施长效养护服务项目【项目编号： 】</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pPr>
        <w:wordWrap w:val="0"/>
        <w:snapToGrid w:val="0"/>
        <w:spacing w:line="288"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pPr>
        <w:wordWrap w:val="0"/>
        <w:snapToGrid w:val="0"/>
        <w:spacing w:line="288"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pPr>
        <w:wordWrap w:val="0"/>
        <w:snapToGrid w:val="0"/>
        <w:spacing w:line="288"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bookmarkStart w:id="442" w:name="_Hlk109322875"/>
      <w:r>
        <w:rPr>
          <w:rFonts w:hint="eastAsia" w:ascii="仿宋" w:hAnsi="仿宋" w:eastAsia="仿宋" w:cs="仿宋"/>
          <w:color w:val="000000" w:themeColor="text1"/>
          <w:sz w:val="24"/>
          <w14:textFill>
            <w14:solidFill>
              <w14:schemeClr w14:val="tx1"/>
            </w14:solidFill>
          </w14:textFill>
        </w:rPr>
        <w:t>2.1.1供应商（联合体参加的指联合体双方）的营业执照或者其他由国家相关部门出具的具有独立承担民事责任能力的证明文件（自然人参加的提供身份证复制件）；</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2.1.2符合参加政府采购活动应当具备的一般条件、特殊资格条件的承诺函；</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2.1.3联合协议（联合体参加的提供)；</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2.1.4满足政府采购政策资格要求的证明材料；</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2.1.5满足本项目特定资格要求的证明材料。</w:t>
      </w:r>
    </w:p>
    <w:bookmarkEnd w:id="442"/>
    <w:p>
      <w:pPr>
        <w:wordWrap w:val="0"/>
        <w:snapToGrid w:val="0"/>
        <w:spacing w:line="288" w:lineRule="auto"/>
        <w:ind w:left="210" w:leftChars="1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r>
        <w:rPr>
          <w:rFonts w:hint="eastAsia" w:ascii="仿宋" w:hAnsi="仿宋" w:eastAsia="仿宋" w:cs="仿宋"/>
          <w:color w:val="000000" w:themeColor="text1"/>
          <w:sz w:val="24"/>
          <w:lang w:val="zh-CN"/>
          <w14:textFill>
            <w14:solidFill>
              <w14:schemeClr w14:val="tx1"/>
            </w14:solidFill>
          </w14:textFill>
        </w:rPr>
        <w:t xml:space="preserve"> </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2.2.3分包意向协议（拟分包的提供）；</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2.2.4符合性审查资料；</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2.2.5评标标准相应的商务技术资料；</w:t>
      </w:r>
    </w:p>
    <w:p>
      <w:pPr>
        <w:wordWrap w:val="0"/>
        <w:snapToGrid w:val="0"/>
        <w:spacing w:line="288" w:lineRule="auto"/>
        <w:ind w:left="420" w:leftChars="2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pPr>
        <w:wordWrap w:val="0"/>
        <w:snapToGrid w:val="0"/>
        <w:spacing w:line="288"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2.3.2投标价格组成明细表；</w:t>
      </w:r>
    </w:p>
    <w:p>
      <w:pPr>
        <w:wordWrap w:val="0"/>
        <w:snapToGrid w:val="0"/>
        <w:spacing w:line="288"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2.3.3中小企业声明函（若有）。</w:t>
      </w:r>
    </w:p>
    <w:p>
      <w:pPr>
        <w:wordWrap w:val="0"/>
        <w:snapToGrid w:val="0"/>
        <w:spacing w:line="288"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pPr>
        <w:wordWrap w:val="0"/>
        <w:snapToGrid w:val="0"/>
        <w:spacing w:line="288"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4、如我方中标，我方承诺：</w:t>
      </w:r>
    </w:p>
    <w:p>
      <w:pPr>
        <w:wordWrap w:val="0"/>
        <w:snapToGrid w:val="0"/>
        <w:spacing w:line="288"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4.1在收到中标通知书后，在中标通知书规定的期限内与你方签订合同； </w:t>
      </w:r>
    </w:p>
    <w:p>
      <w:pPr>
        <w:wordWrap w:val="0"/>
        <w:snapToGrid w:val="0"/>
        <w:spacing w:line="288"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pPr>
        <w:wordWrap w:val="0"/>
        <w:snapToGrid w:val="0"/>
        <w:spacing w:line="288"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4.3按照招标文件要求提交履约保证金； </w:t>
      </w:r>
    </w:p>
    <w:p>
      <w:pPr>
        <w:wordWrap w:val="0"/>
        <w:snapToGrid w:val="0"/>
        <w:spacing w:line="288"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pPr>
        <w:wordWrap w:val="0"/>
        <w:snapToGrid w:val="0"/>
        <w:spacing w:line="288"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wordWrap w:val="0"/>
        <w:spacing w:line="360" w:lineRule="auto"/>
        <w:ind w:firstLine="4320" w:firstLineChars="1800"/>
        <w:rPr>
          <w:rFonts w:ascii="仿宋" w:hAnsi="仿宋" w:eastAsia="仿宋" w:cs="仿宋"/>
          <w:color w:val="000000" w:themeColor="text1"/>
          <w:sz w:val="24"/>
          <w14:textFill>
            <w14:solidFill>
              <w14:schemeClr w14:val="tx1"/>
            </w14:solidFill>
          </w14:textFill>
        </w:rPr>
      </w:pPr>
    </w:p>
    <w:p>
      <w:pPr>
        <w:wordWrap w:val="0"/>
        <w:spacing w:line="360" w:lineRule="auto"/>
        <w:ind w:firstLine="4320" w:firstLineChars="180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投标人名称（</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sz w:val="24"/>
          <w14:textFill>
            <w14:solidFill>
              <w14:schemeClr w14:val="tx1"/>
            </w14:solidFill>
          </w14:textFill>
        </w:rPr>
        <w:t>）：                                          日期：  年   月   日</w:t>
      </w:r>
    </w:p>
    <w:p>
      <w:pPr>
        <w:wordWrap w:val="0"/>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pPr>
        <w:wordWrap w:val="0"/>
        <w:jc w:val="left"/>
        <w:outlineLvl w:val="2"/>
        <w:rPr>
          <w:rFonts w:ascii="仿宋" w:hAnsi="仿宋" w:eastAsia="仿宋" w:cs="仿宋"/>
          <w:b/>
          <w:color w:val="000000" w:themeColor="text1"/>
          <w:kern w:val="0"/>
          <w:sz w:val="32"/>
          <w:szCs w:val="32"/>
          <w:lang w:val="zh-CN"/>
          <w14:textFill>
            <w14:solidFill>
              <w14:schemeClr w14:val="tx1"/>
            </w14:solidFill>
          </w14:textFill>
        </w:rPr>
        <w:sectPr>
          <w:headerReference r:id="rId12" w:type="first"/>
          <w:footerReference r:id="rId14" w:type="first"/>
          <w:headerReference r:id="rId11" w:type="default"/>
          <w:footerReference r:id="rId13" w:type="default"/>
          <w:pgSz w:w="11905" w:h="16838"/>
          <w:pgMar w:top="652" w:right="1417" w:bottom="680" w:left="1417" w:header="539" w:footer="425" w:gutter="0"/>
          <w:cols w:space="0" w:num="1"/>
          <w:titlePg/>
          <w:docGrid w:linePitch="312" w:charSpace="0"/>
        </w:sectPr>
      </w:pPr>
    </w:p>
    <w:p>
      <w:pPr>
        <w:wordWrap w:val="0"/>
        <w:jc w:val="left"/>
        <w:outlineLvl w:val="2"/>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pPr>
        <w:wordWrap w:val="0"/>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wordWrap w:val="0"/>
        <w:snapToGrid w:val="0"/>
        <w:spacing w:line="360" w:lineRule="auto"/>
        <w:ind w:firstLine="2872" w:firstLineChars="894"/>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非联合体投标</w:t>
      </w:r>
      <w:r>
        <w:rPr>
          <w:rFonts w:hint="eastAsia" w:ascii="仿宋" w:hAnsi="仿宋" w:eastAsia="仿宋" w:cs="仿宋"/>
          <w:b/>
          <w:color w:val="000000" w:themeColor="text1"/>
          <w:kern w:val="0"/>
          <w:sz w:val="32"/>
          <w:szCs w:val="32"/>
          <w:lang w:val="zh-CN"/>
          <w14:textFill>
            <w14:solidFill>
              <w14:schemeClr w14:val="tx1"/>
            </w14:solidFill>
          </w14:textFill>
        </w:rPr>
        <w:t>授权委托书</w:t>
      </w:r>
    </w:p>
    <w:p>
      <w:pPr>
        <w:wordWrap w:val="0"/>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（适用于非</w:t>
      </w:r>
      <w:r>
        <w:rPr>
          <w:rFonts w:hint="eastAsia" w:ascii="仿宋" w:hAnsi="仿宋" w:eastAsia="仿宋" w:cs="仿宋"/>
          <w:b/>
          <w:color w:val="000000" w:themeColor="text1"/>
          <w:kern w:val="0"/>
          <w:sz w:val="24"/>
          <w14:textFill>
            <w14:solidFill>
              <w14:schemeClr w14:val="tx1"/>
            </w14:solidFill>
          </w14:textFill>
        </w:rPr>
        <w:t>法定代表人、单位负责人或自然人本人代表供应商参加投标</w:t>
      </w:r>
      <w:r>
        <w:rPr>
          <w:rFonts w:hint="eastAsia" w:ascii="仿宋" w:hAnsi="仿宋" w:eastAsia="仿宋" w:cs="仿宋"/>
          <w:b/>
          <w:color w:val="000000" w:themeColor="text1"/>
          <w:kern w:val="0"/>
          <w:sz w:val="24"/>
          <w:lang w:val="zh-CN"/>
          <w14:textFill>
            <w14:solidFill>
              <w14:schemeClr w14:val="tx1"/>
            </w14:solidFill>
          </w14:textFill>
        </w:rPr>
        <w:t>）</w:t>
      </w: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sz w:val="24"/>
          <w:u w:val="single"/>
          <w:lang w:eastAsia="zh-CN"/>
          <w14:textFill>
            <w14:solidFill>
              <w14:schemeClr w14:val="tx1"/>
            </w14:solidFill>
          </w14:textFill>
        </w:rPr>
        <w:t>浙江科佳工程咨询有限公司</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我单位法定代表人为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2024年-2026年笕桥周边区块市政设施长效养护服务项目【项目编号： 】</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政府采购投标的一切事项，其法律后果由我方自行承担。</w:t>
      </w:r>
    </w:p>
    <w:p>
      <w:pPr>
        <w:wordWrap w:val="0"/>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wordWrap w:val="0"/>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pPr>
        <w:wordWrap w:val="0"/>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联合体投标授权委托书</w:t>
      </w:r>
    </w:p>
    <w:p>
      <w:pPr>
        <w:wordWrap w:val="0"/>
        <w:rPr>
          <w:rFonts w:ascii="仿宋" w:hAnsi="仿宋" w:eastAsia="仿宋" w:cs="仿宋"/>
          <w:color w:val="000000" w:themeColor="text1"/>
          <w:sz w:val="22"/>
          <w:szCs w:val="22"/>
          <w14:textFill>
            <w14:solidFill>
              <w14:schemeClr w14:val="tx1"/>
            </w14:solidFill>
          </w14:textFill>
        </w:rPr>
      </w:pPr>
    </w:p>
    <w:p>
      <w:pPr>
        <w:wordWrap w:val="0"/>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（适用于非</w:t>
      </w:r>
      <w:r>
        <w:rPr>
          <w:rFonts w:hint="eastAsia" w:ascii="仿宋" w:hAnsi="仿宋" w:eastAsia="仿宋" w:cs="仿宋"/>
          <w:b/>
          <w:color w:val="000000" w:themeColor="text1"/>
          <w:kern w:val="0"/>
          <w:sz w:val="24"/>
          <w14:textFill>
            <w14:solidFill>
              <w14:schemeClr w14:val="tx1"/>
            </w14:solidFill>
          </w14:textFill>
        </w:rPr>
        <w:t>法定代表人、单位负责人或自然人本人代表供应商参加投标</w:t>
      </w:r>
      <w:r>
        <w:rPr>
          <w:rFonts w:hint="eastAsia" w:ascii="仿宋" w:hAnsi="仿宋" w:eastAsia="仿宋" w:cs="仿宋"/>
          <w:b/>
          <w:color w:val="000000" w:themeColor="text1"/>
          <w:kern w:val="0"/>
          <w:sz w:val="24"/>
          <w:lang w:val="zh-CN"/>
          <w14:textFill>
            <w14:solidFill>
              <w14:schemeClr w14:val="tx1"/>
            </w14:solidFill>
          </w14:textFill>
        </w:rPr>
        <w:t>）</w:t>
      </w: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杭州市上城区综合行政执法局、</w:t>
      </w:r>
      <w:r>
        <w:rPr>
          <w:rFonts w:hint="eastAsia" w:ascii="仿宋" w:hAnsi="仿宋" w:eastAsia="仿宋" w:cs="仿宋"/>
          <w:color w:val="000000" w:themeColor="text1"/>
          <w:sz w:val="24"/>
          <w:lang w:eastAsia="zh-CN"/>
          <w14:textFill>
            <w14:solidFill>
              <w14:schemeClr w14:val="tx1"/>
            </w14:solidFill>
          </w14:textFill>
        </w:rPr>
        <w:t>浙江科佳工程咨询有限公司</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作为牵头人，法定代表人为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，我单位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作为联合体成员，法定代表人为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2024年-2026年笕桥周边区块市政设施长效养护服务项目【项目编号：SCXZ2023-01】</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政府采购投标的一切事项，其法律后果由我方自行承担。</w:t>
      </w: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pPr>
        <w:wordWrap w:val="0"/>
        <w:rPr>
          <w:rFonts w:ascii="仿宋" w:hAnsi="仿宋" w:eastAsia="仿宋" w:cs="仿宋"/>
          <w:color w:val="000000" w:themeColor="text1"/>
          <w14:textFill>
            <w14:solidFill>
              <w14:schemeClr w14:val="tx1"/>
            </w14:solidFill>
          </w14:textFill>
        </w:rPr>
      </w:pPr>
    </w:p>
    <w:p>
      <w:pPr>
        <w:wordWrap w:val="0"/>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联合体牵头人名称</w:t>
      </w:r>
    </w:p>
    <w:p>
      <w:pPr>
        <w:wordWrap w:val="0"/>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w:t>
      </w:r>
    </w:p>
    <w:p>
      <w:pPr>
        <w:wordWrap w:val="0"/>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物理公章</w:t>
      </w:r>
      <w:r>
        <w:rPr>
          <w:rFonts w:hint="eastAsia" w:ascii="仿宋" w:hAnsi="仿宋" w:eastAsia="仿宋" w:cs="仿宋"/>
          <w:color w:val="000000" w:themeColor="text1"/>
          <w:kern w:val="0"/>
          <w:sz w:val="24"/>
          <w:lang w:val="zh-CN"/>
          <w14:textFill>
            <w14:solidFill>
              <w14:schemeClr w14:val="tx1"/>
            </w14:solidFill>
          </w14:textFill>
        </w:rPr>
        <w:t>)：</w:t>
      </w:r>
    </w:p>
    <w:p>
      <w:pPr>
        <w:wordWrap w:val="0"/>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r>
        <w:rPr>
          <w:rFonts w:hint="eastAsia" w:ascii="仿宋" w:hAnsi="仿宋" w:eastAsia="仿宋" w:cs="仿宋"/>
          <w:b/>
          <w:color w:val="000000" w:themeColor="text1"/>
          <w:kern w:val="0"/>
          <w:sz w:val="32"/>
          <w:szCs w:val="32"/>
          <w:lang w:val="zh-CN"/>
          <w14:textFill>
            <w14:solidFill>
              <w14:schemeClr w14:val="tx1"/>
            </w14:solidFill>
          </w14:textFill>
        </w:rPr>
        <w:br w:type="page"/>
      </w:r>
    </w:p>
    <w:p>
      <w:pPr>
        <w:wordWrap w:val="0"/>
        <w:autoSpaceDE w:val="0"/>
        <w:autoSpaceDN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pPr>
        <w:pStyle w:val="148"/>
        <w:wordWrap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wordWrap w:val="0"/>
              <w:adjustRightIn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148"/>
              <w:wordWrap w:val="0"/>
              <w:adjustRightInd w:val="0"/>
              <w:spacing w:line="360" w:lineRule="auto"/>
              <w:rPr>
                <w:rFonts w:ascii="仿宋" w:hAnsi="仿宋" w:eastAsia="仿宋" w:cs="仿宋"/>
                <w:bCs/>
                <w:color w:val="000000" w:themeColor="text1"/>
                <w:sz w:val="24"/>
                <w14:textFill>
                  <w14:solidFill>
                    <w14:schemeClr w14:val="tx1"/>
                  </w14:solidFill>
                </w14:textFill>
              </w:rPr>
            </w:pPr>
          </w:p>
        </w:tc>
      </w:tr>
    </w:tbl>
    <w:p>
      <w:pPr>
        <w:wordWrap w:val="0"/>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wordWrap w:val="0"/>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pPr>
        <w:wordWrap w:val="0"/>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rPr>
          <w:rFonts w:ascii="仿宋" w:hAnsi="仿宋" w:eastAsia="仿宋" w:cs="仿宋"/>
          <w:b/>
          <w:color w:val="000000" w:themeColor="text1"/>
          <w:kern w:val="0"/>
          <w:sz w:val="32"/>
          <w:szCs w:val="32"/>
          <w14:textFill>
            <w14:solidFill>
              <w14:schemeClr w14:val="tx1"/>
            </w14:solidFill>
          </w14:textFill>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000000" w:themeColor="text1"/>
          <w:kern w:val="0"/>
          <w:sz w:val="32"/>
          <w:szCs w:val="32"/>
          <w14:textFill>
            <w14:solidFill>
              <w14:schemeClr w14:val="tx1"/>
            </w14:solidFill>
          </w14:textFill>
        </w:rPr>
        <w:br w:type="page"/>
      </w:r>
    </w:p>
    <w:p>
      <w:pPr>
        <w:wordWrap w:val="0"/>
        <w:snapToGrid w:val="0"/>
        <w:spacing w:line="360" w:lineRule="auto"/>
        <w:ind w:firstLine="3534" w:firstLineChars="11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三、分包意向协议</w:t>
      </w:r>
    </w:p>
    <w:p>
      <w:pPr>
        <w:widowControl/>
        <w:wordWrap w:val="0"/>
        <w:spacing w:line="360" w:lineRule="auto"/>
        <w:ind w:left="147"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sym w:font="Wingdings" w:char="00FE"/>
      </w:r>
      <w:r>
        <w:rPr>
          <w:rFonts w:hint="eastAsia" w:ascii="仿宋" w:hAnsi="仿宋" w:eastAsia="仿宋" w:cs="仿宋"/>
          <w:b/>
          <w:color w:val="000000" w:themeColor="text1"/>
          <w:sz w:val="24"/>
          <w14:textFill>
            <w14:solidFill>
              <w14:schemeClr w14:val="tx1"/>
            </w14:solidFill>
          </w14:textFill>
        </w:rPr>
        <w:t>本项目同意将非主体、非关键性工作分包，</w:t>
      </w:r>
      <w:r>
        <w:rPr>
          <w:rFonts w:hint="eastAsia" w:ascii="仿宋" w:hAnsi="仿宋" w:eastAsia="仿宋" w:cs="仿宋"/>
          <w:b/>
          <w:bCs/>
          <w:color w:val="000000" w:themeColor="text1"/>
          <w:sz w:val="24"/>
          <w14:textFill>
            <w14:solidFill>
              <w14:schemeClr w14:val="tx1"/>
            </w14:solidFill>
          </w14:textFill>
        </w:rPr>
        <w:t>若非主体、非关键性工作已由</w:t>
      </w:r>
      <w:r>
        <w:rPr>
          <w:rFonts w:hint="eastAsia" w:ascii="仿宋" w:hAnsi="仿宋" w:eastAsia="仿宋" w:cs="仿宋"/>
          <w:b/>
          <w:color w:val="000000" w:themeColor="text1"/>
          <w:sz w:val="24"/>
          <w14:textFill>
            <w14:solidFill>
              <w14:schemeClr w14:val="tx1"/>
            </w14:solidFill>
          </w14:textFill>
        </w:rPr>
        <w:t>联合体成员承担的，则不允许分包。</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分包份额不得超过总包单位。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投标人中标后以分包方式履行合同的，另行提供分包意向协议（附件7）；</w:t>
      </w:r>
      <w:r>
        <w:rPr>
          <w:rFonts w:hint="eastAsia" w:ascii="仿宋" w:hAnsi="仿宋" w:eastAsia="仿宋" w:cs="仿宋"/>
          <w:b/>
          <w:bCs/>
          <w:color w:val="000000" w:themeColor="text1"/>
          <w:sz w:val="24"/>
          <w14:textFill>
            <w14:solidFill>
              <w14:schemeClr w14:val="tx1"/>
            </w14:solidFill>
          </w14:textFill>
        </w:rPr>
        <w:t>投标人中标后</w:t>
      </w:r>
      <w:r>
        <w:rPr>
          <w:rFonts w:hint="eastAsia" w:ascii="仿宋" w:hAnsi="仿宋" w:eastAsia="仿宋" w:cs="仿宋"/>
          <w:b/>
          <w:color w:val="000000" w:themeColor="text1"/>
          <w:sz w:val="24"/>
          <w14:textFill>
            <w14:solidFill>
              <w14:schemeClr w14:val="tx1"/>
            </w14:solidFill>
          </w14:textFill>
        </w:rPr>
        <w:t>不以分包方式履行合同的，则不需要提供。</w:t>
      </w:r>
      <w:r>
        <w:rPr>
          <w:rFonts w:hint="eastAsia" w:ascii="仿宋" w:hAnsi="仿宋" w:eastAsia="仿宋" w:cs="仿宋"/>
          <w:b/>
          <w:bCs/>
          <w:color w:val="000000" w:themeColor="text1"/>
          <w:sz w:val="24"/>
          <w14:textFill>
            <w14:solidFill>
              <w14:schemeClr w14:val="tx1"/>
            </w14:solidFill>
          </w14:textFill>
        </w:rPr>
        <w:t>]</w:t>
      </w:r>
    </w:p>
    <w:p>
      <w:pPr>
        <w:pStyle w:val="62"/>
        <w:spacing w:line="360" w:lineRule="auto"/>
        <w:ind w:firstLine="420"/>
        <w:rPr>
          <w:rFonts w:ascii="仿宋" w:hAnsi="仿宋" w:eastAsia="仿宋" w:cs="仿宋"/>
          <w:color w:val="000000" w:themeColor="text1"/>
          <w14:textFill>
            <w14:solidFill>
              <w14:schemeClr w14:val="tx1"/>
            </w14:solidFill>
          </w14:textFill>
        </w:rPr>
      </w:pPr>
    </w:p>
    <w:p>
      <w:pPr>
        <w:wordWrap w:val="0"/>
        <w:spacing w:line="360" w:lineRule="auto"/>
        <w:jc w:val="left"/>
        <w:rPr>
          <w:rFonts w:ascii="仿宋" w:hAnsi="仿宋" w:eastAsia="仿宋" w:cs="仿宋"/>
          <w:b/>
          <w:bCs/>
          <w:color w:val="000000" w:themeColor="text1"/>
          <w:kern w:val="0"/>
          <w:sz w:val="32"/>
          <w:szCs w:val="32"/>
          <w14:textFill>
            <w14:solidFill>
              <w14:schemeClr w14:val="tx1"/>
            </w14:solidFill>
          </w14:textFill>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 xml:space="preserve"> </w:t>
      </w:r>
      <w:bookmarkStart w:id="443" w:name="_Toc2615"/>
      <w:bookmarkStart w:id="444" w:name="_Toc22737"/>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本项目专门面向</w:t>
      </w:r>
      <w:r>
        <w:rPr>
          <w:rFonts w:hint="eastAsia" w:ascii="仿宋" w:hAnsi="仿宋" w:eastAsia="仿宋" w:cs="仿宋"/>
          <w:b/>
          <w:bCs/>
          <w:color w:val="000000" w:themeColor="text1"/>
          <w:sz w:val="24"/>
          <w:u w:val="single"/>
          <w14:textFill>
            <w14:solidFill>
              <w14:schemeClr w14:val="tx1"/>
            </w14:solidFill>
          </w14:textFill>
        </w:rPr>
        <w:t xml:space="preserve">  /  </w:t>
      </w:r>
      <w:r>
        <w:rPr>
          <w:rFonts w:hint="eastAsia" w:ascii="仿宋" w:hAnsi="仿宋" w:eastAsia="仿宋" w:cs="仿宋"/>
          <w:b/>
          <w:bCs/>
          <w:color w:val="000000" w:themeColor="text1"/>
          <w:sz w:val="24"/>
          <w14:textFill>
            <w14:solidFill>
              <w14:schemeClr w14:val="tx1"/>
            </w14:solidFill>
          </w14:textFill>
        </w:rPr>
        <w:t>企业采购，若分包的分包单位必须为</w:t>
      </w:r>
      <w:r>
        <w:rPr>
          <w:rFonts w:hint="eastAsia" w:ascii="仿宋" w:hAnsi="仿宋" w:eastAsia="仿宋" w:cs="仿宋"/>
          <w:b/>
          <w:bCs/>
          <w:color w:val="000000" w:themeColor="text1"/>
          <w:sz w:val="24"/>
          <w:u w:val="single"/>
          <w14:textFill>
            <w14:solidFill>
              <w14:schemeClr w14:val="tx1"/>
            </w14:solidFill>
          </w14:textFill>
        </w:rPr>
        <w:t xml:space="preserve">  /  </w:t>
      </w:r>
      <w:r>
        <w:rPr>
          <w:rFonts w:hint="eastAsia" w:ascii="仿宋" w:hAnsi="仿宋" w:eastAsia="仿宋" w:cs="仿宋"/>
          <w:b/>
          <w:bCs/>
          <w:color w:val="000000" w:themeColor="text1"/>
          <w:sz w:val="24"/>
          <w14:textFill>
            <w14:solidFill>
              <w14:schemeClr w14:val="tx1"/>
            </w14:solidFill>
          </w14:textFill>
        </w:rPr>
        <w:t>企业。]</w:t>
      </w:r>
      <w:bookmarkEnd w:id="443"/>
      <w:bookmarkEnd w:id="444"/>
    </w:p>
    <w:p>
      <w:pPr>
        <w:wordWrap w:val="0"/>
        <w:rPr>
          <w:rFonts w:ascii="仿宋" w:hAnsi="仿宋" w:eastAsia="仿宋" w:cs="仿宋"/>
          <w:b/>
          <w:color w:val="000000" w:themeColor="text1"/>
          <w:kern w:val="0"/>
          <w:sz w:val="32"/>
          <w:szCs w:val="32"/>
          <w14:textFill>
            <w14:solidFill>
              <w14:schemeClr w14:val="tx1"/>
            </w14:solidFill>
          </w14:textFill>
        </w:rPr>
      </w:pPr>
    </w:p>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四、符合性审查资料</w:t>
      </w:r>
    </w:p>
    <w:p>
      <w:pPr>
        <w:wordWrap w:val="0"/>
        <w:jc w:val="center"/>
        <w:rPr>
          <w:rFonts w:ascii="仿宋" w:hAnsi="仿宋" w:eastAsia="仿宋" w:cs="仿宋"/>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97"/>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wordWrap w:val="0"/>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870" w:type="dxa"/>
            <w:vAlign w:val="center"/>
          </w:tcPr>
          <w:p>
            <w:pPr>
              <w:wordWrap w:val="0"/>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397" w:type="dxa"/>
            <w:vAlign w:val="center"/>
          </w:tcPr>
          <w:p>
            <w:pPr>
              <w:wordWrap w:val="0"/>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693" w:type="dxa"/>
            <w:vAlign w:val="center"/>
          </w:tcPr>
          <w:p>
            <w:pPr>
              <w:wordWrap w:val="0"/>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w:t>
            </w:r>
          </w:p>
          <w:p>
            <w:pPr>
              <w:wordWrap w:val="0"/>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870" w:type="dxa"/>
          </w:tcPr>
          <w:p>
            <w:pPr>
              <w:wordWrap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3397" w:type="dxa"/>
            <w:vAlign w:val="center"/>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693" w:type="dxa"/>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pPr>
              <w:wordWrap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870" w:type="dxa"/>
          </w:tcPr>
          <w:p>
            <w:pPr>
              <w:wordWrap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397" w:type="dxa"/>
            <w:vAlign w:val="center"/>
          </w:tcPr>
          <w:p>
            <w:pPr>
              <w:wordWrap w:val="0"/>
              <w:jc w:val="center"/>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节能产品认证证书</w:t>
            </w:r>
            <w:r>
              <w:rPr>
                <w:rFonts w:hint="eastAsia" w:ascii="仿宋" w:hAnsi="仿宋" w:eastAsia="仿宋" w:cs="仿宋"/>
                <w:color w:val="000000" w:themeColor="text1"/>
                <w:sz w:val="24"/>
                <w:u w:val="single"/>
                <w14:textFill>
                  <w14:solidFill>
                    <w14:schemeClr w14:val="tx1"/>
                  </w14:solidFill>
                </w14:textFill>
              </w:rPr>
              <w:t>（本项目拟采购的产品不属于政府强制采购的节能产品品目清单范围的，无需提供）</w:t>
            </w:r>
          </w:p>
          <w:p>
            <w:pPr>
              <w:wordWrap w:val="0"/>
              <w:jc w:val="center"/>
              <w:rPr>
                <w:rFonts w:ascii="仿宋" w:hAnsi="仿宋" w:eastAsia="仿宋" w:cs="仿宋"/>
                <w:color w:val="000000" w:themeColor="text1"/>
                <w:sz w:val="24"/>
                <w:u w:val="single"/>
                <w14:textFill>
                  <w14:solidFill>
                    <w14:schemeClr w14:val="tx1"/>
                  </w14:solidFill>
                </w14:textFill>
              </w:rPr>
            </w:pPr>
          </w:p>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sym w:font="Wingdings" w:char="00FE"/>
            </w:r>
            <w:r>
              <w:rPr>
                <w:rFonts w:hint="eastAsia" w:ascii="仿宋" w:hAnsi="仿宋" w:eastAsia="仿宋" w:cs="仿宋"/>
                <w:color w:val="000000" w:themeColor="text1"/>
                <w:sz w:val="24"/>
                <w:u w:val="single"/>
                <w14:textFill>
                  <w14:solidFill>
                    <w14:schemeClr w14:val="tx1"/>
                  </w14:solidFill>
                </w14:textFill>
              </w:rPr>
              <w:t>本项目不适用。</w:t>
            </w:r>
          </w:p>
        </w:tc>
        <w:tc>
          <w:tcPr>
            <w:tcW w:w="1693" w:type="dxa"/>
          </w:tcPr>
          <w:p>
            <w:pPr>
              <w:wordWrap w:val="0"/>
              <w:jc w:val="center"/>
              <w:rPr>
                <w:rFonts w:ascii="仿宋" w:hAnsi="仿宋" w:eastAsia="仿宋" w:cs="仿宋"/>
                <w:color w:val="000000" w:themeColor="text1"/>
                <w:sz w:val="24"/>
                <w14:textFill>
                  <w14:solidFill>
                    <w14:schemeClr w14:val="tx1"/>
                  </w14:solidFill>
                </w14:textFill>
              </w:rPr>
            </w:pPr>
          </w:p>
          <w:p>
            <w:pPr>
              <w:wordWrap w:val="0"/>
              <w:jc w:val="center"/>
              <w:rPr>
                <w:rFonts w:ascii="仿宋" w:hAnsi="仿宋" w:eastAsia="仿宋" w:cs="仿宋"/>
                <w:color w:val="000000" w:themeColor="text1"/>
                <w:sz w:val="24"/>
                <w14:textFill>
                  <w14:solidFill>
                    <w14:schemeClr w14:val="tx1"/>
                  </w14:solidFill>
                </w14:textFill>
              </w:rPr>
            </w:pPr>
          </w:p>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pPr>
              <w:pStyle w:val="4"/>
              <w:keepNext w:val="0"/>
              <w:keepLines w:val="0"/>
              <w:wordWrap w:val="0"/>
              <w:jc w:val="center"/>
              <w:rPr>
                <w:rFonts w:ascii="仿宋" w:eastAsia="仿宋" w:cs="仿宋"/>
                <w:color w:val="000000" w:themeColor="text1"/>
                <w:lang w:val="en-US"/>
                <w14:textFill>
                  <w14:solidFill>
                    <w14:schemeClr w14:val="tx1"/>
                  </w14:solidFill>
                </w14:textFill>
              </w:rPr>
            </w:pPr>
            <w:r>
              <w:rPr>
                <w:rFonts w:hint="eastAsia" w:ascii="仿宋" w:eastAsia="仿宋" w:cs="仿宋"/>
                <w:b w:val="0"/>
                <w:bCs w:val="0"/>
                <w:color w:val="000000" w:themeColor="text1"/>
                <w:sz w:val="24"/>
                <w:szCs w:val="24"/>
                <w:lang w:val="en-US"/>
                <w14:textFill>
                  <w14:solidFill>
                    <w14:schemeClr w14:val="tx1"/>
                  </w14:solidFill>
                </w14:textFill>
              </w:rPr>
              <w:t>第</w:t>
            </w:r>
            <w:r>
              <w:rPr>
                <w:rFonts w:hint="eastAsia" w:ascii="仿宋" w:eastAsia="仿宋" w:cs="仿宋"/>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870" w:type="dxa"/>
          </w:tcPr>
          <w:p>
            <w:pPr>
              <w:wordWrap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3397" w:type="dxa"/>
            <w:vAlign w:val="center"/>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693" w:type="dxa"/>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pPr>
              <w:wordWrap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3870" w:type="dxa"/>
          </w:tcPr>
          <w:p>
            <w:pPr>
              <w:wordWrap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3397" w:type="dxa"/>
            <w:vAlign w:val="center"/>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 系指实质性要求条款，在商务技术偏离表中逐条填写响应情况）</w:t>
            </w:r>
          </w:p>
        </w:tc>
        <w:tc>
          <w:tcPr>
            <w:tcW w:w="1693" w:type="dxa"/>
          </w:tcPr>
          <w:p>
            <w:pPr>
              <w:wordWrap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pPr>
              <w:wordWrap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pPr>
        <w:wordWrap w:val="0"/>
        <w:jc w:val="center"/>
        <w:rPr>
          <w:rFonts w:ascii="仿宋" w:hAnsi="仿宋" w:eastAsia="仿宋" w:cs="仿宋"/>
          <w:b/>
          <w:color w:val="000000" w:themeColor="text1"/>
          <w:kern w:val="0"/>
          <w:sz w:val="32"/>
          <w:szCs w:val="32"/>
          <w14:textFill>
            <w14:solidFill>
              <w14:schemeClr w14:val="tx1"/>
            </w14:solidFill>
          </w14:textFill>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000000" w:themeColor="text1"/>
          <w:kern w:val="0"/>
          <w:sz w:val="32"/>
          <w:szCs w:val="32"/>
          <w14:textFill>
            <w14:solidFill>
              <w14:schemeClr w14:val="tx1"/>
            </w14:solidFill>
          </w14:textFill>
        </w:rPr>
        <w:t xml:space="preserve"> </w:t>
      </w:r>
    </w:p>
    <w:p>
      <w:pPr>
        <w:wordWrap w:val="0"/>
        <w:jc w:val="center"/>
        <w:outlineLvl w:val="2"/>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五、评标标准相应的商务技术资料</w:t>
      </w:r>
    </w:p>
    <w:p>
      <w:pPr>
        <w:wordWrap w:val="0"/>
        <w:snapToGrid w:val="0"/>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详细评审索引</w:t>
      </w:r>
    </w:p>
    <w:p>
      <w:pPr>
        <w:numPr>
          <w:ilvl w:val="255"/>
          <w:numId w:val="0"/>
        </w:numPr>
        <w:wordWrap w:val="0"/>
        <w:snapToGrid w:val="0"/>
        <w:spacing w:line="360" w:lineRule="auto"/>
        <w:ind w:firstLine="241" w:firstLineChars="1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（一）资信部分</w:t>
      </w:r>
    </w:p>
    <w:p>
      <w:pPr>
        <w:numPr>
          <w:ilvl w:val="255"/>
          <w:numId w:val="0"/>
        </w:num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1.单位介绍；</w:t>
      </w:r>
    </w:p>
    <w:p>
      <w:pPr>
        <w:numPr>
          <w:ilvl w:val="255"/>
          <w:numId w:val="0"/>
        </w:num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2.资格、资质、认证、荣誉等证明文件（如有）；</w:t>
      </w:r>
    </w:p>
    <w:p>
      <w:pPr>
        <w:numPr>
          <w:ilvl w:val="255"/>
          <w:numId w:val="0"/>
        </w:num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3.类似项目业绩一览表及证明材料；</w:t>
      </w:r>
    </w:p>
    <w:p>
      <w:pPr>
        <w:numPr>
          <w:ilvl w:val="255"/>
          <w:numId w:val="0"/>
        </w:num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4.商务偏离表；</w:t>
      </w:r>
    </w:p>
    <w:p>
      <w:pPr>
        <w:numPr>
          <w:ilvl w:val="255"/>
          <w:numId w:val="0"/>
        </w:num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5.投标人认为需要提供的其他资料。</w:t>
      </w:r>
    </w:p>
    <w:p>
      <w:pPr>
        <w:numPr>
          <w:ilvl w:val="255"/>
          <w:numId w:val="0"/>
        </w:numPr>
        <w:wordWrap w:val="0"/>
        <w:snapToGrid w:val="0"/>
        <w:spacing w:line="360" w:lineRule="auto"/>
        <w:ind w:firstLine="241" w:firstLineChars="1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（二）技术部分</w:t>
      </w:r>
    </w:p>
    <w:p>
      <w:pPr>
        <w:widowControl/>
        <w:spacing w:line="360" w:lineRule="auto"/>
        <w:ind w:firstLine="48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1.技术偏离表；</w:t>
      </w:r>
    </w:p>
    <w:p>
      <w:pPr>
        <w:widowControl/>
        <w:spacing w:line="360" w:lineRule="auto"/>
        <w:ind w:firstLine="48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2.根据投标人的调查情况，结合招标文件内容，阐述项目的现状，对项目养护工作实施重点、难点分析及解决措施方案；</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3.养护管理方案、养护移交平稳过渡计划实施方案、应急保障措施；</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4.项目组人员组建表；</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kern w:val="0"/>
          <w:sz w:val="24"/>
          <w:lang w:bidi="ar"/>
          <w14:textFill>
            <w14:solidFill>
              <w14:schemeClr w14:val="tx1"/>
            </w14:solidFill>
          </w14:textFill>
        </w:rPr>
        <w:t>拟</w:t>
      </w:r>
      <w:r>
        <w:rPr>
          <w:rFonts w:hint="eastAsia" w:ascii="仿宋" w:hAnsi="仿宋" w:eastAsia="仿宋" w:cs="仿宋"/>
          <w:color w:val="000000" w:themeColor="text1"/>
          <w:sz w:val="24"/>
          <w:lang w:bidi="ar"/>
          <w14:textFill>
            <w14:solidFill>
              <w14:schemeClr w14:val="tx1"/>
            </w14:solidFill>
          </w14:textFill>
        </w:rPr>
        <w:t>投入的主要设施设备表；</w:t>
      </w: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6.项目城区养护基地证明材料；</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7.沥青混凝土供应保障证明材料；</w:t>
      </w:r>
    </w:p>
    <w:p>
      <w:pPr>
        <w:pStyle w:val="24"/>
        <w:rPr>
          <w:rFonts w:eastAsia="仿宋"/>
          <w:color w:val="000000" w:themeColor="text1"/>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8.企业内部管理制度；</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9.安全生产管理制度、专职安全员及定期开展安全生产培训记录证明文件； </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10.年度养护服务质考核成绩承诺书(格式见附件）； </w:t>
      </w:r>
    </w:p>
    <w:p>
      <w:pPr>
        <w:numPr>
          <w:ilvl w:val="255"/>
          <w:numId w:val="0"/>
        </w:num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bidi="ar"/>
          <w14:textFill>
            <w14:solidFill>
              <w14:schemeClr w14:val="tx1"/>
            </w14:solidFill>
          </w14:textFill>
        </w:rPr>
        <w:t>11</w:t>
      </w:r>
      <w:r>
        <w:rPr>
          <w:rFonts w:hint="eastAsia" w:ascii="仿宋" w:hAnsi="仿宋" w:eastAsia="仿宋" w:cs="仿宋"/>
          <w:color w:val="000000" w:themeColor="text1"/>
          <w:sz w:val="24"/>
          <w:lang w:bidi="ar"/>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关于对采购文件中有关条款的拒绝声明(如有)；</w:t>
      </w:r>
    </w:p>
    <w:p>
      <w:pPr>
        <w:widowControl/>
        <w:snapToGrid w:val="0"/>
        <w:spacing w:line="360" w:lineRule="auto"/>
        <w:ind w:firstLine="480" w:firstLineChars="200"/>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bidi="ar"/>
          <w14:textFill>
            <w14:solidFill>
              <w14:schemeClr w14:val="tx1"/>
            </w14:solidFill>
          </w14:textFill>
        </w:rPr>
        <w:t>12.投标人认为</w:t>
      </w:r>
      <w:r>
        <w:rPr>
          <w:rFonts w:hint="eastAsia" w:ascii="仿宋" w:hAnsi="仿宋" w:eastAsia="仿宋" w:cs="仿宋"/>
          <w:color w:val="000000" w:themeColor="text1"/>
          <w:sz w:val="24"/>
          <w14:textFill>
            <w14:solidFill>
              <w14:schemeClr w14:val="tx1"/>
            </w14:solidFill>
          </w14:textFill>
        </w:rPr>
        <w:t>需要提供的其他资料。</w:t>
      </w:r>
    </w:p>
    <w:p>
      <w:pPr>
        <w:numPr>
          <w:ilvl w:val="255"/>
          <w:numId w:val="0"/>
        </w:numPr>
        <w:wordWrap w:val="0"/>
        <w:snapToGrid w:val="0"/>
        <w:spacing w:line="360" w:lineRule="auto"/>
        <w:ind w:firstLine="481"/>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rPr>
          <w:rFonts w:ascii="仿宋" w:hAnsi="仿宋" w:eastAsia="仿宋" w:cs="仿宋"/>
          <w:b/>
          <w:color w:val="000000" w:themeColor="text1"/>
          <w:kern w:val="0"/>
          <w:sz w:val="32"/>
          <w:szCs w:val="32"/>
          <w14:textFill>
            <w14:solidFill>
              <w14:schemeClr w14:val="tx1"/>
            </w14:solidFill>
          </w14:textFill>
        </w:rPr>
        <w:sectPr>
          <w:pgSz w:w="11905" w:h="16838"/>
          <w:pgMar w:top="652" w:right="1417" w:bottom="680" w:left="1417" w:header="539" w:footer="425" w:gutter="0"/>
          <w:cols w:space="0" w:num="1"/>
          <w:titlePg/>
          <w:docGrid w:linePitch="312" w:charSpace="0"/>
        </w:sectPr>
      </w:pPr>
    </w:p>
    <w:p>
      <w:pPr>
        <w:wordWrap w:val="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附：</w:t>
      </w:r>
    </w:p>
    <w:p>
      <w:pPr>
        <w:wordWrap w:val="0"/>
        <w:adjustRightInd/>
        <w:spacing w:line="360" w:lineRule="auto"/>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详细评审索引</w:t>
      </w:r>
    </w:p>
    <w:tbl>
      <w:tblPr>
        <w:tblStyle w:val="63"/>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5356"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评分/评审细则</w:t>
            </w:r>
          </w:p>
        </w:tc>
        <w:tc>
          <w:tcPr>
            <w:tcW w:w="1276"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000000" w:themeColor="text1"/>
                <w:sz w:val="24"/>
                <w14:textFill>
                  <w14:solidFill>
                    <w14:schemeClr w14:val="tx1"/>
                  </w14:solidFill>
                </w14:textFill>
              </w:rPr>
            </w:pPr>
          </w:p>
        </w:tc>
        <w:tc>
          <w:tcPr>
            <w:tcW w:w="5356" w:type="dxa"/>
            <w:vAlign w:val="center"/>
          </w:tcPr>
          <w:p>
            <w:pPr>
              <w:wordWrap w:val="0"/>
              <w:snapToGrid w:val="0"/>
              <w:rPr>
                <w:rFonts w:ascii="仿宋" w:hAnsi="仿宋" w:eastAsia="仿宋" w:cs="仿宋"/>
                <w:color w:val="000000" w:themeColor="text1"/>
                <w:sz w:val="24"/>
                <w14:textFill>
                  <w14:solidFill>
                    <w14:schemeClr w14:val="tx1"/>
                  </w14:solidFill>
                </w14:textFill>
              </w:rPr>
            </w:pPr>
          </w:p>
        </w:tc>
        <w:tc>
          <w:tcPr>
            <w:tcW w:w="1276"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ascii="仿宋" w:hAnsi="仿宋" w:eastAsia="仿宋" w:cs="仿宋"/>
                <w:color w:val="000000" w:themeColor="text1"/>
                <w:sz w:val="24"/>
                <w14:textFill>
                  <w14:solidFill>
                    <w14:schemeClr w14:val="tx1"/>
                  </w14:solidFill>
                </w14:textFill>
              </w:rPr>
            </w:pPr>
          </w:p>
        </w:tc>
        <w:tc>
          <w:tcPr>
            <w:tcW w:w="5356" w:type="dxa"/>
            <w:vAlign w:val="center"/>
          </w:tcPr>
          <w:p>
            <w:pPr>
              <w:wordWrap w:val="0"/>
              <w:snapToGrid w:val="0"/>
              <w:rPr>
                <w:rFonts w:ascii="仿宋" w:hAnsi="仿宋" w:eastAsia="仿宋" w:cs="仿宋"/>
                <w:color w:val="000000" w:themeColor="text1"/>
                <w:sz w:val="24"/>
                <w14:textFill>
                  <w14:solidFill>
                    <w14:schemeClr w14:val="tx1"/>
                  </w14:solidFill>
                </w14:textFill>
              </w:rPr>
            </w:pPr>
          </w:p>
        </w:tc>
        <w:tc>
          <w:tcPr>
            <w:tcW w:w="1276"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000000" w:themeColor="text1"/>
                <w:sz w:val="24"/>
                <w14:textFill>
                  <w14:solidFill>
                    <w14:schemeClr w14:val="tx1"/>
                  </w14:solidFill>
                </w14:textFill>
              </w:rPr>
            </w:pPr>
          </w:p>
        </w:tc>
        <w:tc>
          <w:tcPr>
            <w:tcW w:w="5356" w:type="dxa"/>
            <w:vAlign w:val="center"/>
          </w:tcPr>
          <w:p>
            <w:pPr>
              <w:wordWrap w:val="0"/>
              <w:snapToGrid w:val="0"/>
              <w:rPr>
                <w:rFonts w:ascii="仿宋" w:hAnsi="仿宋" w:eastAsia="仿宋" w:cs="仿宋"/>
                <w:color w:val="000000" w:themeColor="text1"/>
                <w:sz w:val="24"/>
                <w14:textFill>
                  <w14:solidFill>
                    <w14:schemeClr w14:val="tx1"/>
                  </w14:solidFill>
                </w14:textFill>
              </w:rPr>
            </w:pPr>
          </w:p>
        </w:tc>
        <w:tc>
          <w:tcPr>
            <w:tcW w:w="1276"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000000" w:themeColor="text1"/>
                <w:sz w:val="24"/>
                <w14:textFill>
                  <w14:solidFill>
                    <w14:schemeClr w14:val="tx1"/>
                  </w14:solidFill>
                </w14:textFill>
              </w:rPr>
            </w:pPr>
          </w:p>
        </w:tc>
        <w:tc>
          <w:tcPr>
            <w:tcW w:w="5356" w:type="dxa"/>
            <w:vAlign w:val="center"/>
          </w:tcPr>
          <w:p>
            <w:pPr>
              <w:wordWrap w:val="0"/>
              <w:snapToGrid w:val="0"/>
              <w:rPr>
                <w:rFonts w:ascii="仿宋" w:hAnsi="仿宋" w:eastAsia="仿宋" w:cs="仿宋"/>
                <w:color w:val="000000" w:themeColor="text1"/>
                <w:sz w:val="24"/>
                <w14:textFill>
                  <w14:solidFill>
                    <w14:schemeClr w14:val="tx1"/>
                  </w14:solidFill>
                </w14:textFill>
              </w:rPr>
            </w:pPr>
          </w:p>
        </w:tc>
        <w:tc>
          <w:tcPr>
            <w:tcW w:w="1276"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000000" w:themeColor="text1"/>
                <w:sz w:val="24"/>
                <w14:textFill>
                  <w14:solidFill>
                    <w14:schemeClr w14:val="tx1"/>
                  </w14:solidFill>
                </w14:textFill>
              </w:rPr>
            </w:pPr>
          </w:p>
        </w:tc>
        <w:tc>
          <w:tcPr>
            <w:tcW w:w="5356" w:type="dxa"/>
            <w:vAlign w:val="center"/>
          </w:tcPr>
          <w:p>
            <w:pPr>
              <w:wordWrap w:val="0"/>
              <w:snapToGrid w:val="0"/>
              <w:ind w:left="-2" w:leftChars="-1" w:firstLine="2"/>
              <w:rPr>
                <w:rFonts w:ascii="仿宋" w:hAnsi="仿宋" w:eastAsia="仿宋" w:cs="仿宋"/>
                <w:b/>
                <w:color w:val="000000" w:themeColor="text1"/>
                <w:sz w:val="24"/>
                <w14:textFill>
                  <w14:solidFill>
                    <w14:schemeClr w14:val="tx1"/>
                  </w14:solidFill>
                </w14:textFill>
              </w:rPr>
            </w:pPr>
          </w:p>
        </w:tc>
        <w:tc>
          <w:tcPr>
            <w:tcW w:w="1276" w:type="dxa"/>
            <w:vAlign w:val="center"/>
          </w:tcPr>
          <w:p>
            <w:pPr>
              <w:wordWrap w:val="0"/>
              <w:snapToGrid w:val="0"/>
              <w:jc w:val="center"/>
              <w:rPr>
                <w:rFonts w:ascii="仿宋" w:hAnsi="仿宋" w:eastAsia="仿宋" w:cs="仿宋"/>
                <w:b/>
                <w:color w:val="000000" w:themeColor="text1"/>
                <w:sz w:val="24"/>
                <w14:textFill>
                  <w14:solidFill>
                    <w14:schemeClr w14:val="tx1"/>
                  </w14:solidFill>
                </w14:textFill>
              </w:rPr>
            </w:pPr>
          </w:p>
        </w:tc>
      </w:tr>
    </w:tbl>
    <w:p>
      <w:pPr>
        <w:wordWrap w:val="0"/>
        <w:adjustRightInd/>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注：供应商根据评审办法的“评审因素”条款一一对应填写本表。</w:t>
      </w:r>
    </w:p>
    <w:p>
      <w:pPr>
        <w:wordWrap w:val="0"/>
        <w:rPr>
          <w:rFonts w:ascii="仿宋" w:hAnsi="仿宋" w:eastAsia="仿宋" w:cs="仿宋"/>
          <w:b/>
          <w:color w:val="000000" w:themeColor="text1"/>
          <w:kern w:val="0"/>
          <w:sz w:val="32"/>
          <w:szCs w:val="32"/>
          <w14:textFill>
            <w14:solidFill>
              <w14:schemeClr w14:val="tx1"/>
            </w14:solidFill>
          </w14:textFill>
        </w:rPr>
        <w:sectPr>
          <w:pgSz w:w="11905" w:h="16838"/>
          <w:pgMar w:top="652" w:right="1417" w:bottom="680" w:left="1417" w:header="539" w:footer="425" w:gutter="0"/>
          <w:cols w:space="0" w:num="1"/>
          <w:titlePg/>
          <w:docGrid w:linePitch="312" w:charSpace="0"/>
        </w:sectPr>
      </w:pPr>
    </w:p>
    <w:p>
      <w:pPr>
        <w:wordWrap w:val="0"/>
        <w:outlineLvl w:val="2"/>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一</w:t>
      </w:r>
      <w:r>
        <w:rPr>
          <w:rFonts w:hint="eastAsia" w:ascii="仿宋" w:hAnsi="仿宋" w:eastAsia="仿宋" w:cs="仿宋"/>
          <w:b/>
          <w:color w:val="000000" w:themeColor="text1"/>
          <w:kern w:val="0"/>
          <w:sz w:val="32"/>
          <w:szCs w:val="32"/>
          <w:lang w:val="zh-CN"/>
          <w14:textFill>
            <w14:solidFill>
              <w14:schemeClr w14:val="tx1"/>
            </w14:solidFill>
          </w14:textFill>
        </w:rPr>
        <w:t>）投标单位情况表</w:t>
      </w:r>
    </w:p>
    <w:p>
      <w:pPr>
        <w:wordWrap w:val="0"/>
        <w:rPr>
          <w:rFonts w:ascii="仿宋" w:hAnsi="仿宋" w:eastAsia="仿宋" w:cs="仿宋"/>
          <w:b/>
          <w:bCs/>
          <w:color w:val="000000" w:themeColor="text1"/>
          <w:sz w:val="36"/>
          <w:szCs w:val="36"/>
          <w14:textFill>
            <w14:solidFill>
              <w14:schemeClr w14:val="tx1"/>
            </w14:solidFill>
          </w14:textFill>
        </w:rPr>
      </w:pPr>
    </w:p>
    <w:p>
      <w:pPr>
        <w:wordWrap w:val="0"/>
        <w:ind w:firstLine="3900" w:firstLineChars="13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投标单位情况表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单位名称</w:t>
            </w:r>
          </w:p>
        </w:tc>
        <w:tc>
          <w:tcPr>
            <w:tcW w:w="3052" w:type="dxa"/>
            <w:vAlign w:val="center"/>
          </w:tcPr>
          <w:p>
            <w:pPr>
              <w:wordWrap w:val="0"/>
              <w:spacing w:line="360" w:lineRule="auto"/>
              <w:rPr>
                <w:rFonts w:ascii="仿宋" w:hAnsi="仿宋" w:eastAsia="仿宋" w:cs="仿宋"/>
                <w:color w:val="000000" w:themeColor="text1"/>
                <w:szCs w:val="21"/>
                <w14:textFill>
                  <w14:solidFill>
                    <w14:schemeClr w14:val="tx1"/>
                  </w14:solidFill>
                </w14:textFill>
              </w:rPr>
            </w:pPr>
          </w:p>
        </w:tc>
        <w:tc>
          <w:tcPr>
            <w:tcW w:w="1527" w:type="dxa"/>
            <w:gridSpan w:val="2"/>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注册资金</w:t>
            </w:r>
          </w:p>
        </w:tc>
        <w:tc>
          <w:tcPr>
            <w:tcW w:w="2104" w:type="dxa"/>
            <w:vAlign w:val="center"/>
          </w:tcPr>
          <w:p>
            <w:pPr>
              <w:wordWrap w:val="0"/>
              <w:spacing w:line="360" w:lineRule="auto"/>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单位详细地址</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营业执照注册号</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单位成立时间</w:t>
            </w:r>
          </w:p>
        </w:tc>
        <w:tc>
          <w:tcPr>
            <w:tcW w:w="3929" w:type="dxa"/>
            <w:gridSpan w:val="2"/>
            <w:vAlign w:val="center"/>
          </w:tcPr>
          <w:p>
            <w:pPr>
              <w:wordWrap w:val="0"/>
              <w:spacing w:line="360" w:lineRule="auto"/>
              <w:rPr>
                <w:rFonts w:ascii="仿宋" w:hAnsi="仿宋" w:eastAsia="仿宋" w:cs="仿宋"/>
                <w:color w:val="000000" w:themeColor="text1"/>
                <w:szCs w:val="21"/>
                <w14:textFill>
                  <w14:solidFill>
                    <w14:schemeClr w14:val="tx1"/>
                  </w14:solidFill>
                </w14:textFill>
              </w:rPr>
            </w:pPr>
          </w:p>
        </w:tc>
        <w:tc>
          <w:tcPr>
            <w:tcW w:w="2754" w:type="dxa"/>
            <w:gridSpan w:val="2"/>
            <w:vAlign w:val="center"/>
          </w:tcPr>
          <w:p>
            <w:pPr>
              <w:wordWrap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法定代表人</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主要负责人</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职工人数</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具有中高级以上职称的人数</w:t>
            </w:r>
          </w:p>
        </w:tc>
        <w:tc>
          <w:tcPr>
            <w:tcW w:w="6683" w:type="dxa"/>
            <w:gridSpan w:val="4"/>
            <w:vAlign w:val="center"/>
          </w:tcPr>
          <w:p>
            <w:pPr>
              <w:wordWrap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中级职称的人数:</w:t>
            </w:r>
          </w:p>
          <w:p>
            <w:pPr>
              <w:wordWrap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2022年度主营业务收入</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联系方式</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            邮编：           电话：</w:t>
            </w:r>
          </w:p>
          <w:p>
            <w:pPr>
              <w:wordWrap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开户银行</w:t>
            </w:r>
          </w:p>
        </w:tc>
        <w:tc>
          <w:tcPr>
            <w:tcW w:w="6683" w:type="dxa"/>
            <w:gridSpan w:val="4"/>
            <w:vAlign w:val="center"/>
          </w:tcPr>
          <w:p>
            <w:pPr>
              <w:wordWrap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p>
            <w:pPr>
              <w:wordWrap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  位</w:t>
            </w:r>
          </w:p>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组  织</w:t>
            </w:r>
          </w:p>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机  构</w:t>
            </w:r>
          </w:p>
          <w:p>
            <w:pPr>
              <w:wordWrap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框  图</w:t>
            </w:r>
          </w:p>
        </w:tc>
        <w:tc>
          <w:tcPr>
            <w:tcW w:w="6683" w:type="dxa"/>
            <w:gridSpan w:val="4"/>
            <w:vAlign w:val="center"/>
          </w:tcPr>
          <w:p>
            <w:pPr>
              <w:wordWrap w:val="0"/>
              <w:spacing w:line="360" w:lineRule="auto"/>
              <w:jc w:val="center"/>
              <w:rPr>
                <w:rFonts w:ascii="仿宋" w:hAnsi="仿宋" w:eastAsia="仿宋" w:cs="仿宋"/>
                <w:color w:val="000000" w:themeColor="text1"/>
                <w:szCs w:val="21"/>
                <w14:textFill>
                  <w14:solidFill>
                    <w14:schemeClr w14:val="tx1"/>
                  </w14:solidFill>
                </w14:textFill>
              </w:rPr>
            </w:pPr>
          </w:p>
        </w:tc>
      </w:tr>
    </w:tbl>
    <w:p>
      <w:pPr>
        <w:wordWrap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注：1、本表所述“职工”应为投标单位的正式员工。</w:t>
      </w:r>
    </w:p>
    <w:p>
      <w:pPr>
        <w:wordWrap w:val="0"/>
        <w:spacing w:line="360" w:lineRule="auto"/>
        <w:rPr>
          <w:rFonts w:ascii="仿宋" w:hAnsi="仿宋" w:eastAsia="仿宋" w:cs="仿宋"/>
          <w:color w:val="000000" w:themeColor="text1"/>
          <w:sz w:val="24"/>
          <w14:textFill>
            <w14:solidFill>
              <w14:schemeClr w14:val="tx1"/>
            </w14:solidFill>
          </w14:textFill>
        </w:rPr>
      </w:pPr>
    </w:p>
    <w:p>
      <w:pPr>
        <w:wordWrap w:val="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投标人名称（电子签名）：</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p>
    <w:p>
      <w:pPr>
        <w:wordWrap w:val="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wordWrap w:val="0"/>
        <w:jc w:val="center"/>
        <w:rPr>
          <w:rFonts w:ascii="仿宋" w:hAnsi="仿宋" w:eastAsia="仿宋" w:cs="仿宋"/>
          <w:b/>
          <w:color w:val="000000" w:themeColor="text1"/>
          <w:kern w:val="0"/>
          <w:sz w:val="32"/>
          <w:szCs w:val="32"/>
          <w14:textFill>
            <w14:solidFill>
              <w14:schemeClr w14:val="tx1"/>
            </w14:solidFill>
          </w14:textFill>
        </w:rPr>
        <w:sectPr>
          <w:pgSz w:w="11905" w:h="16838"/>
          <w:pgMar w:top="652" w:right="1417" w:bottom="680" w:left="1417" w:header="539" w:footer="425" w:gutter="0"/>
          <w:cols w:space="0" w:num="1"/>
          <w:titlePg/>
          <w:docGrid w:linePitch="312" w:charSpace="0"/>
        </w:sectPr>
      </w:pPr>
    </w:p>
    <w:p>
      <w:pPr>
        <w:pStyle w:val="62"/>
        <w:wordWrap w:val="0"/>
        <w:ind w:firstLine="420"/>
        <w:rPr>
          <w:rFonts w:ascii="仿宋" w:hAnsi="仿宋" w:eastAsia="仿宋" w:cs="仿宋"/>
          <w:color w:val="000000" w:themeColor="text1"/>
          <w14:textFill>
            <w14:solidFill>
              <w14:schemeClr w14:val="tx1"/>
            </w14:solidFill>
          </w14:textFill>
        </w:rPr>
      </w:pPr>
    </w:p>
    <w:p>
      <w:pPr>
        <w:wordWrap w:val="0"/>
        <w:outlineLvl w:val="2"/>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二</w:t>
      </w:r>
      <w:r>
        <w:rPr>
          <w:rFonts w:hint="eastAsia" w:ascii="仿宋" w:hAnsi="仿宋" w:eastAsia="仿宋" w:cs="仿宋"/>
          <w:b/>
          <w:color w:val="000000" w:themeColor="text1"/>
          <w:kern w:val="0"/>
          <w:sz w:val="32"/>
          <w:szCs w:val="32"/>
          <w:lang w:val="zh-CN"/>
          <w14:textFill>
            <w14:solidFill>
              <w14:schemeClr w14:val="tx1"/>
            </w14:solidFill>
          </w14:textFill>
        </w:rPr>
        <w:t>）类似项目业绩情况表及证明材料</w:t>
      </w:r>
    </w:p>
    <w:p>
      <w:pPr>
        <w:wordWrap w:val="0"/>
        <w:spacing w:line="360" w:lineRule="auto"/>
        <w:jc w:val="center"/>
        <w:rPr>
          <w:rFonts w:ascii="仿宋" w:hAnsi="仿宋" w:eastAsia="仿宋" w:cs="仿宋"/>
          <w:b/>
          <w:color w:val="000000" w:themeColor="text1"/>
          <w:sz w:val="32"/>
          <w:szCs w:val="32"/>
          <w14:textFill>
            <w14:solidFill>
              <w14:schemeClr w14:val="tx1"/>
            </w14:solidFill>
          </w14:textFill>
        </w:rPr>
      </w:pPr>
    </w:p>
    <w:p>
      <w:pPr>
        <w:wordWrap w:val="0"/>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类似项目</w:t>
      </w:r>
      <w:r>
        <w:rPr>
          <w:rFonts w:hint="eastAsia" w:ascii="仿宋" w:hAnsi="仿宋" w:eastAsia="仿宋" w:cs="仿宋"/>
          <w:b/>
          <w:color w:val="000000" w:themeColor="text1"/>
          <w:sz w:val="32"/>
          <w:szCs w:val="32"/>
          <w:lang w:val="zh-CN"/>
          <w14:textFill>
            <w14:solidFill>
              <w14:schemeClr w14:val="tx1"/>
            </w14:solidFill>
          </w14:textFill>
        </w:rPr>
        <w:t>业绩</w:t>
      </w:r>
      <w:r>
        <w:rPr>
          <w:rFonts w:hint="eastAsia" w:ascii="仿宋" w:hAnsi="仿宋" w:eastAsia="仿宋" w:cs="仿宋"/>
          <w:b/>
          <w:color w:val="000000" w:themeColor="text1"/>
          <w:sz w:val="32"/>
          <w:szCs w:val="32"/>
          <w14:textFill>
            <w14:solidFill>
              <w14:schemeClr w14:val="tx1"/>
            </w14:solidFill>
          </w14:textFill>
        </w:rPr>
        <w:t>情况表</w:t>
      </w:r>
    </w:p>
    <w:p>
      <w:pPr>
        <w:wordWrap w:val="0"/>
        <w:spacing w:line="360" w:lineRule="auto"/>
        <w:ind w:firstLine="315" w:firstLineChars="150"/>
        <w:rPr>
          <w:rFonts w:ascii="仿宋" w:hAnsi="仿宋" w:eastAsia="仿宋" w:cs="仿宋"/>
          <w:color w:val="000000" w:themeColor="text1"/>
          <w:szCs w:val="21"/>
          <w:u w:val="single"/>
          <w14:textFill>
            <w14:solidFill>
              <w14:schemeClr w14:val="tx1"/>
            </w14:solidFill>
          </w14:textFill>
        </w:rPr>
      </w:pPr>
    </w:p>
    <w:p>
      <w:pPr>
        <w:pStyle w:val="2"/>
        <w:wordWrap w:val="0"/>
        <w:rPr>
          <w:rFonts w:ascii="仿宋" w:hAnsi="仿宋" w:eastAsia="仿宋" w:cs="仿宋"/>
          <w:color w:val="000000" w:themeColor="text1"/>
          <w:kern w:val="2"/>
          <w:szCs w:val="24"/>
          <w:lang w:val="en-US"/>
          <w14:textFill>
            <w14:solidFill>
              <w14:schemeClr w14:val="tx1"/>
            </w14:solidFill>
          </w14:textFill>
        </w:rPr>
      </w:pPr>
      <w:r>
        <w:rPr>
          <w:rFonts w:hint="eastAsia" w:ascii="仿宋" w:hAnsi="仿宋" w:eastAsia="仿宋" w:cs="仿宋"/>
          <w:color w:val="000000" w:themeColor="text1"/>
          <w:kern w:val="2"/>
          <w:szCs w:val="24"/>
          <w:lang w:val="en-US"/>
          <w14:textFill>
            <w14:solidFill>
              <w14:schemeClr w14:val="tx1"/>
            </w14:solidFill>
          </w14:textFill>
        </w:rPr>
        <w:t xml:space="preserve">项目名称：2024年-2026年笕桥周边区块市政设施长效养护服务项目             </w:t>
      </w:r>
    </w:p>
    <w:p>
      <w:pPr>
        <w:pStyle w:val="2"/>
        <w:wordWrap w:val="0"/>
        <w:rPr>
          <w:rFonts w:ascii="仿宋" w:hAnsi="仿宋" w:eastAsia="仿宋" w:cs="仿宋"/>
          <w:color w:val="000000" w:themeColor="text1"/>
          <w:kern w:val="2"/>
          <w:szCs w:val="24"/>
          <w:lang w:val="en-US"/>
          <w14:textFill>
            <w14:solidFill>
              <w14:schemeClr w14:val="tx1"/>
            </w14:solidFill>
          </w14:textFill>
        </w:rPr>
      </w:pPr>
      <w:r>
        <w:rPr>
          <w:rFonts w:hint="eastAsia" w:ascii="仿宋" w:hAnsi="仿宋" w:eastAsia="仿宋" w:cs="仿宋"/>
          <w:color w:val="000000" w:themeColor="text1"/>
          <w:kern w:val="2"/>
          <w:szCs w:val="24"/>
          <w:lang w:val="en-US"/>
          <w14:textFill>
            <w14:solidFill>
              <w14:schemeClr w14:val="tx1"/>
            </w14:solidFill>
          </w14:textFill>
        </w:rPr>
        <w:t xml:space="preserve">项目编号：   </w:t>
      </w:r>
    </w:p>
    <w:p>
      <w:pPr>
        <w:pStyle w:val="2"/>
        <w:wordWrap w:val="0"/>
        <w:rPr>
          <w:rFonts w:ascii="仿宋" w:hAnsi="仿宋" w:eastAsia="仿宋" w:cs="仿宋"/>
          <w:color w:val="000000" w:themeColor="text1"/>
          <w:kern w:val="2"/>
          <w:szCs w:val="24"/>
          <w:lang w:val="en-US"/>
          <w14:textFill>
            <w14:solidFill>
              <w14:schemeClr w14:val="tx1"/>
            </w14:solidFill>
          </w14:textFill>
        </w:rPr>
      </w:pPr>
      <w:r>
        <w:rPr>
          <w:rFonts w:hint="eastAsia" w:ascii="仿宋" w:hAnsi="仿宋" w:eastAsia="仿宋" w:cs="仿宋"/>
          <w:color w:val="000000" w:themeColor="text1"/>
          <w:kern w:val="2"/>
          <w:szCs w:val="24"/>
          <w:lang w:val="en-US"/>
          <w14:textFill>
            <w14:solidFill>
              <w14:schemeClr w14:val="tx1"/>
            </w14:solidFill>
          </w14:textFill>
        </w:rPr>
        <w:t xml:space="preserve">     </w:t>
      </w:r>
    </w:p>
    <w:p>
      <w:pPr>
        <w:pStyle w:val="2"/>
        <w:wordWrap w:val="0"/>
        <w:rPr>
          <w:rFonts w:ascii="仿宋" w:hAnsi="仿宋" w:eastAsia="仿宋" w:cs="仿宋"/>
          <w:color w:val="000000" w:themeColor="text1"/>
          <w:u w:val="single"/>
          <w:lang w:val="en-US"/>
          <w14:textFill>
            <w14:solidFill>
              <w14:schemeClr w14:val="tx1"/>
            </w14:solidFill>
          </w14:textFill>
        </w:rPr>
      </w:pPr>
    </w:p>
    <w:tbl>
      <w:tblPr>
        <w:tblStyle w:val="63"/>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739"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合同内容</w:t>
            </w:r>
          </w:p>
        </w:tc>
        <w:tc>
          <w:tcPr>
            <w:tcW w:w="1681"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合同金额</w:t>
            </w:r>
          </w:p>
        </w:tc>
        <w:tc>
          <w:tcPr>
            <w:tcW w:w="138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p>
        </w:tc>
        <w:tc>
          <w:tcPr>
            <w:tcW w:w="12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项目地址</w:t>
            </w:r>
          </w:p>
        </w:tc>
        <w:tc>
          <w:tcPr>
            <w:tcW w:w="1836"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采购方联系人及电话</w:t>
            </w:r>
          </w:p>
        </w:tc>
      </w:tr>
      <w:tr>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bl>
    <w:p>
      <w:pPr>
        <w:wordWrap w:val="0"/>
        <w:autoSpaceDE w:val="0"/>
        <w:autoSpaceDN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注：投标人可按上述的格式自行编制，须随表提交相应的证明材料（证明材料以资格要求和评标办法要求为准）并注明所在页码。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color w:val="000000" w:themeColor="text1"/>
          <w:sz w:val="24"/>
          <w14:textFill>
            <w14:solidFill>
              <w14:schemeClr w14:val="tx1"/>
            </w14:solidFill>
          </w14:textFill>
        </w:rPr>
      </w:pPr>
    </w:p>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p>
      <w:pPr>
        <w:pStyle w:val="35"/>
        <w:wordWrap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pPr>
        <w:pStyle w:val="35"/>
        <w:wordWrap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  期：</w:t>
      </w:r>
    </w:p>
    <w:p>
      <w:pPr>
        <w:wordWrap w:val="0"/>
        <w:jc w:val="center"/>
        <w:rPr>
          <w:rFonts w:ascii="仿宋" w:hAnsi="仿宋" w:eastAsia="仿宋" w:cs="仿宋"/>
          <w:b/>
          <w:color w:val="000000" w:themeColor="text1"/>
          <w:kern w:val="0"/>
          <w:sz w:val="32"/>
          <w:szCs w:val="32"/>
          <w14:textFill>
            <w14:solidFill>
              <w14:schemeClr w14:val="tx1"/>
            </w14:solidFill>
          </w14:textFill>
        </w:rPr>
      </w:pPr>
    </w:p>
    <w:p>
      <w:pPr>
        <w:wordWrap w:val="0"/>
        <w:jc w:val="center"/>
        <w:outlineLvl w:val="2"/>
        <w:rPr>
          <w:rFonts w:ascii="仿宋" w:hAnsi="仿宋" w:eastAsia="仿宋" w:cs="仿宋"/>
          <w:b/>
          <w:color w:val="000000" w:themeColor="text1"/>
          <w:kern w:val="0"/>
          <w:sz w:val="32"/>
          <w:szCs w:val="32"/>
          <w14:textFill>
            <w14:solidFill>
              <w14:schemeClr w14:val="tx1"/>
            </w14:solidFill>
          </w14:textFill>
        </w:rPr>
        <w:sectPr>
          <w:pgSz w:w="11905" w:h="16838"/>
          <w:pgMar w:top="652" w:right="1417" w:bottom="680" w:left="1417" w:header="539" w:footer="425" w:gutter="0"/>
          <w:cols w:space="0" w:num="1"/>
          <w:titlePg/>
          <w:docGrid w:linePitch="312" w:charSpace="0"/>
        </w:sectPr>
      </w:pPr>
    </w:p>
    <w:p>
      <w:pPr>
        <w:wordWrap w:val="0"/>
        <w:jc w:val="left"/>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三</w:t>
      </w:r>
      <w:r>
        <w:rPr>
          <w:rFonts w:hint="eastAsia" w:ascii="仿宋" w:hAnsi="仿宋" w:eastAsia="仿宋" w:cs="仿宋"/>
          <w:b/>
          <w:color w:val="000000" w:themeColor="text1"/>
          <w:kern w:val="0"/>
          <w:sz w:val="32"/>
          <w:szCs w:val="32"/>
          <w:lang w:val="zh-CN"/>
          <w14:textFill>
            <w14:solidFill>
              <w14:schemeClr w14:val="tx1"/>
            </w14:solidFill>
          </w14:textFill>
        </w:rPr>
        <w:t>）设备配备情况一览表</w:t>
      </w:r>
    </w:p>
    <w:p>
      <w:pPr>
        <w:pStyle w:val="2"/>
        <w:wordWrap w:val="0"/>
        <w:jc w:val="center"/>
        <w:rPr>
          <w:rFonts w:ascii="仿宋" w:hAnsi="仿宋" w:eastAsia="仿宋" w:cs="仿宋"/>
          <w:b/>
          <w:color w:val="000000" w:themeColor="text1"/>
          <w:sz w:val="32"/>
          <w:szCs w:val="32"/>
          <w14:textFill>
            <w14:solidFill>
              <w14:schemeClr w14:val="tx1"/>
            </w14:solidFill>
          </w14:textFill>
        </w:rPr>
      </w:pPr>
    </w:p>
    <w:p>
      <w:pPr>
        <w:pStyle w:val="2"/>
        <w:wordWrap w:val="0"/>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设备配备情况一览表</w:t>
      </w:r>
    </w:p>
    <w:p>
      <w:pPr>
        <w:pStyle w:val="2"/>
        <w:wordWrap w:val="0"/>
        <w:jc w:val="center"/>
        <w:rPr>
          <w:rFonts w:ascii="仿宋" w:hAnsi="仿宋" w:eastAsia="仿宋" w:cs="仿宋"/>
          <w:b/>
          <w:color w:val="000000" w:themeColor="text1"/>
          <w:sz w:val="32"/>
          <w:szCs w:val="32"/>
          <w:lang w:val="en-US"/>
          <w14:textFill>
            <w14:solidFill>
              <w14:schemeClr w14:val="tx1"/>
            </w14:solidFill>
          </w14:textFill>
        </w:rPr>
      </w:pPr>
    </w:p>
    <w:p>
      <w:pPr>
        <w:pStyle w:val="2"/>
        <w:wordWrap w:val="0"/>
        <w:spacing w:line="360" w:lineRule="auto"/>
        <w:rPr>
          <w:rFonts w:ascii="仿宋" w:hAnsi="仿宋" w:eastAsia="仿宋" w:cs="仿宋"/>
          <w:color w:val="000000" w:themeColor="text1"/>
          <w:kern w:val="2"/>
          <w:szCs w:val="24"/>
          <w:lang w:val="en-US"/>
          <w14:textFill>
            <w14:solidFill>
              <w14:schemeClr w14:val="tx1"/>
            </w14:solidFill>
          </w14:textFill>
        </w:rPr>
      </w:pPr>
      <w:r>
        <w:rPr>
          <w:rFonts w:hint="eastAsia" w:ascii="仿宋" w:hAnsi="仿宋" w:eastAsia="仿宋" w:cs="仿宋"/>
          <w:color w:val="000000" w:themeColor="text1"/>
          <w:kern w:val="2"/>
          <w:szCs w:val="24"/>
          <w:lang w:val="en-US"/>
          <w14:textFill>
            <w14:solidFill>
              <w14:schemeClr w14:val="tx1"/>
            </w14:solidFill>
          </w14:textFill>
        </w:rPr>
        <w:t xml:space="preserve">项目名称：2024年-2026年笕桥周边区块市政设施长效养护服务项目             </w:t>
      </w:r>
    </w:p>
    <w:p>
      <w:pPr>
        <w:pStyle w:val="2"/>
        <w:wordWrap w:val="0"/>
        <w:spacing w:line="360" w:lineRule="auto"/>
        <w:rPr>
          <w:rFonts w:ascii="仿宋" w:hAnsi="仿宋" w:eastAsia="仿宋" w:cs="仿宋"/>
          <w:color w:val="000000" w:themeColor="text1"/>
          <w:kern w:val="2"/>
          <w:szCs w:val="24"/>
          <w:lang w:val="en-US"/>
          <w14:textFill>
            <w14:solidFill>
              <w14:schemeClr w14:val="tx1"/>
            </w14:solidFill>
          </w14:textFill>
        </w:rPr>
      </w:pPr>
      <w:r>
        <w:rPr>
          <w:rFonts w:hint="eastAsia" w:ascii="仿宋" w:hAnsi="仿宋" w:eastAsia="仿宋" w:cs="仿宋"/>
          <w:color w:val="000000" w:themeColor="text1"/>
          <w:kern w:val="2"/>
          <w:szCs w:val="24"/>
          <w:lang w:val="en-US"/>
          <w14:textFill>
            <w14:solidFill>
              <w14:schemeClr w14:val="tx1"/>
            </w14:solidFill>
          </w14:textFill>
        </w:rPr>
        <w:t xml:space="preserve">项目编号：   </w:t>
      </w:r>
    </w:p>
    <w:p>
      <w:pPr>
        <w:pStyle w:val="2"/>
        <w:wordWrap w:val="0"/>
        <w:spacing w:line="360" w:lineRule="auto"/>
        <w:rPr>
          <w:rFonts w:ascii="仿宋" w:hAnsi="仿宋" w:eastAsia="仿宋" w:cs="仿宋"/>
          <w:color w:val="000000" w:themeColor="text1"/>
          <w:kern w:val="2"/>
          <w:szCs w:val="24"/>
          <w:lang w:val="en-US"/>
          <w14:textFill>
            <w14:solidFill>
              <w14:schemeClr w14:val="tx1"/>
            </w14:solidFill>
          </w14:textFill>
        </w:rPr>
      </w:pPr>
      <w:r>
        <w:rPr>
          <w:rFonts w:hint="eastAsia" w:ascii="仿宋" w:hAnsi="仿宋" w:eastAsia="仿宋" w:cs="仿宋"/>
          <w:color w:val="000000" w:themeColor="text1"/>
          <w:kern w:val="2"/>
          <w:szCs w:val="24"/>
          <w:lang w:val="en-US"/>
          <w14:textFill>
            <w14:solidFill>
              <w14:schemeClr w14:val="tx1"/>
            </w14:solidFill>
          </w14:textFill>
        </w:rPr>
        <w:t xml:space="preserve">   </w:t>
      </w:r>
    </w:p>
    <w:tbl>
      <w:tblPr>
        <w:tblStyle w:val="63"/>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474"/>
        <w:gridCol w:w="1474"/>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序号</w:t>
            </w:r>
          </w:p>
        </w:tc>
        <w:tc>
          <w:tcPr>
            <w:tcW w:w="1474" w:type="dxa"/>
          </w:tcPr>
          <w:p>
            <w:pPr>
              <w:wordWrap w:val="0"/>
              <w:jc w:val="center"/>
              <w:outlineLvl w:val="2"/>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产品名称</w:t>
            </w:r>
          </w:p>
        </w:tc>
        <w:tc>
          <w:tcPr>
            <w:tcW w:w="1474" w:type="dxa"/>
          </w:tcPr>
          <w:p>
            <w:pPr>
              <w:wordWrap w:val="0"/>
              <w:jc w:val="center"/>
              <w:outlineLvl w:val="2"/>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规格</w:t>
            </w:r>
          </w:p>
        </w:tc>
        <w:tc>
          <w:tcPr>
            <w:tcW w:w="1474" w:type="dxa"/>
          </w:tcPr>
          <w:p>
            <w:pPr>
              <w:wordWrap w:val="0"/>
              <w:jc w:val="center"/>
              <w:outlineLvl w:val="2"/>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品牌</w:t>
            </w:r>
          </w:p>
        </w:tc>
        <w:tc>
          <w:tcPr>
            <w:tcW w:w="1474" w:type="dxa"/>
          </w:tcPr>
          <w:p>
            <w:pPr>
              <w:wordWrap w:val="0"/>
              <w:jc w:val="center"/>
              <w:outlineLvl w:val="2"/>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数量</w:t>
            </w:r>
          </w:p>
        </w:tc>
        <w:tc>
          <w:tcPr>
            <w:tcW w:w="1474" w:type="dxa"/>
          </w:tcPr>
          <w:p>
            <w:pPr>
              <w:wordWrap w:val="0"/>
              <w:jc w:val="center"/>
              <w:outlineLvl w:val="2"/>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c>
          <w:tcPr>
            <w:tcW w:w="1474" w:type="dxa"/>
          </w:tcPr>
          <w:p>
            <w:pPr>
              <w:wordWrap w:val="0"/>
              <w:jc w:val="center"/>
              <w:outlineLvl w:val="2"/>
              <w:rPr>
                <w:rFonts w:ascii="仿宋" w:hAnsi="仿宋" w:eastAsia="仿宋" w:cs="仿宋"/>
                <w:b/>
                <w:color w:val="000000" w:themeColor="text1"/>
                <w:kern w:val="0"/>
                <w:sz w:val="32"/>
                <w:szCs w:val="32"/>
                <w14:textFill>
                  <w14:solidFill>
                    <w14:schemeClr w14:val="tx1"/>
                  </w14:solidFill>
                </w14:textFill>
              </w:rPr>
            </w:pPr>
          </w:p>
        </w:tc>
      </w:tr>
    </w:tbl>
    <w:p>
      <w:pPr>
        <w:wordWrap w:val="0"/>
        <w:autoSpaceDE w:val="0"/>
        <w:autoSpaceDN w:val="0"/>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注：投标人可按上述的格式自行编制，须随表提交相应的证明材料（证明材料以评标办法要求为准）并注明所在页码。</w:t>
      </w:r>
    </w:p>
    <w:p>
      <w:pPr>
        <w:wordWrap w:val="0"/>
        <w:outlineLvl w:val="2"/>
        <w:rPr>
          <w:rFonts w:ascii="仿宋" w:hAnsi="仿宋" w:eastAsia="仿宋" w:cs="仿宋"/>
          <w:b/>
          <w:color w:val="000000" w:themeColor="text1"/>
          <w:kern w:val="0"/>
          <w:sz w:val="32"/>
          <w:szCs w:val="32"/>
          <w:lang w:val="zh-CN"/>
          <w14:textFill>
            <w14:solidFill>
              <w14:schemeClr w14:val="tx1"/>
            </w14:solidFill>
          </w14:textFill>
        </w:rPr>
        <w:sectPr>
          <w:pgSz w:w="11905" w:h="16838"/>
          <w:pgMar w:top="652" w:right="1417" w:bottom="680" w:left="1417" w:header="539" w:footer="425" w:gutter="0"/>
          <w:cols w:space="0" w:num="1"/>
          <w:titlePg/>
          <w:docGrid w:linePitch="312" w:charSpace="0"/>
        </w:sectPr>
      </w:pPr>
    </w:p>
    <w:p>
      <w:pPr>
        <w:wordWrap w:val="0"/>
        <w:outlineLvl w:val="2"/>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四</w:t>
      </w:r>
      <w:r>
        <w:rPr>
          <w:rFonts w:hint="eastAsia" w:ascii="仿宋" w:hAnsi="仿宋" w:eastAsia="仿宋" w:cs="仿宋"/>
          <w:b/>
          <w:color w:val="000000" w:themeColor="text1"/>
          <w:kern w:val="0"/>
          <w:sz w:val="32"/>
          <w:szCs w:val="32"/>
          <w:lang w:val="zh-CN"/>
          <w14:textFill>
            <w14:solidFill>
              <w14:schemeClr w14:val="tx1"/>
            </w14:solidFill>
          </w14:textFill>
        </w:rPr>
        <w:t>）投标人为完成本项目组建的工作小组名单</w:t>
      </w:r>
    </w:p>
    <w:p>
      <w:pPr>
        <w:wordWrap w:val="0"/>
        <w:autoSpaceDE w:val="0"/>
        <w:autoSpaceDN w:val="0"/>
        <w:spacing w:line="360" w:lineRule="auto"/>
        <w:ind w:firstLine="477"/>
        <w:rPr>
          <w:rFonts w:ascii="仿宋" w:hAnsi="仿宋" w:eastAsia="仿宋" w:cs="仿宋"/>
          <w:b/>
          <w:color w:val="000000" w:themeColor="text1"/>
          <w:sz w:val="24"/>
          <w14:textFill>
            <w14:solidFill>
              <w14:schemeClr w14:val="tx1"/>
            </w14:solidFill>
          </w14:textFill>
        </w:rPr>
      </w:pPr>
    </w:p>
    <w:p>
      <w:pPr>
        <w:wordWrap w:val="0"/>
        <w:autoSpaceDE w:val="0"/>
        <w:autoSpaceDN w:val="0"/>
        <w:spacing w:line="360" w:lineRule="auto"/>
        <w:ind w:firstLine="4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附表A:本项目的项目负责人情况表</w:t>
      </w:r>
    </w:p>
    <w:tbl>
      <w:tblPr>
        <w:tblStyle w:val="63"/>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年龄</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毕业时间</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学历</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资质证书编号</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其他资质情况</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tc>
        <w:tc>
          <w:tcPr>
            <w:tcW w:w="1486" w:type="dxa"/>
            <w:tcBorders>
              <w:top w:val="single" w:color="auto" w:sz="6" w:space="0"/>
              <w:left w:val="single" w:color="auto" w:sz="6" w:space="0"/>
              <w:bottom w:val="single" w:color="auto" w:sz="6" w:space="0"/>
              <w:right w:val="single" w:color="auto" w:sz="4"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r>
    </w:tbl>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附表B:本项目的其它服务工作人员配备表</w:t>
      </w:r>
      <w:r>
        <w:rPr>
          <w:rFonts w:hint="eastAsia" w:ascii="仿宋" w:hAnsi="仿宋" w:eastAsia="仿宋" w:cs="仿宋"/>
          <w:color w:val="000000" w:themeColor="text1"/>
          <w:sz w:val="24"/>
          <w14:textFill>
            <w14:solidFill>
              <w14:schemeClr w14:val="tx1"/>
            </w14:solidFill>
          </w14:textFill>
        </w:rPr>
        <w:t xml:space="preserve"> </w:t>
      </w:r>
    </w:p>
    <w:tbl>
      <w:tblPr>
        <w:tblStyle w:val="63"/>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215"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本项目中的职责</w:t>
            </w:r>
          </w:p>
        </w:tc>
        <w:tc>
          <w:tcPr>
            <w:tcW w:w="787"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758"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817"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年龄</w:t>
            </w:r>
          </w:p>
        </w:tc>
        <w:tc>
          <w:tcPr>
            <w:tcW w:w="945"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学历</w:t>
            </w:r>
          </w:p>
        </w:tc>
        <w:tc>
          <w:tcPr>
            <w:tcW w:w="990"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专业</w:t>
            </w:r>
          </w:p>
        </w:tc>
        <w:tc>
          <w:tcPr>
            <w:tcW w:w="855"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381" w:type="dxa"/>
            <w:tcBorders>
              <w:top w:val="single" w:color="auto" w:sz="6" w:space="0"/>
              <w:left w:val="single" w:color="auto" w:sz="6" w:space="0"/>
              <w:bottom w:val="single" w:color="auto" w:sz="6" w:space="0"/>
              <w:right w:val="single" w:color="auto" w:sz="6" w:space="0"/>
            </w:tcBorders>
            <w:noWrap/>
            <w:vAlign w:val="center"/>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工作经验</w:t>
            </w: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jc w:val="center"/>
              <w:rPr>
                <w:rFonts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jc w:val="left"/>
              <w:rPr>
                <w:rFonts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jc w:val="left"/>
              <w:rPr>
                <w:rFonts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jc w:val="left"/>
              <w:rPr>
                <w:rFonts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kern w:val="0"/>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jc w:val="left"/>
              <w:rPr>
                <w:rFonts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kern w:val="0"/>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noWrap/>
          </w:tcPr>
          <w:p>
            <w:pPr>
              <w:wordWrap w:val="0"/>
              <w:autoSpaceDE w:val="0"/>
              <w:autoSpaceDN w:val="0"/>
              <w:spacing w:line="360" w:lineRule="auto"/>
              <w:rPr>
                <w:rFonts w:ascii="仿宋" w:hAnsi="仿宋" w:eastAsia="仿宋" w:cs="仿宋"/>
                <w:color w:val="000000" w:themeColor="text1"/>
                <w:sz w:val="24"/>
                <w14:textFill>
                  <w14:solidFill>
                    <w14:schemeClr w14:val="tx1"/>
                  </w14:solidFill>
                </w14:textFill>
              </w:rPr>
            </w:pPr>
          </w:p>
        </w:tc>
      </w:tr>
    </w:tbl>
    <w:p>
      <w:pPr>
        <w:wordWrap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注：须随表提交相应的证明材料（证明材料以资格要求和评标办法要求为准）并注明所在页码。</w:t>
      </w:r>
    </w:p>
    <w:p>
      <w:pPr>
        <w:wordWrap w:val="0"/>
        <w:ind w:firstLine="480" w:firstLineChars="200"/>
        <w:rPr>
          <w:rFonts w:ascii="仿宋" w:hAnsi="仿宋" w:eastAsia="仿宋" w:cs="仿宋"/>
          <w:color w:val="000000" w:themeColor="text1"/>
          <w:sz w:val="24"/>
          <w14:textFill>
            <w14:solidFill>
              <w14:schemeClr w14:val="tx1"/>
            </w14:solidFill>
          </w14:textFill>
        </w:rPr>
      </w:pPr>
    </w:p>
    <w:p>
      <w:pPr>
        <w:pStyle w:val="62"/>
        <w:wordWrap w:val="0"/>
        <w:ind w:left="0" w:leftChars="0" w:firstLine="48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pPr>
        <w:pStyle w:val="62"/>
        <w:wordWrap w:val="0"/>
        <w:ind w:left="0" w:leftChars="0" w:firstLine="480"/>
        <w:rPr>
          <w:rFonts w:ascii="仿宋" w:hAnsi="仿宋" w:eastAsia="仿宋" w:cs="仿宋"/>
          <w:color w:val="000000" w:themeColor="text1"/>
          <w14:textFill>
            <w14:solidFill>
              <w14:schemeClr w14:val="tx1"/>
            </w14:solidFill>
          </w14:textFill>
        </w:rPr>
        <w:sectPr>
          <w:pgSz w:w="11905" w:h="16838"/>
          <w:pgMar w:top="652" w:right="1417" w:bottom="680" w:left="1417" w:header="539" w:footer="425" w:gutter="0"/>
          <w:cols w:space="0" w:num="1"/>
          <w:titlePg/>
          <w:docGrid w:linePitch="312" w:charSpace="0"/>
        </w:sect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p>
    <w:p>
      <w:pPr>
        <w:wordWrap w:val="0"/>
        <w:outlineLvl w:val="2"/>
        <w:rPr>
          <w:rFonts w:ascii="仿宋" w:hAnsi="仿宋" w:eastAsia="仿宋" w:cs="仿宋"/>
          <w:b/>
          <w:color w:val="000000" w:themeColor="text1"/>
          <w:kern w:val="0"/>
          <w:sz w:val="32"/>
          <w:szCs w:val="32"/>
          <w14:textFill>
            <w14:solidFill>
              <w14:schemeClr w14:val="tx1"/>
            </w14:solidFill>
          </w14:textFill>
        </w:rPr>
      </w:pPr>
      <w:bookmarkStart w:id="445" w:name="_Toc3004"/>
      <w:bookmarkStart w:id="446" w:name="_Toc11318"/>
      <w:bookmarkStart w:id="447" w:name="_Toc14279"/>
      <w:bookmarkStart w:id="448" w:name="_Toc9403"/>
      <w:r>
        <w:rPr>
          <w:rFonts w:hint="eastAsia" w:ascii="仿宋" w:hAnsi="仿宋" w:eastAsia="仿宋" w:cs="仿宋"/>
          <w:b/>
          <w:color w:val="000000" w:themeColor="text1"/>
          <w:kern w:val="0"/>
          <w:sz w:val="32"/>
          <w:szCs w:val="32"/>
          <w14:textFill>
            <w14:solidFill>
              <w14:schemeClr w14:val="tx1"/>
            </w14:solidFill>
          </w14:textFill>
        </w:rPr>
        <w:t>（五）商务技术偏离表</w:t>
      </w:r>
      <w:bookmarkEnd w:id="445"/>
      <w:bookmarkEnd w:id="446"/>
      <w:bookmarkEnd w:id="447"/>
      <w:bookmarkEnd w:id="448"/>
    </w:p>
    <w:p>
      <w:pPr>
        <w:numPr>
          <w:ilvl w:val="255"/>
          <w:numId w:val="0"/>
        </w:numPr>
        <w:wordWrap w:val="0"/>
        <w:jc w:val="left"/>
        <w:rPr>
          <w:rFonts w:ascii="仿宋" w:hAnsi="仿宋" w:eastAsia="仿宋" w:cs="仿宋"/>
          <w:b/>
          <w:color w:val="000000" w:themeColor="text1"/>
          <w:kern w:val="0"/>
          <w:sz w:val="32"/>
          <w:szCs w:val="32"/>
          <w14:textFill>
            <w14:solidFill>
              <w14:schemeClr w14:val="tx1"/>
            </w14:solidFill>
          </w14:textFill>
        </w:rPr>
      </w:pPr>
    </w:p>
    <w:p>
      <w:pPr>
        <w:numPr>
          <w:ilvl w:val="255"/>
          <w:numId w:val="0"/>
        </w:numPr>
        <w:wordWrap w:val="0"/>
        <w:jc w:val="center"/>
        <w:outlineLvl w:val="2"/>
        <w:rPr>
          <w:rFonts w:ascii="仿宋" w:hAnsi="仿宋" w:eastAsia="仿宋" w:cs="仿宋"/>
          <w:b/>
          <w:color w:val="000000" w:themeColor="text1"/>
          <w:kern w:val="0"/>
          <w:sz w:val="32"/>
          <w:szCs w:val="32"/>
          <w14:textFill>
            <w14:solidFill>
              <w14:schemeClr w14:val="tx1"/>
            </w14:solidFill>
          </w14:textFill>
        </w:rPr>
      </w:pPr>
      <w:bookmarkStart w:id="449" w:name="_Toc1061"/>
      <w:r>
        <w:rPr>
          <w:rFonts w:hint="eastAsia" w:ascii="仿宋" w:hAnsi="仿宋" w:eastAsia="仿宋" w:cs="仿宋"/>
          <w:b/>
          <w:color w:val="000000" w:themeColor="text1"/>
          <w:kern w:val="0"/>
          <w:sz w:val="32"/>
          <w:szCs w:val="32"/>
          <w14:textFill>
            <w14:solidFill>
              <w14:schemeClr w14:val="tx1"/>
            </w14:solidFill>
          </w14:textFill>
        </w:rPr>
        <w:t>商务偏离表</w:t>
      </w:r>
      <w:bookmarkEnd w:id="449"/>
    </w:p>
    <w:p>
      <w:pPr>
        <w:numPr>
          <w:ilvl w:val="255"/>
          <w:numId w:val="0"/>
        </w:numPr>
        <w:wordWrap w:val="0"/>
        <w:rPr>
          <w:rFonts w:ascii="仿宋" w:hAnsi="仿宋" w:eastAsia="仿宋" w:cs="仿宋"/>
          <w:b/>
          <w:color w:val="000000" w:themeColor="text1"/>
          <w:kern w:val="0"/>
          <w:sz w:val="32"/>
          <w:szCs w:val="32"/>
          <w14:textFill>
            <w14:solidFill>
              <w14:schemeClr w14:val="tx1"/>
            </w14:solidFill>
          </w14:textFill>
        </w:r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678"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招标文件章节及具体内容</w:t>
            </w:r>
          </w:p>
        </w:tc>
        <w:tc>
          <w:tcPr>
            <w:tcW w:w="4993"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投标文件章节及具体内容</w:t>
            </w:r>
          </w:p>
        </w:tc>
        <w:tc>
          <w:tcPr>
            <w:tcW w:w="1430"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pPr>
              <w:wordWrap w:val="0"/>
              <w:jc w:val="center"/>
              <w:rPr>
                <w:rFonts w:ascii="仿宋" w:hAnsi="仿宋" w:eastAsia="仿宋" w:cs="仿宋"/>
                <w:color w:val="000000" w:themeColor="text1"/>
                <w:kern w:val="0"/>
                <w:sz w:val="24"/>
                <w14:textFill>
                  <w14:solidFill>
                    <w14:schemeClr w14:val="tx1"/>
                  </w14:solidFill>
                </w14:textFill>
              </w:rPr>
            </w:pPr>
          </w:p>
        </w:tc>
        <w:tc>
          <w:tcPr>
            <w:tcW w:w="1678" w:type="dxa"/>
            <w:vAlign w:val="center"/>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4993" w:type="dxa"/>
          </w:tcPr>
          <w:p>
            <w:pPr>
              <w:wordWrap w:val="0"/>
              <w:spacing w:line="360" w:lineRule="auto"/>
              <w:outlineLvl w:val="1"/>
              <w:rPr>
                <w:rFonts w:ascii="仿宋" w:hAnsi="仿宋" w:eastAsia="仿宋" w:cs="仿宋"/>
                <w:b/>
                <w:color w:val="000000" w:themeColor="text1"/>
                <w:kern w:val="0"/>
                <w:szCs w:val="21"/>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pPr>
              <w:wordWrap w:val="0"/>
              <w:jc w:val="center"/>
              <w:rPr>
                <w:rFonts w:ascii="仿宋" w:hAnsi="仿宋" w:eastAsia="仿宋" w:cs="仿宋"/>
                <w:color w:val="000000" w:themeColor="text1"/>
                <w:kern w:val="0"/>
                <w:sz w:val="24"/>
                <w14:textFill>
                  <w14:solidFill>
                    <w14:schemeClr w14:val="tx1"/>
                  </w14:solidFill>
                </w14:textFill>
              </w:rPr>
            </w:pPr>
          </w:p>
        </w:tc>
        <w:tc>
          <w:tcPr>
            <w:tcW w:w="1678" w:type="dxa"/>
            <w:vAlign w:val="center"/>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4993" w:type="dxa"/>
          </w:tcPr>
          <w:p>
            <w:pPr>
              <w:wordWrap w:val="0"/>
              <w:spacing w:line="360" w:lineRule="auto"/>
              <w:outlineLvl w:val="2"/>
              <w:rPr>
                <w:rFonts w:ascii="仿宋" w:hAnsi="仿宋" w:eastAsia="仿宋" w:cs="仿宋"/>
                <w:b/>
                <w:color w:val="000000" w:themeColor="text1"/>
                <w:kern w:val="0"/>
                <w:szCs w:val="21"/>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pPr>
              <w:wordWrap w:val="0"/>
              <w:jc w:val="center"/>
              <w:rPr>
                <w:rFonts w:ascii="仿宋" w:hAnsi="仿宋" w:eastAsia="仿宋" w:cs="仿宋"/>
                <w:color w:val="000000" w:themeColor="text1"/>
                <w:kern w:val="0"/>
                <w:sz w:val="24"/>
                <w14:textFill>
                  <w14:solidFill>
                    <w14:schemeClr w14:val="tx1"/>
                  </w14:solidFill>
                </w14:textFill>
              </w:rPr>
            </w:pPr>
          </w:p>
        </w:tc>
        <w:tc>
          <w:tcPr>
            <w:tcW w:w="1678" w:type="dxa"/>
            <w:vAlign w:val="center"/>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4993" w:type="dxa"/>
          </w:tcPr>
          <w:p>
            <w:pPr>
              <w:wordWrap w:val="0"/>
              <w:spacing w:line="360" w:lineRule="auto"/>
              <w:rPr>
                <w:rFonts w:ascii="仿宋" w:hAnsi="仿宋" w:eastAsia="仿宋" w:cs="仿宋"/>
                <w:b/>
                <w:color w:val="000000" w:themeColor="text1"/>
                <w:kern w:val="0"/>
                <w:szCs w:val="21"/>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pPr>
              <w:wordWrap w:val="0"/>
              <w:jc w:val="center"/>
              <w:rPr>
                <w:rFonts w:ascii="仿宋" w:hAnsi="仿宋" w:eastAsia="仿宋" w:cs="仿宋"/>
                <w:color w:val="000000" w:themeColor="text1"/>
                <w:kern w:val="0"/>
                <w:sz w:val="24"/>
                <w14:textFill>
                  <w14:solidFill>
                    <w14:schemeClr w14:val="tx1"/>
                  </w14:solidFill>
                </w14:textFill>
              </w:rPr>
            </w:pPr>
          </w:p>
        </w:tc>
        <w:tc>
          <w:tcPr>
            <w:tcW w:w="1678" w:type="dxa"/>
            <w:vAlign w:val="center"/>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4993" w:type="dxa"/>
          </w:tcPr>
          <w:p>
            <w:pPr>
              <w:wordWrap w:val="0"/>
              <w:snapToGrid w:val="0"/>
              <w:spacing w:line="360" w:lineRule="auto"/>
              <w:rPr>
                <w:rFonts w:ascii="仿宋" w:hAnsi="仿宋" w:eastAsia="仿宋" w:cs="仿宋"/>
                <w:b/>
                <w:color w:val="000000" w:themeColor="text1"/>
                <w:kern w:val="0"/>
                <w:szCs w:val="21"/>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pPr>
              <w:wordWrap w:val="0"/>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1678" w:type="dxa"/>
            <w:vAlign w:val="center"/>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4993"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bl>
    <w:p>
      <w:pPr>
        <w:wordWrap w:val="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注：1.投标人保证：除商务偏离表列出的偏离外，投标人响应招标文件的全部要求。</w:t>
      </w:r>
    </w:p>
    <w:p>
      <w:pPr>
        <w:wordWrap w:val="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2.未填写的视为响应招标文件的全部要求。</w:t>
      </w:r>
    </w:p>
    <w:p>
      <w:pPr>
        <w:numPr>
          <w:ilvl w:val="255"/>
          <w:numId w:val="0"/>
        </w:numPr>
        <w:wordWrap w:val="0"/>
        <w:jc w:val="left"/>
        <w:rPr>
          <w:rFonts w:ascii="仿宋" w:hAnsi="仿宋" w:eastAsia="仿宋" w:cs="仿宋"/>
          <w:b/>
          <w:color w:val="000000" w:themeColor="text1"/>
          <w:kern w:val="0"/>
          <w:sz w:val="32"/>
          <w:szCs w:val="32"/>
          <w14:textFill>
            <w14:solidFill>
              <w14:schemeClr w14:val="tx1"/>
            </w14:solidFill>
          </w14:textFill>
        </w:rPr>
      </w:pPr>
    </w:p>
    <w:p>
      <w:pPr>
        <w:numPr>
          <w:ilvl w:val="255"/>
          <w:numId w:val="0"/>
        </w:numPr>
        <w:wordWrap w:val="0"/>
        <w:jc w:val="left"/>
        <w:rPr>
          <w:rFonts w:ascii="仿宋" w:hAnsi="仿宋" w:eastAsia="仿宋" w:cs="仿宋"/>
          <w:b/>
          <w:color w:val="000000" w:themeColor="text1"/>
          <w:kern w:val="0"/>
          <w:sz w:val="32"/>
          <w:szCs w:val="32"/>
          <w14:textFill>
            <w14:solidFill>
              <w14:schemeClr w14:val="tx1"/>
            </w14:solidFill>
          </w14:textFill>
        </w:rPr>
      </w:pPr>
    </w:p>
    <w:p>
      <w:pPr>
        <w:numPr>
          <w:ilvl w:val="255"/>
          <w:numId w:val="0"/>
        </w:numPr>
        <w:wordWrap w:val="0"/>
        <w:jc w:val="left"/>
        <w:rPr>
          <w:rFonts w:ascii="仿宋" w:hAnsi="仿宋" w:eastAsia="仿宋" w:cs="仿宋"/>
          <w:b/>
          <w:color w:val="000000" w:themeColor="text1"/>
          <w:kern w:val="0"/>
          <w:sz w:val="32"/>
          <w:szCs w:val="32"/>
          <w14:textFill>
            <w14:solidFill>
              <w14:schemeClr w14:val="tx1"/>
            </w14:solidFill>
          </w14:textFill>
        </w:rPr>
      </w:pPr>
    </w:p>
    <w:p>
      <w:pPr>
        <w:numPr>
          <w:ilvl w:val="255"/>
          <w:numId w:val="0"/>
        </w:numPr>
        <w:wordWrap w:val="0"/>
        <w:jc w:val="left"/>
        <w:rPr>
          <w:rFonts w:ascii="仿宋" w:hAnsi="仿宋" w:eastAsia="仿宋" w:cs="仿宋"/>
          <w:b/>
          <w:color w:val="000000" w:themeColor="text1"/>
          <w:kern w:val="0"/>
          <w:sz w:val="32"/>
          <w:szCs w:val="32"/>
          <w14:textFill>
            <w14:solidFill>
              <w14:schemeClr w14:val="tx1"/>
            </w14:solidFill>
          </w14:textFill>
        </w:rPr>
      </w:pPr>
    </w:p>
    <w:p>
      <w:pPr>
        <w:numPr>
          <w:ilvl w:val="255"/>
          <w:numId w:val="0"/>
        </w:numPr>
        <w:wordWrap w:val="0"/>
        <w:jc w:val="left"/>
        <w:rPr>
          <w:rFonts w:ascii="仿宋" w:hAnsi="仿宋" w:eastAsia="仿宋" w:cs="仿宋"/>
          <w:b/>
          <w:color w:val="000000" w:themeColor="text1"/>
          <w:kern w:val="0"/>
          <w:sz w:val="32"/>
          <w:szCs w:val="32"/>
          <w14:textFill>
            <w14:solidFill>
              <w14:schemeClr w14:val="tx1"/>
            </w14:solidFill>
          </w14:textFill>
        </w:rPr>
      </w:pPr>
    </w:p>
    <w:p>
      <w:pPr>
        <w:numPr>
          <w:ilvl w:val="255"/>
          <w:numId w:val="0"/>
        </w:numPr>
        <w:wordWrap w:val="0"/>
        <w:jc w:val="center"/>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技术偏离表</w:t>
      </w:r>
    </w:p>
    <w:p>
      <w:pPr>
        <w:pStyle w:val="62"/>
        <w:numPr>
          <w:ilvl w:val="255"/>
          <w:numId w:val="0"/>
        </w:numPr>
        <w:wordWrap w:val="0"/>
        <w:rPr>
          <w:rFonts w:ascii="仿宋" w:hAnsi="仿宋" w:eastAsia="仿宋" w:cs="仿宋"/>
          <w:color w:val="000000" w:themeColor="text1"/>
          <w14:textFill>
            <w14:solidFill>
              <w14:schemeClr w14:val="tx1"/>
            </w14:solidFill>
          </w14:textFill>
        </w:r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667"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招标文件章节及具体内容</w:t>
            </w:r>
          </w:p>
        </w:tc>
        <w:tc>
          <w:tcPr>
            <w:tcW w:w="5015"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投标文件章节及具体内容</w:t>
            </w:r>
          </w:p>
        </w:tc>
        <w:tc>
          <w:tcPr>
            <w:tcW w:w="1430" w:type="dxa"/>
          </w:tcPr>
          <w:p>
            <w:pPr>
              <w:wordWrap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pPr>
              <w:wordWrap w:val="0"/>
              <w:rPr>
                <w:rFonts w:ascii="仿宋" w:hAnsi="仿宋" w:eastAsia="仿宋" w:cs="仿宋"/>
                <w:color w:val="000000" w:themeColor="text1"/>
                <w:kern w:val="0"/>
                <w:sz w:val="24"/>
                <w14:textFill>
                  <w14:solidFill>
                    <w14:schemeClr w14:val="tx1"/>
                  </w14:solidFill>
                </w14:textFill>
              </w:rPr>
            </w:pPr>
          </w:p>
        </w:tc>
        <w:tc>
          <w:tcPr>
            <w:tcW w:w="1667" w:type="dxa"/>
            <w:vAlign w:val="center"/>
          </w:tcPr>
          <w:p>
            <w:pPr>
              <w:pStyle w:val="24"/>
              <w:wordWrap w:val="0"/>
              <w:outlineLvl w:val="1"/>
              <w:rPr>
                <w:rFonts w:ascii="仿宋" w:hAnsi="仿宋" w:eastAsia="仿宋" w:cs="仿宋"/>
                <w:b/>
                <w:color w:val="000000" w:themeColor="text1"/>
                <w:kern w:val="0"/>
                <w:sz w:val="32"/>
                <w:szCs w:val="32"/>
                <w14:textFill>
                  <w14:solidFill>
                    <w14:schemeClr w14:val="tx1"/>
                  </w14:solidFill>
                </w14:textFill>
              </w:rPr>
            </w:pPr>
          </w:p>
        </w:tc>
        <w:tc>
          <w:tcPr>
            <w:tcW w:w="5015" w:type="dxa"/>
          </w:tcPr>
          <w:p>
            <w:pPr>
              <w:pStyle w:val="24"/>
              <w:wordWrap w:val="0"/>
              <w:rPr>
                <w:rFonts w:ascii="仿宋" w:hAnsi="仿宋" w:eastAsia="仿宋" w:cs="仿宋"/>
                <w:b/>
                <w:color w:val="000000" w:themeColor="text1"/>
                <w:kern w:val="0"/>
                <w:sz w:val="21"/>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pPr>
              <w:wordWrap w:val="0"/>
              <w:jc w:val="center"/>
              <w:rPr>
                <w:rFonts w:ascii="仿宋" w:hAnsi="仿宋" w:eastAsia="仿宋" w:cs="仿宋"/>
                <w:color w:val="000000" w:themeColor="text1"/>
                <w:kern w:val="0"/>
                <w:sz w:val="24"/>
                <w14:textFill>
                  <w14:solidFill>
                    <w14:schemeClr w14:val="tx1"/>
                  </w14:solidFill>
                </w14:textFill>
              </w:rPr>
            </w:pPr>
          </w:p>
        </w:tc>
        <w:tc>
          <w:tcPr>
            <w:tcW w:w="1667" w:type="dxa"/>
            <w:vAlign w:val="center"/>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5015" w:type="dxa"/>
          </w:tcPr>
          <w:p>
            <w:pPr>
              <w:wordWrap w:val="0"/>
              <w:spacing w:line="360" w:lineRule="auto"/>
              <w:rPr>
                <w:rFonts w:ascii="仿宋" w:hAnsi="仿宋" w:eastAsia="仿宋" w:cs="仿宋"/>
                <w:b/>
                <w:color w:val="000000" w:themeColor="text1"/>
                <w:kern w:val="0"/>
                <w:szCs w:val="21"/>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pPr>
              <w:wordWrap w:val="0"/>
              <w:jc w:val="center"/>
              <w:rPr>
                <w:rFonts w:ascii="仿宋" w:hAnsi="仿宋" w:eastAsia="仿宋" w:cs="仿宋"/>
                <w:color w:val="000000" w:themeColor="text1"/>
                <w:kern w:val="0"/>
                <w:sz w:val="24"/>
                <w14:textFill>
                  <w14:solidFill>
                    <w14:schemeClr w14:val="tx1"/>
                  </w14:solidFill>
                </w14:textFill>
              </w:rPr>
            </w:pPr>
          </w:p>
        </w:tc>
        <w:tc>
          <w:tcPr>
            <w:tcW w:w="1667" w:type="dxa"/>
            <w:vAlign w:val="center"/>
          </w:tcPr>
          <w:p>
            <w:pPr>
              <w:wordWrap w:val="0"/>
              <w:jc w:val="center"/>
              <w:rPr>
                <w:rFonts w:ascii="仿宋" w:hAnsi="仿宋" w:eastAsia="仿宋" w:cs="仿宋"/>
                <w:b/>
                <w:bCs/>
                <w:color w:val="000000" w:themeColor="text1"/>
                <w:sz w:val="24"/>
                <w14:textFill>
                  <w14:solidFill>
                    <w14:schemeClr w14:val="tx1"/>
                  </w14:solidFill>
                </w14:textFill>
              </w:rPr>
            </w:pPr>
          </w:p>
        </w:tc>
        <w:tc>
          <w:tcPr>
            <w:tcW w:w="5015" w:type="dxa"/>
          </w:tcPr>
          <w:p>
            <w:pPr>
              <w:wordWrap w:val="0"/>
              <w:spacing w:line="360" w:lineRule="auto"/>
              <w:rPr>
                <w:rFonts w:ascii="仿宋" w:hAnsi="仿宋" w:eastAsia="仿宋" w:cs="仿宋"/>
                <w:color w:val="000000" w:themeColor="text1"/>
                <w:szCs w:val="21"/>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1667"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c>
          <w:tcPr>
            <w:tcW w:w="5015" w:type="dxa"/>
          </w:tcPr>
          <w:p>
            <w:pPr>
              <w:wordWrap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tc>
        <w:tc>
          <w:tcPr>
            <w:tcW w:w="1430" w:type="dxa"/>
          </w:tcPr>
          <w:p>
            <w:pPr>
              <w:wordWrap w:val="0"/>
              <w:jc w:val="center"/>
              <w:rPr>
                <w:rFonts w:ascii="仿宋" w:hAnsi="仿宋" w:eastAsia="仿宋" w:cs="仿宋"/>
                <w:b/>
                <w:color w:val="000000" w:themeColor="text1"/>
                <w:kern w:val="0"/>
                <w:sz w:val="32"/>
                <w:szCs w:val="32"/>
                <w14:textFill>
                  <w14:solidFill>
                    <w14:schemeClr w14:val="tx1"/>
                  </w14:solidFill>
                </w14:textFill>
              </w:rPr>
            </w:pPr>
          </w:p>
        </w:tc>
      </w:tr>
    </w:tbl>
    <w:p>
      <w:pPr>
        <w:wordWrap w:val="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r>
        <w:rPr>
          <w:rFonts w:hint="eastAsia" w:ascii="仿宋" w:hAnsi="仿宋" w:eastAsia="仿宋" w:cs="仿宋"/>
          <w:color w:val="000000" w:themeColor="text1"/>
          <w:kern w:val="0"/>
          <w:sz w:val="24"/>
          <w14:textFill>
            <w14:solidFill>
              <w14:schemeClr w14:val="tx1"/>
            </w14:solidFill>
          </w14:textFill>
        </w:rPr>
        <w:t>1.投标人保证：除技术偏离表列出的偏离外，投标人响应招标文件的全部要求。</w:t>
      </w:r>
    </w:p>
    <w:p>
      <w:pPr>
        <w:wordWrap w:val="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2.未填写的视为响应招标文件的全部要求。</w:t>
      </w:r>
    </w:p>
    <w:p>
      <w:pPr>
        <w:pStyle w:val="2"/>
        <w:wordWrap w:val="0"/>
        <w:spacing w:line="360" w:lineRule="auto"/>
        <w:rPr>
          <w:rFonts w:ascii="仿宋" w:hAnsi="仿宋" w:eastAsia="仿宋" w:cs="仿宋"/>
          <w:color w:val="000000" w:themeColor="text1"/>
          <w14:textFill>
            <w14:solidFill>
              <w14:schemeClr w14:val="tx1"/>
            </w14:solidFill>
          </w14:textFill>
        </w:rPr>
      </w:pPr>
    </w:p>
    <w:p>
      <w:pPr>
        <w:widowControl/>
        <w:numPr>
          <w:ilvl w:val="255"/>
          <w:numId w:val="0"/>
        </w:numPr>
        <w:wordWrap w:val="0"/>
        <w:jc w:val="left"/>
        <w:outlineLvl w:val="2"/>
        <w:rPr>
          <w:rFonts w:ascii="仿宋" w:hAnsi="仿宋" w:eastAsia="仿宋" w:cs="仿宋"/>
          <w:b/>
          <w:color w:val="000000" w:themeColor="text1"/>
          <w:kern w:val="0"/>
          <w:sz w:val="32"/>
          <w:szCs w:val="32"/>
          <w:lang w:bidi="ar"/>
          <w14:textFill>
            <w14:solidFill>
              <w14:schemeClr w14:val="tx1"/>
            </w14:solidFill>
          </w14:textFill>
        </w:rPr>
      </w:pPr>
      <w:r>
        <w:rPr>
          <w:rFonts w:ascii="仿宋" w:hAnsi="仿宋" w:eastAsia="仿宋" w:cs="仿宋"/>
          <w:b/>
          <w:color w:val="000000" w:themeColor="text1"/>
          <w:kern w:val="0"/>
          <w:sz w:val="32"/>
          <w:szCs w:val="32"/>
          <w:lang w:bidi="ar"/>
          <w14:textFill>
            <w14:solidFill>
              <w14:schemeClr w14:val="tx1"/>
            </w14:solidFill>
          </w14:textFill>
        </w:rPr>
        <w:br w:type="page"/>
      </w:r>
    </w:p>
    <w:p>
      <w:pPr>
        <w:widowControl/>
        <w:numPr>
          <w:ilvl w:val="255"/>
          <w:numId w:val="0"/>
        </w:numPr>
        <w:wordWrap w:val="0"/>
        <w:jc w:val="left"/>
        <w:outlineLvl w:val="2"/>
        <w:rPr>
          <w:rFonts w:ascii="仿宋" w:hAnsi="仿宋" w:eastAsia="仿宋" w:cs="仿宋"/>
          <w:b/>
          <w:color w:val="000000" w:themeColor="text1"/>
          <w:kern w:val="0"/>
          <w:sz w:val="32"/>
          <w:szCs w:val="32"/>
          <w:lang w:val="zh-CN" w:bidi="ar"/>
          <w14:textFill>
            <w14:solidFill>
              <w14:schemeClr w14:val="tx1"/>
            </w14:solidFill>
          </w14:textFill>
        </w:rPr>
      </w:pPr>
      <w:r>
        <w:rPr>
          <w:rFonts w:hint="eastAsia" w:ascii="仿宋" w:hAnsi="仿宋" w:eastAsia="仿宋" w:cs="仿宋"/>
          <w:b/>
          <w:color w:val="000000" w:themeColor="text1"/>
          <w:kern w:val="0"/>
          <w:sz w:val="32"/>
          <w:szCs w:val="32"/>
          <w:lang w:bidi="ar"/>
          <w14:textFill>
            <w14:solidFill>
              <w14:schemeClr w14:val="tx1"/>
            </w14:solidFill>
          </w14:textFill>
        </w:rPr>
        <w:t>（六）</w:t>
      </w:r>
      <w:r>
        <w:rPr>
          <w:rFonts w:hint="eastAsia" w:ascii="仿宋" w:hAnsi="仿宋" w:eastAsia="仿宋" w:cs="仿宋"/>
          <w:b/>
          <w:color w:val="000000" w:themeColor="text1"/>
          <w:kern w:val="0"/>
          <w:sz w:val="32"/>
          <w:szCs w:val="32"/>
          <w:lang w:val="zh-CN" w:bidi="ar"/>
          <w14:textFill>
            <w14:solidFill>
              <w14:schemeClr w14:val="tx1"/>
            </w14:solidFill>
          </w14:textFill>
        </w:rPr>
        <w:t xml:space="preserve">关于安装北斗卫星导航系统模块并接入杭州市智慧城管系统的承诺书 </w:t>
      </w:r>
    </w:p>
    <w:p>
      <w:pPr>
        <w:numPr>
          <w:ilvl w:val="255"/>
          <w:numId w:val="0"/>
        </w:numPr>
        <w:autoSpaceDE w:val="0"/>
        <w:autoSpaceDN w:val="0"/>
        <w:spacing w:line="360" w:lineRule="auto"/>
        <w:rPr>
          <w:rFonts w:ascii="宋体" w:hAnsi="Arial" w:cs="Arial"/>
          <w:snapToGrid w:val="0"/>
          <w:color w:val="000000" w:themeColor="text1"/>
          <w:sz w:val="24"/>
          <w:szCs w:val="21"/>
          <w14:textFill>
            <w14:solidFill>
              <w14:schemeClr w14:val="tx1"/>
            </w14:solidFill>
          </w14:textFill>
        </w:rPr>
      </w:pPr>
    </w:p>
    <w:p>
      <w:pPr>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承诺书</w:t>
      </w:r>
    </w:p>
    <w:p>
      <w:pPr>
        <w:rPr>
          <w:rFonts w:ascii="仿宋_GB2312" w:hAnsi="仿宋" w:eastAsia="仿宋_GB2312" w:cs="仿宋_GB2312"/>
          <w:b/>
          <w:color w:val="000000" w:themeColor="text1"/>
          <w:kern w:val="0"/>
          <w:sz w:val="28"/>
          <w:szCs w:val="28"/>
          <w:u w:val="single"/>
          <w14:textFill>
            <w14:solidFill>
              <w14:schemeClr w14:val="tx1"/>
            </w14:solidFill>
          </w14:textFill>
        </w:rPr>
      </w:pPr>
      <w:r>
        <w:rPr>
          <w:rFonts w:hint="eastAsia" w:ascii="仿宋_GB2312" w:hAnsi="仿宋" w:eastAsia="仿宋_GB2312" w:cs="仿宋_GB2312"/>
          <w:b/>
          <w:color w:val="000000" w:themeColor="text1"/>
          <w:kern w:val="0"/>
          <w:sz w:val="28"/>
          <w:szCs w:val="28"/>
          <w:u w:val="single"/>
          <w14:textFill>
            <w14:solidFill>
              <w14:schemeClr w14:val="tx1"/>
            </w14:solidFill>
          </w14:textFill>
        </w:rPr>
        <w:t xml:space="preserve"> </w:t>
      </w: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    </w:t>
      </w:r>
    </w:p>
    <w:p>
      <w:pPr>
        <w:spacing w:line="360" w:lineRule="auto"/>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我单位参加</w:t>
      </w:r>
      <w:r>
        <w:rPr>
          <w:rFonts w:hint="eastAsia" w:ascii="仿宋" w:hAnsi="仿宋" w:eastAsia="仿宋" w:cs="仿宋"/>
          <w:bCs/>
          <w:color w:val="000000" w:themeColor="text1"/>
          <w:kern w:val="0"/>
          <w:sz w:val="24"/>
          <w:u w:val="single"/>
          <w14:textFill>
            <w14:solidFill>
              <w14:schemeClr w14:val="tx1"/>
            </w14:solidFill>
          </w14:textFill>
        </w:rPr>
        <w:t xml:space="preserve"> 2024年-2026年笕桥周边区块市政设施长效养护服务项目（项目编号： ）</w:t>
      </w:r>
      <w:r>
        <w:rPr>
          <w:rFonts w:hint="eastAsia" w:ascii="仿宋" w:hAnsi="仿宋" w:eastAsia="仿宋" w:cs="仿宋"/>
          <w:bCs/>
          <w:color w:val="000000" w:themeColor="text1"/>
          <w:kern w:val="0"/>
          <w:sz w:val="24"/>
          <w14:textFill>
            <w14:solidFill>
              <w14:schemeClr w14:val="tx1"/>
            </w14:solidFill>
          </w14:textFill>
        </w:rPr>
        <w:t>的投标，在此承诺《</w:t>
      </w:r>
      <w:r>
        <w:rPr>
          <w:rFonts w:hint="eastAsia" w:ascii="仿宋" w:hAnsi="仿宋" w:eastAsia="仿宋" w:cs="仿宋"/>
          <w:bCs/>
          <w:color w:val="000000" w:themeColor="text1"/>
          <w:kern w:val="0"/>
          <w:sz w:val="24"/>
          <w:lang w:bidi="ar"/>
          <w14:textFill>
            <w14:solidFill>
              <w14:schemeClr w14:val="tx1"/>
            </w14:solidFill>
          </w14:textFill>
        </w:rPr>
        <w:t>本项目拟投入的主要设施设备表》中的</w:t>
      </w:r>
      <w:r>
        <w:rPr>
          <w:rFonts w:hint="eastAsia" w:ascii="仿宋" w:hAnsi="仿宋" w:eastAsia="仿宋" w:cs="仿宋"/>
          <w:bCs/>
          <w:color w:val="000000" w:themeColor="text1"/>
          <w:kern w:val="0"/>
          <w:sz w:val="24"/>
          <w:u w:val="single"/>
          <w:lang w:bidi="ar"/>
          <w14:textFill>
            <w14:solidFill>
              <w14:schemeClr w14:val="tx1"/>
            </w14:solidFill>
          </w14:textFill>
        </w:rPr>
        <w:t xml:space="preserve">  （车辆、设备名称）  </w:t>
      </w:r>
      <w:r>
        <w:rPr>
          <w:rFonts w:hint="eastAsia" w:ascii="仿宋" w:hAnsi="仿宋" w:eastAsia="仿宋" w:cs="仿宋"/>
          <w:bCs/>
          <w:color w:val="000000" w:themeColor="text1"/>
          <w:kern w:val="0"/>
          <w:sz w:val="24"/>
          <w:lang w:bidi="ar"/>
          <w14:textFill>
            <w14:solidFill>
              <w14:schemeClr w14:val="tx1"/>
            </w14:solidFill>
          </w14:textFill>
        </w:rPr>
        <w:t xml:space="preserve"> 安</w:t>
      </w:r>
      <w:r>
        <w:rPr>
          <w:rFonts w:hint="eastAsia" w:ascii="仿宋" w:hAnsi="仿宋" w:eastAsia="仿宋" w:cs="仿宋"/>
          <w:bCs/>
          <w:color w:val="000000" w:themeColor="text1"/>
          <w:kern w:val="0"/>
          <w:sz w:val="24"/>
          <w:lang w:val="zh-CN"/>
          <w14:textFill>
            <w14:solidFill>
              <w14:schemeClr w14:val="tx1"/>
            </w14:solidFill>
          </w14:textFill>
        </w:rPr>
        <w:t>装北斗卫星导航系统</w:t>
      </w:r>
      <w:r>
        <w:rPr>
          <w:rFonts w:hint="eastAsia" w:ascii="仿宋" w:hAnsi="仿宋" w:eastAsia="仿宋" w:cs="仿宋"/>
          <w:bCs/>
          <w:color w:val="000000" w:themeColor="text1"/>
          <w:kern w:val="0"/>
          <w:sz w:val="24"/>
          <w14:textFill>
            <w14:solidFill>
              <w14:schemeClr w14:val="tx1"/>
            </w14:solidFill>
          </w14:textFill>
        </w:rPr>
        <w:t>模块</w:t>
      </w:r>
      <w:r>
        <w:rPr>
          <w:rFonts w:hint="eastAsia" w:ascii="仿宋" w:hAnsi="仿宋" w:eastAsia="仿宋" w:cs="仿宋"/>
          <w:bCs/>
          <w:color w:val="000000" w:themeColor="text1"/>
          <w:kern w:val="0"/>
          <w:sz w:val="24"/>
          <w:lang w:val="zh-CN"/>
          <w14:textFill>
            <w14:solidFill>
              <w14:schemeClr w14:val="tx1"/>
            </w14:solidFill>
          </w14:textFill>
        </w:rPr>
        <w:t>，安装北斗卫星导航系统</w:t>
      </w:r>
      <w:r>
        <w:rPr>
          <w:rFonts w:hint="eastAsia" w:ascii="仿宋" w:hAnsi="仿宋" w:eastAsia="仿宋" w:cs="仿宋"/>
          <w:bCs/>
          <w:color w:val="000000" w:themeColor="text1"/>
          <w:kern w:val="0"/>
          <w:sz w:val="24"/>
          <w14:textFill>
            <w14:solidFill>
              <w14:schemeClr w14:val="tx1"/>
            </w14:solidFill>
          </w14:textFill>
        </w:rPr>
        <w:t>模块</w:t>
      </w:r>
      <w:r>
        <w:rPr>
          <w:rFonts w:hint="eastAsia" w:ascii="仿宋" w:hAnsi="仿宋" w:eastAsia="仿宋" w:cs="仿宋"/>
          <w:bCs/>
          <w:color w:val="000000" w:themeColor="text1"/>
          <w:kern w:val="0"/>
          <w:sz w:val="24"/>
          <w:lang w:val="zh-CN"/>
          <w14:textFill>
            <w14:solidFill>
              <w14:schemeClr w14:val="tx1"/>
            </w14:solidFill>
          </w14:textFill>
        </w:rPr>
        <w:t>的设备信息接入</w:t>
      </w:r>
      <w:r>
        <w:rPr>
          <w:rFonts w:hint="eastAsia" w:ascii="仿宋" w:hAnsi="仿宋" w:eastAsia="仿宋" w:cs="仿宋"/>
          <w:bCs/>
          <w:color w:val="000000" w:themeColor="text1"/>
          <w:kern w:val="0"/>
          <w:sz w:val="24"/>
          <w14:textFill>
            <w14:solidFill>
              <w14:schemeClr w14:val="tx1"/>
            </w14:solidFill>
          </w14:textFill>
        </w:rPr>
        <w:t>杭州</w:t>
      </w:r>
      <w:r>
        <w:rPr>
          <w:rFonts w:hint="eastAsia" w:ascii="仿宋" w:hAnsi="仿宋" w:eastAsia="仿宋" w:cs="仿宋"/>
          <w:bCs/>
          <w:color w:val="000000" w:themeColor="text1"/>
          <w:kern w:val="0"/>
          <w:sz w:val="24"/>
          <w:lang w:val="zh-CN"/>
          <w14:textFill>
            <w14:solidFill>
              <w14:schemeClr w14:val="tx1"/>
            </w14:solidFill>
          </w14:textFill>
        </w:rPr>
        <w:t>市城管委智慧城管统一定位系统。</w:t>
      </w:r>
      <w:r>
        <w:rPr>
          <w:rFonts w:hint="eastAsia" w:ascii="仿宋" w:hAnsi="仿宋" w:eastAsia="仿宋" w:cs="仿宋"/>
          <w:bCs/>
          <w:color w:val="000000" w:themeColor="text1"/>
          <w:kern w:val="0"/>
          <w:sz w:val="24"/>
          <w14:textFill>
            <w14:solidFill>
              <w14:schemeClr w14:val="tx1"/>
            </w14:solidFill>
          </w14:textFill>
        </w:rPr>
        <w:t xml:space="preserve">若合同履约未安装的，同意按违约处理，甲方有权提前解除合同。 </w:t>
      </w:r>
    </w:p>
    <w:p>
      <w:pPr>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 xml:space="preserve">                                    </w:t>
      </w:r>
    </w:p>
    <w:p>
      <w:pPr>
        <w:autoSpaceDE w:val="0"/>
        <w:autoSpaceDN w:val="0"/>
        <w:spacing w:line="360" w:lineRule="auto"/>
        <w:ind w:right="112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pPr>
        <w:ind w:firstLine="5320" w:firstLineChars="1900"/>
        <w:rPr>
          <w:rFonts w:ascii="仿宋" w:hAnsi="仿宋" w:eastAsia="仿宋" w:cs="仿宋"/>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kern w:val="0"/>
          <w:sz w:val="32"/>
          <w:szCs w:val="32"/>
          <w:lang w:bidi="ar"/>
          <w14:textFill>
            <w14:solidFill>
              <w14:schemeClr w14:val="tx1"/>
            </w14:solidFill>
          </w14:textFill>
        </w:rPr>
      </w:pPr>
    </w:p>
    <w:p>
      <w:pPr>
        <w:widowControl/>
        <w:jc w:val="left"/>
        <w:rPr>
          <w:rFonts w:ascii="仿宋" w:hAnsi="仿宋" w:eastAsia="仿宋" w:cs="仿宋"/>
          <w:b/>
          <w:bCs/>
          <w:color w:val="000000" w:themeColor="text1"/>
          <w:kern w:val="0"/>
          <w:sz w:val="32"/>
          <w:szCs w:val="32"/>
          <w:lang w:bidi="ar"/>
          <w14:textFill>
            <w14:solidFill>
              <w14:schemeClr w14:val="tx1"/>
            </w14:solidFill>
          </w14:textFill>
        </w:rPr>
      </w:pPr>
    </w:p>
    <w:p>
      <w:pPr>
        <w:widowControl/>
        <w:jc w:val="left"/>
        <w:rPr>
          <w:rFonts w:ascii="仿宋" w:hAnsi="仿宋" w:eastAsia="仿宋" w:cs="仿宋"/>
          <w:b/>
          <w:bCs/>
          <w:color w:val="000000" w:themeColor="text1"/>
          <w:kern w:val="0"/>
          <w:sz w:val="32"/>
          <w:szCs w:val="32"/>
          <w:lang w:bidi="ar"/>
          <w14:textFill>
            <w14:solidFill>
              <w14:schemeClr w14:val="tx1"/>
            </w14:solidFill>
          </w14:textFill>
        </w:rPr>
      </w:pPr>
      <w:r>
        <w:rPr>
          <w:rFonts w:hint="eastAsia" w:ascii="仿宋" w:hAnsi="仿宋" w:eastAsia="仿宋" w:cs="仿宋"/>
          <w:b/>
          <w:bCs/>
          <w:color w:val="000000" w:themeColor="text1"/>
          <w:kern w:val="0"/>
          <w:sz w:val="32"/>
          <w:szCs w:val="32"/>
          <w:lang w:bidi="ar"/>
          <w14:textFill>
            <w14:solidFill>
              <w14:schemeClr w14:val="tx1"/>
            </w14:solidFill>
          </w14:textFill>
        </w:rPr>
        <w:t>（七）关于养护基地配备的承诺书</w:t>
      </w:r>
    </w:p>
    <w:p>
      <w:pPr>
        <w:widowControl/>
        <w:jc w:val="center"/>
        <w:outlineLvl w:val="2"/>
        <w:rPr>
          <w:rFonts w:ascii="仿宋" w:hAnsi="仿宋" w:eastAsia="仿宋" w:cs="仿宋"/>
          <w:b/>
          <w:bCs/>
          <w:color w:val="000000" w:themeColor="text1"/>
          <w:kern w:val="0"/>
          <w:sz w:val="22"/>
          <w:szCs w:val="22"/>
          <w:lang w:bidi="ar"/>
          <w14:textFill>
            <w14:solidFill>
              <w14:schemeClr w14:val="tx1"/>
            </w14:solidFill>
          </w14:textFill>
        </w:rPr>
      </w:pPr>
    </w:p>
    <w:p>
      <w:pPr>
        <w:widowControl/>
        <w:jc w:val="center"/>
        <w:outlineLvl w:val="2"/>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投标时已具备养护基地的提供产权证书（或租赁协议）和基地离项目所在地百度或高德车程距离显示截图。投标时暂不具备的，提供中标后</w:t>
      </w:r>
      <w:r>
        <w:rPr>
          <w:rFonts w:ascii="仿宋" w:hAnsi="仿宋" w:eastAsia="仿宋" w:cs="仿宋"/>
          <w:b/>
          <w:bCs/>
          <w:color w:val="000000" w:themeColor="text1"/>
          <w:kern w:val="0"/>
          <w:sz w:val="22"/>
          <w:szCs w:val="22"/>
          <w:lang w:bidi="ar"/>
          <w14:textFill>
            <w14:solidFill>
              <w14:schemeClr w14:val="tx1"/>
            </w14:solidFill>
          </w14:textFill>
        </w:rPr>
        <w:t>10个工作日内配备到位的承诺书（如中标后未能在承诺时效内配备到位的视为主动放弃中标资格）。</w:t>
      </w:r>
    </w:p>
    <w:p>
      <w:pPr>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承诺书</w:t>
      </w:r>
    </w:p>
    <w:p>
      <w:pPr>
        <w:wordWrap w:val="0"/>
        <w:snapToGrid w:val="0"/>
        <w:spacing w:line="360" w:lineRule="auto"/>
        <w:rPr>
          <w:rFonts w:ascii="仿宋" w:hAnsi="仿宋" w:eastAsia="仿宋" w:cs="仿宋"/>
          <w:color w:val="000000" w:themeColor="text1"/>
          <w:sz w:val="24"/>
          <w:u w:val="single"/>
          <w14:textFill>
            <w14:solidFill>
              <w14:schemeClr w14:val="tx1"/>
            </w14:solidFill>
          </w14:textFill>
        </w:rPr>
      </w:pP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 xml:space="preserve">    </w:t>
      </w:r>
    </w:p>
    <w:p>
      <w:pPr>
        <w:spacing w:line="360" w:lineRule="auto"/>
        <w:ind w:firstLine="480" w:firstLineChars="200"/>
        <w:rPr>
          <w:rFonts w:ascii="仿宋_GB2312" w:hAnsi="仿宋" w:eastAsia="仿宋_GB2312" w:cs="仿宋_GB2312"/>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我单位参加</w:t>
      </w:r>
      <w:r>
        <w:rPr>
          <w:rFonts w:hint="eastAsia" w:ascii="仿宋" w:hAnsi="仿宋" w:eastAsia="仿宋" w:cs="仿宋"/>
          <w:bCs/>
          <w:color w:val="000000" w:themeColor="text1"/>
          <w:kern w:val="0"/>
          <w:sz w:val="24"/>
          <w:u w:val="single"/>
          <w14:textFill>
            <w14:solidFill>
              <w14:schemeClr w14:val="tx1"/>
            </w14:solidFill>
          </w14:textFill>
        </w:rPr>
        <w:t xml:space="preserve"> 2024年-2026年笕桥周边区块市政设施长效养护服务项目（项目编号： ）</w:t>
      </w:r>
      <w:r>
        <w:rPr>
          <w:rFonts w:hint="eastAsia" w:ascii="仿宋" w:hAnsi="仿宋" w:eastAsia="仿宋" w:cs="仿宋"/>
          <w:bCs/>
          <w:color w:val="000000" w:themeColor="text1"/>
          <w:kern w:val="0"/>
          <w:sz w:val="24"/>
          <w14:textFill>
            <w14:solidFill>
              <w14:schemeClr w14:val="tx1"/>
            </w14:solidFill>
          </w14:textFill>
        </w:rPr>
        <w:t>的投标</w:t>
      </w:r>
      <w:r>
        <w:rPr>
          <w:rFonts w:hint="eastAsia" w:ascii="仿宋_GB2312" w:hAnsi="仿宋" w:eastAsia="仿宋_GB2312" w:cs="仿宋_GB2312"/>
          <w:bCs/>
          <w:color w:val="000000" w:themeColor="text1"/>
          <w:kern w:val="0"/>
          <w:sz w:val="24"/>
          <w14:textFill>
            <w14:solidFill>
              <w14:schemeClr w14:val="tx1"/>
            </w14:solidFill>
          </w14:textFill>
        </w:rPr>
        <w:t>，在此承诺若中标，保证在距离项目服务范围不超过20KM（驾车距离）的配备总面积</w:t>
      </w:r>
      <w:r>
        <w:rPr>
          <w:rFonts w:hint="eastAsia" w:ascii="仿宋_GB2312" w:hAnsi="仿宋" w:eastAsia="仿宋_GB2312" w:cs="仿宋_GB2312"/>
          <w:bCs/>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bCs/>
          <w:color w:val="000000" w:themeColor="text1"/>
          <w:kern w:val="0"/>
          <w:sz w:val="24"/>
          <w14:textFill>
            <w14:solidFill>
              <w14:schemeClr w14:val="tx1"/>
            </w14:solidFill>
          </w14:textFill>
        </w:rPr>
        <w:t xml:space="preserve">㎡的养护基地。中标通知书发出后10个工作日内未配备到位的，则视为无正当理由拒不与采购人签订政府采购合同，依法承担法律责任，并承担代理费和专家评审费等费用。 </w:t>
      </w:r>
    </w:p>
    <w:p>
      <w:pP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 xml:space="preserve">                                    </w:t>
      </w:r>
    </w:p>
    <w:p>
      <w:pPr>
        <w:ind w:firstLine="4320" w:firstLineChars="18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投标人名称(电子签名)：</w:t>
      </w:r>
    </w:p>
    <w:p>
      <w:pPr>
        <w:ind w:firstLine="4560" w:firstLineChars="19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pPr>
        <w:widowControl/>
        <w:jc w:val="center"/>
        <w:outlineLvl w:val="2"/>
        <w:rPr>
          <w:rFonts w:ascii="仿宋" w:hAnsi="仿宋" w:eastAsia="仿宋" w:cs="仿宋"/>
          <w:b/>
          <w:bCs/>
          <w:color w:val="000000" w:themeColor="text1"/>
          <w:kern w:val="0"/>
          <w:sz w:val="32"/>
          <w:szCs w:val="32"/>
          <w:lang w:bidi="ar"/>
          <w14:textFill>
            <w14:solidFill>
              <w14:schemeClr w14:val="tx1"/>
            </w14:solidFill>
          </w14:textFill>
        </w:rPr>
      </w:pPr>
    </w:p>
    <w:p>
      <w:pPr>
        <w:widowControl/>
        <w:jc w:val="left"/>
        <w:rPr>
          <w:rFonts w:ascii="仿宋" w:hAnsi="仿宋" w:eastAsia="仿宋" w:cs="仿宋"/>
          <w:b/>
          <w:bCs/>
          <w:color w:val="000000" w:themeColor="text1"/>
          <w:kern w:val="0"/>
          <w:sz w:val="32"/>
          <w:szCs w:val="32"/>
          <w:lang w:bidi="ar"/>
          <w14:textFill>
            <w14:solidFill>
              <w14:schemeClr w14:val="tx1"/>
            </w14:solidFill>
          </w14:textFill>
        </w:rPr>
      </w:pPr>
      <w:r>
        <w:rPr>
          <w:rFonts w:hint="eastAsia" w:ascii="仿宋" w:hAnsi="仿宋" w:eastAsia="仿宋" w:cs="仿宋"/>
          <w:b/>
          <w:bCs/>
          <w:color w:val="000000" w:themeColor="text1"/>
          <w:kern w:val="0"/>
          <w:sz w:val="32"/>
          <w:szCs w:val="32"/>
          <w:lang w:bidi="ar"/>
          <w14:textFill>
            <w14:solidFill>
              <w14:schemeClr w14:val="tx1"/>
            </w14:solidFill>
          </w14:textFill>
        </w:rPr>
        <w:br w:type="page"/>
      </w:r>
    </w:p>
    <w:p>
      <w:pPr>
        <w:widowControl/>
        <w:jc w:val="center"/>
        <w:outlineLvl w:val="2"/>
        <w:rPr>
          <w:rFonts w:ascii="仿宋" w:hAnsi="仿宋" w:eastAsia="仿宋" w:cs="仿宋"/>
          <w:b/>
          <w:bCs/>
          <w:color w:val="000000" w:themeColor="text1"/>
          <w:kern w:val="0"/>
          <w:sz w:val="32"/>
          <w:szCs w:val="32"/>
          <w:lang w:bidi="ar"/>
          <w14:textFill>
            <w14:solidFill>
              <w14:schemeClr w14:val="tx1"/>
            </w14:solidFill>
          </w14:textFill>
        </w:rPr>
      </w:pPr>
      <w:r>
        <w:rPr>
          <w:rFonts w:hint="eastAsia" w:ascii="仿宋" w:hAnsi="仿宋" w:eastAsia="仿宋" w:cs="仿宋"/>
          <w:b/>
          <w:bCs/>
          <w:color w:val="000000" w:themeColor="text1"/>
          <w:kern w:val="0"/>
          <w:sz w:val="32"/>
          <w:szCs w:val="32"/>
          <w:lang w:bidi="ar"/>
          <w14:textFill>
            <w14:solidFill>
              <w14:schemeClr w14:val="tx1"/>
            </w14:solidFill>
          </w14:textFill>
        </w:rPr>
        <w:t>（八）关于年度考核成绩达优的承诺书</w:t>
      </w:r>
    </w:p>
    <w:p>
      <w:pPr>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p>
    <w:p>
      <w:pPr>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承诺书</w:t>
      </w:r>
    </w:p>
    <w:p>
      <w:pPr>
        <w:wordWrap w:val="0"/>
        <w:snapToGrid w:val="0"/>
        <w:spacing w:line="360" w:lineRule="auto"/>
        <w:rPr>
          <w:rFonts w:ascii="仿宋" w:hAnsi="仿宋" w:eastAsia="仿宋" w:cs="仿宋"/>
          <w:color w:val="000000" w:themeColor="text1"/>
          <w:sz w:val="24"/>
          <w:u w:val="single"/>
          <w14:textFill>
            <w14:solidFill>
              <w14:schemeClr w14:val="tx1"/>
            </w14:solidFill>
          </w14:textFill>
        </w:rPr>
      </w:pPr>
    </w:p>
    <w:p>
      <w:pPr>
        <w:wordWrap w:val="0"/>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kern w:val="0"/>
          <w:sz w:val="24"/>
          <w:lang w:val="zh-CN"/>
          <w14:textFill>
            <w14:solidFill>
              <w14:schemeClr w14:val="tx1"/>
            </w14:solidFill>
          </w14:textFill>
        </w:rPr>
        <w:t>：</w:t>
      </w:r>
    </w:p>
    <w:p>
      <w:pPr>
        <w:widowControl/>
        <w:adjustRightInd/>
        <w:jc w:val="left"/>
        <w:rPr>
          <w:rFonts w:ascii="宋体" w:hAnsi="宋体"/>
          <w:color w:val="000000" w:themeColor="text1"/>
          <w:kern w:val="0"/>
          <w:sz w:val="24"/>
          <w:szCs w:val="22"/>
          <w:lang w:val="zh-CN"/>
          <w14:textFill>
            <w14:solidFill>
              <w14:schemeClr w14:val="tx1"/>
            </w14:solidFill>
          </w14:textFill>
        </w:rPr>
      </w:pPr>
    </w:p>
    <w:p>
      <w:pPr>
        <w:spacing w:line="360" w:lineRule="auto"/>
        <w:ind w:firstLine="720" w:firstLineChars="3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我单位参加</w:t>
      </w:r>
      <w:r>
        <w:rPr>
          <w:rFonts w:hint="eastAsia" w:ascii="仿宋" w:hAnsi="仿宋" w:eastAsia="仿宋" w:cs="仿宋"/>
          <w:bCs/>
          <w:color w:val="000000" w:themeColor="text1"/>
          <w:kern w:val="0"/>
          <w:sz w:val="24"/>
          <w:u w:val="single"/>
          <w14:textFill>
            <w14:solidFill>
              <w14:schemeClr w14:val="tx1"/>
            </w14:solidFill>
          </w14:textFill>
        </w:rPr>
        <w:t xml:space="preserve"> 2024年-2026年笕桥周边区块市政设施长效养护服务项目（项目编号： ）</w:t>
      </w:r>
      <w:r>
        <w:rPr>
          <w:rFonts w:hint="eastAsia" w:ascii="仿宋" w:hAnsi="仿宋" w:eastAsia="仿宋" w:cs="仿宋"/>
          <w:bCs/>
          <w:color w:val="000000" w:themeColor="text1"/>
          <w:kern w:val="0"/>
          <w:sz w:val="24"/>
          <w14:textFill>
            <w14:solidFill>
              <w14:schemeClr w14:val="tx1"/>
            </w14:solidFill>
          </w14:textFill>
        </w:rPr>
        <w:t>的投标，在此承诺：若中标，保证在上城区相关部门养护单位年度考核中成绩达到</w:t>
      </w:r>
      <w:r>
        <w:rPr>
          <w:rFonts w:hint="eastAsia" w:ascii="仿宋" w:hAnsi="仿宋" w:eastAsia="仿宋" w:cs="仿宋"/>
          <w:bCs/>
          <w:color w:val="000000" w:themeColor="text1"/>
          <w:kern w:val="0"/>
          <w:sz w:val="24"/>
          <w:u w:val="single"/>
          <w14:textFill>
            <w14:solidFill>
              <w14:schemeClr w14:val="tx1"/>
            </w14:solidFill>
          </w14:textFill>
        </w:rPr>
        <w:t>优胜</w:t>
      </w:r>
      <w:r>
        <w:rPr>
          <w:rFonts w:hint="eastAsia" w:ascii="仿宋" w:hAnsi="仿宋" w:eastAsia="仿宋" w:cs="仿宋"/>
          <w:bCs/>
          <w:color w:val="000000" w:themeColor="text1"/>
          <w:kern w:val="0"/>
          <w:sz w:val="24"/>
          <w14:textFill>
            <w14:solidFill>
              <w14:schemeClr w14:val="tx1"/>
            </w14:solidFill>
          </w14:textFill>
        </w:rPr>
        <w:t xml:space="preserve">，未达到的按相关考核办法处理。 </w:t>
      </w:r>
    </w:p>
    <w:p>
      <w:pP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 xml:space="preserve">                                    </w:t>
      </w:r>
    </w:p>
    <w:p>
      <w:pPr>
        <w:ind w:firstLine="4320" w:firstLineChars="18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投标人名称(电子签名)：</w:t>
      </w:r>
    </w:p>
    <w:p>
      <w:pPr>
        <w:ind w:firstLine="4560" w:firstLineChars="19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pPr>
        <w:wordWrap w:val="0"/>
        <w:rPr>
          <w:rFonts w:ascii="仿宋" w:hAnsi="仿宋" w:eastAsia="仿宋" w:cs="仿宋"/>
          <w:b/>
          <w:color w:val="000000" w:themeColor="text1"/>
          <w:kern w:val="0"/>
          <w:sz w:val="32"/>
          <w:szCs w:val="32"/>
          <w14:textFill>
            <w14:solidFill>
              <w14:schemeClr w14:val="tx1"/>
            </w14:solidFill>
          </w14:textFill>
        </w:rPr>
      </w:pPr>
    </w:p>
    <w:p>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wordWrap w:val="0"/>
        <w:ind w:firstLine="1911" w:firstLineChars="595"/>
        <w:outlineLvl w:val="2"/>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pPr>
        <w:wordWrap w:val="0"/>
        <w:snapToGrid w:val="0"/>
        <w:spacing w:line="360" w:lineRule="auto"/>
        <w:rPr>
          <w:rFonts w:ascii="仿宋" w:hAnsi="仿宋" w:eastAsia="仿宋" w:cs="仿宋"/>
          <w:color w:val="000000" w:themeColor="text1"/>
          <w:sz w:val="24"/>
          <w14:textFill>
            <w14:solidFill>
              <w14:schemeClr w14:val="tx1"/>
            </w14:solidFill>
          </w14:textFill>
        </w:rPr>
      </w:pPr>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sz w:val="24"/>
          <w:u w:val="single"/>
          <w:lang w:eastAsia="zh-CN"/>
          <w14:textFill>
            <w14:solidFill>
              <w14:schemeClr w14:val="tx1"/>
            </w14:solidFill>
          </w14:textFill>
        </w:rPr>
        <w:t>浙江科佳工程咨询有限公司</w:t>
      </w:r>
      <w:r>
        <w:rPr>
          <w:rFonts w:hint="eastAsia" w:ascii="仿宋" w:hAnsi="仿宋" w:eastAsia="仿宋" w:cs="仿宋"/>
          <w:color w:val="000000" w:themeColor="text1"/>
          <w:kern w:val="0"/>
          <w:sz w:val="24"/>
          <w:lang w:val="zh-CN"/>
          <w14:textFill>
            <w14:solidFill>
              <w14:schemeClr w14:val="tx1"/>
            </w14:solidFill>
          </w14:textFill>
        </w:rPr>
        <w:t>：</w:t>
      </w:r>
    </w:p>
    <w:p>
      <w:pPr>
        <w:wordWrap w:val="0"/>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wordWrap w:val="0"/>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pPr>
        <w:wordWrap w:val="0"/>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wordWrap w:val="0"/>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pPr>
        <w:wordWrap w:val="0"/>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pPr>
        <w:wordWrap w:val="0"/>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pPr>
        <w:numPr>
          <w:ilvl w:val="0"/>
          <w:numId w:val="13"/>
        </w:numPr>
        <w:wordWrap w:val="0"/>
        <w:autoSpaceDE w:val="0"/>
        <w:autoSpaceDN w:val="0"/>
        <w:spacing w:line="360" w:lineRule="auto"/>
        <w:ind w:left="481" w:leftChars="229"/>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w:t>
      </w:r>
      <w:r>
        <w:rPr>
          <w:rFonts w:hint="eastAsia" w:ascii="仿宋" w:hAnsi="仿宋" w:eastAsia="仿宋" w:cs="仿宋"/>
          <w:color w:val="000000" w:themeColor="text1"/>
          <w:sz w:val="24"/>
          <w:lang w:val="zh-CN"/>
          <w14:textFill>
            <w14:solidFill>
              <w14:schemeClr w14:val="tx1"/>
            </w14:solidFill>
          </w14:textFill>
        </w:rPr>
        <w:t>《中</w:t>
      </w:r>
    </w:p>
    <w:p>
      <w:pPr>
        <w:wordWrap w:val="0"/>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华人民共和国民法典》</w:t>
      </w:r>
      <w:r>
        <w:rPr>
          <w:rFonts w:hint="eastAsia" w:ascii="仿宋" w:hAnsi="仿宋" w:eastAsia="仿宋" w:cs="仿宋"/>
          <w:color w:val="000000" w:themeColor="text1"/>
          <w:kern w:val="0"/>
          <w:sz w:val="24"/>
          <w:lang w:val="zh-CN"/>
          <w14:textFill>
            <w14:solidFill>
              <w14:schemeClr w14:val="tx1"/>
            </w14:solidFill>
          </w14:textFill>
        </w:rPr>
        <w:t xml:space="preserve">等法律法规，诚实守信，合法经营，坚决抵制各种违法违纪行为。 </w:t>
      </w:r>
    </w:p>
    <w:p>
      <w:pPr>
        <w:wordWrap w:val="0"/>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进行项目建设或其他经营活动，并通报财政局。由此引起的相应损失均由我单位承担。</w:t>
      </w:r>
    </w:p>
    <w:p>
      <w:pPr>
        <w:wordWrap w:val="0"/>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pPr>
        <w:wordWrap w:val="0"/>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pPr>
        <w:wordWrap w:val="0"/>
        <w:autoSpaceDE w:val="0"/>
        <w:autoSpaceDN w:val="0"/>
        <w:spacing w:line="360" w:lineRule="auto"/>
        <w:ind w:left="2"/>
        <w:jc w:val="right"/>
        <w:rPr>
          <w:rFonts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right="112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pPr>
        <w:wordWrap w:val="0"/>
        <w:spacing w:line="360" w:lineRule="auto"/>
        <w:jc w:val="center"/>
        <w:rPr>
          <w:rFonts w:ascii="仿宋" w:hAnsi="仿宋" w:eastAsia="仿宋" w:cs="仿宋"/>
          <w:b/>
          <w:bCs/>
          <w:color w:val="000000" w:themeColor="text1"/>
          <w:sz w:val="24"/>
          <w14:textFill>
            <w14:solidFill>
              <w14:schemeClr w14:val="tx1"/>
            </w14:solidFill>
          </w14:textFill>
        </w:rPr>
      </w:pPr>
    </w:p>
    <w:p>
      <w:pPr>
        <w:widowControl/>
        <w:numPr>
          <w:ilvl w:val="255"/>
          <w:numId w:val="0"/>
        </w:numPr>
        <w:jc w:val="left"/>
        <w:rPr>
          <w:rFonts w:ascii="仿宋" w:hAnsi="仿宋" w:eastAsia="仿宋" w:cs="仿宋"/>
          <w:b/>
          <w:color w:val="000000" w:themeColor="text1"/>
          <w:kern w:val="0"/>
          <w:sz w:val="32"/>
          <w:szCs w:val="32"/>
          <w:lang w:bidi="ar"/>
          <w14:textFill>
            <w14:solidFill>
              <w14:schemeClr w14:val="tx1"/>
            </w14:solidFill>
          </w14:textFill>
        </w:rPr>
      </w:pPr>
      <w:r>
        <w:rPr>
          <w:rFonts w:hint="eastAsia" w:ascii="仿宋" w:hAnsi="仿宋" w:eastAsia="仿宋" w:cs="仿宋"/>
          <w:b/>
          <w:color w:val="000000" w:themeColor="text1"/>
          <w:kern w:val="0"/>
          <w:sz w:val="32"/>
          <w:szCs w:val="32"/>
          <w:lang w:bidi="ar"/>
          <w14:textFill>
            <w14:solidFill>
              <w14:schemeClr w14:val="tx1"/>
            </w14:solidFill>
          </w14:textFill>
        </w:rPr>
        <w:br w:type="page"/>
      </w:r>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p>
    <w:p>
      <w:pPr>
        <w:wordWrap w:val="0"/>
        <w:spacing w:line="360" w:lineRule="auto"/>
        <w:jc w:val="center"/>
        <w:outlineLvl w:val="2"/>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pPr>
        <w:wordWrap w:val="0"/>
        <w:spacing w:line="360" w:lineRule="auto"/>
        <w:jc w:val="cente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pPr>
        <w:wordWrap w:val="0"/>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（1）开标一览表（报价表）……………………………………………………（页码）</w:t>
      </w:r>
    </w:p>
    <w:p>
      <w:pPr>
        <w:wordWrap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（2）投标价格组成明细表………………………………………………………（页码）</w:t>
      </w:r>
    </w:p>
    <w:p>
      <w:pPr>
        <w:wordWrap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（3）中小企业声明函（若有）…………………………………………………（页码）</w:t>
      </w: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wordWrap w:val="0"/>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pPr>
        <w:pStyle w:val="692"/>
        <w:keepNext w:val="0"/>
        <w:pageBreakBefore w:val="0"/>
        <w:tabs>
          <w:tab w:val="clear" w:pos="720"/>
        </w:tabs>
        <w:wordWrap w:val="0"/>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5" w:h="16838"/>
          <w:pgMar w:top="652" w:right="1417" w:bottom="680" w:left="1417" w:header="539" w:footer="425" w:gutter="0"/>
          <w:cols w:space="0" w:num="1"/>
          <w:titlePg/>
          <w:docGrid w:linePitch="312" w:charSpace="0"/>
        </w:sectPr>
      </w:pPr>
    </w:p>
    <w:p>
      <w:pPr>
        <w:pStyle w:val="692"/>
        <w:keepNext w:val="0"/>
        <w:tabs>
          <w:tab w:val="clear" w:pos="720"/>
        </w:tabs>
        <w:wordWrap w:val="0"/>
        <w:snapToGrid w:val="0"/>
        <w:spacing w:before="120" w:after="120"/>
        <w:ind w:firstLine="643"/>
        <w:outlineLvl w:val="2"/>
        <w:rPr>
          <w:rFonts w:ascii="仿宋" w:hAnsi="仿宋" w:eastAsia="仿宋" w:cs="仿宋"/>
          <w:color w:val="000000" w:themeColor="text1"/>
          <w:kern w:val="2"/>
          <w:sz w:val="32"/>
          <w:szCs w:val="32"/>
          <w14:textFill>
            <w14:solidFill>
              <w14:schemeClr w14:val="tx1"/>
            </w14:solidFill>
          </w14:textFill>
        </w:rPr>
      </w:pPr>
      <w:bookmarkStart w:id="450" w:name="_Toc8787"/>
      <w:bookmarkStart w:id="451" w:name="_Toc4763"/>
      <w:bookmarkStart w:id="452" w:name="_Toc22252"/>
      <w:bookmarkStart w:id="453" w:name="_Toc10436"/>
      <w:bookmarkStart w:id="454" w:name="_Toc14192"/>
      <w:bookmarkStart w:id="455" w:name="_Toc7330"/>
      <w:bookmarkStart w:id="456" w:name="_Toc11634"/>
      <w:bookmarkStart w:id="457" w:name="_Toc23456"/>
      <w:r>
        <w:rPr>
          <w:rFonts w:hint="eastAsia" w:ascii="仿宋" w:hAnsi="仿宋" w:eastAsia="仿宋" w:cs="仿宋"/>
          <w:color w:val="000000" w:themeColor="text1"/>
          <w:kern w:val="2"/>
          <w:sz w:val="32"/>
          <w:szCs w:val="32"/>
          <w14:textFill>
            <w14:solidFill>
              <w14:schemeClr w14:val="tx1"/>
            </w14:solidFill>
          </w14:textFill>
        </w:rPr>
        <w:t>一、开标一览表（报价表）</w:t>
      </w:r>
      <w:bookmarkEnd w:id="450"/>
      <w:bookmarkEnd w:id="451"/>
      <w:bookmarkEnd w:id="452"/>
      <w:bookmarkEnd w:id="453"/>
      <w:bookmarkEnd w:id="454"/>
      <w:bookmarkEnd w:id="455"/>
      <w:bookmarkEnd w:id="456"/>
      <w:bookmarkEnd w:id="457"/>
    </w:p>
    <w:p>
      <w:pPr>
        <w:wordWrap w:val="0"/>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杭州市上城区综合行政执法局、</w:t>
      </w:r>
      <w:r>
        <w:rPr>
          <w:rFonts w:hint="eastAsia" w:ascii="仿宋" w:hAnsi="仿宋" w:eastAsia="仿宋" w:cs="仿宋"/>
          <w:color w:val="000000" w:themeColor="text1"/>
          <w:sz w:val="24"/>
          <w:lang w:eastAsia="zh-CN"/>
          <w14:textFill>
            <w14:solidFill>
              <w14:schemeClr w14:val="tx1"/>
            </w14:solidFill>
          </w14:textFill>
        </w:rPr>
        <w:t>浙江科佳工程咨询有限公司</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w:t>
      </w:r>
    </w:p>
    <w:p>
      <w:pPr>
        <w:wordWrap w:val="0"/>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如你方接受本投标，我方承诺按照如下开标一览表（报价表）的价格完成</w:t>
      </w:r>
      <w:r>
        <w:rPr>
          <w:rFonts w:hint="eastAsia" w:ascii="仿宋" w:hAnsi="仿宋" w:eastAsia="仿宋" w:cs="仿宋"/>
          <w:color w:val="000000" w:themeColor="text1"/>
          <w:kern w:val="0"/>
          <w:sz w:val="24"/>
          <w:u w:val="single"/>
          <w:lang w:val="zh-CN"/>
          <w14:textFill>
            <w14:solidFill>
              <w14:schemeClr w14:val="tx1"/>
            </w14:solidFill>
          </w14:textFill>
        </w:rPr>
        <w:t>2024年-2026年笕桥周边区块市政设施长效养护服务项目【</w:t>
      </w:r>
      <w:r>
        <w:rPr>
          <w:rFonts w:hint="eastAsia" w:ascii="仿宋" w:hAnsi="仿宋" w:eastAsia="仿宋" w:cs="仿宋"/>
          <w:color w:val="000000" w:themeColor="text1"/>
          <w:kern w:val="0"/>
          <w:sz w:val="24"/>
          <w:u w:val="single"/>
          <w14:textFill>
            <w14:solidFill>
              <w14:schemeClr w14:val="tx1"/>
            </w14:solidFill>
          </w14:textFill>
        </w:rPr>
        <w:t>项目</w:t>
      </w:r>
      <w:r>
        <w:rPr>
          <w:rFonts w:hint="eastAsia" w:ascii="仿宋" w:hAnsi="仿宋" w:eastAsia="仿宋" w:cs="仿宋"/>
          <w:color w:val="000000" w:themeColor="text1"/>
          <w:kern w:val="0"/>
          <w:sz w:val="24"/>
          <w:u w:val="single"/>
          <w:lang w:val="zh-CN"/>
          <w14:textFill>
            <w14:solidFill>
              <w14:schemeClr w14:val="tx1"/>
            </w14:solidFill>
          </w14:textFill>
        </w:rPr>
        <w:t>编号：</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pPr>
        <w:wordWrap w:val="0"/>
        <w:spacing w:line="360" w:lineRule="auto"/>
        <w:jc w:val="cente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w:t>
      </w:r>
      <w:r>
        <w:rPr>
          <w:rFonts w:hint="eastAsia" w:ascii="仿宋" w:hAnsi="仿宋" w:eastAsia="仿宋" w:cs="仿宋"/>
          <w:b/>
          <w:color w:val="000000" w:themeColor="text1"/>
          <w:kern w:val="0"/>
          <w:sz w:val="24"/>
          <w14:textFill>
            <w14:solidFill>
              <w14:schemeClr w14:val="tx1"/>
            </w14:solidFill>
          </w14:textFill>
        </w:rPr>
        <w:t xml:space="preserve">      </w:t>
      </w:r>
      <w:r>
        <w:rPr>
          <w:rFonts w:hint="eastAsia" w:ascii="仿宋" w:hAnsi="仿宋" w:eastAsia="仿宋" w:cs="仿宋"/>
          <w:b/>
          <w:color w:val="000000" w:themeColor="text1"/>
          <w:kern w:val="0"/>
          <w:sz w:val="24"/>
          <w:lang w:val="zh-CN"/>
          <w14:textFill>
            <w14:solidFill>
              <w14:schemeClr w14:val="tx1"/>
            </w14:solidFill>
          </w14:textFill>
        </w:rPr>
        <w:t>(单位均为人民币元)</w:t>
      </w:r>
    </w:p>
    <w:p>
      <w:pPr>
        <w:wordWrap w:val="0"/>
        <w:spacing w:line="360" w:lineRule="auto"/>
        <w:jc w:val="center"/>
        <w:rPr>
          <w:rFonts w:ascii="仿宋" w:hAnsi="仿宋" w:eastAsia="仿宋" w:cs="仿宋"/>
          <w:b/>
          <w:color w:val="000000" w:themeColor="text1"/>
          <w:kern w:val="0"/>
          <w:sz w:val="24"/>
          <w:lang w:val="zh-CN"/>
          <w14:textFill>
            <w14:solidFill>
              <w14:schemeClr w14:val="tx1"/>
            </w14:solidFill>
          </w14:textFill>
        </w:rPr>
      </w:pPr>
    </w:p>
    <w:tbl>
      <w:tblPr>
        <w:tblStyle w:val="63"/>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416"/>
        <w:gridCol w:w="1250"/>
        <w:gridCol w:w="1800"/>
        <w:gridCol w:w="101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85" w:type="dxa"/>
            <w:vAlign w:val="center"/>
          </w:tcPr>
          <w:p>
            <w:pPr>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2416" w:type="dxa"/>
            <w:vAlign w:val="center"/>
          </w:tcPr>
          <w:p>
            <w:pPr>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250" w:type="dxa"/>
            <w:vAlign w:val="center"/>
          </w:tcPr>
          <w:p>
            <w:pPr>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具体服务</w:t>
            </w:r>
          </w:p>
        </w:tc>
        <w:tc>
          <w:tcPr>
            <w:tcW w:w="1800" w:type="dxa"/>
            <w:vAlign w:val="center"/>
          </w:tcPr>
          <w:p>
            <w:pPr>
              <w:keepNext/>
              <w:keepLines/>
              <w:widowControl/>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年养护费</w:t>
            </w:r>
          </w:p>
        </w:tc>
        <w:tc>
          <w:tcPr>
            <w:tcW w:w="1012" w:type="dxa"/>
            <w:vAlign w:val="center"/>
          </w:tcPr>
          <w:p>
            <w:pPr>
              <w:keepNext/>
              <w:keepLines/>
              <w:widowControl/>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服务期</w:t>
            </w:r>
          </w:p>
        </w:tc>
        <w:tc>
          <w:tcPr>
            <w:tcW w:w="1989" w:type="dxa"/>
            <w:vAlign w:val="center"/>
          </w:tcPr>
          <w:p>
            <w:pPr>
              <w:keepNext/>
              <w:keepLines/>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85" w:type="dxa"/>
            <w:vAlign w:val="center"/>
          </w:tcPr>
          <w:p>
            <w:pPr>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2416" w:type="dxa"/>
            <w:vAlign w:val="center"/>
          </w:tcPr>
          <w:p>
            <w:pPr>
              <w:wordWrap w:val="0"/>
              <w:spacing w:line="360" w:lineRule="auto"/>
              <w:jc w:val="center"/>
              <w:rPr>
                <w:rFonts w:ascii="仿宋" w:hAnsi="仿宋" w:eastAsia="仿宋_GB2312" w:cs="仿宋"/>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2024年-2026年笕桥周边区块市政设施长效养护服务项目</w:t>
            </w:r>
          </w:p>
        </w:tc>
        <w:tc>
          <w:tcPr>
            <w:tcW w:w="1250" w:type="dxa"/>
            <w:vAlign w:val="center"/>
          </w:tcPr>
          <w:p>
            <w:pPr>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响应招标文件要求</w:t>
            </w:r>
          </w:p>
        </w:tc>
        <w:tc>
          <w:tcPr>
            <w:tcW w:w="1800" w:type="dxa"/>
            <w:vAlign w:val="center"/>
          </w:tcPr>
          <w:p>
            <w:pPr>
              <w:keepNext/>
              <w:keepLines/>
              <w:widowControl/>
              <w:wordWrap w:val="0"/>
              <w:spacing w:line="360" w:lineRule="auto"/>
              <w:jc w:val="righ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元/年</w:t>
            </w:r>
          </w:p>
        </w:tc>
        <w:tc>
          <w:tcPr>
            <w:tcW w:w="1012" w:type="dxa"/>
            <w:vAlign w:val="center"/>
          </w:tcPr>
          <w:p>
            <w:pPr>
              <w:keepNext/>
              <w:keepLines/>
              <w:widowControl/>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3年</w:t>
            </w:r>
          </w:p>
        </w:tc>
        <w:tc>
          <w:tcPr>
            <w:tcW w:w="1989" w:type="dxa"/>
            <w:vAlign w:val="center"/>
          </w:tcPr>
          <w:p>
            <w:pPr>
              <w:wordWrap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52" w:type="dxa"/>
            <w:gridSpan w:val="6"/>
            <w:vAlign w:val="center"/>
          </w:tcPr>
          <w:p>
            <w:pPr>
              <w:wordWrap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合计=投标报价（小写）：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52" w:type="dxa"/>
            <w:gridSpan w:val="6"/>
            <w:vAlign w:val="center"/>
          </w:tcPr>
          <w:p>
            <w:pPr>
              <w:wordWrap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投标报价（大写）：</w:t>
            </w:r>
          </w:p>
        </w:tc>
      </w:tr>
    </w:tbl>
    <w:p>
      <w:pPr>
        <w:wordWrap w:val="0"/>
        <w:snapToGrid w:val="0"/>
        <w:spacing w:line="360" w:lineRule="auto"/>
        <w:ind w:left="480"/>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pPr>
        <w:wordWrap w:val="0"/>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1、投标人需按本表格式填写，格式、已列内容不得自行更改。</w:t>
      </w:r>
    </w:p>
    <w:p>
      <w:pPr>
        <w:wordWrap w:val="0"/>
        <w:spacing w:line="360" w:lineRule="auto"/>
        <w:ind w:left="-2" w:leftChars="-1"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lang w:val="zh-CN"/>
          <w14:textFill>
            <w14:solidFill>
              <w14:schemeClr w14:val="tx1"/>
            </w14:solidFill>
          </w14:textFill>
        </w:rPr>
        <w:t>。</w:t>
      </w:r>
    </w:p>
    <w:p>
      <w:pPr>
        <w:wordWrap w:val="0"/>
        <w:snapToGrid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3、以上表格要求细分项目及报价，在“规格型号（或具体服务）”一栏中，</w:t>
      </w:r>
      <w:r>
        <w:rPr>
          <w:rFonts w:hint="eastAsia" w:ascii="仿宋" w:hAnsi="仿宋" w:eastAsia="仿宋" w:cs="仿宋"/>
          <w:color w:val="000000" w:themeColor="text1"/>
          <w:kern w:val="0"/>
          <w:sz w:val="24"/>
          <w:lang w:val="zh-CN"/>
          <w14:textFill>
            <w14:solidFill>
              <w14:schemeClr w14:val="tx1"/>
            </w14:solidFill>
          </w14:textFill>
        </w:rPr>
        <w:sym w:font="Wingdings" w:char="00A8"/>
      </w:r>
      <w:r>
        <w:rPr>
          <w:rFonts w:hint="eastAsia" w:ascii="仿宋" w:hAnsi="仿宋" w:eastAsia="仿宋" w:cs="仿宋"/>
          <w:color w:val="000000" w:themeColor="text1"/>
          <w:kern w:val="0"/>
          <w:sz w:val="24"/>
          <w:lang w:val="zh-CN"/>
          <w14:textFill>
            <w14:solidFill>
              <w14:schemeClr w14:val="tx1"/>
            </w14:solidFill>
          </w14:textFill>
        </w:rPr>
        <w:t>货物类项目填写规格型号，</w:t>
      </w:r>
      <w:r>
        <w:rPr>
          <w:rFonts w:hint="eastAsia" w:ascii="仿宋" w:hAnsi="仿宋" w:eastAsia="仿宋" w:cs="仿宋"/>
          <w:color w:val="000000" w:themeColor="text1"/>
          <w:kern w:val="0"/>
          <w:sz w:val="24"/>
          <w:lang w:val="zh-CN"/>
          <w14:textFill>
            <w14:solidFill>
              <w14:schemeClr w14:val="tx1"/>
            </w14:solidFill>
          </w14:textFill>
        </w:rPr>
        <w:sym w:font="Wingdings" w:char="00FE"/>
      </w:r>
      <w:r>
        <w:rPr>
          <w:rFonts w:hint="eastAsia" w:ascii="仿宋" w:hAnsi="仿宋" w:eastAsia="仿宋" w:cs="仿宋"/>
          <w:color w:val="000000" w:themeColor="text1"/>
          <w:kern w:val="0"/>
          <w:sz w:val="24"/>
          <w:lang w:val="zh-CN"/>
          <w14:textFill>
            <w14:solidFill>
              <w14:schemeClr w14:val="tx1"/>
            </w14:solidFill>
          </w14:textFill>
        </w:rPr>
        <w:t>服务类项目填写具体服务。</w:t>
      </w:r>
    </w:p>
    <w:p>
      <w:pPr>
        <w:wordWrap w:val="0"/>
        <w:snapToGrid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4、特别提示：采购代理机构将对项目名称和项目编号，中标供应商名称、地址和中标金额，主要中标标的的名称、规格型号、数量、单价、服务要求等予以公示。</w:t>
      </w:r>
    </w:p>
    <w:p>
      <w:pPr>
        <w:pStyle w:val="62"/>
        <w:wordWrap w:val="0"/>
        <w:spacing w:after="0" w:line="360" w:lineRule="auto"/>
        <w:ind w:left="0" w:leftChars="0" w:firstLine="48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szCs w:val="22"/>
          <w:lang w:val="zh-CN"/>
          <w14:textFill>
            <w14:solidFill>
              <w14:schemeClr w14:val="tx1"/>
            </w14:solidFill>
          </w14:textFill>
        </w:rPr>
        <w:sym w:font="Wingdings" w:char="00FE"/>
      </w:r>
      <w:r>
        <w:rPr>
          <w:rFonts w:hint="eastAsia" w:ascii="仿宋" w:hAnsi="仿宋" w:eastAsia="仿宋" w:cs="仿宋"/>
          <w:color w:val="000000" w:themeColor="text1"/>
          <w:kern w:val="0"/>
          <w:sz w:val="24"/>
          <w:szCs w:val="22"/>
          <w:lang w:val="zh-CN"/>
          <w14:textFill>
            <w14:solidFill>
              <w14:schemeClr w14:val="tx1"/>
            </w14:solidFill>
          </w14:textFill>
        </w:rPr>
        <w:t>5、</w:t>
      </w:r>
      <w:r>
        <w:rPr>
          <w:rFonts w:hint="eastAsia" w:ascii="仿宋" w:hAnsi="仿宋" w:eastAsia="仿宋" w:cs="仿宋"/>
          <w:b/>
          <w:bCs/>
          <w:color w:val="000000" w:themeColor="text1"/>
          <w:kern w:val="0"/>
          <w:sz w:val="24"/>
          <w:szCs w:val="22"/>
          <w:lang w:val="zh-CN"/>
          <w14:textFill>
            <w14:solidFill>
              <w14:schemeClr w14:val="tx1"/>
            </w14:solidFill>
          </w14:textFill>
        </w:rPr>
        <w:t>本项目</w:t>
      </w:r>
      <w:r>
        <w:rPr>
          <w:rFonts w:hint="eastAsia" w:ascii="仿宋" w:hAnsi="仿宋" w:eastAsia="仿宋" w:cs="仿宋"/>
          <w:b/>
          <w:bCs/>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2"/>
        <w:wordWrap w:val="0"/>
        <w:spacing w:after="0" w:line="360" w:lineRule="auto"/>
        <w:ind w:left="0" w:leftChars="0" w:firstLine="480"/>
        <w:jc w:val="right"/>
        <w:rPr>
          <w:rFonts w:ascii="仿宋" w:hAnsi="仿宋" w:eastAsia="仿宋" w:cs="仿宋"/>
          <w:color w:val="000000" w:themeColor="text1"/>
          <w:kern w:val="0"/>
          <w:sz w:val="24"/>
          <w:lang w:val="zh-CN"/>
          <w14:textFill>
            <w14:solidFill>
              <w14:schemeClr w14:val="tx1"/>
            </w14:solidFill>
          </w14:textFill>
        </w:rPr>
      </w:pPr>
    </w:p>
    <w:p>
      <w:pPr>
        <w:pStyle w:val="62"/>
        <w:wordWrap w:val="0"/>
        <w:spacing w:after="0" w:line="360" w:lineRule="auto"/>
        <w:ind w:left="0" w:leftChars="0" w:firstLine="480"/>
        <w:jc w:val="righ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pPr>
        <w:pStyle w:val="62"/>
        <w:wordWrap w:val="0"/>
        <w:spacing w:after="0" w:line="360" w:lineRule="auto"/>
        <w:ind w:left="0" w:leftChars="0" w:firstLine="480"/>
        <w:jc w:val="righ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p>
    <w:p>
      <w:pPr>
        <w:snapToGrid w:val="0"/>
        <w:spacing w:before="120" w:after="120"/>
        <w:ind w:firstLine="643"/>
        <w:outlineLvl w:val="2"/>
        <w:rPr>
          <w:rFonts w:ascii="仿宋_GB2312" w:hAnsi="仿宋" w:eastAsia="仿宋_GB2312" w:cs="仿宋_GB2312"/>
          <w:color w:val="000000" w:themeColor="text1"/>
          <w:sz w:val="32"/>
          <w:szCs w:val="32"/>
          <w14:textFill>
            <w14:solidFill>
              <w14:schemeClr w14:val="tx1"/>
            </w14:solidFill>
          </w14:textFill>
        </w:rPr>
      </w:pPr>
      <w:bookmarkStart w:id="458" w:name="_Toc10363"/>
      <w:bookmarkStart w:id="459" w:name="_Toc345575540"/>
      <w:bookmarkStart w:id="460" w:name="_Toc13189"/>
      <w:bookmarkStart w:id="461" w:name="_Toc336683580"/>
      <w:bookmarkStart w:id="462" w:name="_Toc19744"/>
      <w:bookmarkStart w:id="463" w:name="_Toc16669"/>
      <w:bookmarkStart w:id="464" w:name="_Toc26887"/>
      <w:bookmarkStart w:id="465" w:name="_Toc24377"/>
      <w:bookmarkStart w:id="466" w:name="_Toc16525"/>
      <w:bookmarkStart w:id="467" w:name="_Toc15901"/>
      <w:bookmarkStart w:id="468" w:name="_Toc29327"/>
      <w:bookmarkStart w:id="469" w:name="_Toc10965"/>
      <w:r>
        <w:rPr>
          <w:rFonts w:hint="eastAsia" w:ascii="仿宋_GB2312" w:hAnsi="仿宋" w:eastAsia="仿宋_GB2312" w:cs="仿宋_GB2312"/>
          <w:color w:val="000000" w:themeColor="text1"/>
          <w:sz w:val="32"/>
          <w:szCs w:val="32"/>
          <w14:textFill>
            <w14:solidFill>
              <w14:schemeClr w14:val="tx1"/>
            </w14:solidFill>
          </w14:textFill>
        </w:rPr>
        <w:br w:type="page"/>
      </w:r>
    </w:p>
    <w:p>
      <w:pPr>
        <w:pStyle w:val="692"/>
        <w:keepNext w:val="0"/>
        <w:pageBreakBefore w:val="0"/>
        <w:tabs>
          <w:tab w:val="clear" w:pos="720"/>
        </w:tabs>
        <w:snapToGrid w:val="0"/>
        <w:spacing w:before="120" w:after="120"/>
        <w:ind w:firstLine="643"/>
        <w:outlineLvl w:val="2"/>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二、投标价格组成明细表</w:t>
      </w:r>
      <w:bookmarkEnd w:id="458"/>
      <w:bookmarkEnd w:id="459"/>
      <w:bookmarkEnd w:id="460"/>
      <w:bookmarkEnd w:id="461"/>
    </w:p>
    <w:p>
      <w:pPr>
        <w:pStyle w:val="35"/>
        <w:snapToGrid w:val="0"/>
        <w:spacing w:line="30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（详见设施量清单）</w:t>
      </w:r>
    </w:p>
    <w:p>
      <w:pPr>
        <w:pStyle w:val="35"/>
        <w:snapToGrid w:val="0"/>
        <w:spacing w:line="300" w:lineRule="auto"/>
        <w:rPr>
          <w:rFonts w:ascii="仿宋" w:hAnsi="仿宋" w:eastAsia="仿宋" w:cs="仿宋"/>
          <w:color w:val="000000" w:themeColor="text1"/>
          <w:kern w:val="0"/>
          <w:sz w:val="24"/>
          <w:szCs w:val="24"/>
          <w14:textFill>
            <w14:solidFill>
              <w14:schemeClr w14:val="tx1"/>
            </w14:solidFill>
          </w14:textFill>
        </w:rPr>
      </w:pPr>
    </w:p>
    <w:p>
      <w:pPr>
        <w:pStyle w:val="35"/>
        <w:snapToGrid w:val="0"/>
        <w:spacing w:line="30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说明：</w:t>
      </w:r>
    </w:p>
    <w:p>
      <w:pPr>
        <w:snapToGrid w:val="0"/>
        <w:spacing w:line="30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（1）本项目的投标应以人民币报价，投标人报价应是包括为完成本工程项目可能发生的全部费用及成交人的利润和应交纳的税金等一切费用，采购项目不出具联系单。</w:t>
      </w:r>
    </w:p>
    <w:p>
      <w:pPr>
        <w:snapToGrid w:val="0"/>
        <w:spacing w:line="30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b/>
          <w:bCs/>
          <w:color w:val="000000" w:themeColor="text1"/>
          <w:kern w:val="0"/>
          <w:sz w:val="24"/>
          <w:lang w:val="zh-CN"/>
          <w14:textFill>
            <w14:solidFill>
              <w14:schemeClr w14:val="tx1"/>
            </w14:solidFill>
          </w14:textFill>
        </w:rPr>
        <w:t>按提供的工程量清单分别报价，报价内容按工程量清单逐一报价，若有漏项，视为已包含在内。</w:t>
      </w:r>
    </w:p>
    <w:p>
      <w:pPr>
        <w:pStyle w:val="35"/>
        <w:snapToGrid w:val="0"/>
        <w:spacing w:line="30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（3）表中不得有给予采购人的赠品、回扣或者与本项目采购无关的其他商品、服务。</w:t>
      </w:r>
    </w:p>
    <w:p>
      <w:pPr>
        <w:autoSpaceDE w:val="0"/>
        <w:autoSpaceDN w:val="0"/>
        <w:spacing w:line="360" w:lineRule="auto"/>
        <w:ind w:right="1120"/>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right="112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pStyle w:val="62"/>
        <w:spacing w:after="0" w:line="360" w:lineRule="auto"/>
        <w:ind w:left="0" w:leftChars="0" w:firstLine="640"/>
        <w:jc w:val="center"/>
        <w:rPr>
          <w:rFonts w:ascii="仿宋" w:hAnsi="仿宋" w:eastAsia="仿宋" w:cs="仿宋"/>
          <w:color w:val="000000" w:themeColor="text1"/>
          <w:sz w:val="32"/>
          <w:szCs w:val="32"/>
          <w14:textFill>
            <w14:solidFill>
              <w14:schemeClr w14:val="tx1"/>
            </w14:solidFill>
          </w14:textFill>
        </w:rPr>
      </w:pPr>
    </w:p>
    <w:p>
      <w:pPr>
        <w:wordWrap w:val="0"/>
        <w:spacing w:line="360" w:lineRule="auto"/>
        <w:ind w:firstLine="48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92"/>
        <w:keepNext w:val="0"/>
        <w:tabs>
          <w:tab w:val="clear" w:pos="720"/>
        </w:tabs>
        <w:wordWrap w:val="0"/>
        <w:snapToGrid w:val="0"/>
        <w:spacing w:before="120" w:after="120"/>
        <w:ind w:firstLine="643"/>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sym w:font="Wingdings" w:char="00FE"/>
      </w:r>
      <w:r>
        <w:rPr>
          <w:rFonts w:hint="eastAsia" w:ascii="仿宋" w:hAnsi="仿宋" w:eastAsia="仿宋" w:cs="仿宋"/>
          <w:color w:val="000000" w:themeColor="text1"/>
          <w:kern w:val="2"/>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中小企业声明函</w:t>
      </w:r>
      <w:bookmarkEnd w:id="462"/>
      <w:bookmarkEnd w:id="463"/>
      <w:bookmarkEnd w:id="464"/>
      <w:bookmarkEnd w:id="465"/>
      <w:bookmarkEnd w:id="466"/>
      <w:bookmarkEnd w:id="467"/>
      <w:bookmarkEnd w:id="468"/>
      <w:bookmarkEnd w:id="469"/>
    </w:p>
    <w:p>
      <w:pPr>
        <w:widowControl/>
        <w:wordWrap w:val="0"/>
        <w:spacing w:line="360" w:lineRule="auto"/>
        <w:ind w:firstLine="120" w:firstLineChars="50"/>
        <w:jc w:val="left"/>
        <w:rPr>
          <w:rFonts w:ascii="仿宋" w:hAnsi="仿宋" w:eastAsia="仿宋" w:cs="仿宋"/>
          <w:b/>
          <w:color w:val="000000" w:themeColor="text1"/>
          <w:sz w:val="24"/>
          <w14:textFill>
            <w14:solidFill>
              <w14:schemeClr w14:val="tx1"/>
            </w14:solidFill>
          </w14:textFill>
        </w:rPr>
      </w:pPr>
    </w:p>
    <w:p>
      <w:pPr>
        <w:widowControl/>
        <w:wordWrap w:val="0"/>
        <w:spacing w:line="360" w:lineRule="auto"/>
        <w:ind w:firstLine="120" w:firstLineChars="5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sym w:font="Wingdings 2" w:char="0052"/>
      </w:r>
      <w:r>
        <w:rPr>
          <w:rFonts w:hint="eastAsia" w:ascii="仿宋" w:hAnsi="仿宋" w:eastAsia="仿宋" w:cs="仿宋"/>
          <w:b/>
          <w:color w:val="000000" w:themeColor="text1"/>
          <w:sz w:val="24"/>
          <w14:textFill>
            <w14:solidFill>
              <w14:schemeClr w14:val="tx1"/>
            </w14:solidFill>
          </w14:textFill>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pPr>
        <w:widowControl/>
        <w:wordWrap w:val="0"/>
        <w:spacing w:line="360" w:lineRule="auto"/>
        <w:ind w:firstLine="120" w:firstLineChars="50"/>
        <w:jc w:val="left"/>
        <w:rPr>
          <w:rFonts w:ascii="仿宋" w:hAnsi="仿宋" w:eastAsia="仿宋" w:cs="仿宋"/>
          <w:b/>
          <w:color w:val="000000" w:themeColor="text1"/>
          <w:sz w:val="24"/>
          <w14:textFill>
            <w14:solidFill>
              <w14:schemeClr w14:val="tx1"/>
            </w14:solidFill>
          </w14:textFill>
        </w:rPr>
      </w:pPr>
    </w:p>
    <w:p>
      <w:pPr>
        <w:widowControl/>
        <w:wordWrap w:val="0"/>
        <w:spacing w:line="360" w:lineRule="auto"/>
        <w:ind w:firstLine="120" w:firstLineChars="5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sym w:font="Wingdings 2" w:char="00A3"/>
      </w:r>
      <w:r>
        <w:rPr>
          <w:rFonts w:hint="eastAsia" w:ascii="仿宋" w:hAnsi="仿宋" w:eastAsia="仿宋" w:cs="仿宋"/>
          <w:b/>
          <w:color w:val="000000" w:themeColor="text1"/>
          <w:sz w:val="24"/>
          <w14:textFill>
            <w14:solidFill>
              <w14:schemeClr w14:val="tx1"/>
            </w14:solidFill>
          </w14:textFill>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pPr>
        <w:wordWrap w:val="0"/>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pPr>
        <w:wordWrap w:val="0"/>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pPr>
        <w:wordWrap w:val="0"/>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pPr>
        <w:wordWrap w:val="0"/>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pPr>
        <w:wordWrap w:val="0"/>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pPr>
        <w:pStyle w:val="3"/>
        <w:keepNext w:val="0"/>
        <w:keepLines w:val="0"/>
        <w:widowControl/>
        <w:wordWrap w:val="0"/>
        <w:spacing w:before="100" w:beforeAutospacing="1" w:after="100" w:afterAutospacing="1" w:line="360" w:lineRule="auto"/>
        <w:rPr>
          <w:rFonts w:ascii="仿宋" w:hAnsi="仿宋" w:eastAsia="仿宋" w:cs="仿宋"/>
          <w:color w:val="000000" w:themeColor="text1"/>
          <w14:textFill>
            <w14:solidFill>
              <w14:schemeClr w14:val="tx1"/>
            </w14:solidFill>
          </w14:textFill>
        </w:rPr>
        <w:sectPr>
          <w:footerReference r:id="rId22" w:type="first"/>
          <w:headerReference r:id="rId19" w:type="default"/>
          <w:footerReference r:id="rId20" w:type="default"/>
          <w:footerReference r:id="rId21" w:type="even"/>
          <w:pgSz w:w="11905" w:h="16838"/>
          <w:pgMar w:top="652" w:right="1417" w:bottom="680" w:left="1417" w:header="539" w:footer="425" w:gutter="0"/>
          <w:cols w:space="0" w:num="1"/>
          <w:titlePg/>
          <w:docGrid w:linePitch="312" w:charSpace="0"/>
        </w:sectPr>
      </w:pPr>
      <w:bookmarkStart w:id="470" w:name="_Toc29548"/>
      <w:bookmarkStart w:id="471" w:name="_Toc19385"/>
      <w:bookmarkStart w:id="472" w:name="_Toc18247"/>
      <w:bookmarkStart w:id="473" w:name="_Toc21803"/>
      <w:bookmarkStart w:id="474" w:name="_Toc11681"/>
      <w:bookmarkStart w:id="475" w:name="_Toc465665161"/>
    </w:p>
    <w:p>
      <w:pPr>
        <w:pStyle w:val="3"/>
        <w:keepNext w:val="0"/>
        <w:keepLines w:val="0"/>
        <w:widowControl/>
        <w:wordWrap w:val="0"/>
        <w:spacing w:before="100" w:beforeAutospacing="1" w:after="100" w:afterAutospacing="1" w:line="360" w:lineRule="auto"/>
        <w:rPr>
          <w:rFonts w:ascii="仿宋" w:hAnsi="仿宋" w:eastAsia="仿宋" w:cs="仿宋"/>
          <w:color w:val="000000" w:themeColor="text1"/>
          <w14:textFill>
            <w14:solidFill>
              <w14:schemeClr w14:val="tx1"/>
            </w14:solidFill>
          </w14:textFill>
        </w:rPr>
      </w:pPr>
      <w:bookmarkStart w:id="476" w:name="_Toc1812"/>
      <w:r>
        <w:rPr>
          <w:rFonts w:hint="eastAsia" w:ascii="仿宋" w:hAnsi="仿宋" w:eastAsia="仿宋" w:cs="仿宋"/>
          <w:color w:val="000000" w:themeColor="text1"/>
          <w14:textFill>
            <w14:solidFill>
              <w14:schemeClr w14:val="tx1"/>
            </w14:solidFill>
          </w14:textFill>
        </w:rPr>
        <w:t>附件</w:t>
      </w:r>
      <w:bookmarkEnd w:id="470"/>
      <w:bookmarkEnd w:id="471"/>
      <w:bookmarkEnd w:id="472"/>
      <w:bookmarkEnd w:id="473"/>
      <w:bookmarkEnd w:id="474"/>
      <w:bookmarkEnd w:id="475"/>
      <w:bookmarkEnd w:id="476"/>
    </w:p>
    <w:p>
      <w:pPr>
        <w:wordWrap w:val="0"/>
        <w:spacing w:line="360" w:lineRule="auto"/>
        <w:outlineLvl w:val="0"/>
        <w:rPr>
          <w:rFonts w:ascii="仿宋" w:hAnsi="仿宋" w:eastAsia="仿宋" w:cs="仿宋"/>
          <w:b/>
          <w:color w:val="000000" w:themeColor="text1"/>
          <w:spacing w:val="6"/>
          <w:sz w:val="32"/>
          <w:szCs w:val="32"/>
          <w14:textFill>
            <w14:solidFill>
              <w14:schemeClr w14:val="tx1"/>
            </w14:solidFill>
          </w14:textFill>
        </w:rPr>
      </w:pPr>
      <w:bookmarkStart w:id="477" w:name="_Toc31021"/>
      <w:bookmarkStart w:id="478" w:name="_Toc4640"/>
      <w:bookmarkStart w:id="479" w:name="_Toc7995"/>
      <w:bookmarkStart w:id="480" w:name="_Toc24540"/>
      <w:bookmarkStart w:id="481" w:name="_Toc19435"/>
      <w:bookmarkStart w:id="482" w:name="_Toc25826"/>
      <w:bookmarkStart w:id="483" w:name="_Toc14817"/>
      <w:bookmarkStart w:id="484" w:name="_Toc7886"/>
      <w:r>
        <w:rPr>
          <w:rFonts w:hint="eastAsia" w:ascii="仿宋" w:hAnsi="仿宋" w:eastAsia="仿宋" w:cs="仿宋"/>
          <w:b/>
          <w:color w:val="000000" w:themeColor="text1"/>
          <w:spacing w:val="6"/>
          <w:sz w:val="32"/>
          <w:szCs w:val="32"/>
          <w14:textFill>
            <w14:solidFill>
              <w14:schemeClr w14:val="tx1"/>
            </w14:solidFill>
          </w14:textFill>
        </w:rPr>
        <w:t>附件1：</w:t>
      </w:r>
      <w:bookmarkEnd w:id="477"/>
      <w:bookmarkEnd w:id="478"/>
      <w:bookmarkEnd w:id="479"/>
      <w:bookmarkEnd w:id="480"/>
      <w:bookmarkEnd w:id="481"/>
      <w:bookmarkEnd w:id="482"/>
      <w:bookmarkEnd w:id="483"/>
      <w:bookmarkEnd w:id="484"/>
    </w:p>
    <w:p>
      <w:pPr>
        <w:wordWrap w:val="0"/>
        <w:spacing w:line="360" w:lineRule="auto"/>
        <w:jc w:val="center"/>
        <w:rPr>
          <w:rFonts w:ascii="仿宋" w:hAnsi="仿宋" w:eastAsia="仿宋" w:cs="仿宋"/>
          <w:b/>
          <w:color w:val="000000" w:themeColor="text1"/>
          <w:spacing w:val="6"/>
          <w:sz w:val="32"/>
          <w:szCs w:val="32"/>
          <w14:textFill>
            <w14:solidFill>
              <w14:schemeClr w14:val="tx1"/>
            </w14:solidFill>
          </w14:textFill>
        </w:rPr>
      </w:pPr>
      <w:bookmarkStart w:id="485" w:name="OLE_LINK14"/>
      <w:bookmarkStart w:id="486" w:name="OLE_LINK13"/>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485"/>
    <w:bookmarkEnd w:id="486"/>
    <w:p>
      <w:pPr>
        <w:wordWrap w:val="0"/>
        <w:spacing w:line="360" w:lineRule="auto"/>
        <w:rPr>
          <w:rFonts w:ascii="仿宋" w:hAnsi="仿宋" w:eastAsia="仿宋" w:cs="仿宋"/>
          <w:b/>
          <w:color w:val="000000" w:themeColor="text1"/>
          <w:spacing w:val="6"/>
          <w:sz w:val="30"/>
          <w:szCs w:val="30"/>
          <w14:textFill>
            <w14:solidFill>
              <w14:schemeClr w14:val="tx1"/>
            </w14:solidFill>
          </w14:textFill>
        </w:rPr>
      </w:pP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u w:val="single"/>
          <w14:textFill>
            <w14:solidFill>
              <w14:schemeClr w14:val="tx1"/>
            </w14:solidFill>
          </w14:textFill>
        </w:rPr>
        <w:t xml:space="preserve">  杭州市上城区综合行政执法局  </w:t>
      </w:r>
      <w:r>
        <w:rPr>
          <w:rFonts w:hint="eastAsia" w:ascii="仿宋" w:hAnsi="仿宋" w:eastAsia="仿宋" w:cs="仿宋"/>
          <w:color w:val="000000" w:themeColor="text1"/>
          <w:sz w:val="24"/>
          <w14:textFill>
            <w14:solidFill>
              <w14:schemeClr w14:val="tx1"/>
            </w14:solidFill>
          </w14:textFill>
        </w:rPr>
        <w:t>单位的   2024年-2026年笕桥周边区块市政设施长效养护服务项目【项目编号： 】采购活动提供本单位</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制造的货物</w:t>
      </w:r>
      <w:r>
        <w:rPr>
          <w:rFonts w:hint="eastAsia" w:ascii="仿宋" w:hAnsi="仿宋" w:eastAsia="仿宋" w:cs="仿宋"/>
          <w:color w:val="000000" w:themeColor="text1"/>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本单位承担工程</w:t>
      </w:r>
      <w:r>
        <w:rPr>
          <w:rFonts w:hint="eastAsia" w:ascii="仿宋" w:hAnsi="仿宋" w:eastAsia="仿宋" w:cs="仿宋"/>
          <w:color w:val="000000" w:themeColor="text1"/>
          <w:sz w:val="24"/>
          <w14:textFill>
            <w14:solidFill>
              <w14:schemeClr w14:val="tx1"/>
            </w14:solidFill>
          </w14:textFill>
        </w:rPr>
        <w:sym w:font="Wingdings" w:char="00FE"/>
      </w:r>
      <w:r>
        <w:rPr>
          <w:rFonts w:hint="eastAsia" w:ascii="仿宋" w:hAnsi="仿宋" w:eastAsia="仿宋" w:cs="仿宋"/>
          <w:color w:val="000000" w:themeColor="text1"/>
          <w:sz w:val="24"/>
          <w14:textFill>
            <w14:solidFill>
              <w14:schemeClr w14:val="tx1"/>
            </w14:solidFill>
          </w14:textFill>
        </w:rPr>
        <w:t>本单位提供服务），或者提供其他残疾人福利性单位制造的货物（不包括使用非残疾人福利性单位注册商标的货物）。</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p>
    <w:p>
      <w:pPr>
        <w:tabs>
          <w:tab w:val="left" w:pos="4860"/>
        </w:tabs>
        <w:wordWrap w:val="0"/>
        <w:spacing w:line="360" w:lineRule="auto"/>
        <w:ind w:right="1560"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投标人名称（电子签名）</w:t>
      </w:r>
      <w:r>
        <w:rPr>
          <w:rFonts w:hint="eastAsia" w:ascii="仿宋" w:hAnsi="仿宋" w:eastAsia="仿宋" w:cs="仿宋"/>
          <w:color w:val="000000" w:themeColor="text1"/>
          <w:sz w:val="24"/>
          <w14:textFill>
            <w14:solidFill>
              <w14:schemeClr w14:val="tx1"/>
            </w14:solidFill>
          </w14:textFill>
        </w:rPr>
        <w:t>：</w:t>
      </w:r>
    </w:p>
    <w:p>
      <w:pPr>
        <w:tabs>
          <w:tab w:val="left" w:pos="4860"/>
        </w:tabs>
        <w:wordWrap w:val="0"/>
        <w:spacing w:line="360" w:lineRule="auto"/>
        <w:ind w:right="1560"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  期：</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p>
    <w:p>
      <w:pPr>
        <w:wordWrap w:val="0"/>
        <w:spacing w:line="360" w:lineRule="auto"/>
        <w:ind w:firstLine="420" w:firstLineChars="200"/>
        <w:rPr>
          <w:rFonts w:ascii="仿宋" w:hAnsi="仿宋" w:eastAsia="仿宋" w:cs="仿宋"/>
          <w:color w:val="000000" w:themeColor="text1"/>
          <w14:textFill>
            <w14:solidFill>
              <w14:schemeClr w14:val="tx1"/>
            </w14:solidFill>
          </w14:textFill>
        </w:rPr>
      </w:pPr>
    </w:p>
    <w:p>
      <w:pPr>
        <w:wordWrap w:val="0"/>
        <w:spacing w:line="360" w:lineRule="auto"/>
        <w:ind w:firstLine="420" w:firstLineChars="200"/>
        <w:rPr>
          <w:rFonts w:ascii="仿宋" w:hAnsi="仿宋" w:eastAsia="仿宋" w:cs="仿宋"/>
          <w:color w:val="000000" w:themeColor="text1"/>
          <w14:textFill>
            <w14:solidFill>
              <w14:schemeClr w14:val="tx1"/>
            </w14:solidFill>
          </w14:textFill>
        </w:rPr>
      </w:pPr>
    </w:p>
    <w:p>
      <w:pPr>
        <w:wordWrap w:val="0"/>
        <w:spacing w:line="360" w:lineRule="auto"/>
        <w:ind w:firstLine="420" w:firstLineChars="200"/>
        <w:rPr>
          <w:rFonts w:ascii="仿宋" w:hAnsi="仿宋" w:eastAsia="仿宋" w:cs="仿宋"/>
          <w:color w:val="000000" w:themeColor="text1"/>
          <w14:textFill>
            <w14:solidFill>
              <w14:schemeClr w14:val="tx1"/>
            </w14:solidFill>
          </w14:textFill>
        </w:rPr>
      </w:pPr>
    </w:p>
    <w:p>
      <w:pPr>
        <w:wordWrap w:val="0"/>
        <w:spacing w:line="360" w:lineRule="auto"/>
        <w:ind w:firstLine="420" w:firstLineChars="200"/>
        <w:rPr>
          <w:rFonts w:ascii="仿宋" w:hAnsi="仿宋" w:eastAsia="仿宋" w:cs="仿宋"/>
          <w:color w:val="000000" w:themeColor="text1"/>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pPr>
        <w:wordWrap w:val="0"/>
        <w:spacing w:line="360" w:lineRule="auto"/>
        <w:jc w:val="left"/>
        <w:outlineLvl w:val="0"/>
        <w:rPr>
          <w:rFonts w:ascii="仿宋" w:hAnsi="仿宋" w:eastAsia="仿宋" w:cs="仿宋"/>
          <w:b/>
          <w:color w:val="000000" w:themeColor="text1"/>
          <w:spacing w:val="6"/>
          <w:sz w:val="32"/>
          <w:szCs w:val="32"/>
          <w14:textFill>
            <w14:solidFill>
              <w14:schemeClr w14:val="tx1"/>
            </w14:solidFill>
          </w14:textFill>
        </w:rPr>
      </w:pPr>
      <w:bookmarkStart w:id="487" w:name="_Toc25285"/>
      <w:bookmarkStart w:id="488" w:name="_Toc3891"/>
      <w:bookmarkStart w:id="489" w:name="_Toc21976"/>
      <w:bookmarkStart w:id="490" w:name="_Toc10405"/>
      <w:bookmarkStart w:id="491" w:name="_Toc16946"/>
      <w:bookmarkStart w:id="492" w:name="_Toc16744"/>
      <w:bookmarkStart w:id="493" w:name="_Toc10890"/>
      <w:bookmarkStart w:id="494" w:name="_Toc19664"/>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bookmarkEnd w:id="487"/>
      <w:bookmarkEnd w:id="488"/>
      <w:bookmarkEnd w:id="489"/>
      <w:bookmarkEnd w:id="490"/>
      <w:bookmarkEnd w:id="491"/>
      <w:bookmarkEnd w:id="492"/>
      <w:bookmarkEnd w:id="493"/>
      <w:bookmarkEnd w:id="494"/>
    </w:p>
    <w:p>
      <w:pPr>
        <w:wordWrap w:val="0"/>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pPr>
        <w:wordWrap w:val="0"/>
        <w:snapToGrid w:val="0"/>
        <w:spacing w:before="240" w:beforeLine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pPr>
        <w:wordWrap w:val="0"/>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wordWrap w:val="0"/>
        <w:snapToGrid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wordWrap w:val="0"/>
        <w:snapToGrid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wordWrap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wordWrap w:val="0"/>
        <w:spacing w:line="360" w:lineRule="auto"/>
        <w:ind w:firstLine="600" w:firstLineChars="200"/>
        <w:jc w:val="left"/>
        <w:rPr>
          <w:rFonts w:ascii="仿宋" w:hAnsi="仿宋" w:eastAsia="仿宋" w:cs="仿宋"/>
          <w:color w:val="000000" w:themeColor="text1"/>
          <w:sz w:val="30"/>
          <w:szCs w:val="30"/>
          <w14:textFill>
            <w14:solidFill>
              <w14:schemeClr w14:val="tx1"/>
            </w14:solidFill>
          </w14:textFill>
        </w:rPr>
      </w:pPr>
    </w:p>
    <w:p>
      <w:pPr>
        <w:wordWrap w:val="0"/>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pPr>
        <w:wordWrap w:val="0"/>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pPr>
        <w:wordWrap w:val="0"/>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pPr>
        <w:wordWrap w:val="0"/>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pPr>
        <w:wordWrap w:val="0"/>
        <w:spacing w:line="360" w:lineRule="auto"/>
        <w:jc w:val="left"/>
        <w:outlineLvl w:val="0"/>
        <w:rPr>
          <w:rFonts w:ascii="仿宋" w:hAnsi="仿宋" w:eastAsia="仿宋" w:cs="仿宋"/>
          <w:b/>
          <w:color w:val="000000" w:themeColor="text1"/>
          <w:spacing w:val="6"/>
          <w:sz w:val="32"/>
          <w:szCs w:val="32"/>
          <w14:textFill>
            <w14:solidFill>
              <w14:schemeClr w14:val="tx1"/>
            </w14:solidFill>
          </w14:textFill>
        </w:rPr>
      </w:pPr>
      <w:bookmarkStart w:id="495" w:name="_Toc19370"/>
      <w:bookmarkStart w:id="496" w:name="_Toc14739"/>
      <w:bookmarkStart w:id="497" w:name="_Toc13719"/>
      <w:bookmarkStart w:id="498" w:name="_Toc26395"/>
      <w:bookmarkStart w:id="499" w:name="_Toc23740"/>
      <w:bookmarkStart w:id="500" w:name="_Toc1796"/>
      <w:bookmarkStart w:id="501" w:name="_Toc15183"/>
      <w:bookmarkStart w:id="502" w:name="_Toc4759"/>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bookmarkEnd w:id="495"/>
      <w:bookmarkEnd w:id="496"/>
      <w:bookmarkEnd w:id="497"/>
      <w:bookmarkEnd w:id="498"/>
      <w:bookmarkEnd w:id="499"/>
      <w:bookmarkEnd w:id="500"/>
      <w:bookmarkEnd w:id="501"/>
      <w:bookmarkEnd w:id="502"/>
    </w:p>
    <w:p>
      <w:pPr>
        <w:wordWrap w:val="0"/>
        <w:spacing w:line="360" w:lineRule="auto"/>
        <w:jc w:val="center"/>
        <w:rPr>
          <w:rFonts w:ascii="仿宋" w:hAnsi="仿宋" w:eastAsia="仿宋" w:cs="仿宋"/>
          <w:b/>
          <w:color w:val="000000" w:themeColor="text1"/>
          <w:sz w:val="24"/>
          <w14:textFill>
            <w14:solidFill>
              <w14:schemeClr w14:val="tx1"/>
            </w14:solidFill>
          </w14:textFill>
        </w:rPr>
      </w:pPr>
    </w:p>
    <w:p>
      <w:pPr>
        <w:wordWrap w:val="0"/>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6510"/>
        </w:tabs>
        <w:wordWrap w:val="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tabs>
          <w:tab w:val="left" w:pos="6510"/>
        </w:tabs>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pPr>
        <w:wordWrap w:val="0"/>
        <w:ind w:firstLine="480" w:firstLineChars="20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提出质疑，质疑事项为：</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wordWrap w:val="0"/>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日,就质疑事项作出了答复/没有在法定期限内作出答复。</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pPr>
        <w:wordWrap w:val="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wordWrap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wordWrap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r>
        <w:rPr>
          <w:rFonts w:hint="eastAsia" w:ascii="仿宋" w:hAnsi="仿宋" w:eastAsia="仿宋" w:cs="仿宋"/>
          <w:b/>
          <w:color w:val="000000" w:themeColor="text1"/>
          <w:sz w:val="24"/>
          <w14:textFill>
            <w14:solidFill>
              <w14:schemeClr w14:val="tx1"/>
            </w14:solidFill>
          </w14:textFill>
        </w:rPr>
        <w:br w:type="page"/>
      </w:r>
    </w:p>
    <w:p>
      <w:pPr>
        <w:wordWrap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pPr>
        <w:widowControl/>
        <w:wordWrap w:val="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wordWrap w:val="0"/>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pPr>
        <w:widowControl/>
        <w:wordWrap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pPr>
        <w:widowControl/>
        <w:wordWrap w:val="0"/>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wordWrap w:val="0"/>
        <w:spacing w:line="360" w:lineRule="auto"/>
        <w:rPr>
          <w:rFonts w:ascii="仿宋" w:hAnsi="仿宋" w:eastAsia="仿宋" w:cs="仿宋"/>
          <w:b/>
          <w:color w:val="000000" w:themeColor="text1"/>
          <w:sz w:val="24"/>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pPr>
        <w:wordWrap w:val="0"/>
        <w:autoSpaceDE w:val="0"/>
        <w:autoSpaceDN w:val="0"/>
        <w:jc w:val="left"/>
        <w:outlineLvl w:val="0"/>
        <w:rPr>
          <w:rFonts w:ascii="仿宋" w:hAnsi="仿宋" w:eastAsia="仿宋" w:cs="仿宋"/>
          <w:b/>
          <w:bCs/>
          <w:color w:val="000000" w:themeColor="text1"/>
          <w:sz w:val="32"/>
          <w:szCs w:val="32"/>
          <w14:textFill>
            <w14:solidFill>
              <w14:schemeClr w14:val="tx1"/>
            </w14:solidFill>
          </w14:textFill>
        </w:rPr>
      </w:pPr>
      <w:bookmarkStart w:id="503" w:name="_Toc13943"/>
      <w:bookmarkStart w:id="504" w:name="_Toc19508"/>
      <w:bookmarkStart w:id="505" w:name="_Toc31326"/>
      <w:bookmarkStart w:id="506" w:name="_Toc28414"/>
      <w:bookmarkStart w:id="507" w:name="_Toc6620"/>
      <w:bookmarkStart w:id="508" w:name="_Toc30199"/>
      <w:bookmarkStart w:id="509" w:name="_Toc14277"/>
      <w:bookmarkStart w:id="510" w:name="_Toc25068"/>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bCs/>
          <w:color w:val="000000" w:themeColor="text1"/>
          <w:sz w:val="32"/>
          <w:szCs w:val="32"/>
          <w14:textFill>
            <w14:solidFill>
              <w14:schemeClr w14:val="tx1"/>
            </w14:solidFill>
          </w14:textFill>
        </w:rPr>
        <w:t>业务专用章使用说明函</w:t>
      </w:r>
      <w:bookmarkEnd w:id="503"/>
      <w:bookmarkEnd w:id="504"/>
      <w:bookmarkEnd w:id="505"/>
      <w:bookmarkEnd w:id="506"/>
      <w:bookmarkEnd w:id="507"/>
      <w:bookmarkEnd w:id="508"/>
      <w:bookmarkEnd w:id="509"/>
      <w:bookmarkEnd w:id="510"/>
    </w:p>
    <w:p>
      <w:pPr>
        <w:wordWrap w:val="0"/>
        <w:spacing w:line="360" w:lineRule="auto"/>
        <w:rPr>
          <w:rFonts w:ascii="仿宋" w:hAnsi="仿宋" w:eastAsia="仿宋" w:cs="仿宋"/>
          <w:color w:val="000000" w:themeColor="text1"/>
          <w:sz w:val="24"/>
          <w:u w:val="single"/>
          <w14:textFill>
            <w14:solidFill>
              <w14:schemeClr w14:val="tx1"/>
            </w14:solidFill>
          </w14:textFill>
        </w:rPr>
      </w:pPr>
    </w:p>
    <w:p>
      <w:pPr>
        <w:wordWrap w:val="0"/>
        <w:spacing w:line="360" w:lineRule="auto"/>
        <w:rPr>
          <w:rFonts w:ascii="仿宋" w:hAnsi="仿宋" w:eastAsia="仿宋" w:cs="仿宋"/>
          <w:color w:val="000000" w:themeColor="text1"/>
          <w:sz w:val="24"/>
          <w:u w:val="single"/>
          <w14:textFill>
            <w14:solidFill>
              <w14:schemeClr w14:val="tx1"/>
            </w14:solidFill>
          </w14:textFill>
        </w:rPr>
      </w:pPr>
    </w:p>
    <w:p>
      <w:pPr>
        <w:wordWrap w:val="0"/>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sz w:val="24"/>
          <w:u w:val="single"/>
          <w:lang w:eastAsia="zh-CN"/>
          <w14:textFill>
            <w14:solidFill>
              <w14:schemeClr w14:val="tx1"/>
            </w14:solidFill>
          </w14:textFill>
        </w:rPr>
        <w:t>浙江科佳工程咨询有限公司</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2024年-2026年笕桥周边区块市政设施长效养护服务项目【项目编号： 】</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pPr>
        <w:wordWrap w:val="0"/>
        <w:spacing w:line="360" w:lineRule="auto"/>
        <w:ind w:firstLine="494"/>
        <w:rPr>
          <w:rFonts w:ascii="仿宋" w:hAnsi="仿宋" w:eastAsia="仿宋" w:cs="仿宋"/>
          <w:color w:val="000000" w:themeColor="text1"/>
          <w:sz w:val="24"/>
          <w14:textFill>
            <w14:solidFill>
              <w14:schemeClr w14:val="tx1"/>
            </w14:solidFill>
          </w14:textFill>
        </w:rPr>
      </w:pPr>
    </w:p>
    <w:p>
      <w:pPr>
        <w:wordWrap w:val="0"/>
        <w:spacing w:line="360" w:lineRule="auto"/>
        <w:ind w:firstLine="494"/>
        <w:rPr>
          <w:rFonts w:ascii="仿宋" w:hAnsi="仿宋" w:eastAsia="仿宋" w:cs="仿宋"/>
          <w:color w:val="000000" w:themeColor="text1"/>
          <w:sz w:val="24"/>
          <w14:textFill>
            <w14:solidFill>
              <w14:schemeClr w14:val="tx1"/>
            </w14:solidFill>
          </w14:textFill>
        </w:rPr>
      </w:pPr>
    </w:p>
    <w:p>
      <w:pPr>
        <w:wordWrap w:val="0"/>
        <w:spacing w:line="360" w:lineRule="auto"/>
        <w:ind w:firstLine="494"/>
        <w:rPr>
          <w:rFonts w:ascii="仿宋" w:hAnsi="仿宋" w:eastAsia="仿宋" w:cs="仿宋"/>
          <w:color w:val="000000" w:themeColor="text1"/>
          <w:sz w:val="24"/>
          <w14:textFill>
            <w14:solidFill>
              <w14:schemeClr w14:val="tx1"/>
            </w14:solidFill>
          </w14:textFill>
        </w:rPr>
      </w:pPr>
    </w:p>
    <w:p>
      <w:pPr>
        <w:wordWrap w:val="0"/>
        <w:spacing w:line="360" w:lineRule="auto"/>
        <w:ind w:firstLine="494"/>
        <w:rPr>
          <w:rFonts w:ascii="仿宋" w:hAnsi="仿宋" w:eastAsia="仿宋" w:cs="仿宋"/>
          <w:color w:val="000000" w:themeColor="text1"/>
          <w:sz w:val="24"/>
          <w14:textFill>
            <w14:solidFill>
              <w14:schemeClr w14:val="tx1"/>
            </w14:solidFill>
          </w14:textFill>
        </w:rPr>
      </w:pPr>
    </w:p>
    <w:p>
      <w:pPr>
        <w:wordWrap w:val="0"/>
        <w:spacing w:line="360" w:lineRule="auto"/>
        <w:ind w:right="480" w:firstLine="4080" w:firstLineChars="17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pPr>
        <w:wordWrap w:val="0"/>
        <w:ind w:right="1440" w:firstLine="494"/>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pPr>
        <w:wordWrap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pPr>
        <w:wordWrap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pPr>
        <w:wordWrap w:val="0"/>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pPr>
        <w:wordWrap w:val="0"/>
        <w:autoSpaceDE w:val="0"/>
        <w:autoSpaceDN w:val="0"/>
        <w:outlineLvl w:val="0"/>
        <w:rPr>
          <w:rFonts w:ascii="仿宋" w:hAnsi="仿宋" w:eastAsia="仿宋" w:cs="仿宋"/>
          <w:b/>
          <w:bCs/>
          <w:color w:val="000000" w:themeColor="text1"/>
          <w:sz w:val="32"/>
          <w:szCs w:val="32"/>
          <w14:textFill>
            <w14:solidFill>
              <w14:schemeClr w14:val="tx1"/>
            </w14:solidFill>
          </w14:textFill>
        </w:rPr>
      </w:pPr>
      <w:bookmarkStart w:id="511" w:name="_Toc18469"/>
      <w:bookmarkStart w:id="512" w:name="_Toc23867"/>
      <w:bookmarkStart w:id="513" w:name="_Toc1904"/>
      <w:bookmarkStart w:id="514" w:name="_Toc13051"/>
      <w:bookmarkStart w:id="515" w:name="_Toc25308"/>
      <w:bookmarkStart w:id="516" w:name="_Toc31030"/>
      <w:bookmarkStart w:id="517" w:name="_Toc29318"/>
      <w:bookmarkStart w:id="518" w:name="_Toc23962"/>
      <w:r>
        <w:rPr>
          <w:rFonts w:hint="eastAsia" w:ascii="仿宋" w:hAnsi="仿宋" w:eastAsia="仿宋" w:cs="仿宋"/>
          <w:b/>
          <w:color w:val="000000" w:themeColor="text1"/>
          <w:spacing w:val="6"/>
          <w:sz w:val="32"/>
          <w:szCs w:val="32"/>
          <w14:textFill>
            <w14:solidFill>
              <w14:schemeClr w14:val="tx1"/>
            </w14:solidFill>
          </w14:textFill>
        </w:rPr>
        <w:t>附件5：</w:t>
      </w:r>
      <w:r>
        <w:rPr>
          <w:rFonts w:hint="eastAsia" w:ascii="仿宋" w:hAnsi="仿宋" w:eastAsia="仿宋" w:cs="仿宋"/>
          <w:b/>
          <w:color w:val="000000" w:themeColor="text1"/>
          <w:sz w:val="32"/>
          <w:szCs w:val="32"/>
          <w14:textFill>
            <w14:solidFill>
              <w14:schemeClr w14:val="tx1"/>
            </w14:solidFill>
          </w14:textFill>
        </w:rPr>
        <w:t>中小企业声明函</w:t>
      </w:r>
      <w:bookmarkEnd w:id="511"/>
      <w:bookmarkEnd w:id="512"/>
      <w:bookmarkEnd w:id="513"/>
      <w:bookmarkEnd w:id="514"/>
      <w:bookmarkEnd w:id="515"/>
      <w:bookmarkEnd w:id="516"/>
      <w:bookmarkEnd w:id="517"/>
      <w:bookmarkEnd w:id="518"/>
    </w:p>
    <w:p>
      <w:pPr>
        <w:wordWrap w:val="0"/>
        <w:spacing w:line="360" w:lineRule="auto"/>
        <w:jc w:val="center"/>
        <w:rPr>
          <w:rFonts w:ascii="仿宋" w:hAnsi="仿宋" w:eastAsia="仿宋" w:cs="仿宋"/>
          <w:color w:val="000000" w:themeColor="text1"/>
          <w:sz w:val="24"/>
          <w:u w:val="single"/>
          <w14:textFill>
            <w14:solidFill>
              <w14:schemeClr w14:val="tx1"/>
            </w14:solidFill>
          </w14:textFill>
        </w:rPr>
      </w:pPr>
    </w:p>
    <w:p>
      <w:pPr>
        <w:wordWrap w:val="0"/>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
          <w:color w:val="000000" w:themeColor="text1"/>
          <w:sz w:val="32"/>
          <w:szCs w:val="32"/>
          <w14:textFill>
            <w14:solidFill>
              <w14:schemeClr w14:val="tx1"/>
            </w14:solidFill>
          </w14:textFill>
        </w:rPr>
        <w:t>中小企业声明函（服务）</w:t>
      </w:r>
    </w:p>
    <w:p>
      <w:pPr>
        <w:wordWrap w:val="0"/>
        <w:spacing w:line="360" w:lineRule="auto"/>
        <w:ind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w:t>
      </w:r>
      <w:r>
        <w:rPr>
          <w:rFonts w:hint="eastAsia" w:ascii="仿宋" w:hAnsi="仿宋" w:eastAsia="仿宋" w:cs="仿宋"/>
          <w:color w:val="000000" w:themeColor="text1"/>
          <w:sz w:val="24"/>
          <w:u w:val="single"/>
          <w14:textFill>
            <w14:solidFill>
              <w14:schemeClr w14:val="tx1"/>
            </w14:solidFill>
          </w14:textFill>
        </w:rPr>
        <w:t>（填写单位名称。联合体参加的，联合体所有成员名称）</w:t>
      </w:r>
      <w:r>
        <w:rPr>
          <w:rFonts w:hint="eastAsia" w:ascii="仿宋" w:hAnsi="仿宋" w:eastAsia="仿宋" w:cs="仿宋"/>
          <w:color w:val="000000" w:themeColor="text1"/>
          <w:sz w:val="24"/>
          <w14:textFill>
            <w14:solidFill>
              <w14:schemeClr w14:val="tx1"/>
            </w14:solidFill>
          </w14:textFill>
        </w:rPr>
        <w:t xml:space="preserve">参加 </w:t>
      </w:r>
      <w:r>
        <w:rPr>
          <w:rFonts w:hint="eastAsia" w:ascii="仿宋" w:hAnsi="仿宋" w:eastAsia="仿宋" w:cs="仿宋"/>
          <w:color w:val="000000" w:themeColor="text1"/>
          <w:sz w:val="24"/>
          <w:u w:val="single"/>
          <w14:textFill>
            <w14:solidFill>
              <w14:schemeClr w14:val="tx1"/>
            </w14:solidFill>
          </w14:textFill>
        </w:rPr>
        <w:t>杭州市上城区综合行政执法局</w:t>
      </w:r>
      <w:r>
        <w:rPr>
          <w:rFonts w:hint="eastAsia" w:ascii="仿宋" w:hAnsi="仿宋" w:eastAsia="仿宋" w:cs="仿宋"/>
          <w:color w:val="000000" w:themeColor="text1"/>
          <w:sz w:val="24"/>
          <w14:textFill>
            <w14:solidFill>
              <w14:schemeClr w14:val="tx1"/>
            </w14:solidFill>
          </w14:textFill>
        </w:rPr>
        <w:t xml:space="preserve"> 的 </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w:t>
      </w:r>
      <w:r>
        <w:rPr>
          <w:rFonts w:hint="eastAsia" w:ascii="仿宋" w:hAnsi="仿宋" w:eastAsia="仿宋" w:cs="仿宋"/>
          <w:color w:val="000000" w:themeColor="text1"/>
          <w:sz w:val="24"/>
          <w14:textFill>
            <w14:solidFill>
              <w14:schemeClr w14:val="tx1"/>
            </w14:solidFill>
          </w14:textFill>
        </w:rPr>
        <w:t>采购活动，服务全部由符合政策要求的中小企业承接。相关企业（</w:t>
      </w:r>
      <w:r>
        <w:rPr>
          <w:rFonts w:hint="eastAsia" w:ascii="仿宋" w:hAnsi="仿宋" w:eastAsia="仿宋" w:cs="仿宋"/>
          <w:b/>
          <w:bCs/>
          <w:color w:val="000000" w:themeColor="text1"/>
          <w:sz w:val="24"/>
          <w14:textFill>
            <w14:solidFill>
              <w14:schemeClr w14:val="tx1"/>
            </w14:solidFill>
          </w14:textFill>
        </w:rPr>
        <w:t>含联合体中的中小企业、签订分包意向协议的中小企业</w:t>
      </w:r>
      <w:r>
        <w:rPr>
          <w:rFonts w:hint="eastAsia" w:ascii="仿宋" w:hAnsi="仿宋" w:eastAsia="仿宋" w:cs="仿宋"/>
          <w:color w:val="000000" w:themeColor="text1"/>
          <w:sz w:val="24"/>
          <w14:textFill>
            <w14:solidFill>
              <w14:schemeClr w14:val="tx1"/>
            </w14:solidFill>
          </w14:textFill>
        </w:rPr>
        <w:t>）的具体情况如下：</w:t>
      </w:r>
    </w:p>
    <w:p>
      <w:pPr>
        <w:wordWrap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kern w:val="0"/>
          <w:sz w:val="24"/>
          <w:u w:val="single"/>
          <w:lang w:val="zh-CN"/>
          <w14:textFill>
            <w14:solidFill>
              <w14:schemeClr w14:val="tx1"/>
            </w14:solidFill>
          </w14:textFill>
        </w:rPr>
        <w:t>2024年-2026年笕桥周边区块市政设施长效养护服务项目</w:t>
      </w:r>
      <w:r>
        <w:rPr>
          <w:rFonts w:hint="eastAsia" w:ascii="仿宋" w:hAnsi="仿宋" w:eastAsia="仿宋" w:cs="仿宋"/>
          <w:color w:val="000000" w:themeColor="text1"/>
          <w:sz w:val="24"/>
          <w14:textFill>
            <w14:solidFill>
              <w14:schemeClr w14:val="tx1"/>
            </w14:solidFill>
          </w14:textFill>
        </w:rPr>
        <w:t>，属于</w:t>
      </w:r>
      <w:r>
        <w:rPr>
          <w:rFonts w:hint="eastAsia" w:ascii="仿宋" w:hAnsi="仿宋" w:eastAsia="仿宋" w:cs="仿宋"/>
          <w:color w:val="000000" w:themeColor="text1"/>
          <w:sz w:val="24"/>
          <w:u w:val="single"/>
          <w14:textFill>
            <w14:solidFill>
              <w14:schemeClr w14:val="tx1"/>
            </w14:solidFill>
          </w14:textFill>
        </w:rPr>
        <w:t>其他未列明行业</w:t>
      </w:r>
      <w:r>
        <w:rPr>
          <w:rFonts w:hint="eastAsia" w:ascii="仿宋" w:hAnsi="仿宋" w:eastAsia="仿宋" w:cs="仿宋"/>
          <w:color w:val="000000" w:themeColor="text1"/>
          <w:sz w:val="24"/>
          <w14:textFill>
            <w14:solidFill>
              <w14:schemeClr w14:val="tx1"/>
            </w14:solidFill>
          </w14:textFill>
        </w:rPr>
        <w:t xml:space="preserve"> ；承接企业为 </w:t>
      </w:r>
      <w:r>
        <w:rPr>
          <w:rFonts w:hint="eastAsia" w:ascii="仿宋" w:hAnsi="仿宋" w:eastAsia="仿宋" w:cs="仿宋"/>
          <w:color w:val="000000" w:themeColor="text1"/>
          <w:sz w:val="24"/>
          <w:u w:val="single"/>
          <w14:textFill>
            <w14:solidFill>
              <w14:schemeClr w14:val="tx1"/>
            </w14:solidFill>
          </w14:textFill>
        </w:rPr>
        <w:t>（填写投标人单位名称）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中型企业、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小型企业、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 xml:space="preserve">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bidi="ar"/>
          <w14:textFill>
            <w14:solidFill>
              <w14:schemeClr w14:val="tx1"/>
            </w14:solidFill>
          </w14:textFill>
        </w:rPr>
        <w:t>若采用联合体形式投标的，联合体成员为中小企业的填写联合体成员的企业情况：</w:t>
      </w:r>
    </w:p>
    <w:p>
      <w:pPr>
        <w:wordWrap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u w:val="single"/>
          <w:lang w:val="zh-CN"/>
          <w14:textFill>
            <w14:solidFill>
              <w14:schemeClr w14:val="tx1"/>
            </w14:solidFill>
          </w14:textFill>
        </w:rPr>
        <w:t>2024年-2026年笕桥周边区块市政设施长效养护服务项目</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其他未列明行业</w:t>
      </w:r>
      <w:r>
        <w:rPr>
          <w:rFonts w:hint="eastAsia" w:ascii="仿宋" w:hAnsi="仿宋" w:eastAsia="仿宋" w:cs="仿宋"/>
          <w:color w:val="000000" w:themeColor="text1"/>
          <w:sz w:val="24"/>
          <w14:textFill>
            <w14:solidFill>
              <w14:schemeClr w14:val="tx1"/>
            </w14:solidFill>
          </w14:textFill>
        </w:rPr>
        <w:t xml:space="preserve"> ；承接企业为 </w:t>
      </w:r>
      <w:r>
        <w:rPr>
          <w:rFonts w:hint="eastAsia" w:ascii="仿宋" w:hAnsi="仿宋" w:eastAsia="仿宋" w:cs="仿宋"/>
          <w:color w:val="000000" w:themeColor="text1"/>
          <w:sz w:val="24"/>
          <w:u w:val="single"/>
          <w14:textFill>
            <w14:solidFill>
              <w14:schemeClr w14:val="tx1"/>
            </w14:solidFill>
          </w14:textFill>
        </w:rPr>
        <w:t>（填写联合体成员企业名称）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中型企业、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小型企业、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 xml:space="preserve">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bidi="ar"/>
          <w14:textFill>
            <w14:solidFill>
              <w14:schemeClr w14:val="tx1"/>
            </w14:solidFill>
          </w14:textFill>
        </w:rPr>
        <w:t>若成中标拟定分包的，分包企业为中小企业的填写分包企业的情况：</w:t>
      </w:r>
    </w:p>
    <w:p>
      <w:pPr>
        <w:wordWrap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3.1 </w:t>
      </w:r>
      <w:r>
        <w:rPr>
          <w:rFonts w:hint="eastAsia" w:ascii="仿宋" w:hAnsi="仿宋" w:eastAsia="仿宋" w:cs="仿宋"/>
          <w:color w:val="000000" w:themeColor="text1"/>
          <w:kern w:val="0"/>
          <w:sz w:val="24"/>
          <w:u w:val="single"/>
          <w:lang w:val="zh-CN"/>
          <w14:textFill>
            <w14:solidFill>
              <w14:schemeClr w14:val="tx1"/>
            </w14:solidFill>
          </w14:textFill>
        </w:rPr>
        <w:t>2024年-2026年笕桥周边区块市政设施长效养护服务项目</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其他未列明行业</w:t>
      </w:r>
      <w:r>
        <w:rPr>
          <w:rFonts w:hint="eastAsia" w:ascii="仿宋" w:hAnsi="仿宋" w:eastAsia="仿宋" w:cs="仿宋"/>
          <w:color w:val="000000" w:themeColor="text1"/>
          <w:sz w:val="24"/>
          <w14:textFill>
            <w14:solidFill>
              <w14:schemeClr w14:val="tx1"/>
            </w14:solidFill>
          </w14:textFill>
        </w:rPr>
        <w:t xml:space="preserve"> ；承接企业为 </w:t>
      </w:r>
      <w:r>
        <w:rPr>
          <w:rFonts w:hint="eastAsia" w:ascii="仿宋" w:hAnsi="仿宋" w:eastAsia="仿宋" w:cs="仿宋"/>
          <w:color w:val="000000" w:themeColor="text1"/>
          <w:sz w:val="24"/>
          <w:u w:val="single"/>
          <w14:textFill>
            <w14:solidFill>
              <w14:schemeClr w14:val="tx1"/>
            </w14:solidFill>
          </w14:textFill>
        </w:rPr>
        <w:t>（填写分包企业名称）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中型企业、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小型企业、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 xml:space="preserve">微型企业） </w:t>
      </w:r>
      <w:r>
        <w:rPr>
          <w:rFonts w:hint="eastAsia" w:ascii="仿宋" w:hAnsi="仿宋" w:eastAsia="仿宋" w:cs="仿宋"/>
          <w:color w:val="000000" w:themeColor="text1"/>
          <w:sz w:val="24"/>
          <w14:textFill>
            <w14:solidFill>
              <w14:schemeClr w14:val="tx1"/>
            </w14:solidFill>
          </w14:textFill>
        </w:rPr>
        <w:t>。</w:t>
      </w:r>
    </w:p>
    <w:p>
      <w:pPr>
        <w:wordWrap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3.2 </w:t>
      </w:r>
      <w:r>
        <w:rPr>
          <w:rFonts w:hint="eastAsia" w:ascii="仿宋" w:hAnsi="仿宋" w:eastAsia="仿宋" w:cs="仿宋"/>
          <w:color w:val="000000" w:themeColor="text1"/>
          <w:kern w:val="0"/>
          <w:sz w:val="24"/>
          <w:u w:val="single"/>
          <w:lang w:val="zh-CN"/>
          <w14:textFill>
            <w14:solidFill>
              <w14:schemeClr w14:val="tx1"/>
            </w14:solidFill>
          </w14:textFill>
        </w:rPr>
        <w:t>2024年-2026年笕桥周边区块市政设施长效养护服务项目</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其他未列明行业</w:t>
      </w:r>
      <w:r>
        <w:rPr>
          <w:rFonts w:hint="eastAsia" w:ascii="仿宋" w:hAnsi="仿宋" w:eastAsia="仿宋" w:cs="仿宋"/>
          <w:color w:val="000000" w:themeColor="text1"/>
          <w:sz w:val="24"/>
          <w14:textFill>
            <w14:solidFill>
              <w14:schemeClr w14:val="tx1"/>
            </w14:solidFill>
          </w14:textFill>
        </w:rPr>
        <w:t xml:space="preserve"> ；承接企业为 </w:t>
      </w:r>
      <w:r>
        <w:rPr>
          <w:rFonts w:hint="eastAsia" w:ascii="仿宋" w:hAnsi="仿宋" w:eastAsia="仿宋" w:cs="仿宋"/>
          <w:color w:val="000000" w:themeColor="text1"/>
          <w:sz w:val="24"/>
          <w:u w:val="single"/>
          <w14:textFill>
            <w14:solidFill>
              <w14:schemeClr w14:val="tx1"/>
            </w14:solidFill>
          </w14:textFill>
        </w:rPr>
        <w:t>（填写分包企业名称）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中型企业、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小型企业、</w:t>
      </w:r>
      <w:r>
        <w:rPr>
          <w:rFonts w:hint="eastAsia" w:ascii="仿宋" w:hAnsi="仿宋" w:eastAsia="仿宋" w:cs="仿宋"/>
          <w:color w:val="000000" w:themeColor="text1"/>
          <w:sz w:val="24"/>
          <w:u w:val="single"/>
          <w14:textFill>
            <w14:solidFill>
              <w14:schemeClr w14:val="tx1"/>
            </w14:solidFill>
          </w14:textFill>
        </w:rPr>
        <w:sym w:font="Wingdings" w:char="00A8"/>
      </w:r>
      <w:r>
        <w:rPr>
          <w:rFonts w:hint="eastAsia" w:ascii="仿宋" w:hAnsi="仿宋" w:eastAsia="仿宋" w:cs="仿宋"/>
          <w:color w:val="000000" w:themeColor="text1"/>
          <w:sz w:val="24"/>
          <w:u w:val="single"/>
          <w14:textFill>
            <w14:solidFill>
              <w14:schemeClr w14:val="tx1"/>
            </w14:solidFill>
          </w14:textFill>
        </w:rPr>
        <w:t xml:space="preserve">微型企业） </w:t>
      </w:r>
      <w:r>
        <w:rPr>
          <w:rFonts w:hint="eastAsia" w:ascii="仿宋" w:hAnsi="仿宋" w:eastAsia="仿宋" w:cs="仿宋"/>
          <w:color w:val="000000" w:themeColor="text1"/>
          <w:sz w:val="24"/>
          <w14:textFill>
            <w14:solidFill>
              <w14:schemeClr w14:val="tx1"/>
            </w14:solidFill>
          </w14:textFill>
        </w:rPr>
        <w:t>。</w:t>
      </w:r>
    </w:p>
    <w:p>
      <w:pPr>
        <w:wordWrap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p>
    <w:p>
      <w:pPr>
        <w:wordWrap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wordWrap w:val="0"/>
        <w:spacing w:line="360" w:lineRule="auto"/>
        <w:ind w:right="176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pPr>
        <w:wordWrap w:val="0"/>
        <w:spacing w:line="360" w:lineRule="auto"/>
        <w:ind w:right="1120" w:firstLine="4680" w:firstLineChars="19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pPr>
        <w:wordWrap w:val="0"/>
        <w:spacing w:line="360" w:lineRule="auto"/>
        <w:ind w:firstLine="310" w:firstLineChars="147"/>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3.标的所属行业中小企业划分标准：</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u w:val="single"/>
          <w14:textFill>
            <w14:solidFill>
              <w14:schemeClr w14:val="tx1"/>
            </w14:solidFill>
          </w14:textFill>
        </w:rPr>
        <w:t>其他未列明行业</w:t>
      </w:r>
      <w:r>
        <w:rPr>
          <w:rFonts w:hint="eastAsia" w:ascii="仿宋" w:hAnsi="仿宋" w:eastAsia="仿宋" w:cs="仿宋"/>
          <w:color w:val="000000" w:themeColor="text1"/>
          <w:sz w:val="24"/>
          <w:u w:val="single"/>
          <w14:textFill>
            <w14:solidFill>
              <w14:schemeClr w14:val="tx1"/>
            </w14:solidFill>
          </w14:textFill>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000000" w:themeColor="text1"/>
          <w:sz w:val="24"/>
          <w:u w:val="single"/>
          <w14:textFill>
            <w14:solidFill>
              <w14:schemeClr w14:val="tx1"/>
            </w14:solidFill>
          </w14:textFill>
        </w:rPr>
        <w:t>其中，从业人员100人及以上的为中型企业；从业人员10人及以上的为小型企业；从业人员10人以下的为微型企业</w:t>
      </w:r>
      <w:r>
        <w:rPr>
          <w:rFonts w:hint="eastAsia" w:ascii="仿宋" w:hAnsi="仿宋" w:eastAsia="仿宋" w:cs="仿宋"/>
          <w:color w:val="000000" w:themeColor="text1"/>
          <w:sz w:val="24"/>
          <w:u w:val="single"/>
          <w14:textFill>
            <w14:solidFill>
              <w14:schemeClr w14:val="tx1"/>
            </w14:solidFill>
          </w14:textFill>
        </w:rPr>
        <w:t>。</w:t>
      </w:r>
    </w:p>
    <w:p>
      <w:pPr>
        <w:wordWrap w:val="0"/>
        <w:spacing w:line="360" w:lineRule="auto"/>
        <w:ind w:firstLine="482"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4.事业单位、社会组织等非企业单位提供的货物、工程、服务，暂不享受政府采购支持中小企业的相关政策。</w:t>
      </w:r>
    </w:p>
    <w:p>
      <w:pPr>
        <w:pStyle w:val="62"/>
        <w:wordWrap w:val="0"/>
        <w:ind w:firstLine="420"/>
        <w:rPr>
          <w:rFonts w:ascii="仿宋" w:hAnsi="仿宋" w:eastAsia="仿宋" w:cs="仿宋"/>
          <w:color w:val="000000" w:themeColor="text1"/>
          <w14:textFill>
            <w14:solidFill>
              <w14:schemeClr w14:val="tx1"/>
            </w14:solidFill>
          </w14:textFill>
        </w:rPr>
      </w:pPr>
    </w:p>
    <w:p>
      <w:pPr>
        <w:wordWrap w:val="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wordWrap w:val="0"/>
        <w:snapToGrid w:val="0"/>
        <w:spacing w:before="50" w:after="50" w:line="360" w:lineRule="auto"/>
        <w:outlineLvl w:val="0"/>
        <w:rPr>
          <w:rFonts w:ascii="仿宋" w:hAnsi="仿宋" w:eastAsia="仿宋" w:cs="仿宋"/>
          <w:b/>
          <w:color w:val="000000" w:themeColor="text1"/>
          <w:kern w:val="0"/>
          <w:sz w:val="32"/>
          <w:szCs w:val="32"/>
          <w14:textFill>
            <w14:solidFill>
              <w14:schemeClr w14:val="tx1"/>
            </w14:solidFill>
          </w14:textFill>
        </w:rPr>
      </w:pPr>
      <w:bookmarkStart w:id="519" w:name="_Toc16741"/>
      <w:bookmarkStart w:id="520" w:name="_Toc8013"/>
      <w:bookmarkStart w:id="521" w:name="_Toc15498"/>
      <w:bookmarkStart w:id="522" w:name="_Toc15843"/>
      <w:bookmarkStart w:id="523" w:name="_Toc25620"/>
      <w:bookmarkStart w:id="524" w:name="_Toc13984"/>
      <w:bookmarkStart w:id="525" w:name="_Toc2500"/>
      <w:bookmarkStart w:id="526" w:name="_Toc28870"/>
      <w:r>
        <w:rPr>
          <w:rFonts w:hint="eastAsia" w:ascii="仿宋" w:hAnsi="仿宋" w:eastAsia="仿宋" w:cs="仿宋"/>
          <w:b/>
          <w:color w:val="000000" w:themeColor="text1"/>
          <w:kern w:val="0"/>
          <w:sz w:val="32"/>
          <w:szCs w:val="32"/>
          <w14:textFill>
            <w14:solidFill>
              <w14:schemeClr w14:val="tx1"/>
            </w14:solidFill>
          </w14:textFill>
        </w:rPr>
        <w:t>附件6</w:t>
      </w:r>
      <w:bookmarkEnd w:id="519"/>
      <w:bookmarkEnd w:id="520"/>
      <w:bookmarkEnd w:id="521"/>
      <w:r>
        <w:rPr>
          <w:rFonts w:hint="eastAsia" w:ascii="仿宋" w:hAnsi="仿宋" w:eastAsia="仿宋" w:cs="仿宋"/>
          <w:b/>
          <w:color w:val="000000" w:themeColor="text1"/>
          <w:kern w:val="0"/>
          <w:sz w:val="32"/>
          <w:szCs w:val="32"/>
          <w14:textFill>
            <w14:solidFill>
              <w14:schemeClr w14:val="tx1"/>
            </w14:solidFill>
          </w14:textFill>
        </w:rPr>
        <w:t xml:space="preserve"> </w:t>
      </w:r>
      <w:bookmarkEnd w:id="522"/>
      <w:bookmarkEnd w:id="523"/>
      <w:bookmarkEnd w:id="524"/>
      <w:r>
        <w:rPr>
          <w:rFonts w:hint="eastAsia" w:ascii="仿宋" w:hAnsi="仿宋" w:eastAsia="仿宋" w:cs="仿宋"/>
          <w:b/>
          <w:color w:val="000000" w:themeColor="text1"/>
          <w:kern w:val="0"/>
          <w:sz w:val="32"/>
          <w:szCs w:val="32"/>
          <w14:textFill>
            <w14:solidFill>
              <w14:schemeClr w14:val="tx1"/>
            </w14:solidFill>
          </w14:textFill>
        </w:rPr>
        <w:t>联合协议</w:t>
      </w:r>
      <w:bookmarkEnd w:id="525"/>
      <w:bookmarkEnd w:id="526"/>
    </w:p>
    <w:p>
      <w:pPr>
        <w:widowControl/>
        <w:wordWrap w:val="0"/>
        <w:spacing w:line="360" w:lineRule="auto"/>
        <w:ind w:firstLine="643" w:firstLineChars="200"/>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widowControl/>
        <w:wordWrap w:val="0"/>
        <w:spacing w:line="360" w:lineRule="auto"/>
        <w:ind w:firstLine="482" w:firstLineChars="20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wordWrap w:val="0"/>
        <w:snapToGrid w:val="0"/>
        <w:ind w:firstLine="578"/>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2024年-2026年笕桥周边区块市政设施长效养护服务项目【项目编号： 】</w:t>
      </w:r>
      <w:r>
        <w:rPr>
          <w:rFonts w:hint="eastAsia" w:ascii="仿宋" w:hAnsi="仿宋" w:eastAsia="仿宋" w:cs="仿宋"/>
          <w:color w:val="000000" w:themeColor="text1"/>
          <w:kern w:val="0"/>
          <w:sz w:val="24"/>
          <w:lang w:val="zh-CN"/>
          <w14:textFill>
            <w14:solidFill>
              <w14:schemeClr w14:val="tx1"/>
            </w14:solidFill>
          </w14:textFill>
        </w:rPr>
        <w:t xml:space="preserve">投标。 </w:t>
      </w:r>
      <w:r>
        <w:rPr>
          <w:rFonts w:hint="eastAsia" w:ascii="仿宋" w:hAnsi="仿宋" w:eastAsia="仿宋" w:cs="仿宋"/>
          <w:color w:val="000000" w:themeColor="text1"/>
          <w:kern w:val="0"/>
          <w:sz w:val="24"/>
          <w14:textFill>
            <w14:solidFill>
              <w14:schemeClr w14:val="tx1"/>
            </w14:solidFill>
          </w14:textFill>
        </w:rPr>
        <w:t xml:space="preserve">    </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（填写联合体成员单位名称）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三、本项目项目负责人</w:t>
      </w:r>
      <w:r>
        <w:rPr>
          <w:rFonts w:hint="eastAsia" w:ascii="仿宋" w:hAnsi="仿宋" w:eastAsia="仿宋" w:cs="仿宋"/>
          <w:color w:val="000000" w:themeColor="text1"/>
          <w:kern w:val="0"/>
          <w:sz w:val="24"/>
          <w:u w:val="single"/>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 xml:space="preserve">   填写</w:t>
      </w:r>
      <w:r>
        <w:rPr>
          <w:rFonts w:hint="eastAsia" w:ascii="仿宋" w:hAnsi="仿宋" w:eastAsia="仿宋" w:cs="仿宋"/>
          <w:color w:val="000000" w:themeColor="text1"/>
          <w:kern w:val="0"/>
          <w:sz w:val="24"/>
          <w:u w:val="single"/>
          <w:lang w:val="zh-CN"/>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由 </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填写单位名称）</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方派遣。</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四、</w:t>
      </w:r>
      <w:r>
        <w:rPr>
          <w:rFonts w:hint="eastAsia" w:ascii="仿宋" w:hAnsi="仿宋" w:eastAsia="仿宋" w:cs="仿宋"/>
          <w:color w:val="000000" w:themeColor="text1"/>
          <w:kern w:val="0"/>
          <w:sz w:val="24"/>
          <w:lang w:val="zh-CN"/>
          <w14:textFill>
            <w14:solidFill>
              <w14:schemeClr w14:val="tx1"/>
            </w14:solidFill>
          </w14:textFill>
        </w:rPr>
        <w:t>本次联合投标中，分工如下：</w:t>
      </w:r>
      <w:r>
        <w:rPr>
          <w:rFonts w:hint="eastAsia" w:ascii="仿宋" w:hAnsi="仿宋" w:eastAsia="仿宋" w:cs="仿宋"/>
          <w:color w:val="000000" w:themeColor="text1"/>
          <w:kern w:val="0"/>
          <w:sz w:val="24"/>
          <w:u w:val="single"/>
          <w14:textFill>
            <w14:solidFill>
              <w14:schemeClr w14:val="tx1"/>
            </w14:solidFill>
          </w14:textFill>
        </w:rPr>
        <w:t>（填写联合体其中一方成员名称）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（填写联合体其中一方成员名称）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 ；……。</w:t>
      </w:r>
    </w:p>
    <w:p>
      <w:pPr>
        <w:ind w:firstLine="480" w:firstLineChars="200"/>
        <w:rPr>
          <w:rFonts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五</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%（应超过50%）。</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六</w:t>
      </w:r>
      <w:r>
        <w:rPr>
          <w:rFonts w:hint="eastAsia" w:ascii="仿宋" w:hAnsi="仿宋" w:eastAsia="仿宋" w:cs="仿宋"/>
          <w:color w:val="000000" w:themeColor="text1"/>
          <w:kern w:val="0"/>
          <w:sz w:val="24"/>
          <w:lang w:val="zh-CN"/>
          <w14:textFill>
            <w14:solidFill>
              <w14:schemeClr w14:val="tx1"/>
            </w14:solidFill>
          </w14:textFill>
        </w:rPr>
        <w:t>、如果中标，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七</w:t>
      </w:r>
      <w:r>
        <w:rPr>
          <w:rFonts w:hint="eastAsia" w:ascii="仿宋" w:hAnsi="仿宋" w:eastAsia="仿宋" w:cs="仿宋"/>
          <w:color w:val="000000" w:themeColor="text1"/>
          <w:kern w:val="0"/>
          <w:sz w:val="24"/>
          <w:lang w:val="zh-CN"/>
          <w14:textFill>
            <w14:solidFill>
              <w14:schemeClr w14:val="tx1"/>
            </w14:solidFill>
          </w14:textFill>
        </w:rPr>
        <w:t>、有关本次联合投标的其他事宜：</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wordWrap w:val="0"/>
        <w:snapToGrid w:val="0"/>
        <w:ind w:firstLine="578"/>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4、其他联合体双方约定的事项：</w:t>
      </w:r>
      <w:r>
        <w:rPr>
          <w:rFonts w:hint="eastAsia" w:ascii="仿宋" w:hAnsi="仿宋" w:eastAsia="仿宋" w:cs="仿宋"/>
          <w:color w:val="000000" w:themeColor="text1"/>
          <w:kern w:val="0"/>
          <w:sz w:val="24"/>
          <w:u w:val="single"/>
          <w:lang w:bidi="ar"/>
          <w14:textFill>
            <w14:solidFill>
              <w14:schemeClr w14:val="tx1"/>
            </w14:solidFill>
          </w14:textFill>
        </w:rPr>
        <w:t xml:space="preserve">                             </w:t>
      </w:r>
    </w:p>
    <w:p>
      <w:pPr>
        <w:wordWrap w:val="0"/>
        <w:snapToGrid w:val="0"/>
        <w:spacing w:line="276" w:lineRule="auto"/>
        <w:ind w:firstLine="578"/>
        <w:rPr>
          <w:rFonts w:ascii="仿宋" w:hAnsi="仿宋" w:eastAsia="仿宋" w:cs="仿宋"/>
          <w:color w:val="000000" w:themeColor="text1"/>
          <w:kern w:val="0"/>
          <w:sz w:val="24"/>
          <w:lang w:val="zh-CN"/>
          <w14:textFill>
            <w14:solidFill>
              <w14:schemeClr w14:val="tx1"/>
            </w14:solidFill>
          </w14:textFill>
        </w:rPr>
      </w:pPr>
    </w:p>
    <w:p>
      <w:pPr>
        <w:wordWrap w:val="0"/>
        <w:spacing w:line="276" w:lineRule="auto"/>
        <w:ind w:right="420"/>
        <w:rPr>
          <w:rFonts w:ascii="仿宋" w:hAnsi="仿宋" w:eastAsia="仿宋" w:cs="仿宋"/>
          <w:color w:val="000000" w:themeColor="text1"/>
          <w:sz w:val="24"/>
          <w14:textFill>
            <w14:solidFill>
              <w14:schemeClr w14:val="tx1"/>
            </w14:solidFill>
          </w14:textFill>
        </w:rPr>
      </w:pPr>
    </w:p>
    <w:p>
      <w:pPr>
        <w:wordWrap w:val="0"/>
        <w:spacing w:line="276" w:lineRule="auto"/>
        <w:ind w:right="420"/>
        <w:rPr>
          <w:rFonts w:ascii="仿宋" w:hAnsi="仿宋" w:eastAsia="仿宋" w:cs="仿宋"/>
          <w:color w:val="000000" w:themeColor="text1"/>
          <w:sz w:val="24"/>
          <w14:textFill>
            <w14:solidFill>
              <w14:schemeClr w14:val="tx1"/>
            </w14:solidFill>
          </w14:textFill>
        </w:rPr>
      </w:pPr>
    </w:p>
    <w:p>
      <w:pPr>
        <w:wordWrap w:val="0"/>
        <w:spacing w:line="276"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注：1.按本格式和要求提供。</w:t>
      </w:r>
    </w:p>
    <w:p>
      <w:pPr>
        <w:wordWrap w:val="0"/>
        <w:autoSpaceDE w:val="0"/>
        <w:autoSpaceDN w:val="0"/>
        <w:spacing w:line="276" w:lineRule="auto"/>
        <w:ind w:firstLine="480" w:firstLineChars="200"/>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附项目负责人单位社保缴纳证明。</w:t>
      </w:r>
    </w:p>
    <w:p>
      <w:pPr>
        <w:wordWrap w:val="0"/>
        <w:snapToGrid w:val="0"/>
        <w:spacing w:line="276"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联合体牵头人名称</w:t>
      </w:r>
    </w:p>
    <w:p>
      <w:pPr>
        <w:wordWrap w:val="0"/>
        <w:snapToGrid w:val="0"/>
        <w:spacing w:line="276"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电子签名/物理公章</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276"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w:t>
      </w:r>
    </w:p>
    <w:p>
      <w:pPr>
        <w:wordWrap w:val="0"/>
        <w:snapToGrid w:val="0"/>
        <w:spacing w:line="276"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电子签名/物理公章</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276"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ordWrap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p>
    <w:p>
      <w:pPr>
        <w:wordWrap w:val="0"/>
        <w:snapToGrid w:val="0"/>
        <w:spacing w:line="360" w:lineRule="auto"/>
        <w:outlineLvl w:val="0"/>
        <w:rPr>
          <w:rFonts w:ascii="仿宋" w:hAnsi="仿宋" w:eastAsia="仿宋" w:cs="仿宋"/>
          <w:b/>
          <w:color w:val="000000" w:themeColor="text1"/>
          <w:kern w:val="0"/>
          <w:sz w:val="32"/>
          <w:szCs w:val="32"/>
          <w14:textFill>
            <w14:solidFill>
              <w14:schemeClr w14:val="tx1"/>
            </w14:solidFill>
          </w14:textFill>
        </w:rPr>
      </w:pPr>
      <w:bookmarkStart w:id="527" w:name="_Toc32513"/>
      <w:bookmarkStart w:id="528" w:name="_Toc3992"/>
      <w:bookmarkStart w:id="529" w:name="_Toc30868"/>
      <w:bookmarkStart w:id="530" w:name="_Toc31060"/>
      <w:bookmarkStart w:id="531" w:name="_Toc29153"/>
      <w:bookmarkStart w:id="532" w:name="_Toc26897"/>
      <w:bookmarkStart w:id="533" w:name="_Toc3962"/>
      <w:bookmarkStart w:id="534" w:name="_Toc2793"/>
      <w:r>
        <w:rPr>
          <w:rFonts w:hint="eastAsia" w:ascii="仿宋" w:hAnsi="仿宋" w:eastAsia="仿宋" w:cs="仿宋"/>
          <w:b/>
          <w:color w:val="000000" w:themeColor="text1"/>
          <w:kern w:val="0"/>
          <w:sz w:val="32"/>
          <w:szCs w:val="32"/>
          <w14:textFill>
            <w14:solidFill>
              <w14:schemeClr w14:val="tx1"/>
            </w14:solidFill>
          </w14:textFill>
        </w:rPr>
        <w:t>附件7</w:t>
      </w:r>
      <w:bookmarkEnd w:id="527"/>
      <w:bookmarkEnd w:id="528"/>
      <w:bookmarkEnd w:id="529"/>
      <w:r>
        <w:rPr>
          <w:rFonts w:hint="eastAsia" w:ascii="仿宋" w:hAnsi="仿宋" w:eastAsia="仿宋" w:cs="仿宋"/>
          <w:b/>
          <w:color w:val="000000" w:themeColor="text1"/>
          <w:kern w:val="0"/>
          <w:sz w:val="32"/>
          <w:szCs w:val="32"/>
          <w14:textFill>
            <w14:solidFill>
              <w14:schemeClr w14:val="tx1"/>
            </w14:solidFill>
          </w14:textFill>
        </w:rPr>
        <w:t xml:space="preserve"> 分包意向协议</w:t>
      </w:r>
      <w:bookmarkEnd w:id="530"/>
      <w:bookmarkEnd w:id="531"/>
      <w:bookmarkEnd w:id="532"/>
      <w:bookmarkEnd w:id="533"/>
      <w:bookmarkEnd w:id="534"/>
    </w:p>
    <w:p>
      <w:pPr>
        <w:wordWrap w:val="0"/>
        <w:snapToGrid w:val="0"/>
        <w:spacing w:line="360" w:lineRule="auto"/>
        <w:ind w:firstLine="3534" w:firstLineChars="11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分包意向协议</w:t>
      </w:r>
    </w:p>
    <w:p>
      <w:pPr>
        <w:wordWrap w:val="0"/>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（每个分包商单独提供）</w:t>
      </w:r>
    </w:p>
    <w:p>
      <w:pPr>
        <w:widowControl/>
        <w:wordWrap w:val="0"/>
        <w:spacing w:line="288"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同意将非主体、非关键性的工作分包。若非主体、非关键性工作已由联合体成员承担的，则不允许分包。分包份额不得超过总包单位。投标人中标后以分包方式履行合同的，提供分包意向协议；不以分包方式履行合同的，则无需提供。）</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sz w:val="24"/>
          <w:u w:val="single"/>
          <w14:textFill>
            <w14:solidFill>
              <w14:schemeClr w14:val="tx1"/>
            </w14:solidFill>
          </w14:textFill>
        </w:rPr>
        <w:t>2024年-2026年笕桥周边区块市政设施长效养护服务项目【项目编号：  】</w:t>
      </w:r>
      <w:r>
        <w:rPr>
          <w:rFonts w:hint="eastAsia" w:ascii="仿宋" w:hAnsi="仿宋" w:eastAsia="仿宋" w:cs="仿宋"/>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（填写投标人名称）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（填写分包供应商名称）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一、分包标的及数量</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（填写投标人名称）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kern w:val="0"/>
          <w:sz w:val="24"/>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（填写分包供应商名称）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（填写分包供应商名称）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二、分包工作履行期限、地点、方式</w:t>
      </w:r>
    </w:p>
    <w:p>
      <w:pPr>
        <w:wordWrap w:val="0"/>
        <w:snapToGrid w:val="0"/>
        <w:spacing w:line="288" w:lineRule="auto"/>
        <w:ind w:firstLine="576"/>
        <w:rPr>
          <w:rFonts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三、质量</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四、价款或者报酬</w:t>
      </w:r>
    </w:p>
    <w:p>
      <w:pPr>
        <w:wordWrap w:val="0"/>
        <w:snapToGrid w:val="0"/>
        <w:spacing w:line="288" w:lineRule="auto"/>
        <w:ind w:left="573" w:leftChars="273"/>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wordWrap w:val="0"/>
        <w:snapToGrid w:val="0"/>
        <w:spacing w:line="288" w:lineRule="auto"/>
        <w:ind w:left="573" w:leftChars="273"/>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五、违约责任</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六、争议解决的办法</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wordWrap w:val="0"/>
        <w:snapToGrid w:val="0"/>
        <w:spacing w:line="288"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七、其他</w:t>
      </w:r>
    </w:p>
    <w:p>
      <w:pPr>
        <w:wordWrap w:val="0"/>
        <w:snapToGrid w:val="0"/>
        <w:spacing w:line="360" w:lineRule="auto"/>
        <w:ind w:firstLine="720" w:firstLineChars="3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288"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wordWrap w:val="0"/>
        <w:snapToGrid w:val="0"/>
        <w:spacing w:line="288" w:lineRule="auto"/>
        <w:ind w:left="5746" w:leftChars="2622" w:hanging="240" w:hanging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电子签名/物理公章</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288" w:lineRule="auto"/>
        <w:ind w:firstLine="4800" w:firstLineChars="20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w:t>
      </w:r>
      <w:r>
        <w:rPr>
          <w:rFonts w:hint="eastAsia" w:ascii="仿宋" w:hAnsi="仿宋" w:eastAsia="仿宋" w:cs="仿宋"/>
          <w:color w:val="000000" w:themeColor="text1"/>
          <w:kern w:val="0"/>
          <w:sz w:val="24"/>
          <w14:textFill>
            <w14:solidFill>
              <w14:schemeClr w14:val="tx1"/>
            </w14:solidFill>
          </w14:textFill>
        </w:rPr>
        <w:t>电子签名/物理公章</w:t>
      </w:r>
      <w:r>
        <w:rPr>
          <w:rFonts w:hint="eastAsia" w:ascii="仿宋" w:hAnsi="仿宋" w:eastAsia="仿宋" w:cs="仿宋"/>
          <w:color w:val="000000" w:themeColor="text1"/>
          <w:kern w:val="0"/>
          <w:sz w:val="24"/>
          <w:lang w:val="zh-CN"/>
          <w14:textFill>
            <w14:solidFill>
              <w14:schemeClr w14:val="tx1"/>
            </w14:solidFill>
          </w14:textFill>
        </w:rPr>
        <w:t>）：</w:t>
      </w:r>
    </w:p>
    <w:p>
      <w:pPr>
        <w:wordWrap w:val="0"/>
        <w:snapToGrid w:val="0"/>
        <w:spacing w:line="288" w:lineRule="auto"/>
        <w:ind w:firstLine="5760" w:firstLineChars="2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pStyle w:val="62"/>
        <w:wordWrap w:val="0"/>
        <w:spacing w:after="0" w:line="288"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ordWrap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lvetica">
    <w:panose1 w:val="020B0504020202030204"/>
    <w:charset w:val="00"/>
    <w:family w:val="auto"/>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35" w:name="_Toc164085800"/>
    <w:bookmarkStart w:id="536" w:name="_Toc131845147"/>
    <w:bookmarkStart w:id="537" w:name="_Toc36110187"/>
    <w:bookmarkStart w:id="538" w:name="_Toc91899912"/>
    <w:r>
      <w:rPr>
        <w:rFonts w:hint="eastAsia" w:ascii="仿宋_GB2312" w:eastAsia="仿宋_GB2312"/>
        <w:kern w:val="0"/>
        <w:szCs w:val="21"/>
      </w:rPr>
      <w:t xml:space="preserve"> 页</w:t>
    </w:r>
    <w:bookmarkEnd w:id="535"/>
    <w:bookmarkEnd w:id="536"/>
    <w:bookmarkEnd w:id="537"/>
    <w:bookmarkEnd w:id="5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E5E2639C"/>
    <w:multiLevelType w:val="singleLevel"/>
    <w:tmpl w:val="E5E2639C"/>
    <w:lvl w:ilvl="0" w:tentative="0">
      <w:start w:val="1"/>
      <w:numFmt w:val="decimal"/>
      <w:lvlText w:val="%1."/>
      <w:lvlJc w:val="left"/>
      <w:pPr>
        <w:tabs>
          <w:tab w:val="left" w:pos="312"/>
        </w:tabs>
      </w:pPr>
    </w:lvl>
  </w:abstractNum>
  <w:abstractNum w:abstractNumId="4">
    <w:nsid w:val="EEBCB84E"/>
    <w:multiLevelType w:val="singleLevel"/>
    <w:tmpl w:val="EEBCB84E"/>
    <w:lvl w:ilvl="0" w:tentative="0">
      <w:start w:val="1"/>
      <w:numFmt w:val="chineseCounting"/>
      <w:suff w:val="nothing"/>
      <w:lvlText w:val="%1、"/>
      <w:lvlJc w:val="left"/>
      <w:rPr>
        <w:rFonts w:hint="eastAsia"/>
      </w:rPr>
    </w:lvl>
  </w:abstractNum>
  <w:abstractNum w:abstractNumId="5">
    <w:nsid w:val="F36C64C2"/>
    <w:multiLevelType w:val="multilevel"/>
    <w:tmpl w:val="F36C64C2"/>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FE000763"/>
    <w:multiLevelType w:val="singleLevel"/>
    <w:tmpl w:val="FE000763"/>
    <w:lvl w:ilvl="0" w:tentative="0">
      <w:start w:val="8"/>
      <w:numFmt w:val="decimal"/>
      <w:suff w:val="space"/>
      <w:lvlText w:val="%1."/>
      <w:lvlJc w:val="left"/>
    </w:lvl>
  </w:abstractNum>
  <w:abstractNum w:abstractNumId="7">
    <w:nsid w:val="FEB5BA49"/>
    <w:multiLevelType w:val="singleLevel"/>
    <w:tmpl w:val="FEB5BA49"/>
    <w:lvl w:ilvl="0" w:tentative="0">
      <w:start w:val="1"/>
      <w:numFmt w:val="decimal"/>
      <w:suff w:val="nothing"/>
      <w:lvlText w:val="（%1）"/>
      <w:lvlJc w:val="left"/>
    </w:lvl>
  </w:abstractNum>
  <w:abstractNum w:abstractNumId="8">
    <w:nsid w:val="033CCED8"/>
    <w:multiLevelType w:val="singleLevel"/>
    <w:tmpl w:val="033CCED8"/>
    <w:lvl w:ilvl="0" w:tentative="0">
      <w:start w:val="1"/>
      <w:numFmt w:val="decimal"/>
      <w:suff w:val="nothing"/>
      <w:lvlText w:val="%1．"/>
      <w:lvlJc w:val="left"/>
      <w:pPr>
        <w:ind w:left="0" w:firstLine="400"/>
      </w:pPr>
      <w:rPr>
        <w:rFonts w:hint="default"/>
        <w:sz w:val="24"/>
        <w:szCs w:val="24"/>
      </w:rPr>
    </w:lvl>
  </w:abstractNum>
  <w:abstractNum w:abstractNumId="9">
    <w:nsid w:val="3118C64A"/>
    <w:multiLevelType w:val="singleLevel"/>
    <w:tmpl w:val="3118C64A"/>
    <w:lvl w:ilvl="0" w:tentative="0">
      <w:start w:val="1"/>
      <w:numFmt w:val="decimal"/>
      <w:suff w:val="nothing"/>
      <w:lvlText w:val="（%1）"/>
      <w:lvlJc w:val="left"/>
    </w:lvl>
  </w:abstractNum>
  <w:abstractNum w:abstractNumId="10">
    <w:nsid w:val="3E91048D"/>
    <w:multiLevelType w:val="multilevel"/>
    <w:tmpl w:val="3E91048D"/>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625C79A"/>
    <w:multiLevelType w:val="singleLevel"/>
    <w:tmpl w:val="7625C79A"/>
    <w:lvl w:ilvl="0" w:tentative="0">
      <w:start w:val="2"/>
      <w:numFmt w:val="decimal"/>
      <w:suff w:val="space"/>
      <w:lvlText w:val="%1."/>
      <w:lvlJc w:val="left"/>
    </w:lvl>
  </w:abstractNum>
  <w:abstractNum w:abstractNumId="12">
    <w:nsid w:val="792045E3"/>
    <w:multiLevelType w:val="singleLevel"/>
    <w:tmpl w:val="792045E3"/>
    <w:lvl w:ilvl="0" w:tentative="0">
      <w:start w:val="6"/>
      <w:numFmt w:val="chineseCounting"/>
      <w:suff w:val="nothing"/>
      <w:lvlText w:val="%1、"/>
      <w:lvlJc w:val="left"/>
      <w:rPr>
        <w:rFonts w:hint="eastAsia"/>
      </w:rPr>
    </w:lvl>
  </w:abstractNum>
  <w:num w:numId="1">
    <w:abstractNumId w:val="11"/>
  </w:num>
  <w:num w:numId="2">
    <w:abstractNumId w:val="6"/>
  </w:num>
  <w:num w:numId="3">
    <w:abstractNumId w:val="0"/>
  </w:num>
  <w:num w:numId="4">
    <w:abstractNumId w:val="2"/>
  </w:num>
  <w:num w:numId="5">
    <w:abstractNumId w:val="1"/>
  </w:num>
  <w:num w:numId="6">
    <w:abstractNumId w:val="8"/>
  </w:num>
  <w:num w:numId="7">
    <w:abstractNumId w:val="9"/>
  </w:num>
  <w:num w:numId="8">
    <w:abstractNumId w:val="7"/>
  </w:num>
  <w:num w:numId="9">
    <w:abstractNumId w:val="5"/>
  </w:num>
  <w:num w:numId="10">
    <w:abstractNumId w:val="10"/>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0NmM2ODE5ZjJhMDQzY2RjN2I3NzI3MmZiYzZkNmM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8B8"/>
    <w:rsid w:val="000168D8"/>
    <w:rsid w:val="000170C8"/>
    <w:rsid w:val="000173F4"/>
    <w:rsid w:val="00020287"/>
    <w:rsid w:val="000202FE"/>
    <w:rsid w:val="00020B5F"/>
    <w:rsid w:val="000211BC"/>
    <w:rsid w:val="0002207B"/>
    <w:rsid w:val="00022A70"/>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30F"/>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1F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6D60"/>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3F1"/>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C6E"/>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65D"/>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C7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97FF1"/>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9B7"/>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956"/>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E37"/>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6CD"/>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2CA"/>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096"/>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C9F"/>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66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29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E4"/>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E60"/>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66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98D"/>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B4811"/>
    <w:rsid w:val="01EC2C57"/>
    <w:rsid w:val="02392050"/>
    <w:rsid w:val="026B2E25"/>
    <w:rsid w:val="02824D4D"/>
    <w:rsid w:val="02DA6776"/>
    <w:rsid w:val="02DC4B10"/>
    <w:rsid w:val="02DD76CE"/>
    <w:rsid w:val="02F36323"/>
    <w:rsid w:val="02F5619C"/>
    <w:rsid w:val="03222B47"/>
    <w:rsid w:val="0326446A"/>
    <w:rsid w:val="032D5555"/>
    <w:rsid w:val="033301DC"/>
    <w:rsid w:val="0336740B"/>
    <w:rsid w:val="036634D2"/>
    <w:rsid w:val="03885263"/>
    <w:rsid w:val="039E79AC"/>
    <w:rsid w:val="03C75283"/>
    <w:rsid w:val="03DD35E4"/>
    <w:rsid w:val="03FC5F2A"/>
    <w:rsid w:val="04076900"/>
    <w:rsid w:val="041A5A3B"/>
    <w:rsid w:val="0421121E"/>
    <w:rsid w:val="042311BA"/>
    <w:rsid w:val="042B157A"/>
    <w:rsid w:val="043C694D"/>
    <w:rsid w:val="043E286E"/>
    <w:rsid w:val="046C5C2A"/>
    <w:rsid w:val="048F763B"/>
    <w:rsid w:val="049F330E"/>
    <w:rsid w:val="04AA775C"/>
    <w:rsid w:val="04AF1889"/>
    <w:rsid w:val="04F66F48"/>
    <w:rsid w:val="0522318E"/>
    <w:rsid w:val="05251E14"/>
    <w:rsid w:val="052845F3"/>
    <w:rsid w:val="05560C2A"/>
    <w:rsid w:val="0559183C"/>
    <w:rsid w:val="055D2919"/>
    <w:rsid w:val="05A16594"/>
    <w:rsid w:val="05A7762D"/>
    <w:rsid w:val="060E5941"/>
    <w:rsid w:val="06110FAF"/>
    <w:rsid w:val="06493CA7"/>
    <w:rsid w:val="065A6178"/>
    <w:rsid w:val="06623713"/>
    <w:rsid w:val="066730E1"/>
    <w:rsid w:val="066F1CF3"/>
    <w:rsid w:val="06930BB8"/>
    <w:rsid w:val="069F3F4E"/>
    <w:rsid w:val="06B75E22"/>
    <w:rsid w:val="06D620B4"/>
    <w:rsid w:val="06F757B1"/>
    <w:rsid w:val="07245D42"/>
    <w:rsid w:val="07264C62"/>
    <w:rsid w:val="0779354C"/>
    <w:rsid w:val="07A149DB"/>
    <w:rsid w:val="07FE23B9"/>
    <w:rsid w:val="08061376"/>
    <w:rsid w:val="08163393"/>
    <w:rsid w:val="08452D77"/>
    <w:rsid w:val="086401F8"/>
    <w:rsid w:val="08716E9D"/>
    <w:rsid w:val="08751CAA"/>
    <w:rsid w:val="087E4C40"/>
    <w:rsid w:val="08D66AD6"/>
    <w:rsid w:val="08DA33A3"/>
    <w:rsid w:val="08E80F13"/>
    <w:rsid w:val="08EB08BC"/>
    <w:rsid w:val="09265ED9"/>
    <w:rsid w:val="09335624"/>
    <w:rsid w:val="093E1D59"/>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1C0718"/>
    <w:rsid w:val="0A3E7710"/>
    <w:rsid w:val="0A5B7E63"/>
    <w:rsid w:val="0A67494D"/>
    <w:rsid w:val="0A99714B"/>
    <w:rsid w:val="0AA374A5"/>
    <w:rsid w:val="0AAB7649"/>
    <w:rsid w:val="0ABC5606"/>
    <w:rsid w:val="0B30404E"/>
    <w:rsid w:val="0B4C6C14"/>
    <w:rsid w:val="0B5E5DFE"/>
    <w:rsid w:val="0B631A88"/>
    <w:rsid w:val="0B683D45"/>
    <w:rsid w:val="0B7F3F11"/>
    <w:rsid w:val="0B884417"/>
    <w:rsid w:val="0BF6188C"/>
    <w:rsid w:val="0BF73C91"/>
    <w:rsid w:val="0C170175"/>
    <w:rsid w:val="0C571A41"/>
    <w:rsid w:val="0C5C1171"/>
    <w:rsid w:val="0C5E1CBC"/>
    <w:rsid w:val="0C615B50"/>
    <w:rsid w:val="0C812B51"/>
    <w:rsid w:val="0C8445DA"/>
    <w:rsid w:val="0C87121B"/>
    <w:rsid w:val="0CB007AA"/>
    <w:rsid w:val="0CC007F7"/>
    <w:rsid w:val="0CCE74AD"/>
    <w:rsid w:val="0CD53211"/>
    <w:rsid w:val="0CFB02D1"/>
    <w:rsid w:val="0CFE707A"/>
    <w:rsid w:val="0D063BDA"/>
    <w:rsid w:val="0D08375F"/>
    <w:rsid w:val="0D184CFB"/>
    <w:rsid w:val="0D3B3627"/>
    <w:rsid w:val="0D4A7419"/>
    <w:rsid w:val="0D7875D9"/>
    <w:rsid w:val="0D827401"/>
    <w:rsid w:val="0D84094E"/>
    <w:rsid w:val="0D8A00E9"/>
    <w:rsid w:val="0D8D589E"/>
    <w:rsid w:val="0DA01C73"/>
    <w:rsid w:val="0DD63300"/>
    <w:rsid w:val="0DF50604"/>
    <w:rsid w:val="0DF702FE"/>
    <w:rsid w:val="0E060E51"/>
    <w:rsid w:val="0E362C02"/>
    <w:rsid w:val="0E363CD9"/>
    <w:rsid w:val="0E5604B2"/>
    <w:rsid w:val="0E6D5D79"/>
    <w:rsid w:val="0E9D0089"/>
    <w:rsid w:val="0EB803EE"/>
    <w:rsid w:val="0EF94D4B"/>
    <w:rsid w:val="0F12144F"/>
    <w:rsid w:val="0F2928DC"/>
    <w:rsid w:val="0F4958DC"/>
    <w:rsid w:val="0F4E001C"/>
    <w:rsid w:val="0F515DF7"/>
    <w:rsid w:val="0F596BA8"/>
    <w:rsid w:val="0F6248D2"/>
    <w:rsid w:val="0F6600DC"/>
    <w:rsid w:val="0F693536"/>
    <w:rsid w:val="0F7B0511"/>
    <w:rsid w:val="0F7B76D9"/>
    <w:rsid w:val="0F816ACD"/>
    <w:rsid w:val="0F9832DB"/>
    <w:rsid w:val="0FBF3FD2"/>
    <w:rsid w:val="0FBF7FF3"/>
    <w:rsid w:val="10150A56"/>
    <w:rsid w:val="10646583"/>
    <w:rsid w:val="107D4B15"/>
    <w:rsid w:val="108A3C80"/>
    <w:rsid w:val="10A17219"/>
    <w:rsid w:val="10A673BF"/>
    <w:rsid w:val="10C26171"/>
    <w:rsid w:val="10F33360"/>
    <w:rsid w:val="10F4351A"/>
    <w:rsid w:val="10FC16EA"/>
    <w:rsid w:val="110F1D40"/>
    <w:rsid w:val="11266F33"/>
    <w:rsid w:val="115E6AF7"/>
    <w:rsid w:val="116374F7"/>
    <w:rsid w:val="118963A1"/>
    <w:rsid w:val="11916802"/>
    <w:rsid w:val="11C6522A"/>
    <w:rsid w:val="11CC0423"/>
    <w:rsid w:val="11E104CC"/>
    <w:rsid w:val="11E20309"/>
    <w:rsid w:val="12255233"/>
    <w:rsid w:val="12530213"/>
    <w:rsid w:val="12594386"/>
    <w:rsid w:val="126A32DB"/>
    <w:rsid w:val="127723A9"/>
    <w:rsid w:val="12862074"/>
    <w:rsid w:val="1288040F"/>
    <w:rsid w:val="12883966"/>
    <w:rsid w:val="129E45B4"/>
    <w:rsid w:val="12D81596"/>
    <w:rsid w:val="12FB0490"/>
    <w:rsid w:val="13072A44"/>
    <w:rsid w:val="133846C2"/>
    <w:rsid w:val="133B576B"/>
    <w:rsid w:val="135F4BE2"/>
    <w:rsid w:val="139B1A0A"/>
    <w:rsid w:val="139D25C7"/>
    <w:rsid w:val="13BF3CE4"/>
    <w:rsid w:val="141008D8"/>
    <w:rsid w:val="14125FE6"/>
    <w:rsid w:val="1433345C"/>
    <w:rsid w:val="144E2788"/>
    <w:rsid w:val="146D271E"/>
    <w:rsid w:val="14931BE5"/>
    <w:rsid w:val="14982588"/>
    <w:rsid w:val="149A5AD9"/>
    <w:rsid w:val="14A7619D"/>
    <w:rsid w:val="150536C3"/>
    <w:rsid w:val="150C1963"/>
    <w:rsid w:val="151447A0"/>
    <w:rsid w:val="154A6454"/>
    <w:rsid w:val="15611DD0"/>
    <w:rsid w:val="156F6E5A"/>
    <w:rsid w:val="15762120"/>
    <w:rsid w:val="1592490D"/>
    <w:rsid w:val="15C50FB0"/>
    <w:rsid w:val="16100860"/>
    <w:rsid w:val="16106893"/>
    <w:rsid w:val="161C5C8C"/>
    <w:rsid w:val="16331AEA"/>
    <w:rsid w:val="163B6E92"/>
    <w:rsid w:val="1667132F"/>
    <w:rsid w:val="16822B68"/>
    <w:rsid w:val="16A8729C"/>
    <w:rsid w:val="16B33193"/>
    <w:rsid w:val="16B33777"/>
    <w:rsid w:val="16B8356E"/>
    <w:rsid w:val="16BC70A7"/>
    <w:rsid w:val="16C6339E"/>
    <w:rsid w:val="17125209"/>
    <w:rsid w:val="17127A9D"/>
    <w:rsid w:val="172C16AC"/>
    <w:rsid w:val="172F2D79"/>
    <w:rsid w:val="17557BEF"/>
    <w:rsid w:val="179C00EE"/>
    <w:rsid w:val="17D349C1"/>
    <w:rsid w:val="17EA5838"/>
    <w:rsid w:val="1828689C"/>
    <w:rsid w:val="1830729E"/>
    <w:rsid w:val="1870062C"/>
    <w:rsid w:val="18817102"/>
    <w:rsid w:val="18830A15"/>
    <w:rsid w:val="18852B28"/>
    <w:rsid w:val="188B5321"/>
    <w:rsid w:val="18AC2B85"/>
    <w:rsid w:val="18D55226"/>
    <w:rsid w:val="19786FBD"/>
    <w:rsid w:val="19932372"/>
    <w:rsid w:val="19A20DD5"/>
    <w:rsid w:val="19AE03F1"/>
    <w:rsid w:val="19B33B02"/>
    <w:rsid w:val="19B962C2"/>
    <w:rsid w:val="19C80964"/>
    <w:rsid w:val="19CA4296"/>
    <w:rsid w:val="19DA04BD"/>
    <w:rsid w:val="1A071A03"/>
    <w:rsid w:val="1A1F16AE"/>
    <w:rsid w:val="1A3B5C77"/>
    <w:rsid w:val="1A6244AE"/>
    <w:rsid w:val="1A984BAD"/>
    <w:rsid w:val="1AB8220E"/>
    <w:rsid w:val="1ADE66E9"/>
    <w:rsid w:val="1AE4166C"/>
    <w:rsid w:val="1AE85900"/>
    <w:rsid w:val="1AF06CFB"/>
    <w:rsid w:val="1AF11B8D"/>
    <w:rsid w:val="1B11359C"/>
    <w:rsid w:val="1B2A271F"/>
    <w:rsid w:val="1B530544"/>
    <w:rsid w:val="1B5643DD"/>
    <w:rsid w:val="1B713184"/>
    <w:rsid w:val="1BA209CF"/>
    <w:rsid w:val="1BB4777D"/>
    <w:rsid w:val="1BD75AB8"/>
    <w:rsid w:val="1C0459C2"/>
    <w:rsid w:val="1C0B5645"/>
    <w:rsid w:val="1C1B3B4A"/>
    <w:rsid w:val="1C88086E"/>
    <w:rsid w:val="1CD86393"/>
    <w:rsid w:val="1D1C78C7"/>
    <w:rsid w:val="1D266CE1"/>
    <w:rsid w:val="1D3963AF"/>
    <w:rsid w:val="1D602818"/>
    <w:rsid w:val="1D632D08"/>
    <w:rsid w:val="1D660E3D"/>
    <w:rsid w:val="1D6A673C"/>
    <w:rsid w:val="1D9247AE"/>
    <w:rsid w:val="1DB567EC"/>
    <w:rsid w:val="1DCA7323"/>
    <w:rsid w:val="1DF51A98"/>
    <w:rsid w:val="1E3D060F"/>
    <w:rsid w:val="1E3F7D2E"/>
    <w:rsid w:val="1E4134E4"/>
    <w:rsid w:val="1E5062B3"/>
    <w:rsid w:val="1E523514"/>
    <w:rsid w:val="1E714A66"/>
    <w:rsid w:val="1E802593"/>
    <w:rsid w:val="1E857C49"/>
    <w:rsid w:val="1EA703CC"/>
    <w:rsid w:val="1EAF519E"/>
    <w:rsid w:val="1EB202A6"/>
    <w:rsid w:val="1EB7330C"/>
    <w:rsid w:val="1F0A0FF3"/>
    <w:rsid w:val="1F2B5C6B"/>
    <w:rsid w:val="1F3D2A53"/>
    <w:rsid w:val="1F5771FF"/>
    <w:rsid w:val="1F772AAB"/>
    <w:rsid w:val="1F986864"/>
    <w:rsid w:val="1FAF184C"/>
    <w:rsid w:val="1FB160A1"/>
    <w:rsid w:val="1FC94A03"/>
    <w:rsid w:val="1FE868A9"/>
    <w:rsid w:val="20034907"/>
    <w:rsid w:val="20173E4B"/>
    <w:rsid w:val="204E48BC"/>
    <w:rsid w:val="208921B3"/>
    <w:rsid w:val="20904AC5"/>
    <w:rsid w:val="20973DEB"/>
    <w:rsid w:val="209844B3"/>
    <w:rsid w:val="20A16773"/>
    <w:rsid w:val="20B26522"/>
    <w:rsid w:val="20B44310"/>
    <w:rsid w:val="21030097"/>
    <w:rsid w:val="211116EB"/>
    <w:rsid w:val="211C715B"/>
    <w:rsid w:val="216133FC"/>
    <w:rsid w:val="216B497A"/>
    <w:rsid w:val="21746EB6"/>
    <w:rsid w:val="21A5330F"/>
    <w:rsid w:val="21D56769"/>
    <w:rsid w:val="21E52EF3"/>
    <w:rsid w:val="21E855F1"/>
    <w:rsid w:val="21FB5D7B"/>
    <w:rsid w:val="21FD208C"/>
    <w:rsid w:val="220601CB"/>
    <w:rsid w:val="220B1C3D"/>
    <w:rsid w:val="221D1D20"/>
    <w:rsid w:val="22334A87"/>
    <w:rsid w:val="224A1D93"/>
    <w:rsid w:val="22565A1B"/>
    <w:rsid w:val="22BE6801"/>
    <w:rsid w:val="22E1605C"/>
    <w:rsid w:val="233500BF"/>
    <w:rsid w:val="23377FF7"/>
    <w:rsid w:val="235B7AB5"/>
    <w:rsid w:val="236B425F"/>
    <w:rsid w:val="23836192"/>
    <w:rsid w:val="23901F29"/>
    <w:rsid w:val="239C0061"/>
    <w:rsid w:val="23B908A4"/>
    <w:rsid w:val="23BA47E3"/>
    <w:rsid w:val="23CE0507"/>
    <w:rsid w:val="23D909ED"/>
    <w:rsid w:val="23E95BEF"/>
    <w:rsid w:val="23FD0064"/>
    <w:rsid w:val="23FD24E3"/>
    <w:rsid w:val="245375B0"/>
    <w:rsid w:val="24642C0A"/>
    <w:rsid w:val="246F32AE"/>
    <w:rsid w:val="24B22173"/>
    <w:rsid w:val="24B95AD9"/>
    <w:rsid w:val="24BE24DA"/>
    <w:rsid w:val="24CF5825"/>
    <w:rsid w:val="24D663E6"/>
    <w:rsid w:val="24D77F2B"/>
    <w:rsid w:val="25415818"/>
    <w:rsid w:val="25665B84"/>
    <w:rsid w:val="258B00E2"/>
    <w:rsid w:val="25A917A6"/>
    <w:rsid w:val="25BE27CC"/>
    <w:rsid w:val="25C920A9"/>
    <w:rsid w:val="25E06064"/>
    <w:rsid w:val="25F74A5C"/>
    <w:rsid w:val="2609679C"/>
    <w:rsid w:val="261C7718"/>
    <w:rsid w:val="2628662C"/>
    <w:rsid w:val="262D45DE"/>
    <w:rsid w:val="263B60F2"/>
    <w:rsid w:val="26421B0D"/>
    <w:rsid w:val="26747CA0"/>
    <w:rsid w:val="26871DAD"/>
    <w:rsid w:val="26A53EF9"/>
    <w:rsid w:val="26A94201"/>
    <w:rsid w:val="26AC274F"/>
    <w:rsid w:val="26B67F49"/>
    <w:rsid w:val="26F26337"/>
    <w:rsid w:val="27044A29"/>
    <w:rsid w:val="27070A20"/>
    <w:rsid w:val="271816CB"/>
    <w:rsid w:val="271D34C8"/>
    <w:rsid w:val="272116A0"/>
    <w:rsid w:val="27466D3F"/>
    <w:rsid w:val="27476D19"/>
    <w:rsid w:val="276142BF"/>
    <w:rsid w:val="27783712"/>
    <w:rsid w:val="27907362"/>
    <w:rsid w:val="27C44DE4"/>
    <w:rsid w:val="27DF39CB"/>
    <w:rsid w:val="28333E1D"/>
    <w:rsid w:val="28454BD6"/>
    <w:rsid w:val="28455253"/>
    <w:rsid w:val="28551971"/>
    <w:rsid w:val="285B1C53"/>
    <w:rsid w:val="289F7086"/>
    <w:rsid w:val="28A31469"/>
    <w:rsid w:val="28B523C7"/>
    <w:rsid w:val="28B76817"/>
    <w:rsid w:val="28C32028"/>
    <w:rsid w:val="28CC490F"/>
    <w:rsid w:val="28DE40AA"/>
    <w:rsid w:val="28F45EEB"/>
    <w:rsid w:val="29345E77"/>
    <w:rsid w:val="294206B6"/>
    <w:rsid w:val="294C65AD"/>
    <w:rsid w:val="294F28E5"/>
    <w:rsid w:val="29631B1C"/>
    <w:rsid w:val="29806583"/>
    <w:rsid w:val="298B3C4C"/>
    <w:rsid w:val="29D67219"/>
    <w:rsid w:val="29F26D24"/>
    <w:rsid w:val="2A15033F"/>
    <w:rsid w:val="2A1662C1"/>
    <w:rsid w:val="2A1C7367"/>
    <w:rsid w:val="2A2815FA"/>
    <w:rsid w:val="2A5610E8"/>
    <w:rsid w:val="2A6D6092"/>
    <w:rsid w:val="2A7D76B4"/>
    <w:rsid w:val="2ACB77CC"/>
    <w:rsid w:val="2AE92DF1"/>
    <w:rsid w:val="2B261369"/>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66EF8"/>
    <w:rsid w:val="2CE82D6F"/>
    <w:rsid w:val="2D343236"/>
    <w:rsid w:val="2D606C7D"/>
    <w:rsid w:val="2DD15014"/>
    <w:rsid w:val="2DE85F18"/>
    <w:rsid w:val="2DF72DE4"/>
    <w:rsid w:val="2E0220AF"/>
    <w:rsid w:val="2E372A37"/>
    <w:rsid w:val="2E4525DD"/>
    <w:rsid w:val="2E485F82"/>
    <w:rsid w:val="2E4B082A"/>
    <w:rsid w:val="2E5D4E86"/>
    <w:rsid w:val="2E5D790B"/>
    <w:rsid w:val="2E9A3C18"/>
    <w:rsid w:val="2EBB0FEE"/>
    <w:rsid w:val="2EC63002"/>
    <w:rsid w:val="2ECD0C29"/>
    <w:rsid w:val="2EE03233"/>
    <w:rsid w:val="2F0A6B38"/>
    <w:rsid w:val="2F446F6F"/>
    <w:rsid w:val="2F946CCB"/>
    <w:rsid w:val="2FD25781"/>
    <w:rsid w:val="2FFD7934"/>
    <w:rsid w:val="2FFE2851"/>
    <w:rsid w:val="300967B6"/>
    <w:rsid w:val="30733ACD"/>
    <w:rsid w:val="308C3862"/>
    <w:rsid w:val="309379D8"/>
    <w:rsid w:val="30A270F7"/>
    <w:rsid w:val="30DF1478"/>
    <w:rsid w:val="30EB428D"/>
    <w:rsid w:val="30EC586F"/>
    <w:rsid w:val="31360D5D"/>
    <w:rsid w:val="3146752E"/>
    <w:rsid w:val="317362BD"/>
    <w:rsid w:val="319C6071"/>
    <w:rsid w:val="31AB5907"/>
    <w:rsid w:val="31AC3820"/>
    <w:rsid w:val="31AC537E"/>
    <w:rsid w:val="31C111F3"/>
    <w:rsid w:val="31E3679B"/>
    <w:rsid w:val="31E732FD"/>
    <w:rsid w:val="31FA3F13"/>
    <w:rsid w:val="321F2194"/>
    <w:rsid w:val="323104BD"/>
    <w:rsid w:val="32517576"/>
    <w:rsid w:val="328D434A"/>
    <w:rsid w:val="32BE5C2C"/>
    <w:rsid w:val="32FB6478"/>
    <w:rsid w:val="332054B8"/>
    <w:rsid w:val="33263B3F"/>
    <w:rsid w:val="335A2AA0"/>
    <w:rsid w:val="336963EB"/>
    <w:rsid w:val="33816EEB"/>
    <w:rsid w:val="339A5965"/>
    <w:rsid w:val="33AC51E6"/>
    <w:rsid w:val="33BE302F"/>
    <w:rsid w:val="33E06F7D"/>
    <w:rsid w:val="33EB55CD"/>
    <w:rsid w:val="33EC4C02"/>
    <w:rsid w:val="340D2360"/>
    <w:rsid w:val="3410665D"/>
    <w:rsid w:val="34211214"/>
    <w:rsid w:val="342E63AB"/>
    <w:rsid w:val="34401C96"/>
    <w:rsid w:val="344D14A1"/>
    <w:rsid w:val="34950E68"/>
    <w:rsid w:val="34986E94"/>
    <w:rsid w:val="34AF62C9"/>
    <w:rsid w:val="34CB4388"/>
    <w:rsid w:val="34DE3043"/>
    <w:rsid w:val="34E04C25"/>
    <w:rsid w:val="34EF3AF5"/>
    <w:rsid w:val="34FA6E12"/>
    <w:rsid w:val="35177D3B"/>
    <w:rsid w:val="358C308A"/>
    <w:rsid w:val="358D5588"/>
    <w:rsid w:val="35AA049C"/>
    <w:rsid w:val="35B11087"/>
    <w:rsid w:val="35B97034"/>
    <w:rsid w:val="35EF127D"/>
    <w:rsid w:val="360A2C3B"/>
    <w:rsid w:val="363A3B40"/>
    <w:rsid w:val="365302AE"/>
    <w:rsid w:val="36607A0A"/>
    <w:rsid w:val="366E227C"/>
    <w:rsid w:val="366F2E0D"/>
    <w:rsid w:val="367B6A5C"/>
    <w:rsid w:val="36814A92"/>
    <w:rsid w:val="36827AAB"/>
    <w:rsid w:val="36A74ADA"/>
    <w:rsid w:val="36AD60D5"/>
    <w:rsid w:val="36B224F9"/>
    <w:rsid w:val="36EC0CC9"/>
    <w:rsid w:val="371E6696"/>
    <w:rsid w:val="373F410B"/>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D87D1C"/>
    <w:rsid w:val="38F40E11"/>
    <w:rsid w:val="38FA6453"/>
    <w:rsid w:val="394E6C03"/>
    <w:rsid w:val="39636459"/>
    <w:rsid w:val="396B7F6C"/>
    <w:rsid w:val="39B417A9"/>
    <w:rsid w:val="39FC5695"/>
    <w:rsid w:val="3A006D8E"/>
    <w:rsid w:val="3A3651E5"/>
    <w:rsid w:val="3A555392"/>
    <w:rsid w:val="3A56271C"/>
    <w:rsid w:val="3A6D2C1F"/>
    <w:rsid w:val="3A744481"/>
    <w:rsid w:val="3A8C7BEF"/>
    <w:rsid w:val="3A906246"/>
    <w:rsid w:val="3B00217F"/>
    <w:rsid w:val="3B046D3A"/>
    <w:rsid w:val="3B2349B7"/>
    <w:rsid w:val="3B616CFF"/>
    <w:rsid w:val="3B6259F6"/>
    <w:rsid w:val="3B6B6A15"/>
    <w:rsid w:val="3B720250"/>
    <w:rsid w:val="3B8F24B5"/>
    <w:rsid w:val="3B976654"/>
    <w:rsid w:val="3BA90120"/>
    <w:rsid w:val="3BC01EFC"/>
    <w:rsid w:val="3BCA786A"/>
    <w:rsid w:val="3BD31E2F"/>
    <w:rsid w:val="3BF15831"/>
    <w:rsid w:val="3C014684"/>
    <w:rsid w:val="3C091156"/>
    <w:rsid w:val="3C105946"/>
    <w:rsid w:val="3C297A7F"/>
    <w:rsid w:val="3C34279E"/>
    <w:rsid w:val="3C471448"/>
    <w:rsid w:val="3C5850B9"/>
    <w:rsid w:val="3C5F759A"/>
    <w:rsid w:val="3C6C525A"/>
    <w:rsid w:val="3C7637CB"/>
    <w:rsid w:val="3C8F3836"/>
    <w:rsid w:val="3CA86DA1"/>
    <w:rsid w:val="3CB678A5"/>
    <w:rsid w:val="3CCE23CB"/>
    <w:rsid w:val="3CD17D17"/>
    <w:rsid w:val="3D0512A8"/>
    <w:rsid w:val="3D330CF2"/>
    <w:rsid w:val="3D38430A"/>
    <w:rsid w:val="3D3C7F39"/>
    <w:rsid w:val="3D440F09"/>
    <w:rsid w:val="3D4504A0"/>
    <w:rsid w:val="3D8734BB"/>
    <w:rsid w:val="3D9A11D4"/>
    <w:rsid w:val="3DA16D89"/>
    <w:rsid w:val="3DA364BE"/>
    <w:rsid w:val="3DB42C81"/>
    <w:rsid w:val="3DE041CB"/>
    <w:rsid w:val="3E0D48F6"/>
    <w:rsid w:val="3E1868B4"/>
    <w:rsid w:val="3E306F1E"/>
    <w:rsid w:val="3E377251"/>
    <w:rsid w:val="3E42664B"/>
    <w:rsid w:val="3E5A7334"/>
    <w:rsid w:val="3E7B5D6B"/>
    <w:rsid w:val="3E843E66"/>
    <w:rsid w:val="3E8F51FE"/>
    <w:rsid w:val="3E926F87"/>
    <w:rsid w:val="3E9A59DE"/>
    <w:rsid w:val="3EAF4836"/>
    <w:rsid w:val="3EC33DFA"/>
    <w:rsid w:val="3ED74DCE"/>
    <w:rsid w:val="3F060E16"/>
    <w:rsid w:val="3F173D45"/>
    <w:rsid w:val="3F1D1096"/>
    <w:rsid w:val="3F2F0234"/>
    <w:rsid w:val="3F6363FE"/>
    <w:rsid w:val="3F756B8F"/>
    <w:rsid w:val="3F95482B"/>
    <w:rsid w:val="4019356B"/>
    <w:rsid w:val="40592157"/>
    <w:rsid w:val="406D3E12"/>
    <w:rsid w:val="406E1CAE"/>
    <w:rsid w:val="40A0133A"/>
    <w:rsid w:val="40C31A53"/>
    <w:rsid w:val="40E750BB"/>
    <w:rsid w:val="40FF545D"/>
    <w:rsid w:val="410067C8"/>
    <w:rsid w:val="4137139D"/>
    <w:rsid w:val="414E562C"/>
    <w:rsid w:val="418F0D2A"/>
    <w:rsid w:val="41B810BD"/>
    <w:rsid w:val="41C007E7"/>
    <w:rsid w:val="41D01505"/>
    <w:rsid w:val="41DF3334"/>
    <w:rsid w:val="424172D1"/>
    <w:rsid w:val="42474939"/>
    <w:rsid w:val="424C3C57"/>
    <w:rsid w:val="42613FF3"/>
    <w:rsid w:val="42660D96"/>
    <w:rsid w:val="428667D2"/>
    <w:rsid w:val="42891389"/>
    <w:rsid w:val="42920521"/>
    <w:rsid w:val="42923ABA"/>
    <w:rsid w:val="42975168"/>
    <w:rsid w:val="42A12863"/>
    <w:rsid w:val="42CD1CE0"/>
    <w:rsid w:val="42E1381E"/>
    <w:rsid w:val="42ED6459"/>
    <w:rsid w:val="42FE58DD"/>
    <w:rsid w:val="43174B3D"/>
    <w:rsid w:val="434B790E"/>
    <w:rsid w:val="4360274F"/>
    <w:rsid w:val="43977AB6"/>
    <w:rsid w:val="43A3342B"/>
    <w:rsid w:val="43C77C27"/>
    <w:rsid w:val="43DE09EE"/>
    <w:rsid w:val="44002FAD"/>
    <w:rsid w:val="449101DD"/>
    <w:rsid w:val="44B800F6"/>
    <w:rsid w:val="44DB5F60"/>
    <w:rsid w:val="44DE1391"/>
    <w:rsid w:val="451B225C"/>
    <w:rsid w:val="452410C9"/>
    <w:rsid w:val="45317DFB"/>
    <w:rsid w:val="45436274"/>
    <w:rsid w:val="456D3CE4"/>
    <w:rsid w:val="4579042C"/>
    <w:rsid w:val="457F0571"/>
    <w:rsid w:val="45851176"/>
    <w:rsid w:val="45C63B94"/>
    <w:rsid w:val="45D249E5"/>
    <w:rsid w:val="45F538A0"/>
    <w:rsid w:val="460E7DA5"/>
    <w:rsid w:val="463257DE"/>
    <w:rsid w:val="46422483"/>
    <w:rsid w:val="464500CB"/>
    <w:rsid w:val="4659254A"/>
    <w:rsid w:val="465B0637"/>
    <w:rsid w:val="465E3F0D"/>
    <w:rsid w:val="466A16E6"/>
    <w:rsid w:val="46893F2B"/>
    <w:rsid w:val="46BA4EE4"/>
    <w:rsid w:val="46C4686E"/>
    <w:rsid w:val="46E75F49"/>
    <w:rsid w:val="46EB42AF"/>
    <w:rsid w:val="46F21269"/>
    <w:rsid w:val="47150D60"/>
    <w:rsid w:val="473723B0"/>
    <w:rsid w:val="473F395E"/>
    <w:rsid w:val="477B778F"/>
    <w:rsid w:val="478203EC"/>
    <w:rsid w:val="47B025FA"/>
    <w:rsid w:val="47D96F7B"/>
    <w:rsid w:val="4809698F"/>
    <w:rsid w:val="4811697D"/>
    <w:rsid w:val="481E1380"/>
    <w:rsid w:val="4873394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F0A96"/>
    <w:rsid w:val="4A4424D7"/>
    <w:rsid w:val="4A571ACA"/>
    <w:rsid w:val="4AAA236F"/>
    <w:rsid w:val="4AB77EE6"/>
    <w:rsid w:val="4AB82D0F"/>
    <w:rsid w:val="4AEB7664"/>
    <w:rsid w:val="4AFD7C19"/>
    <w:rsid w:val="4B0567D1"/>
    <w:rsid w:val="4B236AAE"/>
    <w:rsid w:val="4B4136B7"/>
    <w:rsid w:val="4B456459"/>
    <w:rsid w:val="4B5C6BE0"/>
    <w:rsid w:val="4B707271"/>
    <w:rsid w:val="4B721531"/>
    <w:rsid w:val="4B9739F7"/>
    <w:rsid w:val="4BEE2503"/>
    <w:rsid w:val="4C245A30"/>
    <w:rsid w:val="4C964049"/>
    <w:rsid w:val="4CB6685F"/>
    <w:rsid w:val="4CC367FE"/>
    <w:rsid w:val="4D077F3C"/>
    <w:rsid w:val="4D123355"/>
    <w:rsid w:val="4D2A3B31"/>
    <w:rsid w:val="4D312C52"/>
    <w:rsid w:val="4D363554"/>
    <w:rsid w:val="4D8F41D8"/>
    <w:rsid w:val="4D905305"/>
    <w:rsid w:val="4D964A72"/>
    <w:rsid w:val="4D9C1254"/>
    <w:rsid w:val="4DA30E74"/>
    <w:rsid w:val="4DE54634"/>
    <w:rsid w:val="4E6C5709"/>
    <w:rsid w:val="4E793892"/>
    <w:rsid w:val="4E800872"/>
    <w:rsid w:val="4E94015D"/>
    <w:rsid w:val="4EB370CB"/>
    <w:rsid w:val="4EC569ED"/>
    <w:rsid w:val="4ED50EA1"/>
    <w:rsid w:val="4EEC050C"/>
    <w:rsid w:val="4F104EC3"/>
    <w:rsid w:val="4F376B26"/>
    <w:rsid w:val="4F47354A"/>
    <w:rsid w:val="4F8B7ADC"/>
    <w:rsid w:val="4F911C54"/>
    <w:rsid w:val="4FE625E0"/>
    <w:rsid w:val="50037267"/>
    <w:rsid w:val="501B67F5"/>
    <w:rsid w:val="5021480F"/>
    <w:rsid w:val="50645BA0"/>
    <w:rsid w:val="50962ECB"/>
    <w:rsid w:val="50A42E38"/>
    <w:rsid w:val="50A4577F"/>
    <w:rsid w:val="50B73D1F"/>
    <w:rsid w:val="50BD5BC9"/>
    <w:rsid w:val="50C11EEE"/>
    <w:rsid w:val="50CB47D7"/>
    <w:rsid w:val="50E2040B"/>
    <w:rsid w:val="50E97CFC"/>
    <w:rsid w:val="50FA4028"/>
    <w:rsid w:val="510D65B7"/>
    <w:rsid w:val="511157AB"/>
    <w:rsid w:val="511C66F4"/>
    <w:rsid w:val="51333D03"/>
    <w:rsid w:val="513A6655"/>
    <w:rsid w:val="5142540C"/>
    <w:rsid w:val="518832C8"/>
    <w:rsid w:val="519D31E6"/>
    <w:rsid w:val="51A0432A"/>
    <w:rsid w:val="51A86090"/>
    <w:rsid w:val="51B7396D"/>
    <w:rsid w:val="51B7477A"/>
    <w:rsid w:val="52170CBE"/>
    <w:rsid w:val="5220355B"/>
    <w:rsid w:val="522E4CC3"/>
    <w:rsid w:val="5244713B"/>
    <w:rsid w:val="52615633"/>
    <w:rsid w:val="52977FD4"/>
    <w:rsid w:val="52A25790"/>
    <w:rsid w:val="52A96B6F"/>
    <w:rsid w:val="52B45975"/>
    <w:rsid w:val="52C33D66"/>
    <w:rsid w:val="52D94AA4"/>
    <w:rsid w:val="52EA3A62"/>
    <w:rsid w:val="52F50BB8"/>
    <w:rsid w:val="53097272"/>
    <w:rsid w:val="53544462"/>
    <w:rsid w:val="539262C5"/>
    <w:rsid w:val="5397158E"/>
    <w:rsid w:val="53A416DB"/>
    <w:rsid w:val="53EE2739"/>
    <w:rsid w:val="54013861"/>
    <w:rsid w:val="5407235B"/>
    <w:rsid w:val="54487265"/>
    <w:rsid w:val="544D6070"/>
    <w:rsid w:val="54605E1E"/>
    <w:rsid w:val="5466023F"/>
    <w:rsid w:val="5473672B"/>
    <w:rsid w:val="54952A74"/>
    <w:rsid w:val="54B3506A"/>
    <w:rsid w:val="54CA0D16"/>
    <w:rsid w:val="54DD4057"/>
    <w:rsid w:val="54E7490F"/>
    <w:rsid w:val="550377CD"/>
    <w:rsid w:val="550764A4"/>
    <w:rsid w:val="550B2BF6"/>
    <w:rsid w:val="550F3998"/>
    <w:rsid w:val="55214EB5"/>
    <w:rsid w:val="55364EFD"/>
    <w:rsid w:val="555D4828"/>
    <w:rsid w:val="5562483A"/>
    <w:rsid w:val="55653950"/>
    <w:rsid w:val="557645ED"/>
    <w:rsid w:val="557A4C8B"/>
    <w:rsid w:val="558931E1"/>
    <w:rsid w:val="55923347"/>
    <w:rsid w:val="55925180"/>
    <w:rsid w:val="55983B1B"/>
    <w:rsid w:val="55A014EF"/>
    <w:rsid w:val="55A8376B"/>
    <w:rsid w:val="55DC29B6"/>
    <w:rsid w:val="55DD4241"/>
    <w:rsid w:val="55E24503"/>
    <w:rsid w:val="5618423F"/>
    <w:rsid w:val="561D2EF6"/>
    <w:rsid w:val="566B6D1E"/>
    <w:rsid w:val="56796849"/>
    <w:rsid w:val="567D7CFD"/>
    <w:rsid w:val="56A60C14"/>
    <w:rsid w:val="56E31D66"/>
    <w:rsid w:val="57032A2C"/>
    <w:rsid w:val="570F5219"/>
    <w:rsid w:val="57150236"/>
    <w:rsid w:val="5741255F"/>
    <w:rsid w:val="575D12B5"/>
    <w:rsid w:val="57610A87"/>
    <w:rsid w:val="577B1140"/>
    <w:rsid w:val="577B7F21"/>
    <w:rsid w:val="577F181B"/>
    <w:rsid w:val="57921984"/>
    <w:rsid w:val="579737F0"/>
    <w:rsid w:val="57AB7B30"/>
    <w:rsid w:val="57AF5251"/>
    <w:rsid w:val="57B26373"/>
    <w:rsid w:val="57B63F04"/>
    <w:rsid w:val="57CD20C2"/>
    <w:rsid w:val="57D03845"/>
    <w:rsid w:val="57D573DB"/>
    <w:rsid w:val="57D675AB"/>
    <w:rsid w:val="57D95FDD"/>
    <w:rsid w:val="57E5652D"/>
    <w:rsid w:val="57F85B5E"/>
    <w:rsid w:val="58917D2F"/>
    <w:rsid w:val="5894085C"/>
    <w:rsid w:val="58A007BF"/>
    <w:rsid w:val="58AE4F0C"/>
    <w:rsid w:val="58B85899"/>
    <w:rsid w:val="58C36E39"/>
    <w:rsid w:val="58E363A9"/>
    <w:rsid w:val="59254A57"/>
    <w:rsid w:val="592E25D7"/>
    <w:rsid w:val="595E1678"/>
    <w:rsid w:val="596D5BD4"/>
    <w:rsid w:val="597E0ADA"/>
    <w:rsid w:val="597E3DD8"/>
    <w:rsid w:val="59DC694C"/>
    <w:rsid w:val="59F80043"/>
    <w:rsid w:val="5A09252F"/>
    <w:rsid w:val="5A0B2778"/>
    <w:rsid w:val="5A2A7C7B"/>
    <w:rsid w:val="5A3E2560"/>
    <w:rsid w:val="5A5D3B6E"/>
    <w:rsid w:val="5A637A76"/>
    <w:rsid w:val="5A6A482A"/>
    <w:rsid w:val="5A6D33BA"/>
    <w:rsid w:val="5A792B1F"/>
    <w:rsid w:val="5A874767"/>
    <w:rsid w:val="5AAD6F28"/>
    <w:rsid w:val="5AD63A24"/>
    <w:rsid w:val="5B2E1A1D"/>
    <w:rsid w:val="5B6D0D13"/>
    <w:rsid w:val="5B843A1C"/>
    <w:rsid w:val="5B873E3F"/>
    <w:rsid w:val="5BD164BB"/>
    <w:rsid w:val="5BD445A4"/>
    <w:rsid w:val="5C02690E"/>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D38EE"/>
    <w:rsid w:val="5E006862"/>
    <w:rsid w:val="5E0207B9"/>
    <w:rsid w:val="5E13292D"/>
    <w:rsid w:val="5E1834A1"/>
    <w:rsid w:val="5E1E4087"/>
    <w:rsid w:val="5E261785"/>
    <w:rsid w:val="5E2E1802"/>
    <w:rsid w:val="5E4A7017"/>
    <w:rsid w:val="5E552BBA"/>
    <w:rsid w:val="5E611C10"/>
    <w:rsid w:val="5EFC7377"/>
    <w:rsid w:val="5F06174D"/>
    <w:rsid w:val="5F071B9D"/>
    <w:rsid w:val="5F13300F"/>
    <w:rsid w:val="5F3A3602"/>
    <w:rsid w:val="5F6277C6"/>
    <w:rsid w:val="5F660ABA"/>
    <w:rsid w:val="5F6D0B1D"/>
    <w:rsid w:val="5F8D0B82"/>
    <w:rsid w:val="5FC3334C"/>
    <w:rsid w:val="5FCC5339"/>
    <w:rsid w:val="5FE078E0"/>
    <w:rsid w:val="5FE34A5B"/>
    <w:rsid w:val="5FFE1E36"/>
    <w:rsid w:val="60232584"/>
    <w:rsid w:val="60326087"/>
    <w:rsid w:val="60576DBD"/>
    <w:rsid w:val="60674F9A"/>
    <w:rsid w:val="607330CE"/>
    <w:rsid w:val="607A419E"/>
    <w:rsid w:val="60825176"/>
    <w:rsid w:val="609F2AC4"/>
    <w:rsid w:val="60B65B72"/>
    <w:rsid w:val="60FA2EE8"/>
    <w:rsid w:val="60FE42AA"/>
    <w:rsid w:val="61054A27"/>
    <w:rsid w:val="610A52BC"/>
    <w:rsid w:val="611D2366"/>
    <w:rsid w:val="61421856"/>
    <w:rsid w:val="614E5DAA"/>
    <w:rsid w:val="615227C4"/>
    <w:rsid w:val="61654E3F"/>
    <w:rsid w:val="6182292A"/>
    <w:rsid w:val="618245BA"/>
    <w:rsid w:val="61937B14"/>
    <w:rsid w:val="619F7F92"/>
    <w:rsid w:val="61F94C26"/>
    <w:rsid w:val="62000E56"/>
    <w:rsid w:val="62227AC4"/>
    <w:rsid w:val="62312590"/>
    <w:rsid w:val="624F3E49"/>
    <w:rsid w:val="62632286"/>
    <w:rsid w:val="62716C4E"/>
    <w:rsid w:val="62851EC8"/>
    <w:rsid w:val="62885958"/>
    <w:rsid w:val="62D83031"/>
    <w:rsid w:val="62F40B65"/>
    <w:rsid w:val="62FC2CFE"/>
    <w:rsid w:val="63024505"/>
    <w:rsid w:val="63133CBC"/>
    <w:rsid w:val="633F0CD0"/>
    <w:rsid w:val="635B1DB5"/>
    <w:rsid w:val="63711FED"/>
    <w:rsid w:val="63880DDC"/>
    <w:rsid w:val="638D750D"/>
    <w:rsid w:val="63AC6CC0"/>
    <w:rsid w:val="63D45E62"/>
    <w:rsid w:val="64055776"/>
    <w:rsid w:val="64240056"/>
    <w:rsid w:val="643E143A"/>
    <w:rsid w:val="64525048"/>
    <w:rsid w:val="645A7CF9"/>
    <w:rsid w:val="648B6EEF"/>
    <w:rsid w:val="64937125"/>
    <w:rsid w:val="64C158BF"/>
    <w:rsid w:val="64CE2EAA"/>
    <w:rsid w:val="64E61C88"/>
    <w:rsid w:val="653C3090"/>
    <w:rsid w:val="65421E67"/>
    <w:rsid w:val="654900FB"/>
    <w:rsid w:val="654B52DC"/>
    <w:rsid w:val="6583677A"/>
    <w:rsid w:val="65854376"/>
    <w:rsid w:val="658767BE"/>
    <w:rsid w:val="65892531"/>
    <w:rsid w:val="65DE2462"/>
    <w:rsid w:val="65F8345E"/>
    <w:rsid w:val="66195831"/>
    <w:rsid w:val="662E75B1"/>
    <w:rsid w:val="66342C2E"/>
    <w:rsid w:val="663E784C"/>
    <w:rsid w:val="668B6A45"/>
    <w:rsid w:val="669F7E18"/>
    <w:rsid w:val="66B01071"/>
    <w:rsid w:val="66BF7F84"/>
    <w:rsid w:val="66D95049"/>
    <w:rsid w:val="672F3F24"/>
    <w:rsid w:val="673E055F"/>
    <w:rsid w:val="67551CE3"/>
    <w:rsid w:val="6772060E"/>
    <w:rsid w:val="67A22552"/>
    <w:rsid w:val="67B22DCC"/>
    <w:rsid w:val="67B45720"/>
    <w:rsid w:val="67B67C39"/>
    <w:rsid w:val="67BE71AA"/>
    <w:rsid w:val="67D16BCF"/>
    <w:rsid w:val="67D90273"/>
    <w:rsid w:val="67DE5875"/>
    <w:rsid w:val="67E55852"/>
    <w:rsid w:val="67EB1AB4"/>
    <w:rsid w:val="67FA1285"/>
    <w:rsid w:val="6801738F"/>
    <w:rsid w:val="68212C69"/>
    <w:rsid w:val="68263E9E"/>
    <w:rsid w:val="68464DC5"/>
    <w:rsid w:val="68551F4F"/>
    <w:rsid w:val="687C10C9"/>
    <w:rsid w:val="68840C16"/>
    <w:rsid w:val="688549D0"/>
    <w:rsid w:val="68876EFB"/>
    <w:rsid w:val="68884654"/>
    <w:rsid w:val="68925915"/>
    <w:rsid w:val="689F444F"/>
    <w:rsid w:val="68B96DBB"/>
    <w:rsid w:val="68CA2805"/>
    <w:rsid w:val="68D321AA"/>
    <w:rsid w:val="68E937A3"/>
    <w:rsid w:val="693E15D3"/>
    <w:rsid w:val="695D0CCA"/>
    <w:rsid w:val="69627681"/>
    <w:rsid w:val="696F140C"/>
    <w:rsid w:val="6977531D"/>
    <w:rsid w:val="69CC2BFF"/>
    <w:rsid w:val="69FD55B8"/>
    <w:rsid w:val="6A0B1C62"/>
    <w:rsid w:val="6A206786"/>
    <w:rsid w:val="6A21712D"/>
    <w:rsid w:val="6A2406C8"/>
    <w:rsid w:val="6A313617"/>
    <w:rsid w:val="6A42336B"/>
    <w:rsid w:val="6A4A0458"/>
    <w:rsid w:val="6A7D274A"/>
    <w:rsid w:val="6ADE0BD1"/>
    <w:rsid w:val="6AE96859"/>
    <w:rsid w:val="6B147746"/>
    <w:rsid w:val="6B24787C"/>
    <w:rsid w:val="6B573233"/>
    <w:rsid w:val="6B5B6274"/>
    <w:rsid w:val="6B6001CE"/>
    <w:rsid w:val="6B6E4E2E"/>
    <w:rsid w:val="6B935D53"/>
    <w:rsid w:val="6BAD2F42"/>
    <w:rsid w:val="6BBF5E5E"/>
    <w:rsid w:val="6BD86FC5"/>
    <w:rsid w:val="6BDD2706"/>
    <w:rsid w:val="6C07131A"/>
    <w:rsid w:val="6C196F71"/>
    <w:rsid w:val="6C226FCB"/>
    <w:rsid w:val="6C31226F"/>
    <w:rsid w:val="6C552F0B"/>
    <w:rsid w:val="6C7A3314"/>
    <w:rsid w:val="6C8C67B7"/>
    <w:rsid w:val="6C9D166B"/>
    <w:rsid w:val="6C9D744C"/>
    <w:rsid w:val="6CD91762"/>
    <w:rsid w:val="6D167928"/>
    <w:rsid w:val="6D26299B"/>
    <w:rsid w:val="6D2F659C"/>
    <w:rsid w:val="6D4772EC"/>
    <w:rsid w:val="6D8141C3"/>
    <w:rsid w:val="6D9078AF"/>
    <w:rsid w:val="6D9E2FAE"/>
    <w:rsid w:val="6DAA3FEF"/>
    <w:rsid w:val="6DBB3944"/>
    <w:rsid w:val="6DC0172B"/>
    <w:rsid w:val="6DCB690C"/>
    <w:rsid w:val="6DD41A5B"/>
    <w:rsid w:val="6DF43C2E"/>
    <w:rsid w:val="6DF51CA3"/>
    <w:rsid w:val="6DF578F7"/>
    <w:rsid w:val="6E24348E"/>
    <w:rsid w:val="6E25722B"/>
    <w:rsid w:val="6E6E43D9"/>
    <w:rsid w:val="6E8335BD"/>
    <w:rsid w:val="6E8E12EF"/>
    <w:rsid w:val="6E972936"/>
    <w:rsid w:val="6ED446C5"/>
    <w:rsid w:val="6F046601"/>
    <w:rsid w:val="6F2A7D94"/>
    <w:rsid w:val="6F4B2014"/>
    <w:rsid w:val="6F8331F1"/>
    <w:rsid w:val="6FAE1A09"/>
    <w:rsid w:val="6FD75BF8"/>
    <w:rsid w:val="6FE02BE9"/>
    <w:rsid w:val="7015480C"/>
    <w:rsid w:val="702556F9"/>
    <w:rsid w:val="707723D0"/>
    <w:rsid w:val="70F5661B"/>
    <w:rsid w:val="70FA031E"/>
    <w:rsid w:val="71283699"/>
    <w:rsid w:val="71345422"/>
    <w:rsid w:val="71360107"/>
    <w:rsid w:val="713B688E"/>
    <w:rsid w:val="715A50DC"/>
    <w:rsid w:val="7170522D"/>
    <w:rsid w:val="71805602"/>
    <w:rsid w:val="71D43752"/>
    <w:rsid w:val="71EE501B"/>
    <w:rsid w:val="71F1796A"/>
    <w:rsid w:val="72154626"/>
    <w:rsid w:val="72262B5D"/>
    <w:rsid w:val="72283FF7"/>
    <w:rsid w:val="722E7212"/>
    <w:rsid w:val="723A0474"/>
    <w:rsid w:val="723F6B0D"/>
    <w:rsid w:val="725923E4"/>
    <w:rsid w:val="72864BF7"/>
    <w:rsid w:val="729023FC"/>
    <w:rsid w:val="72A423C8"/>
    <w:rsid w:val="72AD22E1"/>
    <w:rsid w:val="72B372E1"/>
    <w:rsid w:val="731742D0"/>
    <w:rsid w:val="73472C17"/>
    <w:rsid w:val="73C0646E"/>
    <w:rsid w:val="73E059CF"/>
    <w:rsid w:val="742222F5"/>
    <w:rsid w:val="74476126"/>
    <w:rsid w:val="746066F5"/>
    <w:rsid w:val="74706664"/>
    <w:rsid w:val="747F3682"/>
    <w:rsid w:val="749C4185"/>
    <w:rsid w:val="75067759"/>
    <w:rsid w:val="752E6DCD"/>
    <w:rsid w:val="75374EE7"/>
    <w:rsid w:val="7551380D"/>
    <w:rsid w:val="75600BE5"/>
    <w:rsid w:val="7564475C"/>
    <w:rsid w:val="756615CF"/>
    <w:rsid w:val="7583797F"/>
    <w:rsid w:val="758E3908"/>
    <w:rsid w:val="75AE3C0E"/>
    <w:rsid w:val="75D20F1D"/>
    <w:rsid w:val="75DA2C18"/>
    <w:rsid w:val="75E713C0"/>
    <w:rsid w:val="75F54412"/>
    <w:rsid w:val="761D08E0"/>
    <w:rsid w:val="7653467B"/>
    <w:rsid w:val="765D347C"/>
    <w:rsid w:val="76787555"/>
    <w:rsid w:val="76826699"/>
    <w:rsid w:val="76C87133"/>
    <w:rsid w:val="76CD08D5"/>
    <w:rsid w:val="76D127D4"/>
    <w:rsid w:val="76DB4B92"/>
    <w:rsid w:val="77017403"/>
    <w:rsid w:val="77052AA4"/>
    <w:rsid w:val="77136511"/>
    <w:rsid w:val="77340A39"/>
    <w:rsid w:val="77351FD0"/>
    <w:rsid w:val="77472422"/>
    <w:rsid w:val="777F31F2"/>
    <w:rsid w:val="77930DBD"/>
    <w:rsid w:val="77D1700D"/>
    <w:rsid w:val="77EC04CC"/>
    <w:rsid w:val="77F83E94"/>
    <w:rsid w:val="780D0FC2"/>
    <w:rsid w:val="781A1DFC"/>
    <w:rsid w:val="78775729"/>
    <w:rsid w:val="78A42DB0"/>
    <w:rsid w:val="78A656AB"/>
    <w:rsid w:val="78B2245C"/>
    <w:rsid w:val="78E172CC"/>
    <w:rsid w:val="78EA1D1F"/>
    <w:rsid w:val="78F93394"/>
    <w:rsid w:val="7904172F"/>
    <w:rsid w:val="790F7E27"/>
    <w:rsid w:val="792A231A"/>
    <w:rsid w:val="79316829"/>
    <w:rsid w:val="79715C01"/>
    <w:rsid w:val="797E66A9"/>
    <w:rsid w:val="79A97383"/>
    <w:rsid w:val="79D21CD2"/>
    <w:rsid w:val="79DD2640"/>
    <w:rsid w:val="79E27E8B"/>
    <w:rsid w:val="79F850CE"/>
    <w:rsid w:val="79FD443C"/>
    <w:rsid w:val="7A1D1975"/>
    <w:rsid w:val="7A3E5150"/>
    <w:rsid w:val="7A4670D6"/>
    <w:rsid w:val="7A4C24CB"/>
    <w:rsid w:val="7A534B63"/>
    <w:rsid w:val="7A615382"/>
    <w:rsid w:val="7A67303B"/>
    <w:rsid w:val="7A6A66F1"/>
    <w:rsid w:val="7AAB1D04"/>
    <w:rsid w:val="7ABA4368"/>
    <w:rsid w:val="7AD05746"/>
    <w:rsid w:val="7B113533"/>
    <w:rsid w:val="7B257FFD"/>
    <w:rsid w:val="7B343476"/>
    <w:rsid w:val="7B3F7158"/>
    <w:rsid w:val="7B504563"/>
    <w:rsid w:val="7B5A2978"/>
    <w:rsid w:val="7B5A7E4C"/>
    <w:rsid w:val="7B667AF9"/>
    <w:rsid w:val="7B6B61BC"/>
    <w:rsid w:val="7B7468F8"/>
    <w:rsid w:val="7BB6739F"/>
    <w:rsid w:val="7BEE0103"/>
    <w:rsid w:val="7C0A0FE4"/>
    <w:rsid w:val="7C254906"/>
    <w:rsid w:val="7C590818"/>
    <w:rsid w:val="7C7037C2"/>
    <w:rsid w:val="7C764345"/>
    <w:rsid w:val="7C7C10F6"/>
    <w:rsid w:val="7C853BEA"/>
    <w:rsid w:val="7C881368"/>
    <w:rsid w:val="7CE27788"/>
    <w:rsid w:val="7D0C32F1"/>
    <w:rsid w:val="7D0F408D"/>
    <w:rsid w:val="7D1E1A15"/>
    <w:rsid w:val="7D491C6C"/>
    <w:rsid w:val="7D5429C0"/>
    <w:rsid w:val="7D6E6D43"/>
    <w:rsid w:val="7D8B2C3C"/>
    <w:rsid w:val="7DAC3CA8"/>
    <w:rsid w:val="7DB57A34"/>
    <w:rsid w:val="7DD2306B"/>
    <w:rsid w:val="7DD77101"/>
    <w:rsid w:val="7DE60973"/>
    <w:rsid w:val="7DEE5506"/>
    <w:rsid w:val="7DEF0916"/>
    <w:rsid w:val="7DFF0A10"/>
    <w:rsid w:val="7E0368A3"/>
    <w:rsid w:val="7E1E5218"/>
    <w:rsid w:val="7E6B60AA"/>
    <w:rsid w:val="7E9A4E1F"/>
    <w:rsid w:val="7EA7723A"/>
    <w:rsid w:val="7EE66563"/>
    <w:rsid w:val="7EF42A2E"/>
    <w:rsid w:val="7EF56FBB"/>
    <w:rsid w:val="7F0768EB"/>
    <w:rsid w:val="7F143BEC"/>
    <w:rsid w:val="7F307429"/>
    <w:rsid w:val="7F715AF2"/>
    <w:rsid w:val="7F886E69"/>
    <w:rsid w:val="7F8F7E3F"/>
    <w:rsid w:val="7FF87E3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szCs w:val="20"/>
    </w:rPr>
  </w:style>
  <w:style w:type="paragraph" w:styleId="26">
    <w:name w:val="toc 6"/>
    <w:basedOn w:val="1"/>
    <w:next w:val="1"/>
    <w:qFormat/>
    <w:uiPriority w:val="0"/>
    <w:pPr>
      <w:ind w:left="2100" w:leftChars="1000"/>
    </w:pPr>
  </w:style>
  <w:style w:type="paragraph" w:styleId="27">
    <w:name w:val="Body Text Indent"/>
    <w:basedOn w:val="1"/>
    <w:next w:val="16"/>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7"/>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qFormat/>
    <w:uiPriority w:val="0"/>
    <w:pPr>
      <w:jc w:val="center"/>
    </w:pPr>
    <w:rPr>
      <w:b/>
      <w:sz w:val="36"/>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next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大标题"/>
    <w:basedOn w:val="437"/>
    <w:qFormat/>
    <w:uiPriority w:val="0"/>
    <w:rPr>
      <w:szCs w:val="36"/>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qFormat/>
    <w:uiPriority w:val="0"/>
    <w:rPr>
      <w:rFonts w:ascii="Arial" w:hAnsi="Arial" w:eastAsia="宋体"/>
      <w:b/>
      <w:bCs/>
      <w:kern w:val="2"/>
      <w:sz w:val="28"/>
      <w:szCs w:val="32"/>
      <w:lang w:val="en-US" w:eastAsia="zh-CN" w:bidi="ar-SA"/>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74A2D-4E35-48AC-82B2-3334F818AF3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46143</Words>
  <Characters>10189</Characters>
  <Lines>84</Lines>
  <Paragraphs>112</Paragraphs>
  <TotalTime>0</TotalTime>
  <ScaleCrop>false</ScaleCrop>
  <LinksUpToDate>false</LinksUpToDate>
  <CharactersWithSpaces>56220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2023-05-04T01:25:00Z</dcterms:created>
  <dc:creator>玥</dc:creator>
  <cp:lastModifiedBy>Ready.  H</cp:lastModifiedBy>
  <cp:lastPrinted>2023-05-26T04:30:00Z</cp:lastPrinted>
  <dcterms:modified xsi:type="dcterms:W3CDTF">2023-11-01T08:06:03Z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A2475F84EFAE4527A27646C1106C1704_13</vt:lpwstr>
  </property>
</Properties>
</file>