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color w:val="auto"/>
          <w:sz w:val="48"/>
          <w:szCs w:val="48"/>
          <w:highlight w:val="none"/>
        </w:rPr>
      </w:pPr>
      <w:bookmarkStart w:id="686" w:name="_GoBack"/>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杭州市上城区综合行政执法局</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eastAsia="zh-CN"/>
        </w:rPr>
        <w:t>云普港以东河道设施长效管养招标项目</w:t>
      </w: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上城政采分-2022-01329</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color w:val="auto"/>
          <w:sz w:val="24"/>
          <w:highlight w:val="none"/>
        </w:rPr>
      </w:pPr>
    </w:p>
    <w:p>
      <w:pPr>
        <w:pStyle w:val="6"/>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6"/>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6"/>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6"/>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rPr>
      </w:pPr>
    </w:p>
    <w:p>
      <w:pPr>
        <w:pStyle w:val="6"/>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（采购人）杭州市上城区综合行政执法局</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w:t>
      </w:r>
      <w:r>
        <w:rPr>
          <w:rFonts w:hint="eastAsia" w:ascii="宋体" w:hAnsi="宋体" w:eastAsia="宋体" w:cs="宋体"/>
          <w:color w:val="auto"/>
          <w:sz w:val="32"/>
          <w:szCs w:val="32"/>
          <w:highlight w:val="none"/>
        </w:rPr>
        <w:t>构）浙江科佳工程咨询有限公司</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bCs/>
          <w:color w:val="auto"/>
          <w:sz w:val="32"/>
          <w:szCs w:val="32"/>
          <w:highlight w:val="none"/>
          <w:lang w:val="en-US" w:eastAsia="zh-CN"/>
        </w:rPr>
        <w:t xml:space="preserve">  </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eastAsia="zh-CN"/>
        </w:rPr>
        <w:t>十</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二</w:t>
      </w:r>
      <w:r>
        <w:rPr>
          <w:rFonts w:hint="eastAsia" w:ascii="宋体" w:hAnsi="宋体" w:eastAsia="宋体" w:cs="宋体"/>
          <w:bCs/>
          <w:color w:val="auto"/>
          <w:sz w:val="32"/>
          <w:szCs w:val="32"/>
          <w:highlight w:val="none"/>
          <w:lang w:eastAsia="zh-CN"/>
        </w:rPr>
        <w:t>十八</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numberInDash"/>
          <w:cols w:space="720" w:num="1"/>
          <w:titlePg/>
          <w:docGrid w:linePitch="312" w:charSpace="0"/>
        </w:sectPr>
      </w:pPr>
    </w:p>
    <w:p>
      <w:pPr>
        <w:pStyle w:val="79"/>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云普港以东河道设施长效管养招标项目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上城政采分-2022-01329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云普港以东河道设施长效管养招标项目</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eastAsia="zh-CN"/>
        </w:rPr>
        <w:t>13874980</w:t>
      </w:r>
      <w:r>
        <w:rPr>
          <w:rFonts w:hint="eastAsia" w:ascii="宋体" w:hAnsi="宋体" w:eastAsia="宋体" w:cs="宋体"/>
          <w:b w:val="0"/>
          <w:bCs/>
          <w:color w:val="auto"/>
          <w:sz w:val="24"/>
          <w:highlight w:val="none"/>
          <w:lang w:eastAsia="zh-CN"/>
        </w:rPr>
        <w:t>元</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eastAsia="zh-CN"/>
        </w:rPr>
        <w:t>13874980</w:t>
      </w:r>
      <w:r>
        <w:rPr>
          <w:rFonts w:hint="eastAsia" w:ascii="宋体" w:hAnsi="宋体" w:eastAsia="宋体" w:cs="宋体"/>
          <w:color w:val="auto"/>
          <w:sz w:val="24"/>
          <w:highlight w:val="none"/>
          <w:lang w:eastAsia="zh-CN"/>
        </w:rPr>
        <w:t>元</w:t>
      </w:r>
    </w:p>
    <w:p>
      <w:pPr>
        <w:pStyle w:val="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云普港以东河道设施长效管养招标项目</w:t>
      </w:r>
      <w:r>
        <w:rPr>
          <w:rFonts w:hint="eastAsia" w:ascii="宋体" w:hAnsi="宋体" w:eastAsia="宋体" w:cs="宋体"/>
          <w:color w:val="auto"/>
          <w:sz w:val="24"/>
          <w:highlight w:val="none"/>
          <w:lang w:eastAsia="zh-CN"/>
        </w:rPr>
        <w:t>，</w:t>
      </w:r>
      <w:r>
        <w:rPr>
          <w:rFonts w:hint="eastAsia" w:ascii="宋体" w:hAnsi="宋体" w:eastAsia="宋体" w:cs="宋体"/>
          <w:bCs/>
          <w:snapToGrid/>
          <w:color w:val="auto"/>
          <w:kern w:val="2"/>
          <w:sz w:val="24"/>
          <w:szCs w:val="24"/>
          <w:highlight w:val="none"/>
        </w:rPr>
        <w:t>主要内容：涉及引水河、五堡港、白石港、七堡港、红普港、兴建港、杨公港、八堡港、新丰河、祥丰河、幸福港、机场港、牛田港、云普港设施综合养护服务，服务期：</w:t>
      </w:r>
      <w:r>
        <w:rPr>
          <w:rFonts w:hint="eastAsia" w:ascii="宋体" w:hAnsi="宋体" w:eastAsia="宋体" w:cs="宋体"/>
          <w:bCs/>
          <w:snapToGrid/>
          <w:color w:val="auto"/>
          <w:kern w:val="2"/>
          <w:sz w:val="24"/>
          <w:szCs w:val="24"/>
          <w:highlight w:val="none"/>
          <w:lang w:val="en-US" w:eastAsia="zh-CN"/>
        </w:rPr>
        <w:t>36</w:t>
      </w:r>
      <w:r>
        <w:rPr>
          <w:rFonts w:hint="eastAsia" w:ascii="宋体" w:hAnsi="宋体" w:eastAsia="宋体" w:cs="宋体"/>
          <w:bCs/>
          <w:snapToGrid/>
          <w:color w:val="auto"/>
          <w:kern w:val="2"/>
          <w:sz w:val="24"/>
          <w:szCs w:val="24"/>
          <w:highlight w:val="none"/>
        </w:rPr>
        <w:t>个月。详见招标文件第三部分采购需求。</w:t>
      </w:r>
    </w:p>
    <w:p>
      <w:pPr>
        <w:pStyle w:val="129"/>
        <w:spacing w:line="360" w:lineRule="auto"/>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按招标文件规定。</w:t>
      </w:r>
    </w:p>
    <w:p>
      <w:pPr>
        <w:pStyle w:val="6"/>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 xml:space="preserve">投标人需具备市政公用工程施工总承包三级（含）以上。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称：杭州市上城区综合行政执法局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址：杭州市上城区码头路8号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应工</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eastAsia="zh-CN"/>
        </w:rPr>
        <w:t>15867109723</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聂工</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56560084</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浙江科佳工程咨询有限公司</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浙江省杭州市环站东路99号云峰大厦1号楼702</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项目联系人（询问）：费龙生</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项目联系方式（询问）：18458898685</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质疑联系人：季晓瑾</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质疑联系方式：0571-88198126 </w:t>
      </w:r>
      <w:r>
        <w:rPr>
          <w:rFonts w:hint="eastAsia" w:ascii="宋体" w:hAnsi="宋体" w:eastAsia="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称：杭州市上城区财政局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址：杭州市望潮路77号</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Fonts w:hint="eastAsia" w:ascii="宋体" w:hAnsi="宋体" w:eastAsia="宋体" w:cs="宋体"/>
          <w:color w:val="auto"/>
          <w:sz w:val="24"/>
          <w:highlight w:val="none"/>
          <w:lang w:eastAsia="zh-CN"/>
        </w:rPr>
        <w:t>余工</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监督投诉电话：0571-87242073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w:t>
            </w:r>
            <w:r>
              <w:rPr>
                <w:rFonts w:hint="eastAsia" w:ascii="宋体" w:hAnsi="宋体" w:cs="宋体"/>
                <w:color w:val="auto"/>
                <w:kern w:val="0"/>
                <w:sz w:val="24"/>
                <w:highlight w:val="none"/>
                <w:lang w:val="zh-CN"/>
              </w:rPr>
              <w:t>包含且</w:t>
            </w:r>
            <w:r>
              <w:rPr>
                <w:rFonts w:hint="eastAsia" w:ascii="宋体" w:hAnsi="宋体" w:eastAsia="宋体" w:cs="宋体"/>
                <w:color w:val="auto"/>
                <w:kern w:val="0"/>
                <w:sz w:val="24"/>
                <w:highlight w:val="none"/>
                <w:lang w:val="zh-CN"/>
              </w:rPr>
              <w:t>不限于</w:t>
            </w:r>
            <w:r>
              <w:rPr>
                <w:rFonts w:hint="eastAsia" w:ascii="宋体" w:hAnsi="宋体" w:eastAsia="宋体" w:cs="宋体"/>
                <w:color w:val="auto"/>
                <w:sz w:val="24"/>
                <w:highlight w:val="none"/>
              </w:rPr>
              <w:t>投标人报价应是包括完成本标项所有综合管理养护服务所需的车辆、船只、器械、材料、人工、运杂、劳动防护费用（服装费、高温费、管理房水电费等）、人身意外伤害保险（保额不少于20万/人）、税金（包含各种税费,由投标人承担的）、采购文件明确的其它需投标人承担的费用及其它潜在满足采购人监管要求可能涉及的一切费用。同时，上述报价还应包括突击整治任务、蚊蝇消杀、重大政治活动、单车帮扶、四问四权、宣传、垃圾分类等突发性事件的河道养护工作所产生的各项费用，投标人对本合同内容的费用、质量、安全、文明服务等实行全面承包。</w:t>
            </w:r>
            <w:r>
              <w:rPr>
                <w:rFonts w:hint="eastAsia" w:ascii="宋体" w:hAnsi="宋体" w:eastAsia="宋体" w:cs="宋体"/>
                <w:color w:val="auto"/>
                <w:kern w:val="0"/>
                <w:sz w:val="24"/>
                <w:highlight w:val="none"/>
                <w:lang w:val="zh-CN"/>
              </w:rPr>
              <w:t>（含税费）均计入报价。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w:t>
            </w:r>
            <w:r>
              <w:rPr>
                <w:rFonts w:hint="eastAsia" w:ascii="仿宋" w:hAnsi="仿宋" w:eastAsia="仿宋" w:cs="仿宋_GB2312"/>
                <w:b/>
                <w:color w:val="auto"/>
                <w:kern w:val="0"/>
                <w:sz w:val="24"/>
                <w:highlight w:val="none"/>
                <w:lang w:val="zh-CN"/>
              </w:rPr>
              <w:sym w:font="Wingdings" w:char="00A8"/>
            </w:r>
            <w:r>
              <w:rPr>
                <w:rFonts w:hint="eastAsia" w:ascii="宋体" w:hAnsi="宋体" w:eastAsia="宋体" w:cs="宋体"/>
                <w:b w:val="0"/>
                <w:bCs/>
                <w:color w:val="auto"/>
                <w:kern w:val="0"/>
                <w:sz w:val="24"/>
                <w:highlight w:val="none"/>
                <w:lang w:val="zh-CN"/>
              </w:rPr>
              <w:t>本项目履约验收时委托第三方检测，验收时检测费用由采购人承担，不包含在投标总价中。</w:t>
            </w:r>
            <w:r>
              <w:rPr>
                <w:rFonts w:hint="eastAsia" w:ascii="仿宋" w:hAnsi="仿宋" w:eastAsia="仿宋" w:cs="仿宋_GB2312"/>
                <w:b/>
                <w:color w:val="auto"/>
                <w:kern w:val="0"/>
                <w:sz w:val="24"/>
                <w:highlight w:val="none"/>
                <w:lang w:val="zh-CN"/>
              </w:rPr>
              <w:sym w:font="Wingdings" w:char="00FE"/>
            </w:r>
            <w:r>
              <w:rPr>
                <w:rFonts w:hint="eastAsia" w:ascii="宋体" w:hAnsi="宋体" w:eastAsia="宋体" w:cs="宋体"/>
                <w:b w:val="0"/>
                <w:bCs/>
                <w:color w:val="auto"/>
                <w:kern w:val="0"/>
                <w:sz w:val="24"/>
                <w:highlight w:val="none"/>
                <w:lang w:val="zh-CN"/>
              </w:rPr>
              <w:t>本项目履约验收时不委托第三方检测。</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0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0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lang w:val="en-US" w:eastAsia="zh-CN"/>
              </w:rPr>
              <w:t>云普港以东河道</w:t>
            </w:r>
            <w:r>
              <w:rPr>
                <w:rFonts w:hint="eastAsia" w:ascii="宋体" w:hAnsi="宋体" w:eastAsia="宋体" w:cs="宋体"/>
                <w:color w:val="auto"/>
                <w:kern w:val="0"/>
                <w:sz w:val="24"/>
                <w:highlight w:val="none"/>
                <w:lang w:val="en-US" w:eastAsia="zh-CN"/>
              </w:rPr>
              <w:t>设施</w:t>
            </w:r>
            <w:r>
              <w:rPr>
                <w:rFonts w:hint="eastAsia" w:ascii="宋体" w:hAnsi="宋体" w:cs="宋体"/>
                <w:color w:val="auto"/>
                <w:kern w:val="0"/>
                <w:sz w:val="24"/>
                <w:highlight w:val="none"/>
                <w:lang w:val="en-US" w:eastAsia="zh-CN"/>
              </w:rPr>
              <w:t>长效管养招标项目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其他未列明</w:t>
            </w:r>
            <w:r>
              <w:rPr>
                <w:rFonts w:hint="eastAsia" w:ascii="宋体" w:hAnsi="宋体" w:eastAsia="宋体" w:cs="宋体"/>
                <w:color w:val="auto"/>
                <w:kern w:val="0"/>
                <w:sz w:val="24"/>
                <w:highlight w:val="none"/>
                <w:u w:val="single"/>
              </w:rPr>
              <w:t>行业</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 w:val="24"/>
                <w:highlight w:val="none"/>
                <w:lang w:val="en-US" w:eastAsia="zh-CN"/>
              </w:rPr>
              <w:t>其他未列明</w:t>
            </w:r>
            <w:r>
              <w:rPr>
                <w:rFonts w:hint="eastAsia" w:ascii="宋体" w:hAnsi="宋体" w:eastAsia="宋体" w:cs="宋体"/>
                <w:b/>
                <w:bCs/>
                <w:color w:val="auto"/>
                <w:kern w:val="0"/>
                <w:sz w:val="24"/>
                <w:highlight w:val="none"/>
              </w:rPr>
              <w:t>行业</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color w:val="auto"/>
                <w:kern w:val="0"/>
                <w:sz w:val="24"/>
                <w:highlight w:val="none"/>
                <w:lang w:val="en-US"/>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eastAsia="zh-CN"/>
              </w:rPr>
              <w:t>杭州市上城区环站东路99号</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费龙生18458898685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722"/>
              <w:snapToGrid w:val="0"/>
              <w:spacing w:line="360" w:lineRule="auto"/>
              <w:ind w:firstLine="0" w:firstLineChars="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采购代理服务费金额：经与采购人签订合同，约定本项目采购代理服务费由中标人支付给采购代理机构。</w:t>
            </w:r>
            <w:r>
              <w:rPr>
                <w:rFonts w:hint="eastAsia" w:ascii="宋体" w:hAnsi="宋体" w:eastAsia="宋体" w:cs="宋体"/>
                <w:b w:val="0"/>
                <w:bCs/>
                <w:color w:val="auto"/>
                <w:sz w:val="24"/>
                <w:szCs w:val="24"/>
                <w:highlight w:val="none"/>
                <w:lang w:eastAsia="zh-CN"/>
              </w:rPr>
              <w:t>收费标准按浙价服</w:t>
            </w:r>
            <w:r>
              <w:rPr>
                <w:rFonts w:hint="eastAsia" w:ascii="宋体" w:hAnsi="宋体" w:eastAsia="宋体" w:cs="宋体"/>
                <w:b w:val="0"/>
                <w:bCs/>
                <w:color w:val="auto"/>
                <w:sz w:val="24"/>
                <w:szCs w:val="24"/>
                <w:highlight w:val="none"/>
                <w:lang w:val="en-US" w:eastAsia="zh-CN"/>
              </w:rPr>
              <w:t>1980号文中的服务类收取，不足8000按8000计</w:t>
            </w:r>
            <w:r>
              <w:rPr>
                <w:rFonts w:hint="eastAsia" w:cs="宋体"/>
                <w:b w:val="0"/>
                <w:bCs/>
                <w:color w:val="auto"/>
                <w:sz w:val="24"/>
                <w:szCs w:val="24"/>
                <w:highlight w:val="none"/>
                <w:lang w:val="en-US" w:eastAsia="zh-CN"/>
              </w:rPr>
              <w:t>。</w:t>
            </w:r>
            <w:r>
              <w:rPr>
                <w:rFonts w:hint="eastAsia" w:ascii="宋体" w:hAnsi="宋体" w:eastAsia="宋体" w:cs="宋体"/>
                <w:snapToGrid w:val="0"/>
                <w:color w:val="auto"/>
                <w:kern w:val="28"/>
                <w:sz w:val="24"/>
                <w:szCs w:val="24"/>
                <w:highlight w:val="none"/>
                <w:lang w:val="en-US" w:eastAsia="zh-CN" w:bidi="ar-SA"/>
              </w:rPr>
              <w:t>采购代理服务费交纳形式：汇票/支票/电汇</w:t>
            </w:r>
          </w:p>
          <w:p>
            <w:pPr>
              <w:pStyle w:val="722"/>
              <w:snapToGrid w:val="0"/>
              <w:spacing w:line="360" w:lineRule="auto"/>
              <w:ind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采购代理服务费由中标人在领取中标通知书前时向采购代理机构支付。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根据《关于在政府采购活动中查询及使用信用记录有关问题的通知》财库[2016]125号的规定：</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（1）采购人或采购代理机构将对本项目投标人的信用信息进行查询。</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（2）查询渠道为信用中国网站（www.creditchina.gov.cn）、中国政府采购网（www.ccgp.gov.cn）。</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（3）执行人名单、重大税收违法案件当事人名单、政府采购严重违法失信行为记录名单等投标人信用信息均将用于本项目。</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（4）信用信息查询记录和证据以网页截图等方式留存。</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szCs w:val="24"/>
                <w:highlight w:val="none"/>
              </w:rPr>
              <w:t>（5）投标截止日当日网站显示的信用信息将作为评审和确定中标人的依据。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中标人应提供与电子投标文件内容一致的纸质投标文件一正二副，装订成册，采用胶订或线订，不得采用活页夹等可随时拆换的方式装订。（胶订或线订以外装订形式视为活页装订）</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szCs w:val="24"/>
                <w:highlight w:val="none"/>
              </w:rPr>
              <w:t>中标人在领取中标通知书时提供纸质投标文件。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722"/>
              <w:pageBreakBefore w:val="0"/>
              <w:kinsoku/>
              <w:wordWrap/>
              <w:overflowPunct/>
              <w:bidi w:val="0"/>
              <w:adjustRightInd w:val="0"/>
              <w:snapToGrid w:val="0"/>
              <w:spacing w:line="360" w:lineRule="auto"/>
              <w:ind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供应商支付申请和查询</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val="0"/>
                <w:bCs/>
                <w:color w:val="auto"/>
                <w:sz w:val="24"/>
                <w:szCs w:val="24"/>
                <w:highlight w:val="none"/>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tbl>
    <w:p>
      <w:pPr>
        <w:snapToGrid w:val="0"/>
        <w:spacing w:line="360" w:lineRule="auto"/>
        <w:jc w:val="center"/>
        <w:rPr>
          <w:rFonts w:hint="eastAsia" w:ascii="宋体" w:hAnsi="宋体" w:eastAsia="宋体" w:cs="宋体"/>
          <w:b/>
          <w:color w:val="auto"/>
          <w:sz w:val="32"/>
          <w:szCs w:val="20"/>
          <w:highlight w:val="none"/>
        </w:rPr>
      </w:pPr>
    </w:p>
    <w:bookmarkEnd w:id="9"/>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第三部分"/>
      <w:bookmarkStart w:id="11"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6"/>
        <w:rPr>
          <w:rFonts w:hint="eastAsia"/>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9"/>
        <w:snapToGrid w:val="0"/>
        <w:spacing w:before="0" w:line="360" w:lineRule="auto"/>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spacing w:line="360" w:lineRule="auto"/>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非联合体的声明函。</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11.2.5商务技术偏离表；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w:t>
      </w:r>
      <w:r>
        <w:rPr>
          <w:rFonts w:hint="eastAsia" w:ascii="宋体" w:hAnsi="宋体" w:eastAsia="宋体" w:cs="宋体"/>
          <w:color w:val="auto"/>
          <w:sz w:val="24"/>
          <w:highlight w:val="none"/>
          <w:lang w:val="zh-CN"/>
        </w:rPr>
        <w:t>其他资信资料；</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同类业绩表；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11.2.9</w:t>
      </w:r>
      <w:r>
        <w:rPr>
          <w:rFonts w:hint="eastAsia" w:ascii="宋体" w:hAnsi="宋体" w:eastAsia="宋体" w:cs="宋体"/>
          <w:color w:val="auto"/>
          <w:sz w:val="24"/>
          <w:highlight w:val="none"/>
          <w:lang w:val="zh-CN"/>
        </w:rPr>
        <w:t>提供针对项目的完整技术解决方案。</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2投标价格组成明细表；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9"/>
        <w:snapToGrid w:val="0"/>
        <w:spacing w:before="0" w:line="360" w:lineRule="auto"/>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9"/>
        <w:snapToGrid w:val="0"/>
        <w:spacing w:before="0" w:line="360" w:lineRule="auto"/>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9"/>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9"/>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129"/>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129"/>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line="360" w:lineRule="auto"/>
        <w:ind w:firstLine="643"/>
        <w:rPr>
          <w:rFonts w:hint="eastAsia" w:ascii="宋体" w:hAnsi="宋体" w:eastAsia="宋体" w:cs="宋体"/>
          <w:b/>
          <w:color w:val="auto"/>
          <w:sz w:val="32"/>
          <w:highlight w:val="none"/>
        </w:rPr>
      </w:pPr>
    </w:p>
    <w:p>
      <w:pPr>
        <w:pStyle w:val="129"/>
        <w:spacing w:before="0" w:line="360" w:lineRule="auto"/>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9"/>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9"/>
        <w:spacing w:before="0" w:line="360"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pacing w:before="0" w:line="360"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line="360" w:lineRule="auto"/>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9"/>
        <w:spacing w:before="0" w:line="360" w:lineRule="auto"/>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五、评标</w:t>
      </w:r>
    </w:p>
    <w:p>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9"/>
        <w:snapToGrid w:val="0"/>
        <w:spacing w:before="0" w:line="360" w:lineRule="auto"/>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29"/>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line="360" w:lineRule="auto"/>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eastAsia="宋体" w:cs="宋体"/>
          <w:color w:val="auto"/>
          <w:sz w:val="24"/>
          <w:szCs w:val="20"/>
          <w:highlight w:val="none"/>
          <w:lang w:val="en-US" w:eastAsia="zh-CN"/>
        </w:rPr>
        <w:t>0.5</w:t>
      </w:r>
      <w:r>
        <w:rPr>
          <w:rFonts w:hint="eastAsia" w:ascii="宋体" w:hAnsi="宋体" w:eastAsia="宋体" w:cs="宋体"/>
          <w:color w:val="auto"/>
          <w:sz w:val="24"/>
          <w:szCs w:val="20"/>
          <w:highlight w:val="none"/>
        </w:rPr>
        <w:t>%；评价总分在90分以下或者暂无评分的，收取履约保证金不得高于合同金额</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w:t>
      </w:r>
    </w:p>
    <w:p>
      <w:pPr>
        <w:pStyle w:val="4"/>
        <w:spacing w:line="360" w:lineRule="auto"/>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9"/>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9"/>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color w:val="auto"/>
          <w:kern w:val="0"/>
          <w:sz w:val="24"/>
          <w:highlight w:val="none"/>
        </w:rPr>
        <w:sectPr>
          <w:footerReference r:id="rId9" w:type="first"/>
          <w:footerReference r:id="rId8" w:type="default"/>
          <w:pgSz w:w="11906" w:h="16838"/>
          <w:pgMar w:top="680" w:right="1418" w:bottom="468" w:left="1418" w:header="851" w:footer="992" w:gutter="0"/>
          <w:pgNumType w:fmt="numberInDash" w:start="1"/>
          <w:cols w:space="720" w:num="1"/>
          <w:titlePg/>
          <w:docGrid w:linePitch="312" w:charSpace="0"/>
        </w:sectPr>
      </w:pPr>
      <w:bookmarkStart w:id="13" w:name="_Hlt74730295"/>
      <w:bookmarkEnd w:id="13"/>
      <w:bookmarkStart w:id="14" w:name="_Hlt74729768"/>
      <w:bookmarkEnd w:id="14"/>
      <w:bookmarkStart w:id="15" w:name="_Hlt68073093"/>
      <w:bookmarkEnd w:id="15"/>
      <w:bookmarkStart w:id="16" w:name="_Hlt75236290"/>
      <w:bookmarkEnd w:id="16"/>
      <w:bookmarkStart w:id="17" w:name="_Hlt75236101"/>
      <w:bookmarkEnd w:id="17"/>
      <w:bookmarkStart w:id="18" w:name="_Hlt68057669"/>
      <w:bookmarkEnd w:id="18"/>
      <w:bookmarkStart w:id="19" w:name="_Hlt68072998"/>
      <w:bookmarkEnd w:id="19"/>
      <w:bookmarkStart w:id="20" w:name="_Hlt75236011"/>
      <w:bookmarkEnd w:id="20"/>
      <w:bookmarkStart w:id="21" w:name="_Hlt74714665"/>
      <w:bookmarkEnd w:id="21"/>
      <w:bookmarkStart w:id="22" w:name="_Hlt74707468"/>
      <w:bookmarkEnd w:id="22"/>
      <w:bookmarkStart w:id="23" w:name="_Hlt68072990"/>
      <w:bookmarkEnd w:id="23"/>
      <w:bookmarkStart w:id="24" w:name="_Hlt68403820"/>
      <w:bookmarkEnd w:id="24"/>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pPr>
        <w:pStyle w:val="6"/>
        <w:spacing w:line="500" w:lineRule="exact"/>
        <w:ind w:firstLine="482" w:firstLineChars="200"/>
        <w:outlineLvl w:val="1"/>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1.项目基本情况：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1、本次招标养护期限为</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年（服务时间：</w:t>
      </w:r>
      <w:r>
        <w:rPr>
          <w:rFonts w:hint="eastAsia" w:ascii="宋体" w:hAnsi="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2025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日）。</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2、本项目投标人需具备市政公用工程施工总承包三级（含）以上。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、本次招标河道</w:t>
      </w:r>
      <w:r>
        <w:rPr>
          <w:rFonts w:hint="eastAsia" w:ascii="宋体" w:hAnsi="宋体" w:eastAsia="宋体" w:cs="宋体"/>
          <w:color w:val="auto"/>
          <w:sz w:val="24"/>
          <w:highlight w:val="none"/>
          <w:lang w:val="en-US" w:eastAsia="zh-CN"/>
        </w:rPr>
        <w:t>设施量</w:t>
      </w:r>
      <w:r>
        <w:rPr>
          <w:rFonts w:hint="eastAsia" w:ascii="宋体" w:hAnsi="宋体" w:eastAsia="宋体" w:cs="宋体"/>
          <w:color w:val="auto"/>
          <w:sz w:val="24"/>
          <w:highlight w:val="none"/>
        </w:rPr>
        <w:t>主要包括</w:t>
      </w:r>
      <w:r>
        <w:rPr>
          <w:rFonts w:hint="eastAsia" w:ascii="宋体" w:hAnsi="宋体" w:eastAsia="宋体" w:cs="宋体"/>
          <w:color w:val="auto"/>
          <w:sz w:val="24"/>
          <w:highlight w:val="none"/>
          <w:lang w:val="en-US" w:eastAsia="zh-CN"/>
        </w:rPr>
        <w:t>以</w:t>
      </w:r>
      <w:r>
        <w:rPr>
          <w:rFonts w:hint="eastAsia" w:ascii="宋体" w:hAnsi="宋体" w:eastAsia="宋体" w:cs="宋体"/>
          <w:color w:val="auto"/>
          <w:sz w:val="24"/>
          <w:highlight w:val="none"/>
        </w:rPr>
        <w:t>下：</w:t>
      </w:r>
    </w:p>
    <w:tbl>
      <w:tblPr>
        <w:tblStyle w:val="62"/>
        <w:tblW w:w="14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2122"/>
        <w:gridCol w:w="615"/>
        <w:gridCol w:w="825"/>
        <w:gridCol w:w="1125"/>
        <w:gridCol w:w="960"/>
        <w:gridCol w:w="1020"/>
        <w:gridCol w:w="975"/>
        <w:gridCol w:w="960"/>
        <w:gridCol w:w="1185"/>
        <w:gridCol w:w="1044"/>
        <w:gridCol w:w="1044"/>
        <w:gridCol w:w="1044"/>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河道名称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市/区管</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河道类别</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河道主体保洁巡查部分</w:t>
            </w: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河道主体维修养护部分</w:t>
            </w:r>
          </w:p>
        </w:tc>
        <w:tc>
          <w:tcPr>
            <w:tcW w:w="4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河道附属生态设施部分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河面保洁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河岸巡查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硬质驳坎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自然岸线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标警示牌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河面垃圾外运</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生态浮岛及滨岸带挺水植物</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浮水植物</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沉水植物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曝气增氧机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水域面积       （平方米）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巡查长度（千米）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驳坎长度（米）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自然岸线（米）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警标示牌（个）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水域面积（平方米）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浮岛及挺水植物（平方米）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浮水植物  （平方米）</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沉水植物  （平方米）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曝气增氧机（台）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引水河（码头路-御道闸）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20280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引水河（御道闸-和睦港）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93420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9.382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5962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93420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五堡港（引水河-艮山东路南）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12859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五堡港（艮山路桥下）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0.18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五堡港（艮山东路北-云普港）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0.89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白石港（引水河-艮山东路南）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30880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白石港（艮山路桥下）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白石港（艮山东路北-云普港）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67860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67860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七堡港（引水河-艮山东路南）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8364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七堡港（艮山路桥下）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七堡港（艮山东路北-兴建港）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11737.5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11737.5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红普港（引水河-艮山东路南）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15440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红普港（艮山路桥下）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红普港（艮山东路北-云普港）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5.123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3405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1718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46380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兴建港（红普港-三官塘路）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2.375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16830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兴建港（三官塘路-白石港）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杨公港（海景路-和睦港）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八堡港（和睦港-八堡路）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3.9692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3969.2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23496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新丰河（</w:t>
            </w:r>
            <w:r>
              <w:rPr>
                <w:rFonts w:hint="eastAsia" w:ascii="宋体" w:hAnsi="宋体" w:cs="宋体"/>
                <w:i w:val="0"/>
                <w:iCs w:val="0"/>
                <w:color w:val="auto"/>
                <w:kern w:val="0"/>
                <w:sz w:val="20"/>
                <w:szCs w:val="20"/>
                <w:highlight w:val="none"/>
                <w:u w:val="none"/>
                <w:lang w:val="en-US" w:eastAsia="zh-CN" w:bidi="ar"/>
              </w:rPr>
              <w:t>八堡</w:t>
            </w:r>
            <w:r>
              <w:rPr>
                <w:rFonts w:hint="eastAsia" w:ascii="宋体" w:hAnsi="宋体" w:eastAsia="宋体" w:cs="宋体"/>
                <w:i w:val="0"/>
                <w:iCs w:val="0"/>
                <w:color w:val="auto"/>
                <w:kern w:val="0"/>
                <w:sz w:val="20"/>
                <w:szCs w:val="20"/>
                <w:highlight w:val="none"/>
                <w:u w:val="none"/>
                <w:lang w:val="en-US" w:eastAsia="zh-CN" w:bidi="ar"/>
              </w:rPr>
              <w:t>港-祥丰河）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祥丰河（</w:t>
            </w:r>
            <w:r>
              <w:rPr>
                <w:rFonts w:hint="eastAsia" w:ascii="宋体" w:hAnsi="宋体" w:cs="宋体"/>
                <w:i w:val="0"/>
                <w:iCs w:val="0"/>
                <w:color w:val="auto"/>
                <w:kern w:val="0"/>
                <w:sz w:val="20"/>
                <w:szCs w:val="20"/>
                <w:highlight w:val="none"/>
                <w:u w:val="none"/>
                <w:lang w:val="en-US" w:eastAsia="zh-CN" w:bidi="ar"/>
              </w:rPr>
              <w:t>八堡</w:t>
            </w:r>
            <w:r>
              <w:rPr>
                <w:rFonts w:hint="eastAsia" w:ascii="宋体" w:hAnsi="宋体" w:eastAsia="宋体" w:cs="宋体"/>
                <w:i w:val="0"/>
                <w:iCs w:val="0"/>
                <w:color w:val="auto"/>
                <w:kern w:val="0"/>
                <w:sz w:val="20"/>
                <w:szCs w:val="20"/>
                <w:highlight w:val="none"/>
                <w:u w:val="none"/>
                <w:lang w:val="en-US" w:eastAsia="zh-CN" w:bidi="ar"/>
              </w:rPr>
              <w:t>港-九沙河）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1.403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幸福港（机场港-九沙河）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5.686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32594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机场港（三村三组-机场港闸）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44492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牛田港（九盛路-杭海路）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云普港（东宁路-K0+525）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0.8268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826.8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8268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云普港（K0+525-艮山东路南）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0.5532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2489.4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云普港（艮山东路桥下）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云普港（沪杭甬高架西侧43米处-白石港）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6252.1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0.8388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8388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6252.1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云普港（南辅桥-北辅桥）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0.304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云普港（德胜互通北匝道-沪杭甬高速）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暂定二类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11319.1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1.534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11319.1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bl>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sectPr>
          <w:pgSz w:w="16838" w:h="11906" w:orient="landscape"/>
          <w:pgMar w:top="1418" w:right="680" w:bottom="1418" w:left="468" w:header="851" w:footer="992" w:gutter="0"/>
          <w:pgNumType w:fmt="numberInDash"/>
          <w:cols w:space="720" w:num="1"/>
          <w:titlePg/>
          <w:docGrid w:linePitch="312" w:charSpace="0"/>
        </w:sectPr>
      </w:pPr>
    </w:p>
    <w:bookmarkEnd w:id="10"/>
    <w:bookmarkEnd w:id="11"/>
    <w:p>
      <w:pPr>
        <w:adjustRightInd w:val="0"/>
        <w:snapToGrid w:val="0"/>
        <w:spacing w:line="360" w:lineRule="auto"/>
        <w:ind w:firstLine="480" w:firstLineChars="200"/>
        <w:rPr>
          <w:rFonts w:hint="eastAsia" w:ascii="宋体" w:hAnsi="宋体" w:eastAsia="宋体" w:cs="宋体"/>
          <w:color w:val="auto"/>
          <w:sz w:val="24"/>
          <w:highlight w:val="none"/>
        </w:rPr>
      </w:pPr>
      <w:bookmarkStart w:id="25" w:name="第四部分"/>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河道建设红线内所有河道主体、生态设施均属养护责任范围（产权不属采购人的除外）</w:t>
      </w:r>
      <w:r>
        <w:rPr>
          <w:rFonts w:hint="eastAsia" w:ascii="宋体" w:hAnsi="宋体" w:eastAsia="宋体" w:cs="宋体"/>
          <w:color w:val="auto"/>
          <w:sz w:val="24"/>
          <w:highlight w:val="none"/>
        </w:rPr>
        <w:t>。投标人应通过自行实地考察来核实设施量。如提供设施量表有偏小而投标人未提出异议，不得以不在招标范围而拒绝养护；养护过程中，设施量增量2%时（以经费计），合同金额不予调整；</w:t>
      </w:r>
      <w:r>
        <w:rPr>
          <w:rFonts w:hint="eastAsia" w:ascii="宋体" w:hAnsi="宋体" w:eastAsia="宋体" w:cs="宋体"/>
          <w:color w:val="auto"/>
          <w:sz w:val="24"/>
          <w:highlight w:val="none"/>
          <w:lang w:eastAsia="zh-CN"/>
        </w:rPr>
        <w:t>设施量减量的按实调整。</w:t>
      </w:r>
      <w:r>
        <w:rPr>
          <w:rFonts w:hint="eastAsia" w:ascii="宋体" w:hAnsi="宋体" w:eastAsia="宋体" w:cs="宋体"/>
          <w:color w:val="auto"/>
          <w:sz w:val="24"/>
          <w:highlight w:val="none"/>
        </w:rPr>
        <w:t>如因施工临时占用等原因暂停养护的，将根据临时占用时间及占用量扣除相应的养护经费。</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、主要养护服务内容包括（不限于）：</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(1)河面保洁、河岸保洁、河岸巡查、驳坎保洁维护（含</w:t>
      </w:r>
      <w:r>
        <w:rPr>
          <w:rFonts w:hint="eastAsia" w:ascii="宋体" w:hAnsi="宋体" w:eastAsia="宋体" w:cs="宋体"/>
          <w:bCs/>
          <w:color w:val="auto"/>
          <w:sz w:val="24"/>
          <w:highlight w:val="none"/>
          <w:lang w:val="en-US" w:eastAsia="zh-CN"/>
        </w:rPr>
        <w:t>局部破损的</w:t>
      </w:r>
      <w:r>
        <w:rPr>
          <w:rFonts w:hint="eastAsia" w:ascii="宋体" w:hAnsi="宋体" w:eastAsia="宋体" w:cs="宋体"/>
          <w:bCs/>
          <w:color w:val="auto"/>
          <w:sz w:val="24"/>
          <w:highlight w:val="none"/>
        </w:rPr>
        <w:t>小修小补）、标警示牌保洁维护</w:t>
      </w:r>
      <w:r>
        <w:rPr>
          <w:rFonts w:hint="eastAsia" w:ascii="宋体" w:hAnsi="宋体" w:eastAsia="宋体" w:cs="宋体"/>
          <w:bCs/>
          <w:color w:val="auto"/>
          <w:sz w:val="24"/>
          <w:highlight w:val="none"/>
          <w:lang w:eastAsia="zh-CN"/>
        </w:rPr>
        <w:t>（包括河道信息牌、</w:t>
      </w:r>
      <w:r>
        <w:rPr>
          <w:rFonts w:hint="eastAsia" w:ascii="宋体" w:hAnsi="宋体" w:eastAsia="宋体" w:cs="宋体"/>
          <w:bCs/>
          <w:color w:val="auto"/>
          <w:sz w:val="24"/>
          <w:highlight w:val="none"/>
          <w:lang w:val="en-US" w:eastAsia="zh-CN"/>
        </w:rPr>
        <w:t>告示牌等，</w:t>
      </w:r>
      <w:r>
        <w:rPr>
          <w:rFonts w:hint="eastAsia" w:ascii="宋体" w:hAnsi="宋体" w:eastAsia="宋体" w:cs="宋体"/>
          <w:bCs/>
          <w:color w:val="auto"/>
          <w:sz w:val="24"/>
          <w:highlight w:val="none"/>
          <w:lang w:eastAsia="zh-CN"/>
        </w:rPr>
        <w:t>最终以甲方确认的为准）、</w:t>
      </w:r>
      <w:r>
        <w:rPr>
          <w:rFonts w:hint="eastAsia" w:ascii="宋体" w:hAnsi="宋体" w:eastAsia="宋体" w:cs="宋体"/>
          <w:bCs/>
          <w:color w:val="auto"/>
          <w:sz w:val="24"/>
          <w:highlight w:val="none"/>
          <w:shd w:val="clear" w:color="auto" w:fill="auto"/>
        </w:rPr>
        <w:t>栏杆</w:t>
      </w:r>
      <w:r>
        <w:rPr>
          <w:rFonts w:hint="eastAsia" w:ascii="宋体" w:hAnsi="宋体" w:eastAsia="宋体" w:cs="宋体"/>
          <w:bCs/>
          <w:color w:val="auto"/>
          <w:sz w:val="24"/>
          <w:highlight w:val="none"/>
        </w:rPr>
        <w:t>保洁维护（含小修小补）、垃圾外运处置、生态浮岛滨岸挺水植物养护、浮水植物养护、沉水植物养护、曝气增氧机维护（含小修小补）、人工水草维护（含小修小补）等，具体详见附件中河道养护技术标准和服务要求。</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本养护项目中，养护单位应采取一切措施，避免河道水质出现劣</w:t>
      </w:r>
      <w:r>
        <w:rPr>
          <w:rFonts w:hint="eastAsia" w:ascii="宋体" w:hAnsi="宋体" w:eastAsia="宋体" w:cs="宋体"/>
          <w:color w:val="auto"/>
          <w:sz w:val="24"/>
          <w:highlight w:val="none"/>
        </w:rPr>
        <w:t>Ⅴ类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以省、市月度监测通报为准</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lang w:val="en-US" w:eastAsia="zh-CN"/>
        </w:rPr>
        <w:t>避免被治水办三色预警考核通报，确保省、</w:t>
      </w:r>
      <w:r>
        <w:rPr>
          <w:rFonts w:hint="eastAsia" w:ascii="宋体" w:hAnsi="宋体" w:eastAsia="宋体" w:cs="宋体"/>
          <w:color w:val="auto"/>
          <w:sz w:val="24"/>
          <w:highlight w:val="none"/>
          <w:lang w:val="en-US" w:eastAsia="zh-CN"/>
        </w:rPr>
        <w:t>市控水质监测断面达标。</w:t>
      </w:r>
    </w:p>
    <w:p>
      <w:pPr>
        <w:adjustRightInd w:val="0"/>
        <w:snapToGrid w:val="0"/>
        <w:spacing w:line="360" w:lineRule="auto"/>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lang w:val="en-US" w:eastAsia="zh-CN"/>
        </w:rPr>
        <w:t>在养护过程中承诺在中标养护的河道</w:t>
      </w:r>
      <w:r>
        <w:rPr>
          <w:rFonts w:hint="eastAsia" w:ascii="宋体" w:hAnsi="宋体" w:eastAsia="宋体" w:cs="宋体"/>
          <w:bCs/>
          <w:color w:val="auto"/>
          <w:sz w:val="24"/>
          <w:highlight w:val="none"/>
          <w:lang w:eastAsia="zh-CN"/>
        </w:rPr>
        <w:t>河岸每</w:t>
      </w:r>
      <w:r>
        <w:rPr>
          <w:rFonts w:hint="eastAsia" w:ascii="宋体" w:hAnsi="宋体" w:eastAsia="宋体" w:cs="宋体"/>
          <w:bCs/>
          <w:color w:val="auto"/>
          <w:sz w:val="24"/>
          <w:highlight w:val="none"/>
          <w:lang w:val="en-US" w:eastAsia="zh-CN"/>
        </w:rPr>
        <w:t>500米</w:t>
      </w:r>
      <w:r>
        <w:rPr>
          <w:rFonts w:hint="eastAsia" w:ascii="宋体" w:hAnsi="宋体" w:eastAsia="宋体" w:cs="宋体"/>
          <w:bCs/>
          <w:color w:val="auto"/>
          <w:sz w:val="24"/>
          <w:highlight w:val="none"/>
          <w:lang w:eastAsia="zh-CN"/>
        </w:rPr>
        <w:t>设置救生设施</w:t>
      </w:r>
      <w:r>
        <w:rPr>
          <w:rFonts w:hint="eastAsia" w:ascii="宋体" w:hAnsi="宋体" w:eastAsia="宋体" w:cs="宋体"/>
          <w:bCs/>
          <w:color w:val="auto"/>
          <w:sz w:val="24"/>
          <w:highlight w:val="none"/>
          <w:lang w:val="en-US" w:eastAsia="zh-CN"/>
        </w:rPr>
        <w:t>一套，救生设施包括救生圈及救生杆（不小于3米的伸缩杆），救生设施所有权归投标人所有，在河道养护期间需保证救生设施的正常使用，合同终止后可收回。</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)河道排污口的检查、上报、记录；</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)重要活动及重大节日、突发应急事件保障。</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)涉河违法行为、水质（体）突变、设施隐患等情况检查上报及相应的应急处置。</w:t>
      </w:r>
    </w:p>
    <w:p>
      <w:pPr>
        <w:adjustRightInd w:val="0"/>
        <w:snapToGrid w:val="0"/>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)河道蚊蝇的消杀工作。</w:t>
      </w:r>
    </w:p>
    <w:p>
      <w:pPr>
        <w:adjustRightInd w:val="0"/>
        <w:snapToGrid w:val="0"/>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)对下河玩耍、捕鱼、游泳人员进行劝阻。</w:t>
      </w:r>
    </w:p>
    <w:p>
      <w:pPr>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)做好各类河道养护工作台账。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、中标人应服从采购人的管理，如成文资料有不一致的情况，按有利于项目需求的方向解释；如有采购人管理制度调整的，中标人应完全服从采购人的安排。</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、本项目各标段管理人员，每条河道的一线巡查、养护人员均需分河道明确人数（投标时自行设置表格），以便于管理单位日常监督考核。</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、河道设施养护定额表</w:t>
      </w:r>
    </w:p>
    <w:tbl>
      <w:tblPr>
        <w:tblStyle w:val="62"/>
        <w:tblpPr w:leftFromText="180" w:rightFromText="180" w:vertAnchor="text" w:horzAnchor="page" w:tblpXSpec="center" w:tblpY="122"/>
        <w:tblOverlap w:val="never"/>
        <w:tblW w:w="8715" w:type="dxa"/>
        <w:jc w:val="center"/>
        <w:tblLayout w:type="fixed"/>
        <w:tblCellMar>
          <w:top w:w="0" w:type="dxa"/>
          <w:left w:w="108" w:type="dxa"/>
          <w:bottom w:w="0" w:type="dxa"/>
          <w:right w:w="108" w:type="dxa"/>
        </w:tblCellMar>
      </w:tblPr>
      <w:tblGrid>
        <w:gridCol w:w="713"/>
        <w:gridCol w:w="1290"/>
        <w:gridCol w:w="2880"/>
        <w:gridCol w:w="735"/>
        <w:gridCol w:w="735"/>
        <w:gridCol w:w="1290"/>
        <w:gridCol w:w="1072"/>
      </w:tblGrid>
      <w:tr>
        <w:tblPrEx>
          <w:tblCellMar>
            <w:top w:w="0" w:type="dxa"/>
            <w:left w:w="108" w:type="dxa"/>
            <w:bottom w:w="0" w:type="dxa"/>
            <w:right w:w="108" w:type="dxa"/>
          </w:tblCellMar>
        </w:tblPrEx>
        <w:trPr>
          <w:trHeight w:val="340" w:hRule="exac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29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28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项目内容</w:t>
            </w: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类别</w:t>
            </w:r>
          </w:p>
        </w:tc>
        <w:tc>
          <w:tcPr>
            <w:tcW w:w="129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额度</w:t>
            </w:r>
          </w:p>
        </w:tc>
        <w:tc>
          <w:tcPr>
            <w:tcW w:w="10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河道主体保洁巡查部分</w:t>
            </w:r>
          </w:p>
        </w:tc>
        <w:tc>
          <w:tcPr>
            <w:tcW w:w="2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河面保洁(元/平方米·年)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7.22 </w:t>
            </w:r>
          </w:p>
        </w:tc>
        <w:tc>
          <w:tcPr>
            <w:tcW w:w="1072" w:type="dxa"/>
            <w:vMerge w:val="restart"/>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5.58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3.06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未整治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2.14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河岸保洁(元/平方米·年)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19.73 </w:t>
            </w:r>
          </w:p>
        </w:tc>
        <w:tc>
          <w:tcPr>
            <w:tcW w:w="107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15.41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8.11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未整治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8.11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河岸巡查(元/公里·年)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5330.63 </w:t>
            </w:r>
          </w:p>
        </w:tc>
        <w:tc>
          <w:tcPr>
            <w:tcW w:w="107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2665.31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1336.31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未整治</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1336.31 </w:t>
            </w:r>
          </w:p>
        </w:tc>
        <w:tc>
          <w:tcPr>
            <w:tcW w:w="107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2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河道主体维修养护部分</w:t>
            </w:r>
          </w:p>
        </w:tc>
        <w:tc>
          <w:tcPr>
            <w:tcW w:w="2880" w:type="dxa"/>
            <w:vMerge w:val="restart"/>
            <w:tcBorders>
              <w:top w:val="nil"/>
              <w:left w:val="nil"/>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硬质驳坎（元/米·年) </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市级</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7.55</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区级</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5.02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vMerge w:val="restart"/>
            <w:tcBorders>
              <w:top w:val="nil"/>
              <w:left w:val="nil"/>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自然岸线（元/米·年)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市级</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3.79</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区级</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2.45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标警示牌（元/块·年)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11.4</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硬化路面(元/平方米·年)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4.10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栏杆维护（元/米·年)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39.88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垃圾外运(元/平方米·年)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河面</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1.02</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28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河岸</w:t>
            </w: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0.405</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35"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2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河道附属生态设施部分</w:t>
            </w: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生态浮岛及滨岸带挺水植物(元/平方米·年)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38.82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浮水植物(元/平方米·年)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30.93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沉水植物(元/平方米·年)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14.72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曝气增氧机(元/台·年)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1465.20 </w:t>
            </w:r>
          </w:p>
        </w:tc>
        <w:tc>
          <w:tcPr>
            <w:tcW w:w="1072"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highlight w:val="none"/>
              </w:rPr>
              <w:t>不含运行电费</w:t>
            </w:r>
          </w:p>
        </w:tc>
      </w:tr>
      <w:tr>
        <w:tblPrEx>
          <w:tblCellMar>
            <w:top w:w="0" w:type="dxa"/>
            <w:left w:w="108" w:type="dxa"/>
            <w:bottom w:w="0" w:type="dxa"/>
            <w:right w:w="108" w:type="dxa"/>
          </w:tblCellMar>
        </w:tblPrEx>
        <w:trPr>
          <w:trHeight w:val="397" w:hRule="exact"/>
          <w:jc w:val="center"/>
        </w:trPr>
        <w:tc>
          <w:tcPr>
            <w:tcW w:w="71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12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auto"/>
                <w:kern w:val="0"/>
                <w:sz w:val="24"/>
                <w:highlight w:val="none"/>
              </w:rPr>
            </w:pPr>
          </w:p>
        </w:tc>
        <w:tc>
          <w:tcPr>
            <w:tcW w:w="28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人工水草(元/平方米·年)</w:t>
            </w: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735"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24"/>
                <w:highlight w:val="none"/>
              </w:rPr>
            </w:pPr>
          </w:p>
        </w:tc>
        <w:tc>
          <w:tcPr>
            <w:tcW w:w="129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7.88 </w:t>
            </w:r>
          </w:p>
        </w:tc>
        <w:tc>
          <w:tcPr>
            <w:tcW w:w="10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bl>
    <w:p>
      <w:pPr>
        <w:widowControl/>
        <w:adjustRightInd w:val="0"/>
        <w:snapToGrid w:val="0"/>
        <w:spacing w:before="60" w:after="60" w:line="360" w:lineRule="auto"/>
        <w:ind w:left="60" w:right="6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说明：（1）本定额表作为投标报价的参考值；</w:t>
      </w:r>
    </w:p>
    <w:p>
      <w:pPr>
        <w:widowControl/>
        <w:adjustRightInd w:val="0"/>
        <w:snapToGrid w:val="0"/>
        <w:spacing w:before="60" w:after="60" w:line="360" w:lineRule="auto"/>
        <w:ind w:left="60" w:right="6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（2）单项投标报价不得超过本定额表的单项参考值；</w:t>
      </w:r>
    </w:p>
    <w:p>
      <w:pPr>
        <w:widowControl/>
        <w:adjustRightInd w:val="0"/>
        <w:snapToGrid w:val="0"/>
        <w:spacing w:before="60" w:after="60" w:line="360" w:lineRule="auto"/>
        <w:ind w:left="60" w:right="6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（3）投标报价设施量表见5河道设施量表。</w:t>
      </w:r>
    </w:p>
    <w:p>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、经费支付方式：</w:t>
      </w:r>
      <w:r>
        <w:rPr>
          <w:rFonts w:hint="eastAsia" w:ascii="宋体" w:hAnsi="宋体" w:eastAsia="宋体" w:cs="宋体"/>
          <w:bCs/>
          <w:color w:val="auto"/>
          <w:sz w:val="24"/>
          <w:highlight w:val="none"/>
        </w:rPr>
        <w:t>项目支付方式为签订合同后7个工作日内支付第一年度中标价40%的预付款，剩余第一年度60%的养护款在第二年度上半年根据考核结果运用，扣除相关费用后结清余款；后续两年参照执行。</w:t>
      </w:r>
    </w:p>
    <w:p>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、项目技术规范和服务要求（</w:t>
      </w:r>
      <w:r>
        <w:rPr>
          <w:rFonts w:hint="eastAsia" w:ascii="宋体" w:hAnsi="宋体" w:eastAsia="宋体" w:cs="宋体"/>
          <w:color w:val="auto"/>
          <w:kern w:val="0"/>
          <w:sz w:val="24"/>
          <w:highlight w:val="none"/>
          <w:lang w:val="en-US" w:eastAsia="zh-CN"/>
        </w:rPr>
        <w:t>部分标准规范见附件，具体</w:t>
      </w:r>
      <w:r>
        <w:rPr>
          <w:rFonts w:hint="eastAsia" w:ascii="宋体" w:hAnsi="宋体" w:eastAsia="宋体" w:cs="宋体"/>
          <w:color w:val="auto"/>
          <w:kern w:val="0"/>
          <w:sz w:val="24"/>
          <w:highlight w:val="none"/>
        </w:rPr>
        <w:t>以最新发布文件为准）</w:t>
      </w:r>
    </w:p>
    <w:p>
      <w:pPr>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河道养护技术规范参照《城市河道养护管理规范》DB 3301/T 0272—2018执行；养护人员标准参照《杭州市城市河道养护人员作业行为规范（试行）》要求执行。</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作业时，按照《杭州市城市生活垃圾管理办法》做好河道内垃圾分类工作，至少放置两种颜色的垃圾桶（易腐垃圾及其他垃圾）。</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日常养护中，做好网络单车帮扶工作，及时将河道内的单车打捞上岸，同时将单车清理干净后搬离至就近道路上的网路单车黄色线框内或者单车集中点。</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本项目</w:t>
      </w:r>
      <w:r>
        <w:rPr>
          <w:rFonts w:hint="eastAsia" w:ascii="宋体" w:hAnsi="宋体" w:eastAsia="宋体" w:cs="宋体"/>
          <w:bCs/>
          <w:color w:val="auto"/>
          <w:sz w:val="24"/>
          <w:highlight w:val="none"/>
        </w:rPr>
        <w:t>河面保洁船只配置</w:t>
      </w:r>
      <w:r>
        <w:rPr>
          <w:rFonts w:hint="eastAsia" w:ascii="宋体" w:hAnsi="宋体" w:eastAsia="宋体" w:cs="宋体"/>
          <w:bCs/>
          <w:color w:val="auto"/>
          <w:sz w:val="24"/>
          <w:highlight w:val="none"/>
          <w:lang w:val="en-US" w:eastAsia="zh-CN"/>
        </w:rPr>
        <w:t>应满足《</w:t>
      </w:r>
      <w:r>
        <w:rPr>
          <w:rFonts w:hint="eastAsia" w:ascii="宋体" w:hAnsi="宋体" w:eastAsia="宋体" w:cs="宋体"/>
          <w:bCs/>
          <w:color w:val="auto"/>
          <w:sz w:val="24"/>
          <w:highlight w:val="none"/>
        </w:rPr>
        <w:t>城市河道养护管理规范</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DB 3301/T 0272—2018</w:t>
      </w:r>
      <w:r>
        <w:rPr>
          <w:rFonts w:hint="eastAsia" w:ascii="宋体" w:hAnsi="宋体" w:eastAsia="宋体" w:cs="宋体"/>
          <w:bCs/>
          <w:color w:val="auto"/>
          <w:sz w:val="24"/>
          <w:highlight w:val="none"/>
          <w:lang w:val="en-US" w:eastAsia="zh-CN"/>
        </w:rPr>
        <w:t>）要求，在实际养护中机械船（机动船）布置不少于</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艘。</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本项目要求至少配备</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个自吸式</w:t>
      </w:r>
      <w:r>
        <w:rPr>
          <w:rFonts w:hint="eastAsia" w:ascii="宋体" w:hAnsi="宋体" w:eastAsia="宋体" w:cs="宋体"/>
          <w:bCs/>
          <w:color w:val="auto"/>
          <w:sz w:val="24"/>
          <w:highlight w:val="none"/>
          <w:lang w:val="en-US" w:eastAsia="zh-CN"/>
        </w:rPr>
        <w:t>保洁桶</w:t>
      </w:r>
      <w:r>
        <w:rPr>
          <w:rFonts w:hint="eastAsia" w:ascii="宋体" w:hAnsi="宋体" w:cs="宋体"/>
          <w:bCs/>
          <w:color w:val="auto"/>
          <w:sz w:val="24"/>
          <w:highlight w:val="none"/>
          <w:lang w:val="en-US" w:eastAsia="zh-CN"/>
        </w:rPr>
        <w:t>（所有权归投标人所有，养护结束后可收回）</w:t>
      </w:r>
      <w:r>
        <w:rPr>
          <w:rFonts w:hint="eastAsia" w:ascii="宋体" w:hAnsi="宋体" w:eastAsia="宋体" w:cs="宋体"/>
          <w:bCs/>
          <w:color w:val="auto"/>
          <w:sz w:val="24"/>
          <w:highlight w:val="none"/>
        </w:rPr>
        <w:t>。</w:t>
      </w:r>
    </w:p>
    <w:p>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管理考核</w:t>
      </w:r>
    </w:p>
    <w:p>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本项目中投标人提供的服务均按市、区级相关文件及考核标准进行考核。具体为</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2022 年度杭州市城市水设施河道管理评分细则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、《上城区河道综合养护管理考核实施办法》</w:t>
      </w:r>
      <w:r>
        <w:rPr>
          <w:rFonts w:hint="eastAsia" w:ascii="宋体" w:hAnsi="宋体" w:eastAsia="宋体" w:cs="宋体"/>
          <w:b/>
          <w:bCs/>
          <w:color w:val="auto"/>
          <w:kern w:val="0"/>
          <w:sz w:val="24"/>
          <w:highlight w:val="none"/>
        </w:rPr>
        <w:t>（上述文件均以最新发布文件为准）</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（1）考核扣款办法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1.1城市河道养护管理扣分折合成经费从养护款中扣除。</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1.2全国检查每查处1件有责问题扣5000元；全省检查每查处1件有责问题扣3000元；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被新闻媒体曝光经核查属实的，每次扣3000元；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防汛防台、抗雪防冻、突发事件应急处理及重大活动保障处置不力的，每件扣5000元</w:t>
      </w:r>
      <w:r>
        <w:rPr>
          <w:rFonts w:hint="eastAsia" w:ascii="宋体" w:hAnsi="宋体" w:eastAsia="宋体" w:cs="宋体"/>
          <w:bCs/>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接到群众来电、来信、来访投诉并经查实的，每次扣500元；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垃圾、漂浮物及修剪树枝没有日产日清的每发现1次扣500元；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现场养护人员未按投标承诺到位的，每1人次扣500元；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采购人2次抄告的，每个问题扣200元；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河道水体突变、违法违章事件（瞬时类除外）未在第一时间发现上报的，每件扣5000元。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1.3 月日常监管得分按照细则进行长效管养经费单项扣款</w:t>
      </w:r>
      <w:r>
        <w:rPr>
          <w:rFonts w:hint="eastAsia" w:ascii="宋体" w:hAnsi="宋体" w:eastAsia="宋体" w:cs="宋体"/>
          <w:bCs/>
          <w:color w:val="auto"/>
          <w:sz w:val="24"/>
          <w:highlight w:val="none"/>
          <w:lang w:eastAsia="zh-CN"/>
        </w:rPr>
        <w:t>市扣分每分扣</w:t>
      </w:r>
      <w:r>
        <w:rPr>
          <w:rFonts w:hint="eastAsia" w:ascii="宋体" w:hAnsi="宋体" w:eastAsia="宋体" w:cs="宋体"/>
          <w:bCs/>
          <w:color w:val="auto"/>
          <w:sz w:val="24"/>
          <w:highlight w:val="none"/>
          <w:lang w:val="en-US" w:eastAsia="zh-CN"/>
        </w:rPr>
        <w:t>400元，区扣分200元，该项在考核办法中如有调整的，同步进行调整。</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养护河道水质出现劣</w:t>
      </w:r>
      <w:r>
        <w:rPr>
          <w:rFonts w:hint="eastAsia" w:ascii="宋体" w:hAnsi="宋体" w:eastAsia="宋体" w:cs="宋体"/>
          <w:color w:val="auto"/>
          <w:sz w:val="24"/>
          <w:highlight w:val="none"/>
        </w:rPr>
        <w:t>Ⅴ类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以省、市月度监测通报为准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每有1处（断面），扣1000元；</w:t>
      </w:r>
      <w:r>
        <w:rPr>
          <w:rFonts w:hint="eastAsia" w:ascii="宋体" w:hAnsi="宋体" w:eastAsia="宋体" w:cs="宋体"/>
          <w:bCs/>
          <w:color w:val="auto"/>
          <w:sz w:val="24"/>
          <w:highlight w:val="none"/>
          <w:lang w:val="en-US" w:eastAsia="zh-CN"/>
        </w:rPr>
        <w:t>被治水办三色预警考核通报的，每有1</w:t>
      </w:r>
      <w:r>
        <w:rPr>
          <w:rFonts w:hint="eastAsia" w:ascii="宋体" w:hAnsi="宋体" w:eastAsia="宋体" w:cs="宋体"/>
          <w:color w:val="auto"/>
          <w:sz w:val="24"/>
          <w:highlight w:val="none"/>
          <w:lang w:val="en-US" w:eastAsia="zh-CN"/>
        </w:rPr>
        <w:t>处（断面）</w:t>
      </w:r>
      <w:r>
        <w:rPr>
          <w:rFonts w:hint="eastAsia" w:ascii="宋体" w:hAnsi="宋体" w:eastAsia="宋体" w:cs="宋体"/>
          <w:bCs/>
          <w:color w:val="auto"/>
          <w:sz w:val="24"/>
          <w:highlight w:val="none"/>
          <w:lang w:val="en-US" w:eastAsia="zh-CN"/>
        </w:rPr>
        <w:t>扣5000元；省、</w:t>
      </w:r>
      <w:r>
        <w:rPr>
          <w:rFonts w:hint="eastAsia" w:ascii="宋体" w:hAnsi="宋体" w:eastAsia="宋体" w:cs="宋体"/>
          <w:color w:val="auto"/>
          <w:sz w:val="24"/>
          <w:highlight w:val="none"/>
          <w:lang w:val="en-US" w:eastAsia="zh-CN"/>
        </w:rPr>
        <w:t>市控水质监测断面，每有1处（断面）</w:t>
      </w:r>
      <w:r>
        <w:rPr>
          <w:rFonts w:hint="eastAsia" w:ascii="宋体" w:hAnsi="宋体" w:eastAsia="宋体" w:cs="宋体"/>
          <w:bCs/>
          <w:color w:val="auto"/>
          <w:sz w:val="24"/>
          <w:highlight w:val="none"/>
          <w:lang w:val="en-US" w:eastAsia="zh-CN"/>
        </w:rPr>
        <w:t>扣5000元。</w:t>
      </w:r>
    </w:p>
    <w:p>
      <w:pPr>
        <w:pStyle w:val="6"/>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 w:val="24"/>
          <w:highlight w:val="none"/>
          <w:lang w:val="en-US" w:eastAsia="zh-CN"/>
        </w:rPr>
        <w:t>1.5 相关扣分扣款以管理部门出具的相关文件为准。</w:t>
      </w:r>
    </w:p>
    <w:p>
      <w:pPr>
        <w:adjustRightInd w:val="0"/>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（2）警告退出办法</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2.1警告。在河道综合养护作业合同期间，有下列情景之一的给予一次警告：</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（1）被省、市级主要领导批示、批评的；</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（2）被国家、省、市主流媒体曝光经核查属实的；</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（3）月度合同标段数字城管、市查抄告问题及时整改率未达到100%的。</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（4）防汛防台、抗雪防冻、突发事件应急处理及重大活动保障处置不力的。</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（5）管理混乱，发生管养人员集体上访的。</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（6）违反国家有关规定，发生一般事故的。</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2.2退出。在河道长效养护作业合同期间，符合以下之一的采购方有权提前终止养护合同：</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（1）被省、市级主要领导同一河道批示、批评2次以上（含2次）；</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（2）被国家、省、市主流媒体曝光经核查属实的，3次以上（含4次）；</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（3）不履行招标承诺，并无法完成养护工作；</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月度检查连续2次低于90分或一年内累计4次低于90分。</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sz w:val="24"/>
          <w:highlight w:val="none"/>
        </w:rPr>
        <w:t>同一合同标段在合同期一年内累计被警告3次的。</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（6）上级有关部门发出整改通知书且不整改或整改不力的，合同期一年内累计达到二次的，予以解除合同，履约保证金不予归还。</w:t>
      </w:r>
    </w:p>
    <w:p>
      <w:pPr>
        <w:spacing w:line="360" w:lineRule="auto"/>
        <w:ind w:firstLine="600" w:firstLineChars="250"/>
        <w:rPr>
          <w:rFonts w:hint="eastAsia" w:ascii="宋体" w:hAnsi="宋体" w:eastAsia="宋体" w:cs="宋体"/>
          <w:b/>
          <w:color w:val="auto"/>
          <w:sz w:val="21"/>
          <w:szCs w:val="21"/>
          <w:highlight w:val="none"/>
        </w:rPr>
      </w:pPr>
      <w:r>
        <w:rPr>
          <w:rFonts w:hint="eastAsia" w:ascii="宋体" w:hAnsi="宋体" w:eastAsia="宋体" w:cs="宋体"/>
          <w:color w:val="auto"/>
          <w:kern w:val="0"/>
          <w:sz w:val="24"/>
          <w:highlight w:val="none"/>
        </w:rPr>
        <w:t>（7）违反国家有关规定，发生较大事故以上的（含较大事故）。</w:t>
      </w:r>
    </w:p>
    <w:p>
      <w:pPr>
        <w:pStyle w:val="6"/>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6"/>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附件</w:t>
      </w:r>
      <w:r>
        <w:rPr>
          <w:rFonts w:hint="eastAsia" w:ascii="宋体" w:hAnsi="宋体" w:cs="宋体"/>
          <w:b/>
          <w:color w:val="auto"/>
          <w:sz w:val="36"/>
          <w:szCs w:val="36"/>
          <w:highlight w:val="none"/>
          <w:lang w:val="en-US" w:eastAsia="zh-CN"/>
        </w:rPr>
        <w:t>1：</w:t>
      </w:r>
      <w:r>
        <w:rPr>
          <w:rFonts w:hint="eastAsia" w:ascii="宋体" w:hAnsi="宋体" w:eastAsia="宋体" w:cs="宋体"/>
          <w:b/>
          <w:color w:val="auto"/>
          <w:sz w:val="36"/>
          <w:szCs w:val="36"/>
          <w:highlight w:val="none"/>
        </w:rPr>
        <w:t>城市河道养护管理规范</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DB 3301/T 0272—2018</w:t>
      </w:r>
    </w:p>
    <w:p>
      <w:pPr>
        <w:keepNext w:val="0"/>
        <w:keepLines w:val="0"/>
        <w:pageBreakBefore w:val="0"/>
        <w:kinsoku/>
        <w:wordWrap/>
        <w:overflowPunct/>
        <w:topLinePunct w:val="0"/>
        <w:bidi w:val="0"/>
        <w:adjustRightInd w:val="0"/>
        <w:snapToGrid/>
        <w:spacing w:line="360" w:lineRule="auto"/>
        <w:ind w:left="0"/>
        <w:jc w:val="center"/>
        <w:textAlignment w:val="auto"/>
        <w:rPr>
          <w:rFonts w:hint="eastAsia" w:ascii="宋体" w:hAnsi="宋体" w:eastAsia="宋体" w:cs="宋体"/>
          <w:b/>
          <w:color w:val="auto"/>
          <w:sz w:val="36"/>
          <w:szCs w:val="36"/>
          <w:highlight w:val="none"/>
        </w:rPr>
      </w:pPr>
    </w:p>
    <w:p>
      <w:pPr>
        <w:keepNext w:val="0"/>
        <w:keepLines w:val="0"/>
        <w:pageBreakBefore w:val="0"/>
        <w:widowControl/>
        <w:kinsoku/>
        <w:wordWrap/>
        <w:overflowPunct/>
        <w:topLinePunct w:val="0"/>
        <w:bidi w:val="0"/>
        <w:adjustRightInd w:val="0"/>
        <w:snapToGrid/>
        <w:spacing w:line="360" w:lineRule="auto"/>
        <w:ind w:left="0"/>
        <w:textAlignment w:val="auto"/>
        <w:outlineLvl w:val="1"/>
        <w:rPr>
          <w:rFonts w:hint="eastAsia" w:ascii="宋体" w:hAnsi="宋体" w:eastAsia="宋体" w:cs="宋体"/>
          <w:color w:val="auto"/>
          <w:kern w:val="0"/>
          <w:szCs w:val="20"/>
          <w:highlight w:val="none"/>
        </w:rPr>
      </w:pPr>
      <w:bookmarkStart w:id="26" w:name="_Toc28711"/>
      <w:bookmarkStart w:id="27" w:name="_Toc22803"/>
      <w:bookmarkStart w:id="28" w:name="_Toc9623"/>
      <w:r>
        <w:rPr>
          <w:rFonts w:hint="eastAsia" w:ascii="宋体" w:hAnsi="宋体" w:cs="宋体"/>
          <w:color w:val="auto"/>
          <w:kern w:val="0"/>
          <w:szCs w:val="20"/>
          <w:highlight w:val="none"/>
          <w:lang w:val="en-US" w:eastAsia="zh-CN"/>
        </w:rPr>
        <w:t>1</w:t>
      </w:r>
      <w:r>
        <w:rPr>
          <w:rFonts w:hint="eastAsia" w:ascii="宋体" w:hAnsi="宋体" w:eastAsia="宋体" w:cs="宋体"/>
          <w:color w:val="auto"/>
          <w:kern w:val="0"/>
          <w:szCs w:val="20"/>
          <w:highlight w:val="none"/>
        </w:rPr>
        <w:t>范围</w:t>
      </w:r>
      <w:bookmarkEnd w:id="26"/>
      <w:bookmarkEnd w:id="27"/>
      <w:bookmarkEnd w:id="28"/>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本标准规定了城市河道养护工作过程中的术语和定义、养护、管理、机械设备配备等内容。</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本标准适用于杭州市绕城公路范围内城市河道的养护管理。　　</w:t>
      </w:r>
    </w:p>
    <w:p>
      <w:pPr>
        <w:keepNext w:val="0"/>
        <w:keepLines w:val="0"/>
        <w:pageBreakBefore w:val="0"/>
        <w:widowControl/>
        <w:kinsoku/>
        <w:wordWrap/>
        <w:overflowPunct/>
        <w:topLinePunct w:val="0"/>
        <w:bidi w:val="0"/>
        <w:adjustRightInd w:val="0"/>
        <w:snapToGrid/>
        <w:spacing w:line="360" w:lineRule="auto"/>
        <w:ind w:left="0"/>
        <w:textAlignment w:val="auto"/>
        <w:outlineLvl w:val="1"/>
        <w:rPr>
          <w:rFonts w:hint="eastAsia" w:ascii="宋体" w:hAnsi="宋体" w:eastAsia="宋体" w:cs="宋体"/>
          <w:color w:val="auto"/>
          <w:kern w:val="0"/>
          <w:szCs w:val="20"/>
          <w:highlight w:val="none"/>
        </w:rPr>
      </w:pPr>
      <w:bookmarkStart w:id="29" w:name="_Toc24971"/>
      <w:bookmarkStart w:id="30" w:name="_Toc12191"/>
      <w:bookmarkStart w:id="31" w:name="_Toc14031"/>
      <w:r>
        <w:rPr>
          <w:rFonts w:hint="eastAsia" w:ascii="宋体" w:hAnsi="宋体" w:cs="宋体"/>
          <w:color w:val="auto"/>
          <w:kern w:val="0"/>
          <w:szCs w:val="20"/>
          <w:highlight w:val="none"/>
          <w:lang w:val="en-US" w:eastAsia="zh-CN"/>
        </w:rPr>
        <w:t>2</w:t>
      </w:r>
      <w:r>
        <w:rPr>
          <w:rFonts w:hint="eastAsia" w:ascii="宋体" w:hAnsi="宋体" w:eastAsia="宋体" w:cs="宋体"/>
          <w:color w:val="auto"/>
          <w:kern w:val="0"/>
          <w:szCs w:val="20"/>
          <w:highlight w:val="none"/>
        </w:rPr>
        <w:t>规范性引用文件</w:t>
      </w:r>
      <w:bookmarkEnd w:id="29"/>
      <w:bookmarkEnd w:id="30"/>
      <w:bookmarkEnd w:id="31"/>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GB　3838　　地表水环境质量标准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GB　12997　　水质采样方案设计技术规定</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GB　12998　　水质采样技术指导</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GB　12999　　水质采样样品的保存和管理技术规定</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CJJ　36　　城镇道路养护技术规范</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CJJ　99　　城市桥梁养护技术规范</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CJJ/T　117　　建设电子文件与电子档案管理规范</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HJ/T　91　　地表水和污水监测技术规范</w:t>
      </w:r>
    </w:p>
    <w:p>
      <w:pPr>
        <w:keepNext w:val="0"/>
        <w:keepLines w:val="0"/>
        <w:pageBreakBefore w:val="0"/>
        <w:widowControl/>
        <w:kinsoku/>
        <w:wordWrap/>
        <w:overflowPunct/>
        <w:topLinePunct w:val="0"/>
        <w:bidi w:val="0"/>
        <w:adjustRightInd w:val="0"/>
        <w:snapToGrid/>
        <w:spacing w:line="360" w:lineRule="auto"/>
        <w:ind w:left="0"/>
        <w:textAlignment w:val="auto"/>
        <w:outlineLvl w:val="1"/>
        <w:rPr>
          <w:rFonts w:hint="eastAsia" w:ascii="宋体" w:hAnsi="宋体" w:eastAsia="宋体" w:cs="宋体"/>
          <w:color w:val="auto"/>
          <w:kern w:val="0"/>
          <w:szCs w:val="20"/>
          <w:highlight w:val="none"/>
        </w:rPr>
      </w:pPr>
      <w:bookmarkStart w:id="32" w:name="_Toc12430"/>
      <w:bookmarkEnd w:id="32"/>
      <w:bookmarkStart w:id="33" w:name="_Toc10624"/>
      <w:bookmarkStart w:id="34" w:name="_Toc10443"/>
      <w:bookmarkStart w:id="35" w:name="_Toc528769133"/>
      <w:bookmarkStart w:id="36" w:name="_Toc11475"/>
      <w:bookmarkStart w:id="37" w:name="_Toc23376"/>
      <w:bookmarkStart w:id="38" w:name="_Toc11158"/>
      <w:bookmarkStart w:id="39" w:name="_Toc28691"/>
      <w:bookmarkStart w:id="40" w:name="_Toc23178"/>
      <w:r>
        <w:rPr>
          <w:rFonts w:hint="eastAsia" w:ascii="宋体" w:hAnsi="宋体" w:cs="宋体"/>
          <w:color w:val="auto"/>
          <w:kern w:val="0"/>
          <w:szCs w:val="20"/>
          <w:highlight w:val="none"/>
          <w:lang w:val="en-US" w:eastAsia="zh-CN"/>
        </w:rPr>
        <w:t>3</w:t>
      </w:r>
      <w:r>
        <w:rPr>
          <w:rFonts w:hint="eastAsia" w:ascii="宋体" w:hAnsi="宋体" w:eastAsia="宋体" w:cs="宋体"/>
          <w:color w:val="auto"/>
          <w:kern w:val="0"/>
          <w:szCs w:val="20"/>
          <w:highlight w:val="none"/>
        </w:rPr>
        <w:t>术语和定义</w:t>
      </w:r>
      <w:bookmarkEnd w:id="33"/>
      <w:bookmarkEnd w:id="34"/>
      <w:bookmarkEnd w:id="35"/>
      <w:bookmarkEnd w:id="36"/>
      <w:bookmarkEnd w:id="37"/>
      <w:bookmarkEnd w:id="38"/>
      <w:bookmarkEnd w:id="39"/>
      <w:bookmarkEnd w:id="40"/>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rPr>
        <w:t>下列术语和定义适用于本标准。</w:t>
      </w:r>
      <w:bookmarkStart w:id="41" w:name="_Toc12917"/>
      <w:bookmarkEnd w:id="41"/>
      <w:bookmarkStart w:id="42" w:name="_Toc26560"/>
      <w:bookmarkEnd w:id="42"/>
      <w:bookmarkStart w:id="43" w:name="_Toc3898"/>
      <w:bookmarkEnd w:id="43"/>
      <w:bookmarkStart w:id="44" w:name="_Toc19527"/>
      <w:bookmarkEnd w:id="44"/>
      <w:bookmarkStart w:id="45" w:name="_Toc27343"/>
      <w:bookmarkEnd w:id="45"/>
      <w:bookmarkStart w:id="46" w:name="_Toc31629"/>
      <w:bookmarkEnd w:id="46"/>
      <w:bookmarkStart w:id="47" w:name="_Toc16952"/>
      <w:bookmarkEnd w:id="47"/>
      <w:bookmarkStart w:id="48" w:name="_Toc26428"/>
      <w:bookmarkEnd w:id="48"/>
      <w:bookmarkStart w:id="49" w:name="_Toc12740"/>
      <w:bookmarkEnd w:id="49"/>
      <w:bookmarkStart w:id="50" w:name="_Toc22621"/>
      <w:bookmarkEnd w:id="50"/>
      <w:bookmarkStart w:id="51" w:name="_Toc9189"/>
      <w:bookmarkEnd w:id="51"/>
      <w:bookmarkStart w:id="52" w:name="_Toc32364"/>
      <w:bookmarkEnd w:id="52"/>
      <w:bookmarkStart w:id="53" w:name="_Toc16305"/>
      <w:bookmarkStart w:id="54" w:name="_Toc528769135"/>
      <w:bookmarkStart w:id="55" w:name="_Toc10280"/>
      <w:bookmarkStart w:id="56" w:name="_Toc12514"/>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57" w:name="_Toc15666"/>
      <w:bookmarkStart w:id="58" w:name="_Toc10298"/>
      <w:r>
        <w:rPr>
          <w:rFonts w:hint="eastAsia" w:ascii="宋体" w:hAnsi="宋体" w:cs="宋体"/>
          <w:color w:val="auto"/>
          <w:kern w:val="0"/>
          <w:highlight w:val="none"/>
          <w:lang w:val="en-US" w:eastAsia="zh-CN"/>
        </w:rPr>
        <w:t>3.1</w:t>
      </w:r>
      <w:r>
        <w:rPr>
          <w:rFonts w:hint="eastAsia" w:ascii="宋体" w:hAnsi="宋体" w:eastAsia="宋体" w:cs="宋体"/>
          <w:color w:val="auto"/>
          <w:kern w:val="0"/>
          <w:highlight w:val="none"/>
        </w:rPr>
        <w:t>水环境</w:t>
      </w:r>
      <w:bookmarkEnd w:id="53"/>
      <w:bookmarkEnd w:id="54"/>
      <w:bookmarkEnd w:id="55"/>
      <w:bookmarkEnd w:id="57"/>
      <w:bookmarkEnd w:id="58"/>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rPr>
        <w:t>城市河道中由河床、河岸、水体及水中所含各种有机质、无机质和生物体所构成的水体环境，城市河道水环境主要包括河床环境、水质环境、生物环境。</w:t>
      </w:r>
      <w:bookmarkStart w:id="59" w:name="_Toc7798"/>
      <w:bookmarkEnd w:id="59"/>
      <w:bookmarkStart w:id="60" w:name="_Toc8168"/>
      <w:bookmarkEnd w:id="60"/>
      <w:bookmarkStart w:id="61" w:name="_Toc29452"/>
      <w:bookmarkStart w:id="62" w:name="_Toc528769137"/>
      <w:bookmarkStart w:id="63" w:name="_Toc31068"/>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64" w:name="_Toc8239"/>
      <w:bookmarkStart w:id="65" w:name="_Toc19756"/>
      <w:r>
        <w:rPr>
          <w:rFonts w:hint="eastAsia" w:ascii="宋体" w:hAnsi="宋体" w:cs="宋体"/>
          <w:color w:val="auto"/>
          <w:kern w:val="0"/>
          <w:highlight w:val="none"/>
          <w:lang w:val="en-US" w:eastAsia="zh-CN"/>
        </w:rPr>
        <w:t>3.2</w:t>
      </w:r>
      <w:r>
        <w:rPr>
          <w:rFonts w:hint="eastAsia" w:ascii="宋体" w:hAnsi="宋体" w:eastAsia="宋体" w:cs="宋体"/>
          <w:color w:val="auto"/>
          <w:kern w:val="0"/>
          <w:highlight w:val="none"/>
        </w:rPr>
        <w:t>水体</w:t>
      </w:r>
      <w:bookmarkEnd w:id="61"/>
      <w:bookmarkEnd w:id="62"/>
      <w:bookmarkEnd w:id="63"/>
      <w:bookmarkEnd w:id="64"/>
      <w:bookmarkEnd w:id="65"/>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rPr>
        <w:t>城市河道河水的总称。</w:t>
      </w:r>
      <w:bookmarkStart w:id="66" w:name="_Toc23013"/>
      <w:bookmarkEnd w:id="66"/>
      <w:bookmarkStart w:id="67" w:name="_Toc5156"/>
      <w:bookmarkEnd w:id="67"/>
      <w:bookmarkStart w:id="68" w:name="_Toc5831"/>
      <w:bookmarkStart w:id="69" w:name="_Toc10460"/>
      <w:bookmarkStart w:id="70" w:name="_Toc30081"/>
      <w:bookmarkStart w:id="71" w:name="_Toc14835"/>
      <w:bookmarkStart w:id="72" w:name="_Toc4684"/>
      <w:bookmarkStart w:id="73" w:name="_Toc24966"/>
      <w:bookmarkStart w:id="74" w:name="_Toc528769139"/>
      <w:bookmarkStart w:id="75" w:name="_Toc3757"/>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76" w:name="_Toc28644"/>
      <w:bookmarkStart w:id="77" w:name="_Toc8658"/>
      <w:r>
        <w:rPr>
          <w:rFonts w:hint="eastAsia" w:ascii="宋体" w:hAnsi="宋体" w:cs="宋体"/>
          <w:color w:val="auto"/>
          <w:kern w:val="0"/>
          <w:highlight w:val="none"/>
          <w:lang w:val="en-US" w:eastAsia="zh-CN"/>
        </w:rPr>
        <w:t>3.3</w:t>
      </w:r>
      <w:r>
        <w:rPr>
          <w:rFonts w:hint="eastAsia" w:ascii="宋体" w:hAnsi="宋体" w:eastAsia="宋体" w:cs="宋体"/>
          <w:color w:val="auto"/>
          <w:kern w:val="0"/>
          <w:highlight w:val="none"/>
        </w:rPr>
        <w:t>城市河道</w:t>
      </w:r>
      <w:bookmarkEnd w:id="68"/>
      <w:bookmarkEnd w:id="69"/>
      <w:bookmarkEnd w:id="70"/>
      <w:bookmarkEnd w:id="71"/>
      <w:bookmarkEnd w:id="72"/>
      <w:bookmarkEnd w:id="73"/>
      <w:bookmarkEnd w:id="74"/>
      <w:bookmarkEnd w:id="75"/>
      <w:bookmarkEnd w:id="76"/>
      <w:bookmarkEnd w:id="77"/>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rPr>
        <w:t>市区范围内由城市管理行政主管部门管理的河道及其附属设施。</w:t>
      </w:r>
      <w:bookmarkEnd w:id="56"/>
      <w:bookmarkStart w:id="78" w:name="_Toc4555"/>
      <w:bookmarkEnd w:id="78"/>
      <w:bookmarkStart w:id="79" w:name="_Toc7860"/>
      <w:bookmarkEnd w:id="79"/>
      <w:bookmarkStart w:id="80" w:name="_Toc5744"/>
      <w:bookmarkEnd w:id="80"/>
      <w:bookmarkStart w:id="81" w:name="_Toc20852"/>
      <w:bookmarkEnd w:id="81"/>
      <w:bookmarkStart w:id="82" w:name="_Toc20500"/>
      <w:bookmarkEnd w:id="82"/>
      <w:bookmarkStart w:id="83" w:name="_Toc13206"/>
      <w:bookmarkEnd w:id="83"/>
      <w:bookmarkStart w:id="84" w:name="_Toc5584"/>
      <w:bookmarkEnd w:id="84"/>
      <w:bookmarkStart w:id="85" w:name="_Toc24706"/>
      <w:bookmarkEnd w:id="85"/>
      <w:bookmarkStart w:id="86" w:name="_Toc19273"/>
      <w:bookmarkEnd w:id="86"/>
      <w:bookmarkStart w:id="87" w:name="_Toc30867"/>
      <w:bookmarkEnd w:id="87"/>
      <w:bookmarkStart w:id="88" w:name="_Toc10900"/>
      <w:bookmarkEnd w:id="88"/>
      <w:bookmarkStart w:id="89" w:name="_Toc13274"/>
      <w:bookmarkEnd w:id="89"/>
      <w:bookmarkStart w:id="90" w:name="_Toc10453"/>
      <w:bookmarkStart w:id="91" w:name="_Toc3028"/>
      <w:bookmarkStart w:id="92" w:name="_Toc26538"/>
      <w:bookmarkStart w:id="93" w:name="_Toc4513"/>
      <w:bookmarkStart w:id="94" w:name="_Toc20354"/>
      <w:bookmarkStart w:id="95" w:name="_Toc528769141"/>
      <w:bookmarkStart w:id="96" w:name="_Toc30866"/>
      <w:bookmarkStart w:id="97" w:name="_Toc5313"/>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98" w:name="_Toc26310"/>
      <w:bookmarkStart w:id="99" w:name="_Toc5555"/>
      <w:r>
        <w:rPr>
          <w:rFonts w:hint="eastAsia" w:ascii="宋体" w:hAnsi="宋体" w:cs="宋体"/>
          <w:color w:val="auto"/>
          <w:kern w:val="0"/>
          <w:highlight w:val="none"/>
          <w:lang w:val="en-US" w:eastAsia="zh-CN"/>
        </w:rPr>
        <w:t>3.4</w:t>
      </w:r>
      <w:r>
        <w:rPr>
          <w:rFonts w:hint="eastAsia" w:ascii="宋体" w:hAnsi="宋体" w:eastAsia="宋体" w:cs="宋体"/>
          <w:color w:val="auto"/>
          <w:kern w:val="0"/>
          <w:highlight w:val="none"/>
        </w:rPr>
        <w:t>一类城市河道</w:t>
      </w:r>
      <w:bookmarkEnd w:id="90"/>
      <w:bookmarkEnd w:id="91"/>
      <w:bookmarkEnd w:id="92"/>
      <w:bookmarkEnd w:id="93"/>
      <w:bookmarkEnd w:id="94"/>
      <w:bookmarkEnd w:id="95"/>
      <w:bookmarkEnd w:id="96"/>
      <w:bookmarkEnd w:id="97"/>
      <w:bookmarkEnd w:id="98"/>
      <w:bookmarkEnd w:id="99"/>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rPr>
        <w:t>饮用水源保护区、一级综保标准整治、行洪(防汛)排涝骨干、水上旅游通航且水域面积达到60000㎡及以上的经过整治的城市河道。</w:t>
      </w:r>
      <w:bookmarkStart w:id="100" w:name="_Toc30235"/>
      <w:bookmarkEnd w:id="100"/>
      <w:bookmarkStart w:id="101" w:name="_Toc23405"/>
      <w:bookmarkEnd w:id="101"/>
      <w:bookmarkStart w:id="102" w:name="_Toc19393"/>
      <w:bookmarkEnd w:id="102"/>
      <w:bookmarkStart w:id="103" w:name="_Toc8714"/>
      <w:bookmarkEnd w:id="103"/>
      <w:bookmarkStart w:id="104" w:name="_Toc1249"/>
      <w:bookmarkEnd w:id="104"/>
      <w:bookmarkStart w:id="105" w:name="_Toc1099"/>
      <w:bookmarkEnd w:id="105"/>
      <w:bookmarkStart w:id="106" w:name="_Toc15413"/>
      <w:bookmarkEnd w:id="106"/>
      <w:bookmarkStart w:id="107" w:name="_Toc32699"/>
      <w:bookmarkStart w:id="108" w:name="_Toc4171"/>
      <w:bookmarkStart w:id="109" w:name="_Toc266"/>
      <w:bookmarkStart w:id="110" w:name="_Toc528769143"/>
      <w:bookmarkStart w:id="111" w:name="_Toc8091"/>
      <w:bookmarkStart w:id="112" w:name="_Toc31621"/>
      <w:bookmarkStart w:id="113" w:name="_Toc15989"/>
      <w:bookmarkStart w:id="114" w:name="_Toc24097"/>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115" w:name="_Toc12497"/>
      <w:bookmarkStart w:id="116" w:name="_Toc9093"/>
      <w:r>
        <w:rPr>
          <w:rFonts w:hint="eastAsia" w:ascii="宋体" w:hAnsi="宋体" w:cs="宋体"/>
          <w:color w:val="auto"/>
          <w:kern w:val="0"/>
          <w:highlight w:val="none"/>
          <w:lang w:val="en-US" w:eastAsia="zh-CN"/>
        </w:rPr>
        <w:t>3.5</w:t>
      </w:r>
      <w:r>
        <w:rPr>
          <w:rFonts w:hint="eastAsia" w:ascii="宋体" w:hAnsi="宋体" w:eastAsia="宋体" w:cs="宋体"/>
          <w:color w:val="auto"/>
          <w:kern w:val="0"/>
          <w:highlight w:val="none"/>
        </w:rPr>
        <w:t>二类城市河道</w:t>
      </w:r>
      <w:bookmarkEnd w:id="107"/>
      <w:bookmarkEnd w:id="108"/>
      <w:bookmarkEnd w:id="109"/>
      <w:bookmarkEnd w:id="110"/>
      <w:bookmarkEnd w:id="111"/>
      <w:bookmarkEnd w:id="112"/>
      <w:bookmarkEnd w:id="113"/>
      <w:bookmarkEnd w:id="114"/>
      <w:bookmarkEnd w:id="115"/>
      <w:bookmarkEnd w:id="116"/>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rPr>
        <w:t>主要行洪(防汛)排涝、周边市民居住密集并水域面积达到10000㎡及以上，60000㎡以内的经过整治的城市河道。</w:t>
      </w:r>
      <w:bookmarkStart w:id="117" w:name="_Toc25190"/>
      <w:bookmarkEnd w:id="117"/>
      <w:bookmarkStart w:id="118" w:name="_Toc25650"/>
      <w:bookmarkEnd w:id="118"/>
      <w:bookmarkStart w:id="119" w:name="_Toc20505"/>
      <w:bookmarkEnd w:id="119"/>
      <w:bookmarkStart w:id="120" w:name="_Toc17280"/>
      <w:bookmarkEnd w:id="120"/>
      <w:bookmarkStart w:id="121" w:name="_Toc13529"/>
      <w:bookmarkEnd w:id="121"/>
      <w:bookmarkStart w:id="122" w:name="_Toc28647"/>
      <w:bookmarkEnd w:id="122"/>
      <w:bookmarkStart w:id="123" w:name="_Toc6401"/>
      <w:bookmarkEnd w:id="123"/>
      <w:bookmarkStart w:id="124" w:name="_Toc17879"/>
      <w:bookmarkStart w:id="125" w:name="_Toc22836"/>
      <w:bookmarkStart w:id="126" w:name="_Toc11747"/>
      <w:bookmarkStart w:id="127" w:name="_Toc23263"/>
      <w:bookmarkStart w:id="128" w:name="_Toc528769145"/>
      <w:bookmarkStart w:id="129" w:name="_Toc21748"/>
      <w:bookmarkStart w:id="130" w:name="_Toc2235"/>
      <w:bookmarkStart w:id="131" w:name="_Toc26876"/>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132" w:name="_Toc1701"/>
      <w:bookmarkStart w:id="133" w:name="_Toc17026"/>
      <w:r>
        <w:rPr>
          <w:rFonts w:hint="eastAsia" w:ascii="宋体" w:hAnsi="宋体" w:cs="宋体"/>
          <w:color w:val="auto"/>
          <w:kern w:val="0"/>
          <w:highlight w:val="none"/>
          <w:lang w:val="en-US" w:eastAsia="zh-CN"/>
        </w:rPr>
        <w:t>3.6</w:t>
      </w:r>
      <w:r>
        <w:rPr>
          <w:rFonts w:hint="eastAsia" w:ascii="宋体" w:hAnsi="宋体" w:eastAsia="宋体" w:cs="宋体"/>
          <w:color w:val="auto"/>
          <w:kern w:val="0"/>
          <w:highlight w:val="none"/>
        </w:rPr>
        <w:t>三类城市河道</w:t>
      </w:r>
      <w:bookmarkEnd w:id="124"/>
      <w:bookmarkEnd w:id="125"/>
      <w:bookmarkEnd w:id="126"/>
      <w:bookmarkEnd w:id="127"/>
      <w:bookmarkEnd w:id="128"/>
      <w:bookmarkEnd w:id="129"/>
      <w:bookmarkEnd w:id="130"/>
      <w:bookmarkEnd w:id="131"/>
      <w:bookmarkEnd w:id="132"/>
      <w:bookmarkEnd w:id="133"/>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szCs w:val="20"/>
          <w:highlight w:val="none"/>
        </w:rPr>
        <w:t>除一类、二类以外的经过整治的城市河道。</w:t>
      </w:r>
      <w:bookmarkStart w:id="134" w:name="_Toc28012"/>
      <w:bookmarkEnd w:id="134"/>
      <w:bookmarkStart w:id="135" w:name="_Toc12096"/>
      <w:bookmarkEnd w:id="135"/>
      <w:bookmarkStart w:id="136" w:name="_Toc11325"/>
      <w:bookmarkEnd w:id="136"/>
      <w:bookmarkStart w:id="137" w:name="_Toc15040"/>
      <w:bookmarkEnd w:id="137"/>
      <w:bookmarkStart w:id="138" w:name="_Toc28055"/>
      <w:bookmarkEnd w:id="138"/>
      <w:bookmarkStart w:id="139" w:name="_Toc29494"/>
      <w:bookmarkEnd w:id="139"/>
      <w:bookmarkStart w:id="140" w:name="_Toc9079"/>
      <w:bookmarkEnd w:id="140"/>
      <w:bookmarkStart w:id="141" w:name="_Toc3837"/>
      <w:bookmarkStart w:id="142" w:name="_Toc10409"/>
      <w:bookmarkStart w:id="143" w:name="_Toc528769147"/>
      <w:bookmarkStart w:id="144" w:name="_Toc4390"/>
      <w:bookmarkStart w:id="145" w:name="_Toc3318"/>
      <w:bookmarkStart w:id="146" w:name="_Toc18504"/>
      <w:bookmarkStart w:id="147" w:name="_Toc11453"/>
      <w:bookmarkStart w:id="148" w:name="_Toc6704"/>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149" w:name="_Toc21680"/>
      <w:bookmarkStart w:id="150" w:name="_Toc25918"/>
      <w:r>
        <w:rPr>
          <w:rFonts w:hint="eastAsia" w:ascii="宋体" w:hAnsi="宋体" w:cs="宋体"/>
          <w:color w:val="auto"/>
          <w:kern w:val="0"/>
          <w:highlight w:val="none"/>
          <w:lang w:val="en-US" w:eastAsia="zh-CN"/>
        </w:rPr>
        <w:t>3.7</w:t>
      </w:r>
      <w:r>
        <w:rPr>
          <w:rFonts w:hint="eastAsia" w:ascii="宋体" w:hAnsi="宋体" w:eastAsia="宋体" w:cs="宋体"/>
          <w:color w:val="auto"/>
          <w:kern w:val="0"/>
          <w:highlight w:val="none"/>
        </w:rPr>
        <w:t>未整治河道</w:t>
      </w:r>
      <w:bookmarkEnd w:id="141"/>
      <w:bookmarkEnd w:id="142"/>
      <w:bookmarkEnd w:id="143"/>
      <w:bookmarkEnd w:id="144"/>
      <w:bookmarkEnd w:id="145"/>
      <w:bookmarkEnd w:id="146"/>
      <w:bookmarkEnd w:id="147"/>
      <w:bookmarkEnd w:id="148"/>
      <w:bookmarkEnd w:id="149"/>
      <w:bookmarkEnd w:id="150"/>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未按河道综保工程要求实施整治的城市河道。</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19" w:firstLineChars="233"/>
        <w:textAlignment w:val="auto"/>
        <w:rPr>
          <w:rFonts w:hint="eastAsia" w:ascii="宋体" w:hAnsi="宋体" w:eastAsia="宋体" w:cs="宋体"/>
          <w:color w:val="auto"/>
          <w:kern w:val="0"/>
          <w:highlight w:val="none"/>
        </w:rPr>
      </w:pPr>
      <w:r>
        <w:rPr>
          <w:rFonts w:hint="eastAsia" w:ascii="宋体" w:hAnsi="宋体" w:eastAsia="宋体" w:cs="宋体"/>
          <w:color w:val="auto"/>
          <w:kern w:val="0"/>
          <w:sz w:val="18"/>
          <w:szCs w:val="18"/>
          <w:highlight w:val="none"/>
        </w:rPr>
        <w:t>注：河道综保工程是指河道综合整治与保护开发工程。</w:t>
      </w:r>
      <w:bookmarkStart w:id="151" w:name="_Toc1156"/>
      <w:bookmarkEnd w:id="151"/>
      <w:bookmarkStart w:id="152" w:name="_Toc4591"/>
      <w:bookmarkEnd w:id="152"/>
      <w:bookmarkStart w:id="153" w:name="_Toc528769149"/>
      <w:bookmarkStart w:id="154" w:name="_Toc31049"/>
      <w:bookmarkStart w:id="155" w:name="_Toc12174"/>
    </w:p>
    <w:p>
      <w:pPr>
        <w:keepNext w:val="0"/>
        <w:keepLines w:val="0"/>
        <w:pageBreakBefore w:val="0"/>
        <w:widowControl/>
        <w:kinsoku/>
        <w:wordWrap/>
        <w:overflowPunct/>
        <w:topLinePunct w:val="0"/>
        <w:bidi w:val="0"/>
        <w:adjustRightInd w:val="0"/>
        <w:snapToGrid/>
        <w:spacing w:line="360" w:lineRule="auto"/>
        <w:ind w:left="0" w:firstLine="420" w:firstLineChars="200"/>
        <w:jc w:val="left"/>
        <w:textAlignment w:val="auto"/>
        <w:outlineLvl w:val="2"/>
        <w:rPr>
          <w:rFonts w:hint="eastAsia" w:ascii="宋体" w:hAnsi="宋体" w:eastAsia="宋体" w:cs="宋体"/>
          <w:color w:val="auto"/>
          <w:kern w:val="0"/>
          <w:highlight w:val="none"/>
        </w:rPr>
      </w:pPr>
      <w:bookmarkStart w:id="156" w:name="_Toc308"/>
      <w:bookmarkStart w:id="157" w:name="_Toc28573"/>
      <w:r>
        <w:rPr>
          <w:rFonts w:hint="eastAsia" w:ascii="宋体" w:hAnsi="宋体" w:cs="宋体"/>
          <w:color w:val="auto"/>
          <w:kern w:val="0"/>
          <w:highlight w:val="none"/>
          <w:lang w:val="en-US" w:eastAsia="zh-CN"/>
        </w:rPr>
        <w:t>3.8</w:t>
      </w:r>
      <w:r>
        <w:rPr>
          <w:rFonts w:hint="eastAsia" w:ascii="宋体" w:hAnsi="宋体" w:eastAsia="宋体" w:cs="宋体"/>
          <w:color w:val="auto"/>
          <w:kern w:val="0"/>
          <w:highlight w:val="none"/>
        </w:rPr>
        <w:t>城市家具</w:t>
      </w:r>
      <w:bookmarkEnd w:id="153"/>
      <w:bookmarkEnd w:id="154"/>
      <w:bookmarkEnd w:id="155"/>
      <w:bookmarkEnd w:id="156"/>
      <w:bookmarkEnd w:id="157"/>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2"/>
          <w:highlight w:val="none"/>
        </w:rPr>
        <w:t>遍布城市街道中的诸多城市公共环境设施，包括便民设施、标志标识设施、交通设施、照明设施、景观设施以及安全设施等。</w:t>
      </w:r>
    </w:p>
    <w:p>
      <w:pPr>
        <w:keepNext w:val="0"/>
        <w:keepLines w:val="0"/>
        <w:pageBreakBefore w:val="0"/>
        <w:widowControl/>
        <w:kinsoku/>
        <w:wordWrap/>
        <w:overflowPunct/>
        <w:topLinePunct w:val="0"/>
        <w:bidi w:val="0"/>
        <w:adjustRightInd w:val="0"/>
        <w:snapToGrid/>
        <w:spacing w:line="360" w:lineRule="auto"/>
        <w:ind w:left="0"/>
        <w:textAlignment w:val="auto"/>
        <w:outlineLvl w:val="1"/>
        <w:rPr>
          <w:rFonts w:hint="eastAsia" w:ascii="宋体" w:hAnsi="宋体" w:eastAsia="宋体" w:cs="宋体"/>
          <w:color w:val="auto"/>
          <w:kern w:val="0"/>
          <w:szCs w:val="20"/>
          <w:highlight w:val="none"/>
        </w:rPr>
      </w:pPr>
      <w:bookmarkStart w:id="158" w:name="_Toc29708"/>
      <w:bookmarkStart w:id="159" w:name="_Toc528769150"/>
      <w:bookmarkStart w:id="160" w:name="_Toc9984"/>
      <w:r>
        <w:rPr>
          <w:rFonts w:hint="eastAsia" w:ascii="宋体" w:hAnsi="宋体" w:cs="宋体"/>
          <w:color w:val="auto"/>
          <w:kern w:val="0"/>
          <w:szCs w:val="20"/>
          <w:highlight w:val="none"/>
          <w:lang w:val="en-US" w:eastAsia="zh-CN"/>
        </w:rPr>
        <w:t>4</w:t>
      </w:r>
      <w:r>
        <w:rPr>
          <w:rFonts w:hint="eastAsia" w:ascii="宋体" w:hAnsi="宋体" w:eastAsia="宋体" w:cs="宋体"/>
          <w:color w:val="auto"/>
          <w:kern w:val="0"/>
          <w:szCs w:val="20"/>
          <w:highlight w:val="none"/>
        </w:rPr>
        <w:t>养护</w:t>
      </w:r>
      <w:bookmarkEnd w:id="158"/>
      <w:bookmarkEnd w:id="159"/>
      <w:bookmarkEnd w:id="160"/>
      <w:bookmarkStart w:id="161" w:name="_Toc14210"/>
      <w:bookmarkStart w:id="162" w:name="_Toc7559"/>
      <w:bookmarkStart w:id="163" w:name="_Toc528769151"/>
    </w:p>
    <w:p>
      <w:pPr>
        <w:keepNext w:val="0"/>
        <w:keepLines w:val="0"/>
        <w:pageBreakBefore w:val="0"/>
        <w:widowControl/>
        <w:kinsoku/>
        <w:wordWrap/>
        <w:overflowPunct/>
        <w:topLinePunct w:val="0"/>
        <w:bidi w:val="0"/>
        <w:adjustRightInd w:val="0"/>
        <w:snapToGrid/>
        <w:spacing w:line="360" w:lineRule="auto"/>
        <w:ind w:left="0"/>
        <w:textAlignment w:val="auto"/>
        <w:outlineLvl w:val="1"/>
        <w:rPr>
          <w:rFonts w:hint="eastAsia" w:ascii="宋体" w:hAnsi="宋体" w:eastAsia="宋体" w:cs="宋体"/>
          <w:color w:val="auto"/>
          <w:kern w:val="0"/>
          <w:highlight w:val="none"/>
        </w:rPr>
      </w:pPr>
      <w:r>
        <w:rPr>
          <w:rFonts w:hint="eastAsia" w:ascii="宋体" w:hAnsi="宋体" w:cs="宋体"/>
          <w:color w:val="auto"/>
          <w:kern w:val="0"/>
          <w:szCs w:val="20"/>
          <w:highlight w:val="none"/>
          <w:lang w:val="en-US" w:eastAsia="zh-CN"/>
        </w:rPr>
        <w:t>4.1</w:t>
      </w:r>
      <w:r>
        <w:rPr>
          <w:rFonts w:hint="eastAsia" w:ascii="宋体" w:hAnsi="宋体" w:eastAsia="宋体" w:cs="宋体"/>
          <w:color w:val="auto"/>
          <w:kern w:val="0"/>
          <w:highlight w:val="none"/>
        </w:rPr>
        <w:t>一般要求</w:t>
      </w:r>
      <w:bookmarkEnd w:id="161"/>
      <w:bookmarkEnd w:id="162"/>
      <w:bookmarkEnd w:id="163"/>
      <w:r>
        <w:rPr>
          <w:rFonts w:hint="eastAsia" w:ascii="宋体" w:hAnsi="宋体" w:eastAsia="宋体" w:cs="宋体"/>
          <w:color w:val="auto"/>
          <w:kern w:val="0"/>
          <w:highlight w:val="none"/>
        </w:rPr>
        <w:t>　　</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4.1.1</w:t>
      </w:r>
      <w:r>
        <w:rPr>
          <w:rFonts w:hint="eastAsia" w:ascii="宋体" w:hAnsi="宋体" w:eastAsia="宋体" w:cs="宋体"/>
          <w:color w:val="auto"/>
          <w:kern w:val="0"/>
          <w:szCs w:val="20"/>
          <w:highlight w:val="none"/>
        </w:rPr>
        <w:t>应针对部分流动性差且水质相对较差的城市河道，因地制宜开展生态治理，优化水生态系统，增加水体自净能力。</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4.1.2</w:t>
      </w:r>
      <w:r>
        <w:rPr>
          <w:rFonts w:hint="eastAsia" w:ascii="宋体" w:hAnsi="宋体" w:eastAsia="宋体" w:cs="宋体"/>
          <w:color w:val="auto"/>
          <w:kern w:val="0"/>
          <w:szCs w:val="20"/>
          <w:highlight w:val="none"/>
        </w:rPr>
        <w:t>应制定城市河道水质突变应急处置方案，针对漂浮污泥、藻华、入侵植物、浮游生物、油花、泡沫等常见突变现象，做到及时发现，分析成因，提出应急措施，开展处置工作。</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4.1.3</w:t>
      </w:r>
      <w:r>
        <w:rPr>
          <w:rFonts w:hint="eastAsia" w:ascii="宋体" w:hAnsi="宋体" w:eastAsia="宋体" w:cs="宋体"/>
          <w:color w:val="auto"/>
          <w:kern w:val="0"/>
          <w:szCs w:val="20"/>
          <w:highlight w:val="none"/>
        </w:rPr>
        <w:t>应优化调配水，增加城市河道水体流动性，促进水体循环。</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164" w:name="_Toc528769152"/>
      <w:bookmarkStart w:id="165" w:name="_Toc31250"/>
      <w:bookmarkStart w:id="166" w:name="_Toc21781"/>
      <w:r>
        <w:rPr>
          <w:rFonts w:hint="eastAsia" w:ascii="宋体" w:hAnsi="宋体" w:cs="宋体"/>
          <w:color w:val="auto"/>
          <w:kern w:val="0"/>
          <w:szCs w:val="22"/>
          <w:highlight w:val="none"/>
          <w:lang w:val="en-US" w:eastAsia="zh-CN"/>
        </w:rPr>
        <w:t>4.2</w:t>
      </w:r>
      <w:r>
        <w:rPr>
          <w:rFonts w:hint="eastAsia" w:ascii="宋体" w:hAnsi="宋体" w:eastAsia="宋体" w:cs="宋体"/>
          <w:color w:val="auto"/>
          <w:kern w:val="0"/>
          <w:szCs w:val="22"/>
          <w:highlight w:val="none"/>
        </w:rPr>
        <w:t>河道巡查</w:t>
      </w:r>
      <w:bookmarkEnd w:id="164"/>
      <w:bookmarkEnd w:id="165"/>
      <w:bookmarkEnd w:id="166"/>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4.2.1</w:t>
      </w:r>
      <w:r>
        <w:rPr>
          <w:rFonts w:hint="eastAsia" w:ascii="宋体" w:hAnsi="宋体" w:eastAsia="宋体" w:cs="宋体"/>
          <w:color w:val="auto"/>
          <w:kern w:val="0"/>
          <w:highlight w:val="none"/>
        </w:rPr>
        <w:t>日常巡查应包括下列内容：</w:t>
      </w:r>
    </w:p>
    <w:p>
      <w:pPr>
        <w:keepNext w:val="0"/>
        <w:keepLines w:val="0"/>
        <w:pageBreakBefore w:val="0"/>
        <w:widowControl/>
        <w:numPr>
          <w:ilvl w:val="0"/>
          <w:numId w:val="2"/>
        </w:numPr>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河道水质状况、排水口、生态治理设施设备、绿地及廊亭栈道与景观桥的专项巡查；</w:t>
      </w:r>
    </w:p>
    <w:p>
      <w:pPr>
        <w:keepNext w:val="0"/>
        <w:keepLines w:val="0"/>
        <w:pageBreakBefore w:val="0"/>
        <w:widowControl/>
        <w:numPr>
          <w:ilvl w:val="0"/>
          <w:numId w:val="2"/>
        </w:numPr>
        <w:tabs>
          <w:tab w:val="center" w:pos="4201"/>
          <w:tab w:val="right" w:leader="dot" w:pos="9298"/>
        </w:tabs>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涉河建设项目的监督巡查；</w:t>
      </w:r>
    </w:p>
    <w:p>
      <w:pPr>
        <w:keepNext w:val="0"/>
        <w:keepLines w:val="0"/>
        <w:pageBreakBefore w:val="0"/>
        <w:widowControl/>
        <w:numPr>
          <w:ilvl w:val="0"/>
          <w:numId w:val="2"/>
        </w:numPr>
        <w:tabs>
          <w:tab w:val="center" w:pos="4201"/>
          <w:tab w:val="right" w:leader="dot" w:pos="9298"/>
        </w:tabs>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各项重大活动及节假日服务保障的重点巡查；</w:t>
      </w:r>
    </w:p>
    <w:p>
      <w:pPr>
        <w:keepNext w:val="0"/>
        <w:keepLines w:val="0"/>
        <w:pageBreakBefore w:val="0"/>
        <w:widowControl/>
        <w:numPr>
          <w:ilvl w:val="0"/>
          <w:numId w:val="2"/>
        </w:numPr>
        <w:tabs>
          <w:tab w:val="center" w:pos="4201"/>
          <w:tab w:val="right" w:leader="dot" w:pos="9298"/>
        </w:tabs>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河道防汛、设施抢修等紧急状况的特殊巡查；</w:t>
      </w:r>
    </w:p>
    <w:p>
      <w:pPr>
        <w:keepNext w:val="0"/>
        <w:keepLines w:val="0"/>
        <w:pageBreakBefore w:val="0"/>
        <w:widowControl/>
        <w:numPr>
          <w:ilvl w:val="0"/>
          <w:numId w:val="2"/>
        </w:numPr>
        <w:tabs>
          <w:tab w:val="center" w:pos="4201"/>
          <w:tab w:val="right" w:leader="dot" w:pos="9298"/>
        </w:tabs>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违法违章行为和不文明现象的劝阻。</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4.2.2</w:t>
      </w:r>
      <w:r>
        <w:rPr>
          <w:rFonts w:hint="eastAsia" w:ascii="宋体" w:hAnsi="宋体" w:eastAsia="宋体" w:cs="宋体"/>
          <w:color w:val="auto"/>
          <w:kern w:val="0"/>
          <w:highlight w:val="none"/>
        </w:rPr>
        <w:t>巡查频次应符合下列规定：</w:t>
      </w:r>
    </w:p>
    <w:p>
      <w:pPr>
        <w:keepNext w:val="0"/>
        <w:keepLines w:val="0"/>
        <w:pageBreakBefore w:val="0"/>
        <w:widowControl/>
        <w:numPr>
          <w:ilvl w:val="0"/>
          <w:numId w:val="3"/>
        </w:numPr>
        <w:kinsoku/>
        <w:wordWrap/>
        <w:overflowPunct/>
        <w:topLinePunct w:val="0"/>
        <w:bidi w:val="0"/>
        <w:adjustRightInd w:val="0"/>
        <w:snapToGrid/>
        <w:spacing w:line="360" w:lineRule="auto"/>
        <w:ind w:left="839" w:hanging="419"/>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一类城市河道巡查应每天全线巡查2次；</w:t>
      </w:r>
    </w:p>
    <w:p>
      <w:pPr>
        <w:keepNext w:val="0"/>
        <w:keepLines w:val="0"/>
        <w:pageBreakBefore w:val="0"/>
        <w:widowControl/>
        <w:numPr>
          <w:ilvl w:val="0"/>
          <w:numId w:val="3"/>
        </w:numPr>
        <w:kinsoku/>
        <w:wordWrap/>
        <w:overflowPunct/>
        <w:topLinePunct w:val="0"/>
        <w:bidi w:val="0"/>
        <w:adjustRightInd w:val="0"/>
        <w:snapToGrid/>
        <w:spacing w:line="360" w:lineRule="auto"/>
        <w:ind w:left="839" w:hanging="419"/>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二类城市河道巡查应每天全线巡查1次；</w:t>
      </w:r>
    </w:p>
    <w:p>
      <w:pPr>
        <w:keepNext w:val="0"/>
        <w:keepLines w:val="0"/>
        <w:pageBreakBefore w:val="0"/>
        <w:widowControl/>
        <w:numPr>
          <w:ilvl w:val="0"/>
          <w:numId w:val="3"/>
        </w:numPr>
        <w:kinsoku/>
        <w:wordWrap/>
        <w:overflowPunct/>
        <w:topLinePunct w:val="0"/>
        <w:bidi w:val="0"/>
        <w:adjustRightInd w:val="0"/>
        <w:snapToGrid/>
        <w:spacing w:line="360" w:lineRule="auto"/>
        <w:ind w:left="839" w:hanging="419"/>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三类城市河道巡查应每2天全线巡查1次；</w:t>
      </w:r>
    </w:p>
    <w:p>
      <w:pPr>
        <w:keepNext w:val="0"/>
        <w:keepLines w:val="0"/>
        <w:pageBreakBefore w:val="0"/>
        <w:widowControl/>
        <w:numPr>
          <w:ilvl w:val="0"/>
          <w:numId w:val="3"/>
        </w:numPr>
        <w:kinsoku/>
        <w:wordWrap/>
        <w:overflowPunct/>
        <w:topLinePunct w:val="0"/>
        <w:bidi w:val="0"/>
        <w:adjustRightInd w:val="0"/>
        <w:snapToGrid/>
        <w:spacing w:line="360" w:lineRule="auto"/>
        <w:ind w:left="839" w:hanging="419"/>
        <w:jc w:val="left"/>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未整治城市河道巡查应每周全线巡查1次。</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4.2.3</w:t>
      </w:r>
      <w:r>
        <w:rPr>
          <w:rFonts w:hint="eastAsia" w:ascii="宋体" w:hAnsi="宋体" w:eastAsia="宋体" w:cs="宋体"/>
          <w:color w:val="auto"/>
          <w:kern w:val="0"/>
          <w:highlight w:val="none"/>
        </w:rPr>
        <w:t>巡查人员巡查时应符合下列规定：</w:t>
      </w:r>
    </w:p>
    <w:p>
      <w:pPr>
        <w:keepNext w:val="0"/>
        <w:keepLines w:val="0"/>
        <w:pageBreakBefore w:val="0"/>
        <w:widowControl/>
        <w:numPr>
          <w:ilvl w:val="0"/>
          <w:numId w:val="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应配备照相机或摄像机，巡查车辆与船只宜安装车载定位等必要的装备；</w:t>
      </w:r>
    </w:p>
    <w:p>
      <w:pPr>
        <w:keepNext w:val="0"/>
        <w:keepLines w:val="0"/>
        <w:pageBreakBefore w:val="0"/>
        <w:widowControl/>
        <w:numPr>
          <w:ilvl w:val="0"/>
          <w:numId w:val="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巡查时应认真负责、全面仔细，快速及时地掌握河道设施的安全性、整洁和完好状况；</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 xml:space="preserve">c) </w:t>
      </w:r>
      <w:r>
        <w:rPr>
          <w:rFonts w:hint="eastAsia" w:ascii="宋体" w:hAnsi="宋体" w:eastAsia="宋体" w:cs="宋体"/>
          <w:color w:val="auto"/>
          <w:kern w:val="0"/>
          <w:szCs w:val="20"/>
          <w:highlight w:val="none"/>
        </w:rPr>
        <w:t>当日应做好巡查记录并上报。</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highlight w:val="none"/>
        </w:rPr>
      </w:pPr>
      <w:bookmarkStart w:id="167" w:name="_Toc528769153"/>
      <w:bookmarkStart w:id="168" w:name="_Toc8573"/>
      <w:bookmarkStart w:id="169" w:name="_Toc20651"/>
      <w:r>
        <w:rPr>
          <w:rFonts w:hint="eastAsia" w:ascii="宋体" w:hAnsi="宋体" w:cs="宋体"/>
          <w:color w:val="auto"/>
          <w:kern w:val="0"/>
          <w:highlight w:val="none"/>
          <w:lang w:val="en-US" w:eastAsia="zh-CN"/>
        </w:rPr>
        <w:t>4.3</w:t>
      </w:r>
      <w:r>
        <w:rPr>
          <w:rFonts w:hint="eastAsia" w:ascii="宋体" w:hAnsi="宋体" w:eastAsia="宋体" w:cs="宋体"/>
          <w:color w:val="auto"/>
          <w:kern w:val="0"/>
          <w:highlight w:val="none"/>
        </w:rPr>
        <w:t>河道保洁</w:t>
      </w:r>
      <w:bookmarkEnd w:id="167"/>
      <w:bookmarkEnd w:id="168"/>
      <w:bookmarkEnd w:id="169"/>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4.3.1</w:t>
      </w:r>
      <w:r>
        <w:rPr>
          <w:rFonts w:hint="eastAsia" w:ascii="宋体" w:hAnsi="宋体" w:eastAsia="宋体" w:cs="宋体"/>
          <w:color w:val="auto"/>
          <w:kern w:val="0"/>
          <w:szCs w:val="20"/>
          <w:highlight w:val="none"/>
        </w:rPr>
        <w:t>河面应清洁无漂浮物，绿地无垃圾、无杂物，河岸各类硬化设施无垃圾、无污垢，保持整洁完好。</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4.3.2</w:t>
      </w:r>
      <w:r>
        <w:rPr>
          <w:rFonts w:hint="eastAsia" w:ascii="宋体" w:hAnsi="宋体" w:eastAsia="宋体" w:cs="宋体"/>
          <w:color w:val="auto"/>
          <w:kern w:val="0"/>
          <w:szCs w:val="20"/>
          <w:highlight w:val="none"/>
        </w:rPr>
        <w:t>利用机械或人工对河道水面的垃圾、枯枝落叶、水草、绿萍等种植物除外的漂浮物进行打捞清理及外运处置，保持河道景观、保护河道水环境。</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4.3.3</w:t>
      </w:r>
      <w:r>
        <w:rPr>
          <w:rFonts w:hint="eastAsia" w:ascii="宋体" w:hAnsi="宋体" w:eastAsia="宋体" w:cs="宋体"/>
          <w:color w:val="auto"/>
          <w:kern w:val="0"/>
          <w:szCs w:val="20"/>
          <w:highlight w:val="none"/>
        </w:rPr>
        <w:t>利用各种机械或人工对城市河道的河岸、绿地、慢行系统、园路等设施的保洁，应做到干净整洁、无杂物堆积、无痰迹烟蒂、无青苔、无积水积泥等。</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4.3.4</w:t>
      </w:r>
      <w:r>
        <w:rPr>
          <w:rFonts w:hint="eastAsia" w:ascii="宋体" w:hAnsi="宋体" w:eastAsia="宋体" w:cs="宋体"/>
          <w:color w:val="auto"/>
          <w:kern w:val="0"/>
          <w:szCs w:val="20"/>
          <w:highlight w:val="none"/>
        </w:rPr>
        <w:t>台风、暴雨及洪水过后应及时清除大型漂浮物、倾入河内的树木树枝等各类障碍物。</w:t>
      </w:r>
    </w:p>
    <w:p>
      <w:pPr>
        <w:keepNext w:val="0"/>
        <w:keepLines w:val="0"/>
        <w:pageBreakBefore w:val="0"/>
        <w:widowControl/>
        <w:numPr>
          <w:ilvl w:val="2"/>
          <w:numId w:val="0"/>
        </w:numPr>
        <w:kinsoku/>
        <w:wordWrap/>
        <w:overflowPunct/>
        <w:topLinePunct w:val="0"/>
        <w:bidi w:val="0"/>
        <w:adjustRightInd w:val="0"/>
        <w:snapToGrid/>
        <w:spacing w:line="360" w:lineRule="auto"/>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4.3.5</w:t>
      </w:r>
      <w:r>
        <w:rPr>
          <w:rFonts w:hint="eastAsia" w:ascii="宋体" w:hAnsi="宋体" w:eastAsia="宋体" w:cs="宋体"/>
          <w:color w:val="auto"/>
          <w:kern w:val="0"/>
          <w:highlight w:val="none"/>
        </w:rPr>
        <w:t>河面保洁应符合下列规定：</w:t>
      </w:r>
    </w:p>
    <w:p>
      <w:pPr>
        <w:keepNext w:val="0"/>
        <w:keepLines w:val="0"/>
        <w:pageBreakBefore w:val="0"/>
        <w:widowControl/>
        <w:numPr>
          <w:ilvl w:val="0"/>
          <w:numId w:val="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一类城市河道保洁应每天对河面保洁不少于6次，作业时间不少于12h；</w:t>
      </w:r>
    </w:p>
    <w:p>
      <w:pPr>
        <w:keepNext w:val="0"/>
        <w:keepLines w:val="0"/>
        <w:pageBreakBefore w:val="0"/>
        <w:widowControl/>
        <w:numPr>
          <w:ilvl w:val="0"/>
          <w:numId w:val="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二类城市河道保洁应每天对河面保洁不少于4次，作业时间不少于10h；</w:t>
      </w:r>
    </w:p>
    <w:p>
      <w:pPr>
        <w:keepNext w:val="0"/>
        <w:keepLines w:val="0"/>
        <w:pageBreakBefore w:val="0"/>
        <w:widowControl/>
        <w:numPr>
          <w:ilvl w:val="0"/>
          <w:numId w:val="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三类城市河道保洁应每天对河面保洁不少于2次，作业时间不少于8h；</w:t>
      </w:r>
    </w:p>
    <w:p>
      <w:pPr>
        <w:keepNext w:val="0"/>
        <w:keepLines w:val="0"/>
        <w:pageBreakBefore w:val="0"/>
        <w:widowControl/>
        <w:numPr>
          <w:ilvl w:val="0"/>
          <w:numId w:val="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未整治城市河道保洁应每天对河面保洁不少于1次，作业时间不少于8h。</w:t>
      </w:r>
    </w:p>
    <w:p>
      <w:pPr>
        <w:keepNext w:val="0"/>
        <w:keepLines w:val="0"/>
        <w:pageBreakBefore w:val="0"/>
        <w:widowControl/>
        <w:numPr>
          <w:ilvl w:val="2"/>
          <w:numId w:val="0"/>
        </w:numPr>
        <w:kinsoku/>
        <w:wordWrap/>
        <w:overflowPunct/>
        <w:topLinePunct w:val="0"/>
        <w:bidi w:val="0"/>
        <w:adjustRightInd w:val="0"/>
        <w:snapToGrid/>
        <w:spacing w:line="360" w:lineRule="auto"/>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4.3.6</w:t>
      </w:r>
      <w:r>
        <w:rPr>
          <w:rFonts w:hint="eastAsia" w:ascii="宋体" w:hAnsi="宋体" w:eastAsia="宋体" w:cs="宋体"/>
          <w:color w:val="auto"/>
          <w:kern w:val="0"/>
          <w:highlight w:val="none"/>
        </w:rPr>
        <w:t>河岸保洁应符合下列规定：</w:t>
      </w:r>
    </w:p>
    <w:p>
      <w:pPr>
        <w:keepNext w:val="0"/>
        <w:keepLines w:val="0"/>
        <w:pageBreakBefore w:val="0"/>
        <w:widowControl/>
        <w:numPr>
          <w:ilvl w:val="0"/>
          <w:numId w:val="6"/>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一类城市河道保洁应每天保洁时间不少于16h，每月对慢行系统、园路、亲水平台、河埠头、游船停靠点、廊亭地面等硬化设施冲水清洗不少于2次；</w:t>
      </w:r>
    </w:p>
    <w:p>
      <w:pPr>
        <w:keepNext w:val="0"/>
        <w:keepLines w:val="0"/>
        <w:pageBreakBefore w:val="0"/>
        <w:widowControl/>
        <w:numPr>
          <w:ilvl w:val="0"/>
          <w:numId w:val="6"/>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二类城市河道保洁应每天保洁时间不少于14h，每月对慢行系统、园路、亲水平台、河埠头、游船停靠点、廊亭地面等硬化设施冲水清洗不少于1次；</w:t>
      </w:r>
    </w:p>
    <w:p>
      <w:pPr>
        <w:keepNext w:val="0"/>
        <w:keepLines w:val="0"/>
        <w:pageBreakBefore w:val="0"/>
        <w:widowControl/>
        <w:numPr>
          <w:ilvl w:val="0"/>
          <w:numId w:val="6"/>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三类城市河道保洁应每天保洁时间不少于8h，每月对慢行系统、园路、亲水平台、河埠头、游船停靠点、廊亭地面等硬化设施冲水清洗不少于1次。</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highlight w:val="none"/>
        </w:rPr>
      </w:pPr>
      <w:bookmarkStart w:id="170" w:name="_Toc9300"/>
      <w:bookmarkStart w:id="171" w:name="_Toc31848"/>
      <w:bookmarkStart w:id="172" w:name="_Toc528769154"/>
      <w:r>
        <w:rPr>
          <w:rFonts w:hint="eastAsia" w:ascii="宋体" w:hAnsi="宋体" w:cs="宋体"/>
          <w:color w:val="auto"/>
          <w:kern w:val="0"/>
          <w:highlight w:val="none"/>
          <w:lang w:val="en-US" w:eastAsia="zh-CN"/>
        </w:rPr>
        <w:t>4.4</w:t>
      </w:r>
      <w:r>
        <w:rPr>
          <w:rFonts w:hint="eastAsia" w:ascii="宋体" w:hAnsi="宋体" w:eastAsia="宋体" w:cs="宋体"/>
          <w:color w:val="auto"/>
          <w:kern w:val="0"/>
          <w:highlight w:val="none"/>
        </w:rPr>
        <w:t>水体养护</w:t>
      </w:r>
      <w:bookmarkEnd w:id="170"/>
      <w:bookmarkEnd w:id="171"/>
      <w:bookmarkEnd w:id="172"/>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73" w:name="_Toc528769155"/>
      <w:r>
        <w:rPr>
          <w:rFonts w:hint="eastAsia" w:ascii="宋体" w:hAnsi="宋体" w:cs="宋体"/>
          <w:color w:val="auto"/>
          <w:kern w:val="0"/>
          <w:highlight w:val="none"/>
          <w:lang w:val="en-US" w:eastAsia="zh-CN"/>
        </w:rPr>
        <w:t>4.4.1</w:t>
      </w:r>
      <w:r>
        <w:rPr>
          <w:rFonts w:hint="eastAsia" w:ascii="宋体" w:hAnsi="宋体" w:eastAsia="宋体" w:cs="宋体"/>
          <w:color w:val="auto"/>
          <w:kern w:val="0"/>
          <w:highlight w:val="none"/>
        </w:rPr>
        <w:t>河道水体应水清、流畅、无异味、无异色。</w:t>
      </w:r>
      <w:bookmarkEnd w:id="173"/>
      <w:r>
        <w:rPr>
          <w:rFonts w:hint="eastAsia" w:ascii="宋体" w:hAnsi="宋体" w:eastAsia="宋体" w:cs="宋体"/>
          <w:color w:val="auto"/>
          <w:kern w:val="0"/>
          <w:highlight w:val="none"/>
        </w:rPr>
        <w:t> </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74" w:name="_Toc7762"/>
      <w:bookmarkStart w:id="175" w:name="_Toc1114"/>
      <w:r>
        <w:rPr>
          <w:rFonts w:hint="eastAsia" w:ascii="宋体" w:hAnsi="宋体" w:cs="宋体"/>
          <w:color w:val="auto"/>
          <w:kern w:val="0"/>
          <w:highlight w:val="none"/>
          <w:lang w:val="en-US" w:eastAsia="zh-CN"/>
        </w:rPr>
        <w:t>4.4.2</w:t>
      </w:r>
      <w:r>
        <w:rPr>
          <w:rFonts w:hint="eastAsia" w:ascii="宋体" w:hAnsi="宋体" w:eastAsia="宋体" w:cs="宋体"/>
          <w:color w:val="auto"/>
          <w:kern w:val="0"/>
          <w:highlight w:val="none"/>
        </w:rPr>
        <w:t>应实施截污纳管工作，消除河道两岸排水口晴天出水现象，防止污水入河。</w:t>
      </w:r>
      <w:bookmarkEnd w:id="174"/>
      <w:bookmarkEnd w:id="175"/>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76" w:name="_Toc9497"/>
      <w:bookmarkStart w:id="177" w:name="_Toc28943"/>
      <w:r>
        <w:rPr>
          <w:rFonts w:hint="eastAsia" w:ascii="宋体" w:hAnsi="宋体" w:cs="宋体"/>
          <w:color w:val="auto"/>
          <w:kern w:val="0"/>
          <w:highlight w:val="none"/>
          <w:lang w:val="en-US" w:eastAsia="zh-CN"/>
        </w:rPr>
        <w:t>4.4.3</w:t>
      </w:r>
      <w:r>
        <w:rPr>
          <w:rFonts w:hint="eastAsia" w:ascii="宋体" w:hAnsi="宋体" w:eastAsia="宋体" w:cs="宋体"/>
          <w:color w:val="auto"/>
          <w:kern w:val="0"/>
          <w:highlight w:val="none"/>
        </w:rPr>
        <w:t>应根据HJ/T　91的规定，在水系源头、过境、支流汇入等设置监测断面，断面布设应合理，每条河道应至少设置一个断面，在总体和宏观上反映水系或所在区域的水环境质量状况。</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4.4.4</w:t>
      </w:r>
      <w:r>
        <w:rPr>
          <w:rFonts w:hint="eastAsia" w:ascii="宋体" w:hAnsi="宋体" w:eastAsia="宋体" w:cs="宋体"/>
          <w:color w:val="auto"/>
          <w:kern w:val="0"/>
          <w:highlight w:val="none"/>
        </w:rPr>
        <w:t>水质监测项目应至少包含pH值、透明度、溶解氧、氨氮、高锰酸盐指数、总磷等主要指标，监测频率每月不应少于一次。河道水质监测应符合GB　3838、GB　12997、GB　12998和GB　12999的规定，采取单因子评价方法确定每个水质监测断面的水质级别。</w:t>
      </w:r>
      <w:bookmarkEnd w:id="176"/>
      <w:bookmarkEnd w:id="177"/>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178" w:name="_Toc18862"/>
      <w:bookmarkStart w:id="179" w:name="_Toc2915"/>
      <w:bookmarkStart w:id="180" w:name="_Toc528769156"/>
      <w:r>
        <w:rPr>
          <w:rFonts w:hint="eastAsia" w:ascii="宋体" w:hAnsi="宋体" w:cs="宋体"/>
          <w:color w:val="auto"/>
          <w:kern w:val="0"/>
          <w:szCs w:val="22"/>
          <w:highlight w:val="none"/>
          <w:lang w:val="en-US" w:eastAsia="zh-CN"/>
        </w:rPr>
        <w:t>4.5</w:t>
      </w:r>
      <w:r>
        <w:rPr>
          <w:rFonts w:hint="eastAsia" w:ascii="宋体" w:hAnsi="宋体" w:eastAsia="宋体" w:cs="宋体"/>
          <w:color w:val="auto"/>
          <w:kern w:val="0"/>
          <w:szCs w:val="22"/>
          <w:highlight w:val="none"/>
        </w:rPr>
        <w:t>河岸养护</w:t>
      </w:r>
      <w:bookmarkEnd w:id="178"/>
      <w:bookmarkEnd w:id="179"/>
      <w:bookmarkEnd w:id="180"/>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81" w:name="_Hlk530599272"/>
      <w:r>
        <w:rPr>
          <w:rFonts w:hint="eastAsia" w:ascii="宋体" w:hAnsi="宋体" w:cs="宋体"/>
          <w:color w:val="auto"/>
          <w:kern w:val="0"/>
          <w:highlight w:val="none"/>
          <w:lang w:val="en-US" w:eastAsia="zh-CN"/>
        </w:rPr>
        <w:t>4.5.1</w:t>
      </w:r>
      <w:r>
        <w:rPr>
          <w:rFonts w:hint="eastAsia" w:ascii="宋体" w:hAnsi="宋体" w:eastAsia="宋体" w:cs="宋体"/>
          <w:color w:val="auto"/>
          <w:kern w:val="0"/>
          <w:highlight w:val="none"/>
        </w:rPr>
        <w:t>河岸为</w:t>
      </w:r>
      <w:bookmarkEnd w:id="181"/>
      <w:r>
        <w:rPr>
          <w:rFonts w:hint="eastAsia" w:ascii="宋体" w:hAnsi="宋体" w:eastAsia="宋体" w:cs="宋体"/>
          <w:color w:val="auto"/>
          <w:kern w:val="0"/>
          <w:highlight w:val="none"/>
        </w:rPr>
        <w:t>驳坎挡墙护岸的养护应符合下列规定：</w:t>
      </w:r>
    </w:p>
    <w:p>
      <w:pPr>
        <w:keepNext w:val="0"/>
        <w:keepLines w:val="0"/>
        <w:pageBreakBefore w:val="0"/>
        <w:widowControl/>
        <w:numPr>
          <w:ilvl w:val="0"/>
          <w:numId w:val="7"/>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驳坎挡墙应保持工程完好、表面平整清洁，块石应整齐无松动、塌陷、隆起，砂浆勾缝应饱满、完整、无脱落；</w:t>
      </w:r>
    </w:p>
    <w:p>
      <w:pPr>
        <w:keepNext w:val="0"/>
        <w:keepLines w:val="0"/>
        <w:pageBreakBefore w:val="0"/>
        <w:widowControl/>
        <w:numPr>
          <w:ilvl w:val="0"/>
          <w:numId w:val="7"/>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驳坎挡墙压顶上的杂物、杂草应及时清除，迎水面上的污垢应用人工或泵冲洗干净，止水设施应完整无损，无渗水，缝内流失填料应及时填补；</w:t>
      </w:r>
    </w:p>
    <w:p>
      <w:pPr>
        <w:keepNext w:val="0"/>
        <w:keepLines w:val="0"/>
        <w:pageBreakBefore w:val="0"/>
        <w:widowControl/>
        <w:numPr>
          <w:ilvl w:val="0"/>
          <w:numId w:val="7"/>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驳坎挡墙不稳定，修补后继续发生倾斜、滑移、下沉等结构性破坏时，应将其拆除重建。</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4.5.2</w:t>
      </w:r>
      <w:r>
        <w:rPr>
          <w:rFonts w:hint="eastAsia" w:ascii="宋体" w:hAnsi="宋体" w:eastAsia="宋体" w:cs="宋体"/>
          <w:color w:val="auto"/>
          <w:kern w:val="0"/>
          <w:highlight w:val="none"/>
        </w:rPr>
        <w:t>河岸为砌石混凝土护岸的养护应保持坡面平顺、砌块完好、砌缝紧密，无松动、塌陷、脱落、架空等现象，无杂草、杂物，保持坡面整洁完好。</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82" w:name="_Hlk530599324"/>
      <w:r>
        <w:rPr>
          <w:rFonts w:hint="eastAsia" w:ascii="宋体" w:hAnsi="宋体" w:cs="宋体"/>
          <w:color w:val="auto"/>
          <w:kern w:val="0"/>
          <w:highlight w:val="none"/>
          <w:lang w:val="en-US" w:eastAsia="zh-CN"/>
        </w:rPr>
        <w:t>4.5.3</w:t>
      </w:r>
      <w:r>
        <w:rPr>
          <w:rFonts w:hint="eastAsia" w:ascii="宋体" w:hAnsi="宋体" w:eastAsia="宋体" w:cs="宋体"/>
          <w:color w:val="auto"/>
          <w:kern w:val="0"/>
          <w:highlight w:val="none"/>
        </w:rPr>
        <w:t>河岸为</w:t>
      </w:r>
      <w:bookmarkEnd w:id="182"/>
      <w:r>
        <w:rPr>
          <w:rFonts w:hint="eastAsia" w:ascii="宋体" w:hAnsi="宋体" w:eastAsia="宋体" w:cs="宋体"/>
          <w:color w:val="auto"/>
          <w:kern w:val="0"/>
          <w:highlight w:val="none"/>
        </w:rPr>
        <w:t>干砌石护岸的养护应符合下列规定：</w:t>
      </w:r>
    </w:p>
    <w:p>
      <w:pPr>
        <w:keepNext w:val="0"/>
        <w:keepLines w:val="0"/>
        <w:pageBreakBefore w:val="0"/>
        <w:widowControl/>
        <w:numPr>
          <w:ilvl w:val="0"/>
          <w:numId w:val="8"/>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填补、整修变形或损坏的块石；</w:t>
      </w:r>
    </w:p>
    <w:p>
      <w:pPr>
        <w:keepNext w:val="0"/>
        <w:keepLines w:val="0"/>
        <w:pageBreakBefore w:val="0"/>
        <w:widowControl/>
        <w:numPr>
          <w:ilvl w:val="0"/>
          <w:numId w:val="8"/>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更换风化或损毁的块石，并嵌砌紧密；</w:t>
      </w:r>
    </w:p>
    <w:p>
      <w:pPr>
        <w:keepNext w:val="0"/>
        <w:keepLines w:val="0"/>
        <w:pageBreakBefore w:val="0"/>
        <w:widowControl/>
        <w:numPr>
          <w:ilvl w:val="0"/>
          <w:numId w:val="8"/>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护岸局部塌陷或垫层被淘刷，应先翻出块石，恢复土体和垫层，再将块石嵌砌紧密。</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83" w:name="_Hlk530599388"/>
      <w:r>
        <w:rPr>
          <w:rFonts w:hint="eastAsia" w:ascii="宋体" w:hAnsi="宋体" w:cs="宋体"/>
          <w:color w:val="auto"/>
          <w:kern w:val="0"/>
          <w:highlight w:val="none"/>
          <w:lang w:val="en-US" w:eastAsia="zh-CN"/>
        </w:rPr>
        <w:t>4.5.4</w:t>
      </w:r>
      <w:r>
        <w:rPr>
          <w:rFonts w:hint="eastAsia" w:ascii="宋体" w:hAnsi="宋体" w:eastAsia="宋体" w:cs="宋体"/>
          <w:color w:val="auto"/>
          <w:kern w:val="0"/>
          <w:highlight w:val="none"/>
        </w:rPr>
        <w:t>河岸为</w:t>
      </w:r>
      <w:bookmarkEnd w:id="183"/>
      <w:r>
        <w:rPr>
          <w:rFonts w:hint="eastAsia" w:ascii="宋体" w:hAnsi="宋体" w:eastAsia="宋体" w:cs="宋体"/>
          <w:color w:val="auto"/>
          <w:kern w:val="0"/>
          <w:highlight w:val="none"/>
        </w:rPr>
        <w:t>混凝土或浆砌石</w:t>
      </w:r>
      <w:bookmarkStart w:id="184" w:name="_Hlk530599355"/>
      <w:r>
        <w:rPr>
          <w:rFonts w:hint="eastAsia" w:ascii="宋体" w:hAnsi="宋体" w:eastAsia="宋体" w:cs="宋体"/>
          <w:color w:val="auto"/>
          <w:kern w:val="0"/>
          <w:highlight w:val="none"/>
        </w:rPr>
        <w:t>护岸的</w:t>
      </w:r>
      <w:bookmarkEnd w:id="184"/>
      <w:r>
        <w:rPr>
          <w:rFonts w:hint="eastAsia" w:ascii="宋体" w:hAnsi="宋体" w:eastAsia="宋体" w:cs="宋体"/>
          <w:color w:val="auto"/>
          <w:kern w:val="0"/>
          <w:highlight w:val="none"/>
        </w:rPr>
        <w:t>养护应符合下列规定：</w:t>
      </w:r>
    </w:p>
    <w:p>
      <w:pPr>
        <w:keepNext w:val="0"/>
        <w:keepLines w:val="0"/>
        <w:pageBreakBefore w:val="0"/>
        <w:widowControl/>
        <w:numPr>
          <w:ilvl w:val="0"/>
          <w:numId w:val="9"/>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清理河岸表面杂物；</w:t>
      </w:r>
    </w:p>
    <w:p>
      <w:pPr>
        <w:keepNext w:val="0"/>
        <w:keepLines w:val="0"/>
        <w:pageBreakBefore w:val="0"/>
        <w:widowControl/>
        <w:numPr>
          <w:ilvl w:val="0"/>
          <w:numId w:val="9"/>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变形缝内填料流失应及时填补，填补前将缝内杂物清除干净；</w:t>
      </w:r>
    </w:p>
    <w:p>
      <w:pPr>
        <w:keepNext w:val="0"/>
        <w:keepLines w:val="0"/>
        <w:pageBreakBefore w:val="0"/>
        <w:widowControl/>
        <w:numPr>
          <w:ilvl w:val="0"/>
          <w:numId w:val="9"/>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浆砌石的灰缝脱落应及时修补，修补时讲缝口剔清刷净，修补后洒水养护；</w:t>
      </w:r>
    </w:p>
    <w:p>
      <w:pPr>
        <w:keepNext w:val="0"/>
        <w:keepLines w:val="0"/>
        <w:pageBreakBefore w:val="0"/>
        <w:widowControl/>
        <w:numPr>
          <w:ilvl w:val="0"/>
          <w:numId w:val="9"/>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河岸局部发生侵蚀剥落或破碎，应采用水泥砂浆进行抹补、喷浆处理；破碎面较大且有垫层淘刷砌体架空现象的，应填塞石料进行临时性处理，岁修时彻底整修；</w:t>
      </w:r>
    </w:p>
    <w:p>
      <w:pPr>
        <w:keepNext w:val="0"/>
        <w:keepLines w:val="0"/>
        <w:pageBreakBefore w:val="0"/>
        <w:widowControl/>
        <w:numPr>
          <w:ilvl w:val="0"/>
          <w:numId w:val="10"/>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排水孔堵塞，应及时疏通；</w:t>
      </w:r>
    </w:p>
    <w:p>
      <w:pPr>
        <w:keepNext w:val="0"/>
        <w:keepLines w:val="0"/>
        <w:pageBreakBefore w:val="0"/>
        <w:widowControl/>
        <w:numPr>
          <w:ilvl w:val="0"/>
          <w:numId w:val="10"/>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河岸局部出现裂缝，应加强观测，判别裂缝成因，进行处理。</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4.5.5</w:t>
      </w:r>
      <w:r>
        <w:rPr>
          <w:rFonts w:hint="eastAsia" w:ascii="宋体" w:hAnsi="宋体" w:eastAsia="宋体" w:cs="宋体"/>
          <w:color w:val="auto"/>
          <w:kern w:val="0"/>
          <w:highlight w:val="none"/>
        </w:rPr>
        <w:t>河岸为混凝土网格护岸的养护应符合下列规定：</w:t>
      </w:r>
    </w:p>
    <w:p>
      <w:pPr>
        <w:keepNext w:val="0"/>
        <w:keepLines w:val="0"/>
        <w:pageBreakBefore w:val="0"/>
        <w:widowControl/>
        <w:numPr>
          <w:ilvl w:val="0"/>
          <w:numId w:val="11"/>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混凝土网格破损，应采用水泥砂浆抹补，并填平混凝土网格与土基接合部；</w:t>
      </w:r>
    </w:p>
    <w:p>
      <w:pPr>
        <w:keepNext w:val="0"/>
        <w:keepLines w:val="0"/>
        <w:pageBreakBefore w:val="0"/>
        <w:widowControl/>
        <w:numPr>
          <w:ilvl w:val="0"/>
          <w:numId w:val="11"/>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应及时对网格内河岸草皮进行补植、清除杂草，适时浇水，草皮覆盖率应达到　95%以上。</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4.5.6</w:t>
      </w:r>
      <w:r>
        <w:rPr>
          <w:rFonts w:hint="eastAsia" w:ascii="宋体" w:hAnsi="宋体" w:eastAsia="宋体" w:cs="宋体"/>
          <w:color w:val="auto"/>
          <w:kern w:val="0"/>
          <w:highlight w:val="none"/>
        </w:rPr>
        <w:t>河岸为草皮护岸、生态护岸的养护应符合下列规定：</w:t>
      </w:r>
    </w:p>
    <w:p>
      <w:pPr>
        <w:keepNext w:val="0"/>
        <w:keepLines w:val="0"/>
        <w:pageBreakBefore w:val="0"/>
        <w:widowControl/>
        <w:numPr>
          <w:ilvl w:val="0"/>
          <w:numId w:val="1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草皮护岸、生态护岸应保持植物的存活率，根据植物的长势应适时修剪，防止其它杂草蔓延，并应注意病虫害的防治；</w:t>
      </w:r>
    </w:p>
    <w:p>
      <w:pPr>
        <w:keepNext w:val="0"/>
        <w:keepLines w:val="0"/>
        <w:pageBreakBefore w:val="0"/>
        <w:widowControl/>
        <w:numPr>
          <w:ilvl w:val="0"/>
          <w:numId w:val="1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夏季草皮干枯时，应及时浇水灌溉；</w:t>
      </w:r>
    </w:p>
    <w:p>
      <w:pPr>
        <w:keepNext w:val="0"/>
        <w:keepLines w:val="0"/>
        <w:pageBreakBefore w:val="0"/>
        <w:widowControl/>
        <w:numPr>
          <w:ilvl w:val="0"/>
          <w:numId w:val="1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草皮河岸、生态河岸应及时补植、补栽或换种，保持黄土不裸露；</w:t>
      </w:r>
    </w:p>
    <w:p>
      <w:pPr>
        <w:keepNext w:val="0"/>
        <w:keepLines w:val="0"/>
        <w:pageBreakBefore w:val="0"/>
        <w:widowControl/>
        <w:numPr>
          <w:ilvl w:val="0"/>
          <w:numId w:val="1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生态袋应完整、无破损、无填充物外漏；</w:t>
      </w:r>
    </w:p>
    <w:p>
      <w:pPr>
        <w:keepNext w:val="0"/>
        <w:keepLines w:val="0"/>
        <w:pageBreakBefore w:val="0"/>
        <w:widowControl/>
        <w:numPr>
          <w:ilvl w:val="0"/>
          <w:numId w:val="1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生态袋标准扣应连接牢固、无松脱，背后填土密实、无水土流失。</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4.5.7</w:t>
      </w:r>
      <w:r>
        <w:rPr>
          <w:rFonts w:hint="eastAsia" w:ascii="宋体" w:hAnsi="宋体" w:eastAsia="宋体" w:cs="宋体"/>
          <w:color w:val="auto"/>
          <w:kern w:val="0"/>
          <w:highlight w:val="none"/>
        </w:rPr>
        <w:t>河岸为模袋混凝土、水泥土、异形块体护岸的应根据其材料性质，按有关规定进行养护。</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4.5.8</w:t>
      </w:r>
      <w:r>
        <w:rPr>
          <w:rFonts w:hint="eastAsia" w:ascii="宋体" w:hAnsi="宋体" w:eastAsia="宋体" w:cs="宋体"/>
          <w:color w:val="auto"/>
          <w:kern w:val="0"/>
          <w:highlight w:val="none"/>
        </w:rPr>
        <w:t>防汛通道路面应保持平整，满足防汛巡查及运送防汛物资需要。防汛通道维修养护，参照CJJ36执行。</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4.5.9</w:t>
      </w:r>
      <w:r>
        <w:rPr>
          <w:rFonts w:hint="eastAsia" w:ascii="宋体" w:hAnsi="宋体" w:eastAsia="宋体" w:cs="宋体"/>
          <w:color w:val="auto"/>
          <w:kern w:val="0"/>
          <w:highlight w:val="none"/>
        </w:rPr>
        <w:t>河道凹岸、过水断面变化河段和存在影响行洪的建（构）筑物如坝（闸）的河段，堤防或河岸前端出现冲刷坑时应及时采取砌筑或抛石护底等防冲加固措施。</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4.5.10</w:t>
      </w:r>
      <w:r>
        <w:rPr>
          <w:rFonts w:hint="eastAsia" w:ascii="宋体" w:hAnsi="宋体" w:eastAsia="宋体" w:cs="宋体"/>
          <w:color w:val="auto"/>
          <w:kern w:val="0"/>
          <w:highlight w:val="none"/>
        </w:rPr>
        <w:t>河道堤岸受损维修标准不得低于原设计标准，对于原结构与维修部位之间的连接，应有相应的结构加强措施确保连接良好。</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185" w:name="_Toc7886"/>
      <w:bookmarkStart w:id="186" w:name="_Toc528769157"/>
      <w:bookmarkStart w:id="187" w:name="_Toc27868"/>
      <w:r>
        <w:rPr>
          <w:rFonts w:hint="eastAsia" w:ascii="宋体" w:hAnsi="宋体" w:cs="宋体"/>
          <w:color w:val="auto"/>
          <w:kern w:val="0"/>
          <w:szCs w:val="22"/>
          <w:highlight w:val="none"/>
          <w:lang w:val="en-US" w:eastAsia="zh-CN"/>
        </w:rPr>
        <w:t>4.6</w:t>
      </w:r>
      <w:r>
        <w:rPr>
          <w:rFonts w:hint="eastAsia" w:ascii="宋体" w:hAnsi="宋体" w:eastAsia="宋体" w:cs="宋体"/>
          <w:color w:val="auto"/>
          <w:kern w:val="0"/>
          <w:szCs w:val="22"/>
          <w:highlight w:val="none"/>
        </w:rPr>
        <w:t>河床养护</w:t>
      </w:r>
      <w:bookmarkEnd w:id="185"/>
      <w:bookmarkEnd w:id="186"/>
      <w:bookmarkEnd w:id="187"/>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88" w:name="_Toc15437"/>
      <w:bookmarkStart w:id="189" w:name="_Toc9750"/>
      <w:r>
        <w:rPr>
          <w:rFonts w:hint="eastAsia" w:ascii="宋体" w:hAnsi="宋体" w:cs="宋体"/>
          <w:color w:val="auto"/>
          <w:kern w:val="0"/>
          <w:highlight w:val="none"/>
          <w:lang w:val="en-US" w:eastAsia="zh-CN"/>
        </w:rPr>
        <w:t>4.6.1</w:t>
      </w:r>
      <w:r>
        <w:rPr>
          <w:rFonts w:hint="eastAsia" w:ascii="宋体" w:hAnsi="宋体" w:eastAsia="宋体" w:cs="宋体"/>
          <w:color w:val="auto"/>
          <w:kern w:val="0"/>
          <w:highlight w:val="none"/>
        </w:rPr>
        <w:t>河床淤积平均厚度大于设计河床标高0.5m的河段应进行疏浚</w:t>
      </w:r>
      <w:bookmarkEnd w:id="188"/>
      <w:bookmarkEnd w:id="189"/>
      <w:r>
        <w:rPr>
          <w:rFonts w:hint="eastAsia" w:ascii="宋体" w:hAnsi="宋体" w:eastAsia="宋体" w:cs="宋体"/>
          <w:color w:val="auto"/>
          <w:kern w:val="0"/>
          <w:highlight w:val="none"/>
        </w:rPr>
        <w:t>。</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90" w:name="_Toc21202"/>
      <w:bookmarkStart w:id="191" w:name="_Toc29074"/>
      <w:r>
        <w:rPr>
          <w:rFonts w:hint="eastAsia" w:ascii="宋体" w:hAnsi="宋体" w:cs="宋体"/>
          <w:color w:val="auto"/>
          <w:kern w:val="0"/>
          <w:highlight w:val="none"/>
          <w:lang w:val="en-US" w:eastAsia="zh-CN"/>
        </w:rPr>
        <w:t>4.6.2</w:t>
      </w:r>
      <w:r>
        <w:rPr>
          <w:rFonts w:hint="eastAsia" w:ascii="宋体" w:hAnsi="宋体" w:eastAsia="宋体" w:cs="宋体"/>
          <w:color w:val="auto"/>
          <w:kern w:val="0"/>
          <w:highlight w:val="none"/>
        </w:rPr>
        <w:t>岸边淤积不得影响排水管口的排水；河道凹岸、束水河段的河床均无冲刷深坑</w:t>
      </w:r>
      <w:bookmarkEnd w:id="190"/>
      <w:bookmarkEnd w:id="191"/>
      <w:r>
        <w:rPr>
          <w:rFonts w:hint="eastAsia" w:ascii="宋体" w:hAnsi="宋体" w:eastAsia="宋体" w:cs="宋体"/>
          <w:color w:val="auto"/>
          <w:kern w:val="0"/>
          <w:highlight w:val="none"/>
        </w:rPr>
        <w:t>。</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92" w:name="_Toc29380"/>
      <w:bookmarkStart w:id="193" w:name="_Toc1915"/>
      <w:r>
        <w:rPr>
          <w:rFonts w:hint="eastAsia" w:ascii="宋体" w:hAnsi="宋体" w:cs="宋体"/>
          <w:color w:val="auto"/>
          <w:kern w:val="0"/>
          <w:highlight w:val="none"/>
          <w:lang w:val="en-US" w:eastAsia="zh-CN"/>
        </w:rPr>
        <w:t>4.6.3</w:t>
      </w:r>
      <w:r>
        <w:rPr>
          <w:rFonts w:hint="eastAsia" w:ascii="宋体" w:hAnsi="宋体" w:eastAsia="宋体" w:cs="宋体"/>
          <w:color w:val="auto"/>
          <w:kern w:val="0"/>
          <w:highlight w:val="none"/>
        </w:rPr>
        <w:t>河床底应无突出的水下障碍物</w:t>
      </w:r>
      <w:bookmarkEnd w:id="192"/>
      <w:bookmarkEnd w:id="193"/>
      <w:r>
        <w:rPr>
          <w:rFonts w:hint="eastAsia" w:ascii="宋体" w:hAnsi="宋体" w:eastAsia="宋体" w:cs="宋体"/>
          <w:color w:val="auto"/>
          <w:kern w:val="0"/>
          <w:highlight w:val="none"/>
        </w:rPr>
        <w:t>。</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194" w:name="_Toc3203"/>
      <w:bookmarkStart w:id="195" w:name="_Toc23791"/>
      <w:r>
        <w:rPr>
          <w:rFonts w:hint="eastAsia" w:ascii="宋体" w:hAnsi="宋体" w:cs="宋体"/>
          <w:color w:val="auto"/>
          <w:kern w:val="0"/>
          <w:highlight w:val="none"/>
          <w:lang w:val="en-US" w:eastAsia="zh-CN"/>
        </w:rPr>
        <w:t>4.6.4</w:t>
      </w:r>
      <w:r>
        <w:rPr>
          <w:rFonts w:hint="eastAsia" w:ascii="宋体" w:hAnsi="宋体" w:eastAsia="宋体" w:cs="宋体"/>
          <w:color w:val="auto"/>
          <w:kern w:val="0"/>
          <w:highlight w:val="none"/>
        </w:rPr>
        <w:t>检查测量应每年进行2次，分为汛前、汛后检查，检查时宜将水位降到最低</w:t>
      </w:r>
      <w:bookmarkEnd w:id="194"/>
      <w:bookmarkEnd w:id="195"/>
      <w:bookmarkStart w:id="196" w:name="_Toc19223"/>
      <w:bookmarkStart w:id="197" w:name="_Toc12622"/>
      <w:r>
        <w:rPr>
          <w:rFonts w:hint="eastAsia" w:ascii="宋体" w:hAnsi="宋体" w:eastAsia="宋体" w:cs="宋体"/>
          <w:color w:val="auto"/>
          <w:kern w:val="0"/>
          <w:highlight w:val="none"/>
        </w:rPr>
        <w:t>。</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4.6.5</w:t>
      </w:r>
      <w:r>
        <w:rPr>
          <w:rFonts w:hint="eastAsia" w:ascii="宋体" w:hAnsi="宋体" w:eastAsia="宋体" w:cs="宋体"/>
          <w:color w:val="auto"/>
          <w:kern w:val="0"/>
          <w:highlight w:val="none"/>
        </w:rPr>
        <w:t>在具备一定条件且已整治的河道应推广开展常态化清淤工作。</w:t>
      </w:r>
      <w:bookmarkEnd w:id="196"/>
      <w:bookmarkEnd w:id="197"/>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198" w:name="_Toc32423"/>
      <w:bookmarkStart w:id="199" w:name="_Toc528769158"/>
      <w:bookmarkStart w:id="200" w:name="_Toc30798"/>
      <w:r>
        <w:rPr>
          <w:rFonts w:hint="eastAsia" w:ascii="宋体" w:hAnsi="宋体" w:cs="宋体"/>
          <w:color w:val="auto"/>
          <w:kern w:val="0"/>
          <w:szCs w:val="22"/>
          <w:highlight w:val="none"/>
          <w:lang w:val="en-US" w:eastAsia="zh-CN"/>
        </w:rPr>
        <w:t>4.7</w:t>
      </w:r>
      <w:r>
        <w:rPr>
          <w:rFonts w:hint="eastAsia" w:ascii="宋体" w:hAnsi="宋体" w:eastAsia="宋体" w:cs="宋体"/>
          <w:color w:val="auto"/>
          <w:kern w:val="0"/>
          <w:szCs w:val="22"/>
          <w:highlight w:val="none"/>
        </w:rPr>
        <w:t>绿化养护</w:t>
      </w:r>
      <w:bookmarkEnd w:id="198"/>
      <w:bookmarkEnd w:id="199"/>
      <w:bookmarkEnd w:id="200"/>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01" w:name="_Toc15960"/>
      <w:bookmarkStart w:id="202" w:name="_Toc7391"/>
      <w:r>
        <w:rPr>
          <w:rFonts w:hint="eastAsia" w:ascii="宋体" w:hAnsi="宋体" w:cs="宋体"/>
          <w:color w:val="auto"/>
          <w:kern w:val="0"/>
          <w:highlight w:val="none"/>
          <w:lang w:val="en-US" w:eastAsia="zh-CN"/>
        </w:rPr>
        <w:t>4.7.1</w:t>
      </w:r>
      <w:r>
        <w:rPr>
          <w:rFonts w:hint="eastAsia" w:ascii="宋体" w:hAnsi="宋体" w:eastAsia="宋体" w:cs="宋体"/>
          <w:color w:val="auto"/>
          <w:kern w:val="0"/>
          <w:highlight w:val="none"/>
        </w:rPr>
        <w:t>绿化养护应结合季节特点科学合理进行。养护应重视和体现植物造景，对植物群落进行合理养护。</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4.7.2</w:t>
      </w:r>
      <w:r>
        <w:rPr>
          <w:rFonts w:hint="eastAsia" w:ascii="宋体" w:hAnsi="宋体" w:eastAsia="宋体" w:cs="宋体"/>
          <w:color w:val="auto"/>
          <w:kern w:val="0"/>
          <w:highlight w:val="none"/>
        </w:rPr>
        <w:t>植物应季相分明，层次丰富，生长茂盛，无死树、无缺株、无枯枝、无杂草、无裸露、无病害。</w:t>
      </w:r>
      <w:bookmarkEnd w:id="201"/>
      <w:bookmarkEnd w:id="202"/>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03" w:name="_Toc8761"/>
      <w:bookmarkStart w:id="204" w:name="_Toc15298"/>
      <w:r>
        <w:rPr>
          <w:rFonts w:hint="eastAsia" w:ascii="宋体" w:hAnsi="宋体" w:cs="宋体"/>
          <w:color w:val="auto"/>
          <w:kern w:val="0"/>
          <w:highlight w:val="none"/>
          <w:lang w:val="en-US" w:eastAsia="zh-CN"/>
        </w:rPr>
        <w:t>4.7.3</w:t>
      </w:r>
      <w:r>
        <w:rPr>
          <w:rFonts w:hint="eastAsia" w:ascii="宋体" w:hAnsi="宋体" w:eastAsia="宋体" w:cs="宋体"/>
          <w:color w:val="auto"/>
          <w:kern w:val="0"/>
          <w:highlight w:val="none"/>
        </w:rPr>
        <w:t>树木应及时修剪，应无徒长枝、病虫枝、过密枝、枯枝、伤损枝，有防台措施；花灌木修剪后，应有利于促进短枝和花芽形成，有利于枝叶茂盛、分布均匀。修剪应遵循“先上后下，先内后外，去弱留强，去老留新”的原则。树木成活率应不少于98%；树木保存率应不少于100%。</w:t>
      </w:r>
      <w:bookmarkEnd w:id="203"/>
      <w:bookmarkEnd w:id="204"/>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05" w:name="_Toc27439"/>
      <w:bookmarkStart w:id="206" w:name="_Toc22983"/>
      <w:r>
        <w:rPr>
          <w:rFonts w:hint="eastAsia" w:ascii="宋体" w:hAnsi="宋体" w:cs="宋体"/>
          <w:color w:val="auto"/>
          <w:kern w:val="0"/>
          <w:highlight w:val="none"/>
          <w:lang w:val="en-US" w:eastAsia="zh-CN"/>
        </w:rPr>
        <w:t>4.7.4</w:t>
      </w:r>
      <w:r>
        <w:rPr>
          <w:rFonts w:hint="eastAsia" w:ascii="宋体" w:hAnsi="宋体" w:eastAsia="宋体" w:cs="宋体"/>
          <w:color w:val="auto"/>
          <w:kern w:val="0"/>
          <w:highlight w:val="none"/>
        </w:rPr>
        <w:t>草坪应生长茂盛，且草根不裸露，无空秃，无明显杂草，无明显枯黄现象；草坪边缘清晰，草高不应超过0.08m，草坪应保持整洁。</w:t>
      </w:r>
      <w:bookmarkEnd w:id="205"/>
      <w:bookmarkEnd w:id="206"/>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07" w:name="_Toc217"/>
      <w:bookmarkStart w:id="208" w:name="_Toc22203"/>
      <w:r>
        <w:rPr>
          <w:rFonts w:hint="eastAsia" w:ascii="宋体" w:hAnsi="宋体" w:cs="宋体"/>
          <w:color w:val="auto"/>
          <w:kern w:val="0"/>
          <w:highlight w:val="none"/>
          <w:lang w:val="en-US" w:eastAsia="zh-CN"/>
        </w:rPr>
        <w:t>4.7.5</w:t>
      </w:r>
      <w:r>
        <w:rPr>
          <w:rFonts w:hint="eastAsia" w:ascii="宋体" w:hAnsi="宋体" w:eastAsia="宋体" w:cs="宋体"/>
          <w:color w:val="auto"/>
          <w:kern w:val="0"/>
          <w:highlight w:val="none"/>
        </w:rPr>
        <w:t>应根据植物生长特性及时施肥。花灌木应在花前、花后进行，充分利用有机肥</w:t>
      </w:r>
      <w:bookmarkEnd w:id="207"/>
      <w:bookmarkEnd w:id="208"/>
      <w:r>
        <w:rPr>
          <w:rFonts w:hint="eastAsia" w:ascii="宋体" w:hAnsi="宋体" w:eastAsia="宋体" w:cs="宋体"/>
          <w:color w:val="auto"/>
          <w:kern w:val="0"/>
          <w:highlight w:val="none"/>
        </w:rPr>
        <w:t>。</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09" w:name="_Toc17850"/>
      <w:bookmarkStart w:id="210" w:name="_Toc17205"/>
      <w:r>
        <w:rPr>
          <w:rFonts w:hint="eastAsia" w:ascii="宋体" w:hAnsi="宋体" w:cs="宋体"/>
          <w:color w:val="auto"/>
          <w:kern w:val="0"/>
          <w:highlight w:val="none"/>
          <w:lang w:val="en-US" w:eastAsia="zh-CN"/>
        </w:rPr>
        <w:t>4.7.6</w:t>
      </w:r>
      <w:r>
        <w:rPr>
          <w:rFonts w:hint="eastAsia" w:ascii="宋体" w:hAnsi="宋体" w:eastAsia="宋体" w:cs="宋体"/>
          <w:color w:val="auto"/>
          <w:kern w:val="0"/>
          <w:highlight w:val="none"/>
        </w:rPr>
        <w:t>病虫害防治应以防为主。食叶性害虫危害的叶片，每株不超过5%；刺吸性害虫危害的叶片，每株不超过10%；无蛀干性害虫的活虫、活卵。</w:t>
      </w:r>
      <w:bookmarkEnd w:id="209"/>
      <w:bookmarkEnd w:id="210"/>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11" w:name="_Toc5404"/>
      <w:bookmarkStart w:id="212" w:name="_Toc25732"/>
      <w:r>
        <w:rPr>
          <w:rFonts w:hint="eastAsia" w:ascii="宋体" w:hAnsi="宋体" w:cs="宋体"/>
          <w:color w:val="auto"/>
          <w:kern w:val="0"/>
          <w:highlight w:val="none"/>
          <w:lang w:val="en-US" w:eastAsia="zh-CN"/>
        </w:rPr>
        <w:t>4.7.7</w:t>
      </w:r>
      <w:r>
        <w:rPr>
          <w:rFonts w:hint="eastAsia" w:ascii="宋体" w:hAnsi="宋体" w:eastAsia="宋体" w:cs="宋体"/>
          <w:color w:val="auto"/>
          <w:kern w:val="0"/>
          <w:highlight w:val="none"/>
        </w:rPr>
        <w:t>台风季节来临前应合理修剪，加固护树架；台风期间应迅速清理倒树断枝，疏通道路。台风后应及时扶正倒树及倾斜树，补植缺株，清除断枝、落叶和垃圾。</w:t>
      </w:r>
      <w:bookmarkEnd w:id="211"/>
      <w:bookmarkEnd w:id="212"/>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13" w:name="_Toc12321"/>
      <w:bookmarkStart w:id="214" w:name="_Toc10246"/>
      <w:r>
        <w:rPr>
          <w:rFonts w:hint="eastAsia" w:ascii="宋体" w:hAnsi="宋体" w:cs="宋体"/>
          <w:color w:val="auto"/>
          <w:kern w:val="0"/>
          <w:highlight w:val="none"/>
          <w:lang w:val="en-US" w:eastAsia="zh-CN"/>
        </w:rPr>
        <w:t>4.7.8</w:t>
      </w:r>
      <w:r>
        <w:rPr>
          <w:rFonts w:hint="eastAsia" w:ascii="宋体" w:hAnsi="宋体" w:eastAsia="宋体" w:cs="宋体"/>
          <w:color w:val="auto"/>
          <w:kern w:val="0"/>
          <w:highlight w:val="none"/>
        </w:rPr>
        <w:t>大雪天气应及时清除枝叶积雪。有倒伏危险的树木应立柱支撑保护，且清除积雪时不应损伤树冠。</w:t>
      </w:r>
      <w:bookmarkEnd w:id="213"/>
      <w:bookmarkEnd w:id="214"/>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15" w:name="_Toc528769159"/>
      <w:bookmarkStart w:id="216" w:name="_Toc10997"/>
      <w:bookmarkStart w:id="217" w:name="_Toc16193"/>
      <w:r>
        <w:rPr>
          <w:rFonts w:hint="eastAsia" w:ascii="宋体" w:hAnsi="宋体" w:cs="宋体"/>
          <w:color w:val="auto"/>
          <w:kern w:val="0"/>
          <w:szCs w:val="22"/>
          <w:highlight w:val="none"/>
          <w:lang w:val="en-US" w:eastAsia="zh-CN"/>
        </w:rPr>
        <w:t>4.8</w:t>
      </w:r>
      <w:r>
        <w:rPr>
          <w:rFonts w:hint="eastAsia" w:ascii="宋体" w:hAnsi="宋体" w:eastAsia="宋体" w:cs="宋体"/>
          <w:color w:val="auto"/>
          <w:kern w:val="0"/>
          <w:szCs w:val="22"/>
          <w:highlight w:val="none"/>
        </w:rPr>
        <w:t>慢行系统养护</w:t>
      </w:r>
      <w:bookmarkEnd w:id="215"/>
      <w:bookmarkEnd w:id="216"/>
      <w:bookmarkEnd w:id="217"/>
      <w:r>
        <w:rPr>
          <w:rFonts w:hint="eastAsia" w:ascii="宋体" w:hAnsi="宋体" w:eastAsia="宋体" w:cs="宋体"/>
          <w:color w:val="auto"/>
          <w:kern w:val="0"/>
          <w:szCs w:val="22"/>
          <w:highlight w:val="none"/>
        </w:rPr>
        <w:tab/>
      </w:r>
      <w:r>
        <w:rPr>
          <w:rFonts w:hint="eastAsia" w:ascii="宋体" w:hAnsi="宋体" w:eastAsia="宋体" w:cs="宋体"/>
          <w:color w:val="auto"/>
          <w:kern w:val="0"/>
          <w:szCs w:val="22"/>
          <w:highlight w:val="none"/>
        </w:rPr>
        <w:t>　</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18" w:name="_Toc32246"/>
      <w:bookmarkStart w:id="219" w:name="_Toc20308"/>
      <w:r>
        <w:rPr>
          <w:rFonts w:hint="eastAsia" w:ascii="宋体" w:hAnsi="宋体" w:cs="宋体"/>
          <w:color w:val="auto"/>
          <w:kern w:val="0"/>
          <w:szCs w:val="22"/>
          <w:highlight w:val="none"/>
          <w:lang w:val="en-US" w:eastAsia="zh-CN"/>
        </w:rPr>
        <w:t>4.8.1</w:t>
      </w:r>
      <w:r>
        <w:rPr>
          <w:rFonts w:hint="eastAsia" w:ascii="宋体" w:hAnsi="宋体" w:eastAsia="宋体" w:cs="宋体"/>
          <w:color w:val="auto"/>
          <w:kern w:val="0"/>
          <w:highlight w:val="none"/>
        </w:rPr>
        <w:t>慢行系统应平整、完好，无积水现象。</w:t>
      </w:r>
      <w:bookmarkEnd w:id="218"/>
      <w:bookmarkEnd w:id="219"/>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20" w:name="_Toc7867"/>
      <w:bookmarkStart w:id="221" w:name="_Toc3096"/>
      <w:r>
        <w:rPr>
          <w:rFonts w:hint="eastAsia" w:ascii="宋体" w:hAnsi="宋体" w:cs="宋体"/>
          <w:color w:val="auto"/>
          <w:kern w:val="0"/>
          <w:szCs w:val="22"/>
          <w:highlight w:val="none"/>
          <w:lang w:val="en-US" w:eastAsia="zh-CN"/>
        </w:rPr>
        <w:t>4.8.2</w:t>
      </w:r>
      <w:r>
        <w:rPr>
          <w:rFonts w:hint="eastAsia" w:ascii="宋体" w:hAnsi="宋体" w:eastAsia="宋体" w:cs="宋体"/>
          <w:color w:val="auto"/>
          <w:kern w:val="0"/>
          <w:highlight w:val="none"/>
        </w:rPr>
        <w:t>慢行系统应定期维修保养，防止路面裂缝、松散、碎裂等病害发生和发展，保持路面的完整性、平整度和抗滑能力；养护时应保持原有结构，不得降低原结构强度。</w:t>
      </w:r>
      <w:bookmarkEnd w:id="220"/>
      <w:bookmarkEnd w:id="221"/>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22" w:name="_Toc24274"/>
      <w:bookmarkStart w:id="223" w:name="_Toc10094"/>
      <w:r>
        <w:rPr>
          <w:rFonts w:hint="eastAsia" w:ascii="宋体" w:hAnsi="宋体" w:cs="宋体"/>
          <w:color w:val="auto"/>
          <w:kern w:val="0"/>
          <w:szCs w:val="22"/>
          <w:highlight w:val="none"/>
          <w:lang w:val="en-US" w:eastAsia="zh-CN"/>
        </w:rPr>
        <w:t>4.8.3</w:t>
      </w:r>
      <w:r>
        <w:rPr>
          <w:rFonts w:hint="eastAsia" w:ascii="宋体" w:hAnsi="宋体" w:eastAsia="宋体" w:cs="宋体"/>
          <w:color w:val="auto"/>
          <w:kern w:val="0"/>
          <w:highlight w:val="none"/>
        </w:rPr>
        <w:t>侧石应整齐稳固，灌浆饱满，勾缝光洁结实。侧石损坏应及时调换。</w:t>
      </w:r>
      <w:bookmarkEnd w:id="222"/>
      <w:bookmarkEnd w:id="223"/>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24" w:name="_Toc528769160"/>
      <w:bookmarkStart w:id="225" w:name="_Toc14399"/>
      <w:bookmarkStart w:id="226" w:name="_Toc4530"/>
      <w:r>
        <w:rPr>
          <w:rFonts w:hint="eastAsia" w:ascii="宋体" w:hAnsi="宋体" w:cs="宋体"/>
          <w:color w:val="auto"/>
          <w:kern w:val="0"/>
          <w:szCs w:val="22"/>
          <w:highlight w:val="none"/>
          <w:lang w:val="en-US" w:eastAsia="zh-CN"/>
        </w:rPr>
        <w:t>4.9</w:t>
      </w:r>
      <w:r>
        <w:rPr>
          <w:rFonts w:hint="eastAsia" w:ascii="宋体" w:hAnsi="宋体" w:eastAsia="宋体" w:cs="宋体"/>
          <w:color w:val="auto"/>
          <w:kern w:val="0"/>
          <w:szCs w:val="22"/>
          <w:highlight w:val="none"/>
        </w:rPr>
        <w:t>生态设施养护</w:t>
      </w:r>
      <w:bookmarkEnd w:id="224"/>
      <w:bookmarkEnd w:id="225"/>
      <w:bookmarkEnd w:id="226"/>
      <w:r>
        <w:rPr>
          <w:rFonts w:hint="eastAsia" w:ascii="宋体" w:hAnsi="宋体" w:eastAsia="宋体" w:cs="宋体"/>
          <w:color w:val="auto"/>
          <w:kern w:val="0"/>
          <w:szCs w:val="22"/>
          <w:highlight w:val="none"/>
        </w:rPr>
        <w:tab/>
      </w:r>
    </w:p>
    <w:p>
      <w:pPr>
        <w:keepNext w:val="0"/>
        <w:keepLines w:val="0"/>
        <w:pageBreakBefore w:val="0"/>
        <w:kinsoku/>
        <w:wordWrap/>
        <w:overflowPunct/>
        <w:topLinePunct w:val="0"/>
        <w:bidi w:val="0"/>
        <w:adjustRightInd w:val="0"/>
        <w:snapToGrid/>
        <w:spacing w:line="360" w:lineRule="auto"/>
        <w:ind w:left="0"/>
        <w:textAlignment w:val="auto"/>
        <w:rPr>
          <w:rFonts w:hint="eastAsia" w:ascii="宋体" w:hAnsi="宋体" w:eastAsia="宋体" w:cs="宋体"/>
          <w:color w:val="auto"/>
          <w:kern w:val="0"/>
          <w:szCs w:val="22"/>
          <w:highlight w:val="none"/>
        </w:rPr>
      </w:pPr>
      <w:bookmarkStart w:id="227" w:name="_Toc3812"/>
      <w:bookmarkStart w:id="228" w:name="_Toc23862"/>
      <w:r>
        <w:rPr>
          <w:rFonts w:hint="eastAsia" w:ascii="宋体" w:hAnsi="宋体" w:eastAsia="宋体" w:cs="宋体"/>
          <w:color w:val="auto"/>
          <w:kern w:val="0"/>
          <w:szCs w:val="22"/>
          <w:highlight w:val="none"/>
        </w:rPr>
        <w:t>4.9.1　</w:t>
      </w:r>
      <w:bookmarkEnd w:id="227"/>
      <w:bookmarkEnd w:id="228"/>
      <w:r>
        <w:rPr>
          <w:rFonts w:hint="eastAsia" w:ascii="宋体" w:hAnsi="宋体" w:eastAsia="宋体" w:cs="宋体"/>
          <w:color w:val="auto"/>
          <w:kern w:val="0"/>
          <w:szCs w:val="22"/>
          <w:highlight w:val="none"/>
        </w:rPr>
        <w:t>曝气增氧机养护应符合下列规定：</w:t>
      </w:r>
    </w:p>
    <w:p>
      <w:pPr>
        <w:keepNext w:val="0"/>
        <w:keepLines w:val="0"/>
        <w:pageBreakBefore w:val="0"/>
        <w:widowControl/>
        <w:numPr>
          <w:ilvl w:val="0"/>
          <w:numId w:val="13"/>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每周两次定期巡检曝气机及供电线路，检察设备运转是否正常，电器电缆有无破损或异常，设备的固定有无松动情况。发生破损或其他异常情况应及时处理。应及时清理曝气机周围漂浮物和垃圾；</w:t>
      </w:r>
    </w:p>
    <w:p>
      <w:pPr>
        <w:keepNext w:val="0"/>
        <w:keepLines w:val="0"/>
        <w:pageBreakBefore w:val="0"/>
        <w:widowControl/>
        <w:numPr>
          <w:ilvl w:val="0"/>
          <w:numId w:val="13"/>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每两月一次检查并校准控制箱内的时间继电器，及时更换电池。电器部分出现故障需立刻停机检修，涉水的维护管理作业应立即停止，以防漏电等问题出现安全事故；</w:t>
      </w:r>
    </w:p>
    <w:p>
      <w:pPr>
        <w:keepNext w:val="0"/>
        <w:keepLines w:val="0"/>
        <w:pageBreakBefore w:val="0"/>
        <w:widowControl/>
        <w:numPr>
          <w:ilvl w:val="0"/>
          <w:numId w:val="13"/>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增氧机每年或累计运行2500h应维护保养1次。</w:t>
      </w:r>
    </w:p>
    <w:p>
      <w:pPr>
        <w:keepNext w:val="0"/>
        <w:keepLines w:val="0"/>
        <w:pageBreakBefore w:val="0"/>
        <w:kinsoku/>
        <w:wordWrap/>
        <w:overflowPunct/>
        <w:topLinePunct w:val="0"/>
        <w:bidi w:val="0"/>
        <w:adjustRightInd w:val="0"/>
        <w:snapToGrid/>
        <w:spacing w:line="360" w:lineRule="auto"/>
        <w:ind w:left="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4.9.2　生态浮岛养护应符合下列规定：</w:t>
      </w:r>
    </w:p>
    <w:p>
      <w:pPr>
        <w:keepNext w:val="0"/>
        <w:keepLines w:val="0"/>
        <w:pageBreakBefore w:val="0"/>
        <w:widowControl/>
        <w:numPr>
          <w:ilvl w:val="0"/>
          <w:numId w:val="1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每周巡检两次，检查浮岛有无破损、松散及链接扣有否掉落，及时清理附着在浮岛周围的杂物或垃圾；</w:t>
      </w:r>
    </w:p>
    <w:p>
      <w:pPr>
        <w:keepNext w:val="0"/>
        <w:keepLines w:val="0"/>
        <w:pageBreakBefore w:val="0"/>
        <w:widowControl/>
        <w:numPr>
          <w:ilvl w:val="0"/>
          <w:numId w:val="1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生态浮岛单体受到损坏时，依损坏程度进行修补或更换浮岛单体，同时补种植物。因水位涨落或其它原因而导致浮岛搁浅时，应及时将其推入水中复位；</w:t>
      </w:r>
    </w:p>
    <w:p>
      <w:pPr>
        <w:keepNext w:val="0"/>
        <w:keepLines w:val="0"/>
        <w:pageBreakBefore w:val="0"/>
        <w:widowControl/>
        <w:numPr>
          <w:ilvl w:val="0"/>
          <w:numId w:val="1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台风、大风大雨天气及强泄洪前后2～3天，应检查生态浮岛的固定情况，如有脱落及时固定。</w:t>
      </w:r>
    </w:p>
    <w:p>
      <w:pPr>
        <w:keepNext w:val="0"/>
        <w:keepLines w:val="0"/>
        <w:pageBreakBefore w:val="0"/>
        <w:kinsoku/>
        <w:wordWrap/>
        <w:overflowPunct/>
        <w:topLinePunct w:val="0"/>
        <w:bidi w:val="0"/>
        <w:adjustRightInd w:val="0"/>
        <w:snapToGrid/>
        <w:spacing w:line="360" w:lineRule="auto"/>
        <w:ind w:left="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4.9.3　人工水草养护应符合下列规定：</w:t>
      </w:r>
    </w:p>
    <w:p>
      <w:pPr>
        <w:keepNext w:val="0"/>
        <w:keepLines w:val="0"/>
        <w:pageBreakBefore w:val="0"/>
        <w:widowControl/>
        <w:numPr>
          <w:ilvl w:val="0"/>
          <w:numId w:val="1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直接安装在河道中的人工水草，每6个月人工刮除其上负载的生物膜。污染较为严重的河道，生物膜刮除周期为3个月一次。有移位、上浮、下沉等松动现象时，应及时维护加固。河水水质达到预定标准时，应打捞上岸。</w:t>
      </w:r>
    </w:p>
    <w:p>
      <w:pPr>
        <w:keepNext w:val="0"/>
        <w:keepLines w:val="0"/>
        <w:pageBreakBefore w:val="0"/>
        <w:widowControl/>
        <w:numPr>
          <w:ilvl w:val="0"/>
          <w:numId w:val="1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安装在排污口附近水域的以弹性填料或组合填料为主的封闭式生物处理装置，每6个月采用污泥泵抽取沉积在生物处理装置底部的底泥。直接放置在排污口附近水域的以弹性填料或组合填料为主的封闭式生物处理装置，应每月巡检1次，若有脱除及时检修或重新固定。</w:t>
      </w:r>
    </w:p>
    <w:p>
      <w:pPr>
        <w:keepNext w:val="0"/>
        <w:keepLines w:val="0"/>
        <w:pageBreakBefore w:val="0"/>
        <w:kinsoku/>
        <w:wordWrap/>
        <w:overflowPunct/>
        <w:topLinePunct w:val="0"/>
        <w:bidi w:val="0"/>
        <w:adjustRightInd w:val="0"/>
        <w:snapToGrid/>
        <w:spacing w:line="360" w:lineRule="auto"/>
        <w:ind w:left="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4.9.4　水生植物养护应符合下列规定：</w:t>
      </w:r>
    </w:p>
    <w:p>
      <w:pPr>
        <w:keepNext w:val="0"/>
        <w:keepLines w:val="0"/>
        <w:pageBreakBefore w:val="0"/>
        <w:widowControl/>
        <w:numPr>
          <w:ilvl w:val="0"/>
          <w:numId w:val="16"/>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每周巡查2次，及时修剪枯黄、枯死和倒伏植株，及时清理植物周围的杂草、杂物或垃圾。冬至后至立春萌动前应对枯萎枝叶进行删剪。</w:t>
      </w:r>
    </w:p>
    <w:p>
      <w:pPr>
        <w:keepNext w:val="0"/>
        <w:keepLines w:val="0"/>
        <w:pageBreakBefore w:val="0"/>
        <w:widowControl/>
        <w:numPr>
          <w:ilvl w:val="0"/>
          <w:numId w:val="16"/>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生态浮岛上种植的挺水植物宜于每年11月进行更换；</w:t>
      </w:r>
    </w:p>
    <w:p>
      <w:pPr>
        <w:keepNext w:val="0"/>
        <w:keepLines w:val="0"/>
        <w:pageBreakBefore w:val="0"/>
        <w:widowControl/>
        <w:numPr>
          <w:ilvl w:val="0"/>
          <w:numId w:val="16"/>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生长扩张出种植网框外的浮水植物，视超出网框外围情况，每月修剪1次。每月定时打捞1次种植网框内的浮水植物，打捞面积为网框面积的1/5，修剪、打捞出的植物残体及时运走。台风、大风大雨天气及强泄洪前后2～3天检查浮水植物种植框的固定情况，固定绳应留有足够的伸缩长度。恶劣天气过后应及时检查、补种；</w:t>
      </w:r>
    </w:p>
    <w:p>
      <w:pPr>
        <w:keepNext w:val="0"/>
        <w:keepLines w:val="0"/>
        <w:pageBreakBefore w:val="0"/>
        <w:widowControl/>
        <w:numPr>
          <w:ilvl w:val="0"/>
          <w:numId w:val="16"/>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沉水植物长出水面影响景观时，应进行人工打捞或机割。沉水植物每年至少收割1次，收割时间为枯萎1周内开始收割。</w:t>
      </w:r>
    </w:p>
    <w:p>
      <w:pPr>
        <w:keepNext w:val="0"/>
        <w:keepLines w:val="0"/>
        <w:pageBreakBefore w:val="0"/>
        <w:kinsoku/>
        <w:wordWrap/>
        <w:overflowPunct/>
        <w:topLinePunct w:val="0"/>
        <w:bidi w:val="0"/>
        <w:adjustRightInd w:val="0"/>
        <w:snapToGrid/>
        <w:spacing w:line="360" w:lineRule="auto"/>
        <w:ind w:left="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4.9.5　水生动物养护应符合下列规定：</w:t>
      </w:r>
    </w:p>
    <w:p>
      <w:pPr>
        <w:keepNext w:val="0"/>
        <w:keepLines w:val="0"/>
        <w:pageBreakBefore w:val="0"/>
        <w:widowControl/>
        <w:numPr>
          <w:ilvl w:val="0"/>
          <w:numId w:val="17"/>
        </w:numPr>
        <w:kinsoku/>
        <w:wordWrap/>
        <w:overflowPunct/>
        <w:topLinePunct w:val="0"/>
        <w:bidi w:val="0"/>
        <w:adjustRightInd w:val="0"/>
        <w:snapToGrid/>
        <w:spacing w:line="360" w:lineRule="auto"/>
        <w:ind w:left="839" w:leftChars="0" w:hanging="419" w:firstLineChars="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应根据河道水质观感及检测数据，投放或者补充数量合适、物种配比合理的水生动物。鱼类投放宜在温度5℃～20℃时进行，不应投放破坏生态的物种或入侵物种；</w:t>
      </w:r>
    </w:p>
    <w:p>
      <w:pPr>
        <w:keepNext w:val="0"/>
        <w:keepLines w:val="0"/>
        <w:pageBreakBefore w:val="0"/>
        <w:widowControl/>
        <w:numPr>
          <w:ilvl w:val="0"/>
          <w:numId w:val="17"/>
        </w:numPr>
        <w:kinsoku/>
        <w:wordWrap/>
        <w:overflowPunct/>
        <w:topLinePunct w:val="0"/>
        <w:bidi w:val="0"/>
        <w:adjustRightInd w:val="0"/>
        <w:snapToGrid/>
        <w:spacing w:line="360" w:lineRule="auto"/>
        <w:ind w:left="839" w:leftChars="0" w:hanging="419" w:firstLineChars="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各类水生动物严禁非法捕捞。按相关规定进行捕捞时，应在捕捞后及时回收捕捞器具；</w:t>
      </w:r>
    </w:p>
    <w:p>
      <w:pPr>
        <w:keepNext w:val="0"/>
        <w:keepLines w:val="0"/>
        <w:pageBreakBefore w:val="0"/>
        <w:widowControl/>
        <w:numPr>
          <w:ilvl w:val="0"/>
          <w:numId w:val="17"/>
        </w:numPr>
        <w:kinsoku/>
        <w:wordWrap/>
        <w:overflowPunct/>
        <w:topLinePunct w:val="0"/>
        <w:bidi w:val="0"/>
        <w:adjustRightInd w:val="0"/>
        <w:snapToGrid/>
        <w:spacing w:line="360" w:lineRule="auto"/>
        <w:ind w:left="839" w:leftChars="0" w:hanging="419" w:firstLineChars="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日常应对福寿螺及时进行清理，且每年5～8月福寿螺繁殖盛期应集中进行清理。</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highlight w:val="none"/>
        </w:rPr>
      </w:pPr>
      <w:bookmarkStart w:id="229" w:name="_Toc528769161"/>
      <w:bookmarkStart w:id="230" w:name="_Toc29718"/>
      <w:bookmarkStart w:id="231" w:name="_Toc32656"/>
      <w:r>
        <w:rPr>
          <w:rFonts w:hint="eastAsia" w:ascii="宋体" w:hAnsi="宋体" w:cs="宋体"/>
          <w:color w:val="auto"/>
          <w:kern w:val="0"/>
          <w:highlight w:val="none"/>
          <w:lang w:val="en-US" w:eastAsia="zh-CN"/>
        </w:rPr>
        <w:t>4.10</w:t>
      </w:r>
      <w:r>
        <w:rPr>
          <w:rFonts w:hint="eastAsia" w:ascii="宋体" w:hAnsi="宋体" w:eastAsia="宋体" w:cs="宋体"/>
          <w:color w:val="auto"/>
          <w:kern w:val="0"/>
          <w:highlight w:val="none"/>
        </w:rPr>
        <w:t>河埠头、亲水平台及游船停靠点养护</w:t>
      </w:r>
      <w:bookmarkEnd w:id="229"/>
      <w:bookmarkEnd w:id="230"/>
      <w:bookmarkEnd w:id="231"/>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32" w:name="_Toc14306"/>
      <w:bookmarkStart w:id="233" w:name="_Toc7983"/>
      <w:r>
        <w:rPr>
          <w:rFonts w:hint="eastAsia" w:ascii="宋体" w:hAnsi="宋体" w:cs="宋体"/>
          <w:color w:val="auto"/>
          <w:kern w:val="0"/>
          <w:highlight w:val="none"/>
          <w:lang w:val="en-US" w:eastAsia="zh-CN"/>
        </w:rPr>
        <w:t>4.10.1</w:t>
      </w:r>
      <w:r>
        <w:rPr>
          <w:rFonts w:hint="eastAsia" w:ascii="宋体" w:hAnsi="宋体" w:eastAsia="宋体" w:cs="宋体"/>
          <w:color w:val="auto"/>
          <w:kern w:val="0"/>
          <w:highlight w:val="none"/>
        </w:rPr>
        <w:t>河埠头、亲水平台及游船停靠点应保持基础稳固，无破损、松动、裂缝，且表面具备抗滑能力。</w:t>
      </w:r>
      <w:bookmarkEnd w:id="232"/>
      <w:bookmarkEnd w:id="233"/>
      <w:r>
        <w:rPr>
          <w:rFonts w:hint="eastAsia" w:ascii="宋体" w:hAnsi="宋体" w:eastAsia="宋体" w:cs="宋体"/>
          <w:color w:val="auto"/>
          <w:kern w:val="0"/>
          <w:highlight w:val="none"/>
        </w:rPr>
        <w:t>　</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34" w:name="_Toc25670"/>
      <w:bookmarkStart w:id="235" w:name="_Toc29642"/>
      <w:r>
        <w:rPr>
          <w:rFonts w:hint="eastAsia" w:ascii="宋体" w:hAnsi="宋体" w:cs="宋体"/>
          <w:color w:val="auto"/>
          <w:kern w:val="0"/>
          <w:highlight w:val="none"/>
          <w:lang w:val="en-US" w:eastAsia="zh-CN"/>
        </w:rPr>
        <w:t>4.10.2</w:t>
      </w:r>
      <w:r>
        <w:rPr>
          <w:rFonts w:hint="eastAsia" w:ascii="宋体" w:hAnsi="宋体" w:eastAsia="宋体" w:cs="宋体"/>
          <w:color w:val="auto"/>
          <w:kern w:val="0"/>
          <w:highlight w:val="none"/>
        </w:rPr>
        <w:t>每年汛前应进行一次全面检查，检查时需最大限度地降低水位。</w:t>
      </w:r>
      <w:bookmarkEnd w:id="234"/>
      <w:bookmarkEnd w:id="235"/>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36" w:name="_Toc528769162"/>
      <w:bookmarkStart w:id="237" w:name="_Toc24725"/>
      <w:bookmarkStart w:id="238" w:name="_Toc23328"/>
      <w:r>
        <w:rPr>
          <w:rFonts w:hint="eastAsia" w:ascii="宋体" w:hAnsi="宋体" w:cs="宋体"/>
          <w:color w:val="auto"/>
          <w:kern w:val="0"/>
          <w:szCs w:val="22"/>
          <w:highlight w:val="none"/>
          <w:lang w:val="en-US" w:eastAsia="zh-CN"/>
        </w:rPr>
        <w:t>4.11</w:t>
      </w:r>
      <w:r>
        <w:rPr>
          <w:rFonts w:hint="eastAsia" w:ascii="宋体" w:hAnsi="宋体" w:eastAsia="宋体" w:cs="宋体"/>
          <w:color w:val="auto"/>
          <w:kern w:val="0"/>
          <w:szCs w:val="22"/>
          <w:highlight w:val="none"/>
        </w:rPr>
        <w:t>沿河廊亭栈道及景观桥养护</w:t>
      </w:r>
      <w:bookmarkEnd w:id="236"/>
      <w:bookmarkEnd w:id="237"/>
      <w:bookmarkEnd w:id="238"/>
      <w:r>
        <w:rPr>
          <w:rFonts w:hint="eastAsia" w:ascii="宋体" w:hAnsi="宋体" w:eastAsia="宋体" w:cs="宋体"/>
          <w:color w:val="auto"/>
          <w:kern w:val="0"/>
          <w:szCs w:val="22"/>
          <w:highlight w:val="none"/>
        </w:rPr>
        <w:tab/>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4.11.1　廊亭栈道养护应符合下列规定：</w:t>
      </w:r>
    </w:p>
    <w:p>
      <w:pPr>
        <w:keepNext w:val="0"/>
        <w:keepLines w:val="0"/>
        <w:pageBreakBefore w:val="0"/>
        <w:widowControl/>
        <w:numPr>
          <w:ilvl w:val="0"/>
          <w:numId w:val="18"/>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每月对廊亭栈道进行1次外观检查；</w:t>
      </w:r>
    </w:p>
    <w:p>
      <w:pPr>
        <w:keepNext w:val="0"/>
        <w:keepLines w:val="0"/>
        <w:pageBreakBefore w:val="0"/>
        <w:widowControl/>
        <w:numPr>
          <w:ilvl w:val="0"/>
          <w:numId w:val="18"/>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每年对廊亭栈道进行1次刷漆。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2"/>
          <w:highlight w:val="none"/>
        </w:rPr>
        <w:t>4.11.2　</w:t>
      </w:r>
      <w:r>
        <w:rPr>
          <w:rFonts w:hint="eastAsia" w:ascii="宋体" w:hAnsi="宋体" w:eastAsia="宋体" w:cs="宋体"/>
          <w:color w:val="auto"/>
          <w:kern w:val="0"/>
          <w:szCs w:val="20"/>
          <w:highlight w:val="none"/>
        </w:rPr>
        <w:t>景观桥养护应符合下列规定：</w:t>
      </w:r>
    </w:p>
    <w:p>
      <w:pPr>
        <w:keepNext w:val="0"/>
        <w:keepLines w:val="0"/>
        <w:pageBreakBefore w:val="0"/>
        <w:widowControl/>
        <w:numPr>
          <w:ilvl w:val="0"/>
          <w:numId w:val="19"/>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每月对景观桥进行1次外观检查；</w:t>
      </w:r>
    </w:p>
    <w:p>
      <w:pPr>
        <w:keepNext w:val="0"/>
        <w:keepLines w:val="0"/>
        <w:pageBreakBefore w:val="0"/>
        <w:widowControl/>
        <w:numPr>
          <w:ilvl w:val="0"/>
          <w:numId w:val="19"/>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景观桥整洁、完好，具体养护要求按照CJJ　99养护规定执行。</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39" w:name="_Toc528769163"/>
      <w:bookmarkStart w:id="240" w:name="_Toc28444"/>
      <w:bookmarkStart w:id="241" w:name="_Toc17733"/>
      <w:r>
        <w:rPr>
          <w:rFonts w:hint="eastAsia" w:ascii="宋体" w:hAnsi="宋体" w:cs="宋体"/>
          <w:color w:val="auto"/>
          <w:kern w:val="0"/>
          <w:szCs w:val="22"/>
          <w:highlight w:val="none"/>
          <w:lang w:val="en-US" w:eastAsia="zh-CN"/>
        </w:rPr>
        <w:t>4.12</w:t>
      </w:r>
      <w:r>
        <w:rPr>
          <w:rFonts w:hint="eastAsia" w:ascii="宋体" w:hAnsi="宋体" w:eastAsia="宋体" w:cs="宋体"/>
          <w:color w:val="auto"/>
          <w:kern w:val="0"/>
          <w:szCs w:val="22"/>
          <w:highlight w:val="none"/>
        </w:rPr>
        <w:t>水质在线监测设施养护</w:t>
      </w:r>
      <w:bookmarkEnd w:id="239"/>
      <w:bookmarkEnd w:id="240"/>
      <w:bookmarkEnd w:id="241"/>
      <w:r>
        <w:rPr>
          <w:rFonts w:hint="eastAsia" w:ascii="宋体" w:hAnsi="宋体" w:eastAsia="宋体" w:cs="宋体"/>
          <w:color w:val="auto"/>
          <w:kern w:val="0"/>
          <w:szCs w:val="22"/>
          <w:highlight w:val="none"/>
        </w:rPr>
        <w:tab/>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360" w:lineRule="auto"/>
        <w:ind w:left="0" w:firstLine="420" w:firstLineChars="200"/>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每年汛前、汛后应对在线监测设施进行全面检查、校对。监测数据偏差时应立即进行检查，及时修复。</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42" w:name="_Toc23153"/>
      <w:bookmarkStart w:id="243" w:name="_Toc528769164"/>
      <w:bookmarkStart w:id="244" w:name="_Toc7228"/>
      <w:r>
        <w:rPr>
          <w:rFonts w:hint="eastAsia" w:ascii="宋体" w:hAnsi="宋体" w:cs="宋体"/>
          <w:color w:val="auto"/>
          <w:kern w:val="0"/>
          <w:szCs w:val="22"/>
          <w:highlight w:val="none"/>
          <w:lang w:val="en-US" w:eastAsia="zh-CN"/>
        </w:rPr>
        <w:t>4.13</w:t>
      </w:r>
      <w:r>
        <w:rPr>
          <w:rFonts w:hint="eastAsia" w:ascii="宋体" w:hAnsi="宋体" w:eastAsia="宋体" w:cs="宋体"/>
          <w:color w:val="auto"/>
          <w:kern w:val="0"/>
          <w:szCs w:val="22"/>
          <w:highlight w:val="none"/>
        </w:rPr>
        <w:t>环卫设施养护</w:t>
      </w:r>
      <w:bookmarkEnd w:id="242"/>
      <w:bookmarkEnd w:id="243"/>
      <w:bookmarkEnd w:id="244"/>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45" w:name="_Toc5528"/>
      <w:bookmarkStart w:id="246" w:name="_Toc3896"/>
      <w:r>
        <w:rPr>
          <w:rFonts w:hint="eastAsia" w:ascii="宋体" w:hAnsi="宋体" w:cs="宋体"/>
          <w:color w:val="auto"/>
          <w:kern w:val="0"/>
          <w:szCs w:val="22"/>
          <w:highlight w:val="none"/>
          <w:lang w:val="en-US" w:eastAsia="zh-CN"/>
        </w:rPr>
        <w:t>4.13.1</w:t>
      </w:r>
      <w:r>
        <w:rPr>
          <w:rFonts w:hint="eastAsia" w:ascii="宋体" w:hAnsi="宋体" w:eastAsia="宋体" w:cs="宋体"/>
          <w:color w:val="auto"/>
          <w:kern w:val="0"/>
          <w:highlight w:val="none"/>
        </w:rPr>
        <w:t>果壳箱、垃圾箱等环卫设施应保持洁净、无缺损、无歪斜、油漆完整</w:t>
      </w:r>
      <w:bookmarkEnd w:id="245"/>
      <w:bookmarkEnd w:id="246"/>
      <w:bookmarkStart w:id="247" w:name="_Toc9836"/>
      <w:bookmarkStart w:id="248" w:name="_Toc22456"/>
      <w:r>
        <w:rPr>
          <w:rFonts w:hint="eastAsia" w:ascii="宋体" w:hAnsi="宋体" w:eastAsia="宋体" w:cs="宋体"/>
          <w:color w:val="auto"/>
          <w:kern w:val="0"/>
          <w:highlight w:val="none"/>
        </w:rPr>
        <w:t>。发生破损、歪斜应及时维修或更换，发生缺失应及时采购并原样恢复，外表油漆脱落应及时涂刷。</w:t>
      </w:r>
      <w:bookmarkEnd w:id="247"/>
      <w:bookmarkEnd w:id="248"/>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49" w:name="_Toc21180"/>
      <w:bookmarkStart w:id="250" w:name="_Toc29297"/>
      <w:r>
        <w:rPr>
          <w:rFonts w:hint="eastAsia" w:ascii="宋体" w:hAnsi="宋体" w:cs="宋体"/>
          <w:color w:val="auto"/>
          <w:kern w:val="0"/>
          <w:szCs w:val="22"/>
          <w:highlight w:val="none"/>
          <w:lang w:val="en-US" w:eastAsia="zh-CN"/>
        </w:rPr>
        <w:t>4.13.2</w:t>
      </w:r>
      <w:r>
        <w:rPr>
          <w:rFonts w:hint="eastAsia" w:ascii="宋体" w:hAnsi="宋体" w:eastAsia="宋体" w:cs="宋体"/>
          <w:color w:val="auto"/>
          <w:kern w:val="0"/>
          <w:highlight w:val="none"/>
        </w:rPr>
        <w:t>应根据垃圾量及时清运环卫设施内垃圾，每日不少于2次，且应巡回检查。发现垃圾满溢应及时清理，环卫设施清洗每日不少于1次。</w:t>
      </w:r>
      <w:bookmarkEnd w:id="249"/>
      <w:bookmarkEnd w:id="250"/>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51" w:name="_Toc528769165"/>
      <w:bookmarkStart w:id="252" w:name="_Toc4260"/>
      <w:bookmarkStart w:id="253" w:name="_Toc15761"/>
      <w:r>
        <w:rPr>
          <w:rFonts w:hint="eastAsia" w:ascii="宋体" w:hAnsi="宋体" w:cs="宋体"/>
          <w:color w:val="auto"/>
          <w:kern w:val="0"/>
          <w:szCs w:val="22"/>
          <w:highlight w:val="none"/>
          <w:lang w:val="en-US" w:eastAsia="zh-CN"/>
        </w:rPr>
        <w:t>4.14</w:t>
      </w:r>
      <w:r>
        <w:rPr>
          <w:rFonts w:hint="eastAsia" w:ascii="宋体" w:hAnsi="宋体" w:eastAsia="宋体" w:cs="宋体"/>
          <w:color w:val="auto"/>
          <w:kern w:val="0"/>
          <w:szCs w:val="22"/>
          <w:highlight w:val="none"/>
        </w:rPr>
        <w:t>河道标志牌养护</w:t>
      </w:r>
      <w:bookmarkEnd w:id="251"/>
      <w:bookmarkEnd w:id="252"/>
      <w:bookmarkEnd w:id="253"/>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54" w:name="_Toc3654"/>
      <w:bookmarkStart w:id="255" w:name="_Toc5448"/>
      <w:r>
        <w:rPr>
          <w:rFonts w:hint="eastAsia" w:ascii="宋体" w:hAnsi="宋体" w:cs="宋体"/>
          <w:color w:val="auto"/>
          <w:kern w:val="0"/>
          <w:szCs w:val="22"/>
          <w:highlight w:val="none"/>
          <w:lang w:val="en-US" w:eastAsia="zh-CN"/>
        </w:rPr>
        <w:t>4.14.1</w:t>
      </w:r>
      <w:r>
        <w:rPr>
          <w:rFonts w:hint="eastAsia" w:ascii="宋体" w:hAnsi="宋体" w:eastAsia="宋体" w:cs="宋体"/>
          <w:color w:val="auto"/>
          <w:kern w:val="0"/>
          <w:highlight w:val="none"/>
        </w:rPr>
        <w:t>河道标志牌应设置在醒目处，应定期巡视检查。</w:t>
      </w:r>
      <w:bookmarkEnd w:id="254"/>
      <w:bookmarkEnd w:id="255"/>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szCs w:val="22"/>
          <w:highlight w:val="none"/>
          <w:lang w:val="en-US" w:eastAsia="zh-CN"/>
        </w:rPr>
        <w:t>4.14.2</w:t>
      </w:r>
      <w:r>
        <w:rPr>
          <w:rFonts w:hint="eastAsia" w:ascii="宋体" w:hAnsi="宋体" w:eastAsia="宋体" w:cs="宋体"/>
          <w:color w:val="auto"/>
          <w:kern w:val="0"/>
          <w:highlight w:val="none"/>
        </w:rPr>
        <w:t>河道标志牌应设置牢固、保持表面洁净，牌上字迹完整、清晰，镶嵌牢固。</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56" w:name="_Toc528769166"/>
      <w:bookmarkStart w:id="257" w:name="_Toc29585"/>
      <w:bookmarkStart w:id="258" w:name="_Toc3752"/>
      <w:r>
        <w:rPr>
          <w:rFonts w:hint="eastAsia" w:ascii="宋体" w:hAnsi="宋体" w:cs="宋体"/>
          <w:color w:val="auto"/>
          <w:kern w:val="0"/>
          <w:szCs w:val="22"/>
          <w:highlight w:val="none"/>
          <w:lang w:val="en-US" w:eastAsia="zh-CN"/>
        </w:rPr>
        <w:t>4.15</w:t>
      </w:r>
      <w:r>
        <w:rPr>
          <w:rFonts w:hint="eastAsia" w:ascii="宋体" w:hAnsi="宋体" w:eastAsia="宋体" w:cs="宋体"/>
          <w:color w:val="auto"/>
          <w:kern w:val="0"/>
          <w:szCs w:val="22"/>
          <w:highlight w:val="none"/>
        </w:rPr>
        <w:t>其他附属设施养护</w:t>
      </w:r>
      <w:bookmarkEnd w:id="256"/>
      <w:bookmarkEnd w:id="257"/>
      <w:bookmarkEnd w:id="258"/>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59" w:name="_Toc18337"/>
      <w:bookmarkStart w:id="260" w:name="_Toc14166"/>
      <w:r>
        <w:rPr>
          <w:rFonts w:hint="eastAsia" w:ascii="宋体" w:hAnsi="宋体" w:cs="宋体"/>
          <w:color w:val="auto"/>
          <w:kern w:val="0"/>
          <w:szCs w:val="22"/>
          <w:highlight w:val="none"/>
          <w:lang w:val="en-US" w:eastAsia="zh-CN"/>
        </w:rPr>
        <w:t>4.15.1</w:t>
      </w:r>
      <w:r>
        <w:rPr>
          <w:rFonts w:hint="eastAsia" w:ascii="宋体" w:hAnsi="宋体" w:eastAsia="宋体" w:cs="宋体"/>
          <w:color w:val="auto"/>
          <w:kern w:val="0"/>
          <w:highlight w:val="none"/>
        </w:rPr>
        <w:t>其他河道相关附属设施的养护，应包括对城市家具、河道栏杆、管理用房等的养护。</w:t>
      </w:r>
      <w:bookmarkEnd w:id="259"/>
      <w:bookmarkEnd w:id="260"/>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61" w:name="_Toc5799"/>
      <w:bookmarkStart w:id="262" w:name="_Toc27360"/>
      <w:r>
        <w:rPr>
          <w:rFonts w:hint="eastAsia" w:ascii="宋体" w:hAnsi="宋体" w:cs="宋体"/>
          <w:color w:val="auto"/>
          <w:kern w:val="0"/>
          <w:szCs w:val="22"/>
          <w:highlight w:val="none"/>
          <w:lang w:val="en-US" w:eastAsia="zh-CN"/>
        </w:rPr>
        <w:t>4.15.2</w:t>
      </w:r>
      <w:r>
        <w:rPr>
          <w:rFonts w:hint="eastAsia" w:ascii="宋体" w:hAnsi="宋体" w:eastAsia="宋体" w:cs="宋体"/>
          <w:color w:val="auto"/>
          <w:kern w:val="0"/>
          <w:highlight w:val="none"/>
        </w:rPr>
        <w:t>应定期巡视检查，保持设施洁净、无破损、无缺失、无歪斜、油漆完整。</w:t>
      </w:r>
      <w:bookmarkEnd w:id="261"/>
      <w:bookmarkEnd w:id="262"/>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63" w:name="_Toc10275"/>
      <w:bookmarkStart w:id="264" w:name="_Toc7755"/>
      <w:r>
        <w:rPr>
          <w:rFonts w:hint="eastAsia" w:ascii="宋体" w:hAnsi="宋体" w:cs="宋体"/>
          <w:color w:val="auto"/>
          <w:kern w:val="0"/>
          <w:szCs w:val="22"/>
          <w:highlight w:val="none"/>
          <w:lang w:val="en-US" w:eastAsia="zh-CN"/>
        </w:rPr>
        <w:t>4.15.3</w:t>
      </w:r>
      <w:r>
        <w:rPr>
          <w:rFonts w:hint="eastAsia" w:ascii="宋体" w:hAnsi="宋体" w:eastAsia="宋体" w:cs="宋体"/>
          <w:color w:val="auto"/>
          <w:kern w:val="0"/>
          <w:highlight w:val="none"/>
        </w:rPr>
        <w:t>管理用房应整洁有序，无乱拉电线，违规使用燃气用具等情况。</w:t>
      </w:r>
      <w:bookmarkEnd w:id="263"/>
      <w:bookmarkEnd w:id="264"/>
    </w:p>
    <w:p>
      <w:pPr>
        <w:keepNext w:val="0"/>
        <w:keepLines w:val="0"/>
        <w:pageBreakBefore w:val="0"/>
        <w:widowControl/>
        <w:kinsoku/>
        <w:wordWrap/>
        <w:overflowPunct/>
        <w:topLinePunct w:val="0"/>
        <w:bidi w:val="0"/>
        <w:adjustRightInd w:val="0"/>
        <w:snapToGrid/>
        <w:spacing w:line="360" w:lineRule="auto"/>
        <w:ind w:left="0"/>
        <w:textAlignment w:val="auto"/>
        <w:outlineLvl w:val="1"/>
        <w:rPr>
          <w:rFonts w:hint="eastAsia" w:ascii="宋体" w:hAnsi="宋体" w:eastAsia="宋体" w:cs="宋体"/>
          <w:color w:val="auto"/>
          <w:kern w:val="0"/>
          <w:szCs w:val="20"/>
          <w:highlight w:val="none"/>
        </w:rPr>
      </w:pPr>
      <w:bookmarkStart w:id="265" w:name="_Toc7560"/>
      <w:bookmarkStart w:id="266" w:name="_Toc528769167"/>
      <w:bookmarkStart w:id="267" w:name="_Toc22321"/>
      <w:r>
        <w:rPr>
          <w:rFonts w:hint="eastAsia" w:ascii="宋体" w:hAnsi="宋体" w:cs="宋体"/>
          <w:color w:val="auto"/>
          <w:kern w:val="0"/>
          <w:szCs w:val="20"/>
          <w:highlight w:val="none"/>
          <w:lang w:val="en-US" w:eastAsia="zh-CN"/>
        </w:rPr>
        <w:t>5</w:t>
      </w:r>
      <w:r>
        <w:rPr>
          <w:rFonts w:hint="eastAsia" w:ascii="宋体" w:hAnsi="宋体" w:eastAsia="宋体" w:cs="宋体"/>
          <w:color w:val="auto"/>
          <w:kern w:val="0"/>
          <w:szCs w:val="20"/>
          <w:highlight w:val="none"/>
        </w:rPr>
        <w:t>管理</w:t>
      </w:r>
      <w:bookmarkEnd w:id="265"/>
      <w:bookmarkEnd w:id="266"/>
      <w:bookmarkEnd w:id="267"/>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highlight w:val="none"/>
        </w:rPr>
      </w:pPr>
      <w:bookmarkStart w:id="268" w:name="_Toc11899"/>
      <w:bookmarkStart w:id="269" w:name="_Toc11760"/>
      <w:bookmarkStart w:id="270" w:name="_Toc528769168"/>
      <w:bookmarkStart w:id="271" w:name="_Toc2183"/>
      <w:r>
        <w:rPr>
          <w:rFonts w:hint="eastAsia" w:ascii="宋体" w:hAnsi="宋体" w:cs="宋体"/>
          <w:color w:val="auto"/>
          <w:kern w:val="0"/>
          <w:highlight w:val="none"/>
          <w:lang w:val="en-US" w:eastAsia="zh-CN"/>
        </w:rPr>
        <w:t>5.1</w:t>
      </w:r>
      <w:r>
        <w:rPr>
          <w:rFonts w:hint="eastAsia" w:ascii="宋体" w:hAnsi="宋体" w:eastAsia="宋体" w:cs="宋体"/>
          <w:color w:val="auto"/>
          <w:kern w:val="0"/>
          <w:highlight w:val="none"/>
        </w:rPr>
        <w:t>船只配备</w:t>
      </w:r>
      <w:bookmarkEnd w:id="268"/>
      <w:bookmarkEnd w:id="269"/>
      <w:bookmarkEnd w:id="270"/>
      <w:bookmarkEnd w:id="271"/>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5.1.1</w:t>
      </w:r>
      <w:r>
        <w:rPr>
          <w:rFonts w:hint="eastAsia" w:ascii="宋体" w:hAnsi="宋体" w:eastAsia="宋体" w:cs="宋体"/>
          <w:color w:val="auto"/>
          <w:kern w:val="0"/>
          <w:highlight w:val="none"/>
        </w:rPr>
        <w:t>城市河道船只配备应符合下列规定：</w:t>
      </w:r>
    </w:p>
    <w:p>
      <w:pPr>
        <w:keepNext w:val="0"/>
        <w:keepLines w:val="0"/>
        <w:pageBreakBefore w:val="0"/>
        <w:widowControl/>
        <w:numPr>
          <w:ilvl w:val="0"/>
          <w:numId w:val="20"/>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一类城市河道，每50000㎡水域面积应配1艘机械船；</w:t>
      </w:r>
    </w:p>
    <w:p>
      <w:pPr>
        <w:keepNext w:val="0"/>
        <w:keepLines w:val="0"/>
        <w:pageBreakBefore w:val="0"/>
        <w:widowControl/>
        <w:numPr>
          <w:ilvl w:val="0"/>
          <w:numId w:val="20"/>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二类城市河道，每60000㎡水域面积应配1艘机械船；</w:t>
      </w:r>
    </w:p>
    <w:p>
      <w:pPr>
        <w:keepNext w:val="0"/>
        <w:keepLines w:val="0"/>
        <w:pageBreakBefore w:val="0"/>
        <w:widowControl/>
        <w:numPr>
          <w:ilvl w:val="0"/>
          <w:numId w:val="20"/>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三类城市河道，每110000㎡水域面积应配1艘机械船，或每12000㎡水域面配1艘手划船；</w:t>
      </w:r>
    </w:p>
    <w:p>
      <w:pPr>
        <w:keepNext w:val="0"/>
        <w:keepLines w:val="0"/>
        <w:pageBreakBefore w:val="0"/>
        <w:widowControl/>
        <w:numPr>
          <w:ilvl w:val="0"/>
          <w:numId w:val="20"/>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未整治城市河道，每24000㎡水域面积应配1艘手划船；</w:t>
      </w:r>
    </w:p>
    <w:p>
      <w:pPr>
        <w:keepNext w:val="0"/>
        <w:keepLines w:val="0"/>
        <w:pageBreakBefore w:val="0"/>
        <w:widowControl/>
        <w:numPr>
          <w:ilvl w:val="0"/>
          <w:numId w:val="20"/>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每艘手划船应至少配备1名保洁人员，每艘机动船至少配备3名人员。</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5.1.2</w:t>
      </w:r>
      <w:r>
        <w:rPr>
          <w:rFonts w:hint="eastAsia" w:ascii="宋体" w:hAnsi="宋体" w:eastAsia="宋体" w:cs="宋体"/>
          <w:color w:val="auto"/>
          <w:kern w:val="0"/>
          <w:highlight w:val="none"/>
        </w:rPr>
        <w:t>每艘保洁船应配备适合清理各种垃圾漂浮物及污染物的打捞工具，宜安装定位装置。</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72" w:name="_Toc15173"/>
      <w:bookmarkStart w:id="273" w:name="_Toc7074"/>
      <w:bookmarkStart w:id="274" w:name="_Toc528769169"/>
      <w:r>
        <w:rPr>
          <w:rFonts w:hint="eastAsia" w:ascii="宋体" w:hAnsi="宋体" w:cs="宋体"/>
          <w:color w:val="auto"/>
          <w:kern w:val="0"/>
          <w:szCs w:val="22"/>
          <w:highlight w:val="none"/>
          <w:lang w:val="en-US" w:eastAsia="zh-CN"/>
        </w:rPr>
        <w:t>5.2</w:t>
      </w:r>
      <w:r>
        <w:rPr>
          <w:rFonts w:hint="eastAsia" w:ascii="宋体" w:hAnsi="宋体" w:eastAsia="宋体" w:cs="宋体"/>
          <w:color w:val="auto"/>
          <w:kern w:val="0"/>
          <w:szCs w:val="22"/>
          <w:highlight w:val="none"/>
        </w:rPr>
        <w:t>人员配备及管理</w:t>
      </w:r>
      <w:bookmarkEnd w:id="272"/>
      <w:bookmarkEnd w:id="273"/>
      <w:bookmarkEnd w:id="274"/>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5.2.1</w:t>
      </w:r>
      <w:r>
        <w:rPr>
          <w:rFonts w:hint="eastAsia" w:ascii="宋体" w:hAnsi="宋体" w:eastAsia="宋体" w:cs="宋体"/>
          <w:color w:val="auto"/>
          <w:kern w:val="0"/>
          <w:highlight w:val="none"/>
        </w:rPr>
        <w:t>巡查人员配备应符合下列规定：</w:t>
      </w:r>
    </w:p>
    <w:p>
      <w:pPr>
        <w:keepNext w:val="0"/>
        <w:keepLines w:val="0"/>
        <w:pageBreakBefore w:val="0"/>
        <w:widowControl/>
        <w:numPr>
          <w:ilvl w:val="0"/>
          <w:numId w:val="21"/>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一类城市河道，每2000m长度应配备不少于1名巡查人员；</w:t>
      </w:r>
    </w:p>
    <w:p>
      <w:pPr>
        <w:keepNext w:val="0"/>
        <w:keepLines w:val="0"/>
        <w:pageBreakBefore w:val="0"/>
        <w:widowControl/>
        <w:numPr>
          <w:ilvl w:val="0"/>
          <w:numId w:val="21"/>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二类城市河道，每4000m长度应配备不少于1名巡查人员；</w:t>
      </w:r>
    </w:p>
    <w:p>
      <w:pPr>
        <w:keepNext w:val="0"/>
        <w:keepLines w:val="0"/>
        <w:pageBreakBefore w:val="0"/>
        <w:widowControl/>
        <w:numPr>
          <w:ilvl w:val="0"/>
          <w:numId w:val="21"/>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三类城市河道，每8000m长度应配备不少于1名巡查人员；</w:t>
      </w:r>
    </w:p>
    <w:p>
      <w:pPr>
        <w:keepNext w:val="0"/>
        <w:keepLines w:val="0"/>
        <w:pageBreakBefore w:val="0"/>
        <w:widowControl/>
        <w:numPr>
          <w:ilvl w:val="0"/>
          <w:numId w:val="21"/>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未整治城市河道，每28000m长度应配备不少于1名巡查人员。</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5.2.2</w:t>
      </w:r>
      <w:r>
        <w:rPr>
          <w:rFonts w:hint="eastAsia" w:ascii="宋体" w:hAnsi="宋体" w:eastAsia="宋体" w:cs="宋体"/>
          <w:color w:val="auto"/>
          <w:kern w:val="0"/>
          <w:highlight w:val="none"/>
        </w:rPr>
        <w:t>河面保洁人员配备应符合下列规定：</w:t>
      </w:r>
    </w:p>
    <w:p>
      <w:pPr>
        <w:keepNext w:val="0"/>
        <w:keepLines w:val="0"/>
        <w:pageBreakBefore w:val="0"/>
        <w:widowControl/>
        <w:numPr>
          <w:ilvl w:val="0"/>
          <w:numId w:val="2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一类城市河道，每50000㎡水域面积应配备不少于3名保洁人员；</w:t>
      </w:r>
    </w:p>
    <w:p>
      <w:pPr>
        <w:keepNext w:val="0"/>
        <w:keepLines w:val="0"/>
        <w:pageBreakBefore w:val="0"/>
        <w:widowControl/>
        <w:numPr>
          <w:ilvl w:val="0"/>
          <w:numId w:val="2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二类城市河道，每60000㎡水域面积应配备不少于3名保洁人员；</w:t>
      </w:r>
    </w:p>
    <w:p>
      <w:pPr>
        <w:keepNext w:val="0"/>
        <w:keepLines w:val="0"/>
        <w:pageBreakBefore w:val="0"/>
        <w:widowControl/>
        <w:numPr>
          <w:ilvl w:val="0"/>
          <w:numId w:val="2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三类城市河道，每110000㎡水域面积应配备不少于3名保洁人员；</w:t>
      </w:r>
    </w:p>
    <w:p>
      <w:pPr>
        <w:keepNext w:val="0"/>
        <w:keepLines w:val="0"/>
        <w:pageBreakBefore w:val="0"/>
        <w:widowControl/>
        <w:numPr>
          <w:ilvl w:val="0"/>
          <w:numId w:val="22"/>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未整治城市河道，每24000㎡水域面积应配备不少于1名保洁人员。</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5.2.3</w:t>
      </w:r>
      <w:r>
        <w:rPr>
          <w:rFonts w:hint="eastAsia" w:ascii="宋体" w:hAnsi="宋体" w:eastAsia="宋体" w:cs="宋体"/>
          <w:color w:val="auto"/>
          <w:kern w:val="0"/>
          <w:highlight w:val="none"/>
        </w:rPr>
        <w:t>河岸保洁人员配备应符合下列规定：</w:t>
      </w:r>
    </w:p>
    <w:p>
      <w:pPr>
        <w:keepNext w:val="0"/>
        <w:keepLines w:val="0"/>
        <w:pageBreakBefore w:val="0"/>
        <w:widowControl/>
        <w:numPr>
          <w:ilvl w:val="0"/>
          <w:numId w:val="23"/>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一类城市河道，每5500㎡水域面积应配备不少于1名保洁人员；</w:t>
      </w:r>
    </w:p>
    <w:p>
      <w:pPr>
        <w:keepNext w:val="0"/>
        <w:keepLines w:val="0"/>
        <w:pageBreakBefore w:val="0"/>
        <w:widowControl/>
        <w:numPr>
          <w:ilvl w:val="0"/>
          <w:numId w:val="23"/>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二类城市河道，每6000㎡水域面积应配备不少于1名保洁人员；</w:t>
      </w:r>
    </w:p>
    <w:p>
      <w:pPr>
        <w:keepNext w:val="0"/>
        <w:keepLines w:val="0"/>
        <w:pageBreakBefore w:val="0"/>
        <w:widowControl/>
        <w:numPr>
          <w:ilvl w:val="0"/>
          <w:numId w:val="23"/>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三类城市河道，每7000㎡水域面积应配备不少于1名保洁人员；</w:t>
      </w:r>
    </w:p>
    <w:p>
      <w:pPr>
        <w:keepNext w:val="0"/>
        <w:keepLines w:val="0"/>
        <w:pageBreakBefore w:val="0"/>
        <w:widowControl/>
        <w:numPr>
          <w:ilvl w:val="0"/>
          <w:numId w:val="23"/>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未整治城市河道，每7500㎡水域面积应配备不少于1名保洁人员。</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5.2.4</w:t>
      </w:r>
      <w:r>
        <w:rPr>
          <w:rFonts w:hint="eastAsia" w:ascii="宋体" w:hAnsi="宋体" w:eastAsia="宋体" w:cs="宋体"/>
          <w:color w:val="auto"/>
          <w:kern w:val="0"/>
          <w:highlight w:val="none"/>
        </w:rPr>
        <w:t>每4000㎡绿地应配备不少于1名绿化养护人员。</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275" w:name="_Toc6903"/>
      <w:bookmarkStart w:id="276" w:name="_Toc32102"/>
      <w:bookmarkStart w:id="277" w:name="_Toc7689"/>
      <w:bookmarkStart w:id="278" w:name="_Toc20619"/>
      <w:r>
        <w:rPr>
          <w:rFonts w:hint="eastAsia" w:ascii="宋体" w:hAnsi="宋体" w:cs="宋体"/>
          <w:color w:val="auto"/>
          <w:kern w:val="0"/>
          <w:highlight w:val="none"/>
          <w:lang w:val="en-US" w:eastAsia="zh-CN"/>
        </w:rPr>
        <w:t>5.2.5</w:t>
      </w:r>
      <w:r>
        <w:rPr>
          <w:rFonts w:hint="eastAsia" w:ascii="宋体" w:hAnsi="宋体" w:eastAsia="宋体" w:cs="宋体"/>
          <w:color w:val="auto"/>
          <w:kern w:val="0"/>
          <w:highlight w:val="none"/>
        </w:rPr>
        <w:t>作业人员管理应符合下列规定：</w:t>
      </w:r>
    </w:p>
    <w:p>
      <w:pPr>
        <w:keepNext w:val="0"/>
        <w:keepLines w:val="0"/>
        <w:pageBreakBefore w:val="0"/>
        <w:widowControl/>
        <w:numPr>
          <w:ilvl w:val="0"/>
          <w:numId w:val="2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工作期间应穿着统一工作服，工作服无污渍、无破损、无脱线、无纽扣缺损，扣全纽扣，不敞衣露怀，河面养护时须着救生衣,不挽袖卷裤腿，不穿拖鞋工作</w:t>
      </w:r>
      <w:bookmarkEnd w:id="275"/>
      <w:bookmarkEnd w:id="276"/>
      <w:bookmarkEnd w:id="277"/>
      <w:bookmarkEnd w:id="278"/>
      <w:r>
        <w:rPr>
          <w:rFonts w:hint="eastAsia" w:ascii="宋体" w:hAnsi="宋体" w:eastAsia="宋体" w:cs="宋体"/>
          <w:color w:val="auto"/>
          <w:kern w:val="0"/>
          <w:szCs w:val="20"/>
          <w:highlight w:val="none"/>
        </w:rPr>
        <w:t>；</w:t>
      </w:r>
    </w:p>
    <w:p>
      <w:pPr>
        <w:keepNext w:val="0"/>
        <w:keepLines w:val="0"/>
        <w:pageBreakBefore w:val="0"/>
        <w:widowControl/>
        <w:numPr>
          <w:ilvl w:val="0"/>
          <w:numId w:val="2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bookmarkStart w:id="279" w:name="_Toc15342"/>
      <w:bookmarkStart w:id="280" w:name="_Toc24826"/>
      <w:bookmarkStart w:id="281" w:name="_Toc9695"/>
      <w:bookmarkStart w:id="282" w:name="_Toc28341"/>
      <w:r>
        <w:rPr>
          <w:rFonts w:hint="eastAsia" w:ascii="宋体" w:hAnsi="宋体" w:eastAsia="宋体" w:cs="宋体"/>
          <w:color w:val="auto"/>
          <w:kern w:val="0"/>
          <w:szCs w:val="20"/>
          <w:highlight w:val="none"/>
        </w:rPr>
        <w:t>工号牌应一人一号，不得转借。非工作时间不得穿戴工作服，离开河道作业队伍时，工作服和工号牌应回收</w:t>
      </w:r>
      <w:bookmarkEnd w:id="279"/>
      <w:bookmarkEnd w:id="280"/>
      <w:bookmarkEnd w:id="281"/>
      <w:bookmarkEnd w:id="282"/>
      <w:r>
        <w:rPr>
          <w:rFonts w:hint="eastAsia" w:ascii="宋体" w:hAnsi="宋体" w:eastAsia="宋体" w:cs="宋体"/>
          <w:color w:val="auto"/>
          <w:kern w:val="0"/>
          <w:szCs w:val="20"/>
          <w:highlight w:val="none"/>
        </w:rPr>
        <w:t>；</w:t>
      </w:r>
    </w:p>
    <w:p>
      <w:pPr>
        <w:keepNext w:val="0"/>
        <w:keepLines w:val="0"/>
        <w:pageBreakBefore w:val="0"/>
        <w:widowControl/>
        <w:numPr>
          <w:ilvl w:val="0"/>
          <w:numId w:val="2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bookmarkStart w:id="283" w:name="_Toc14762"/>
      <w:bookmarkStart w:id="284" w:name="_Toc19173"/>
      <w:bookmarkStart w:id="285" w:name="_Toc30826"/>
      <w:bookmarkStart w:id="286" w:name="_Toc22108"/>
      <w:r>
        <w:rPr>
          <w:rFonts w:hint="eastAsia" w:ascii="宋体" w:hAnsi="宋体" w:eastAsia="宋体" w:cs="宋体"/>
          <w:color w:val="auto"/>
          <w:kern w:val="0"/>
          <w:szCs w:val="20"/>
          <w:highlight w:val="none"/>
        </w:rPr>
        <w:t>应保持仪表整洁。男作业人员不应留长发、蓄长须；女作业人员上岗前应把头发夹好。</w:t>
      </w:r>
      <w:bookmarkEnd w:id="283"/>
      <w:bookmarkEnd w:id="284"/>
      <w:bookmarkEnd w:id="285"/>
      <w:bookmarkEnd w:id="286"/>
    </w:p>
    <w:p>
      <w:pPr>
        <w:keepNext w:val="0"/>
        <w:keepLines w:val="0"/>
        <w:pageBreakBefore w:val="0"/>
        <w:widowControl/>
        <w:numPr>
          <w:ilvl w:val="0"/>
          <w:numId w:val="2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bookmarkStart w:id="287" w:name="_Toc19110"/>
      <w:bookmarkStart w:id="288" w:name="_Toc6273"/>
      <w:bookmarkStart w:id="289" w:name="_Toc16659"/>
      <w:bookmarkStart w:id="290" w:name="_Toc4975"/>
      <w:r>
        <w:rPr>
          <w:rFonts w:hint="eastAsia" w:ascii="宋体" w:hAnsi="宋体" w:eastAsia="宋体" w:cs="宋体"/>
          <w:color w:val="auto"/>
          <w:kern w:val="0"/>
          <w:szCs w:val="20"/>
          <w:highlight w:val="none"/>
        </w:rPr>
        <w:t>自觉做到文明礼仪，文明用语，礼让行人，不得与他人、单位发生冲突</w:t>
      </w:r>
      <w:bookmarkEnd w:id="287"/>
      <w:bookmarkEnd w:id="288"/>
      <w:bookmarkEnd w:id="289"/>
      <w:bookmarkEnd w:id="290"/>
      <w:r>
        <w:rPr>
          <w:rFonts w:hint="eastAsia" w:ascii="宋体" w:hAnsi="宋体" w:eastAsia="宋体" w:cs="宋体"/>
          <w:color w:val="auto"/>
          <w:kern w:val="0"/>
          <w:szCs w:val="20"/>
          <w:highlight w:val="none"/>
        </w:rPr>
        <w:t>；</w:t>
      </w:r>
    </w:p>
    <w:p>
      <w:pPr>
        <w:keepNext w:val="0"/>
        <w:keepLines w:val="0"/>
        <w:pageBreakBefore w:val="0"/>
        <w:widowControl/>
        <w:numPr>
          <w:ilvl w:val="0"/>
          <w:numId w:val="2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bookmarkStart w:id="291" w:name="_Toc20586"/>
      <w:bookmarkStart w:id="292" w:name="_Toc13974"/>
      <w:bookmarkStart w:id="293" w:name="_Toc12392"/>
      <w:bookmarkStart w:id="294" w:name="_Toc27372"/>
      <w:r>
        <w:rPr>
          <w:rFonts w:hint="eastAsia" w:ascii="宋体" w:hAnsi="宋体" w:eastAsia="宋体" w:cs="宋体"/>
          <w:color w:val="auto"/>
          <w:kern w:val="0"/>
          <w:szCs w:val="20"/>
          <w:highlight w:val="none"/>
        </w:rPr>
        <w:t>作业时间内不应饮酒及酒后作业，不得从事与本职无关的其它活动</w:t>
      </w:r>
      <w:bookmarkEnd w:id="291"/>
      <w:bookmarkEnd w:id="292"/>
      <w:bookmarkEnd w:id="293"/>
      <w:bookmarkEnd w:id="294"/>
      <w:r>
        <w:rPr>
          <w:rFonts w:hint="eastAsia" w:ascii="宋体" w:hAnsi="宋体" w:eastAsia="宋体" w:cs="宋体"/>
          <w:color w:val="auto"/>
          <w:kern w:val="0"/>
          <w:szCs w:val="20"/>
          <w:highlight w:val="none"/>
        </w:rPr>
        <w:t>；</w:t>
      </w:r>
    </w:p>
    <w:p>
      <w:pPr>
        <w:keepNext w:val="0"/>
        <w:keepLines w:val="0"/>
        <w:pageBreakBefore w:val="0"/>
        <w:widowControl/>
        <w:numPr>
          <w:ilvl w:val="0"/>
          <w:numId w:val="24"/>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bookmarkStart w:id="295" w:name="_Toc12550"/>
      <w:bookmarkStart w:id="296" w:name="_Toc21463"/>
      <w:bookmarkStart w:id="297" w:name="_Toc14188"/>
      <w:bookmarkStart w:id="298" w:name="_Toc32585"/>
      <w:r>
        <w:rPr>
          <w:rFonts w:hint="eastAsia" w:ascii="宋体" w:hAnsi="宋体" w:eastAsia="宋体" w:cs="宋体"/>
          <w:color w:val="auto"/>
          <w:kern w:val="0"/>
          <w:szCs w:val="20"/>
          <w:highlight w:val="none"/>
        </w:rPr>
        <w:t>主动向班组长反馈作业过程中发现的异常情况。</w:t>
      </w:r>
      <w:bookmarkEnd w:id="295"/>
      <w:bookmarkEnd w:id="296"/>
      <w:bookmarkEnd w:id="297"/>
      <w:bookmarkEnd w:id="298"/>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szCs w:val="22"/>
          <w:highlight w:val="none"/>
        </w:rPr>
      </w:pPr>
      <w:bookmarkStart w:id="299" w:name="_Toc21803"/>
      <w:bookmarkStart w:id="300" w:name="_Toc23374"/>
      <w:bookmarkStart w:id="301" w:name="_Toc528769170"/>
      <w:r>
        <w:rPr>
          <w:rFonts w:hint="eastAsia" w:ascii="宋体" w:hAnsi="宋体" w:cs="宋体"/>
          <w:color w:val="auto"/>
          <w:kern w:val="0"/>
          <w:szCs w:val="22"/>
          <w:highlight w:val="none"/>
          <w:lang w:val="en-US" w:eastAsia="zh-CN"/>
        </w:rPr>
        <w:t>5.3</w:t>
      </w:r>
      <w:r>
        <w:rPr>
          <w:rFonts w:hint="eastAsia" w:ascii="宋体" w:hAnsi="宋体" w:eastAsia="宋体" w:cs="宋体"/>
          <w:color w:val="auto"/>
          <w:kern w:val="0"/>
          <w:szCs w:val="22"/>
          <w:highlight w:val="none"/>
        </w:rPr>
        <w:t>应急管理</w:t>
      </w:r>
      <w:bookmarkEnd w:id="299"/>
      <w:bookmarkEnd w:id="300"/>
      <w:bookmarkEnd w:id="301"/>
      <w:r>
        <w:rPr>
          <w:rFonts w:hint="eastAsia" w:ascii="宋体" w:hAnsi="宋体" w:eastAsia="宋体" w:cs="宋体"/>
          <w:color w:val="auto"/>
          <w:kern w:val="0"/>
          <w:szCs w:val="22"/>
          <w:highlight w:val="none"/>
        </w:rPr>
        <w:tab/>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302" w:name="_Toc29257"/>
      <w:bookmarkStart w:id="303" w:name="_Toc12436"/>
      <w:bookmarkStart w:id="304" w:name="_Toc14512"/>
      <w:bookmarkStart w:id="305" w:name="_Toc14372"/>
      <w:r>
        <w:rPr>
          <w:rFonts w:hint="eastAsia" w:ascii="宋体" w:hAnsi="宋体" w:cs="宋体"/>
          <w:color w:val="auto"/>
          <w:kern w:val="0"/>
          <w:szCs w:val="22"/>
          <w:highlight w:val="none"/>
          <w:lang w:val="en-US" w:eastAsia="zh-CN"/>
        </w:rPr>
        <w:t>5.3.1</w:t>
      </w:r>
      <w:r>
        <w:rPr>
          <w:rFonts w:hint="eastAsia" w:ascii="宋体" w:hAnsi="宋体" w:eastAsia="宋体" w:cs="宋体"/>
          <w:color w:val="auto"/>
          <w:kern w:val="0"/>
          <w:highlight w:val="none"/>
        </w:rPr>
        <w:t>河道管理单位和养护单位应针对抗雪防冻、防汛抗台等情况制定相应的应急预案，制定重大活动及节假日保障方案，并按照要求做好相应保障及应急抢险工作。</w:t>
      </w:r>
      <w:bookmarkEnd w:id="302"/>
      <w:bookmarkEnd w:id="303"/>
      <w:bookmarkEnd w:id="304"/>
      <w:bookmarkEnd w:id="305"/>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bookmarkStart w:id="306" w:name="_Toc6374"/>
      <w:bookmarkStart w:id="307" w:name="_Toc8980"/>
      <w:bookmarkStart w:id="308" w:name="_Toc18283"/>
      <w:bookmarkStart w:id="309" w:name="_Toc16753"/>
      <w:r>
        <w:rPr>
          <w:rFonts w:hint="eastAsia" w:ascii="宋体" w:hAnsi="宋体" w:cs="宋体"/>
          <w:color w:val="auto"/>
          <w:kern w:val="0"/>
          <w:szCs w:val="22"/>
          <w:highlight w:val="none"/>
          <w:lang w:val="en-US" w:eastAsia="zh-CN"/>
        </w:rPr>
        <w:t>5.3.2</w:t>
      </w:r>
      <w:r>
        <w:rPr>
          <w:rFonts w:hint="eastAsia" w:ascii="宋体" w:hAnsi="宋体" w:eastAsia="宋体" w:cs="宋体"/>
          <w:color w:val="auto"/>
          <w:kern w:val="0"/>
          <w:highlight w:val="none"/>
        </w:rPr>
        <w:t>应配备应急所需的人员、工具、设备和物资。</w:t>
      </w:r>
      <w:bookmarkEnd w:id="306"/>
      <w:bookmarkEnd w:id="307"/>
      <w:bookmarkEnd w:id="308"/>
      <w:bookmarkEnd w:id="309"/>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szCs w:val="22"/>
          <w:highlight w:val="none"/>
          <w:lang w:val="en-US" w:eastAsia="zh-CN"/>
        </w:rPr>
        <w:t>5.3.3</w:t>
      </w:r>
      <w:r>
        <w:rPr>
          <w:rFonts w:hint="eastAsia" w:ascii="宋体" w:hAnsi="宋体" w:eastAsia="宋体" w:cs="宋体"/>
          <w:color w:val="auto"/>
          <w:kern w:val="0"/>
          <w:highlight w:val="none"/>
        </w:rPr>
        <w:t>遇水质污染情况，应24h开启曝气循环设备，并采取增加设备数量、临时集中设置净水设备等措施，短时集中改善河道水质，直到河道水质达到预定标准。</w:t>
      </w:r>
    </w:p>
    <w:p>
      <w:pPr>
        <w:keepNext w:val="0"/>
        <w:keepLines w:val="0"/>
        <w:pageBreakBefore w:val="0"/>
        <w:widowControl/>
        <w:numPr>
          <w:ilvl w:val="1"/>
          <w:numId w:val="0"/>
        </w:numPr>
        <w:kinsoku/>
        <w:wordWrap/>
        <w:overflowPunct/>
        <w:topLinePunct w:val="0"/>
        <w:bidi w:val="0"/>
        <w:adjustRightInd w:val="0"/>
        <w:snapToGrid/>
        <w:spacing w:line="360" w:lineRule="auto"/>
        <w:ind w:left="0"/>
        <w:jc w:val="left"/>
        <w:textAlignment w:val="auto"/>
        <w:outlineLvl w:val="2"/>
        <w:rPr>
          <w:rFonts w:hint="eastAsia" w:ascii="宋体" w:hAnsi="宋体" w:eastAsia="宋体" w:cs="宋体"/>
          <w:color w:val="auto"/>
          <w:kern w:val="0"/>
          <w:highlight w:val="none"/>
        </w:rPr>
      </w:pPr>
      <w:bookmarkStart w:id="310" w:name="_Toc22537"/>
      <w:bookmarkStart w:id="311" w:name="_Toc22383"/>
      <w:bookmarkStart w:id="312" w:name="_Toc528769171"/>
      <w:r>
        <w:rPr>
          <w:rFonts w:hint="eastAsia" w:ascii="宋体" w:hAnsi="宋体" w:cs="宋体"/>
          <w:color w:val="auto"/>
          <w:kern w:val="0"/>
          <w:highlight w:val="none"/>
          <w:lang w:val="en-US" w:eastAsia="zh-CN"/>
        </w:rPr>
        <w:t>5.4</w:t>
      </w:r>
      <w:r>
        <w:rPr>
          <w:rFonts w:hint="eastAsia" w:ascii="宋体" w:hAnsi="宋体" w:eastAsia="宋体" w:cs="宋体"/>
          <w:color w:val="auto"/>
          <w:kern w:val="0"/>
          <w:highlight w:val="none"/>
        </w:rPr>
        <w:t>资料管理</w:t>
      </w:r>
      <w:bookmarkEnd w:id="310"/>
      <w:bookmarkEnd w:id="311"/>
      <w:bookmarkEnd w:id="312"/>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5.4.1</w:t>
      </w:r>
      <w:r>
        <w:rPr>
          <w:rFonts w:hint="eastAsia" w:ascii="宋体" w:hAnsi="宋体" w:eastAsia="宋体" w:cs="宋体"/>
          <w:color w:val="auto"/>
          <w:kern w:val="0"/>
          <w:highlight w:val="none"/>
        </w:rPr>
        <w:t>城市河道养护管理单位应建立纸质、电子档案管理制度。</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5.4.2</w:t>
      </w:r>
      <w:r>
        <w:rPr>
          <w:rFonts w:hint="eastAsia" w:ascii="宋体" w:hAnsi="宋体" w:eastAsia="宋体" w:cs="宋体"/>
          <w:color w:val="auto"/>
          <w:kern w:val="0"/>
          <w:highlight w:val="none"/>
        </w:rPr>
        <w:t>纸质档案整理应符合下列规定：</w:t>
      </w:r>
    </w:p>
    <w:p>
      <w:pPr>
        <w:keepNext w:val="0"/>
        <w:keepLines w:val="0"/>
        <w:pageBreakBefore w:val="0"/>
        <w:widowControl/>
        <w:numPr>
          <w:ilvl w:val="0"/>
          <w:numId w:val="2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养护管理均应形成台帐记录，留存巡查记录和整改记录，并形成档案留存；</w:t>
      </w:r>
    </w:p>
    <w:p>
      <w:pPr>
        <w:keepNext w:val="0"/>
        <w:keepLines w:val="0"/>
        <w:pageBreakBefore w:val="0"/>
        <w:widowControl/>
        <w:numPr>
          <w:ilvl w:val="0"/>
          <w:numId w:val="25"/>
        </w:numPr>
        <w:kinsoku/>
        <w:wordWrap/>
        <w:overflowPunct/>
        <w:topLinePunct w:val="0"/>
        <w:bidi w:val="0"/>
        <w:adjustRightInd w:val="0"/>
        <w:snapToGrid/>
        <w:spacing w:line="360" w:lineRule="auto"/>
        <w:ind w:left="839" w:hanging="419"/>
        <w:textAlignment w:val="auto"/>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台帐档案应字迹工整、图面清晰、签章完备。</w:t>
      </w:r>
    </w:p>
    <w:p>
      <w:pPr>
        <w:keepNext w:val="0"/>
        <w:keepLines w:val="0"/>
        <w:pageBreakBefore w:val="0"/>
        <w:widowControl/>
        <w:numPr>
          <w:ilvl w:val="0"/>
          <w:numId w:val="0"/>
        </w:numPr>
        <w:kinsoku/>
        <w:wordWrap/>
        <w:overflowPunct/>
        <w:topLinePunct w:val="0"/>
        <w:bidi w:val="0"/>
        <w:adjustRightInd w:val="0"/>
        <w:snapToGrid/>
        <w:spacing w:line="360" w:lineRule="auto"/>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5.4.3</w:t>
      </w:r>
      <w:r>
        <w:rPr>
          <w:rFonts w:hint="eastAsia" w:ascii="宋体" w:hAnsi="宋体" w:eastAsia="宋体" w:cs="宋体"/>
          <w:color w:val="auto"/>
          <w:kern w:val="0"/>
          <w:highlight w:val="none"/>
        </w:rPr>
        <w:t>电子档案整理应符合下列规定：</w:t>
      </w:r>
    </w:p>
    <w:p>
      <w:pPr>
        <w:keepNext w:val="0"/>
        <w:keepLines w:val="0"/>
        <w:pageBreakBefore w:val="0"/>
        <w:widowControl/>
        <w:numPr>
          <w:ilvl w:val="0"/>
          <w:numId w:val="0"/>
        </w:numPr>
        <w:kinsoku/>
        <w:wordWrap/>
        <w:overflowPunct/>
        <w:topLinePunct w:val="0"/>
        <w:bidi w:val="0"/>
        <w:adjustRightInd w:val="0"/>
        <w:snapToGrid/>
        <w:spacing w:line="360" w:lineRule="auto"/>
        <w:ind w:left="420" w:leftChars="0"/>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 xml:space="preserve">a) </w:t>
      </w:r>
      <w:r>
        <w:rPr>
          <w:rFonts w:hint="eastAsia" w:ascii="宋体" w:hAnsi="宋体" w:eastAsia="宋体" w:cs="宋体"/>
          <w:color w:val="auto"/>
          <w:kern w:val="0"/>
          <w:szCs w:val="20"/>
          <w:highlight w:val="none"/>
        </w:rPr>
        <w:t>每条河道每月均应有照片留存，归档的照片应整理成册，分类编目，并附有相关说明；</w:t>
      </w:r>
    </w:p>
    <w:p>
      <w:pPr>
        <w:keepNext w:val="0"/>
        <w:keepLines w:val="0"/>
        <w:pageBreakBefore w:val="0"/>
        <w:widowControl/>
        <w:numPr>
          <w:ilvl w:val="0"/>
          <w:numId w:val="0"/>
        </w:numPr>
        <w:kinsoku/>
        <w:wordWrap/>
        <w:overflowPunct/>
        <w:topLinePunct w:val="0"/>
        <w:bidi w:val="0"/>
        <w:adjustRightInd w:val="0"/>
        <w:snapToGrid/>
        <w:spacing w:line="360" w:lineRule="auto"/>
        <w:ind w:left="420" w:leftChars="0"/>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 xml:space="preserve">b) </w:t>
      </w:r>
      <w:r>
        <w:rPr>
          <w:rFonts w:hint="eastAsia" w:ascii="宋体" w:hAnsi="宋体" w:eastAsia="宋体" w:cs="宋体"/>
          <w:color w:val="auto"/>
          <w:kern w:val="0"/>
          <w:szCs w:val="20"/>
          <w:highlight w:val="none"/>
        </w:rPr>
        <w:t>养护管理相关档案形成单位应制定电子文件管理制度和技术措施，并按要求归档，确保归档电子文件的质量；</w:t>
      </w:r>
    </w:p>
    <w:p>
      <w:pPr>
        <w:keepNext w:val="0"/>
        <w:keepLines w:val="0"/>
        <w:pageBreakBefore w:val="0"/>
        <w:widowControl/>
        <w:numPr>
          <w:ilvl w:val="0"/>
          <w:numId w:val="0"/>
        </w:numPr>
        <w:kinsoku/>
        <w:wordWrap/>
        <w:overflowPunct/>
        <w:topLinePunct w:val="0"/>
        <w:bidi w:val="0"/>
        <w:adjustRightInd w:val="0"/>
        <w:snapToGrid/>
        <w:spacing w:line="360" w:lineRule="auto"/>
        <w:ind w:left="420" w:leftChars="0"/>
        <w:textAlignment w:val="auto"/>
        <w:rPr>
          <w:rFonts w:hint="eastAsia" w:ascii="宋体" w:hAnsi="宋体" w:eastAsia="宋体" w:cs="宋体"/>
          <w:color w:val="auto"/>
          <w:kern w:val="0"/>
          <w:szCs w:val="20"/>
          <w:highlight w:val="none"/>
        </w:rPr>
      </w:pPr>
      <w:r>
        <w:rPr>
          <w:rFonts w:hint="eastAsia" w:ascii="宋体" w:hAnsi="宋体" w:cs="宋体"/>
          <w:color w:val="auto"/>
          <w:kern w:val="0"/>
          <w:szCs w:val="20"/>
          <w:highlight w:val="none"/>
          <w:lang w:val="en-US" w:eastAsia="zh-CN"/>
        </w:rPr>
        <w:t xml:space="preserve">c) </w:t>
      </w:r>
      <w:r>
        <w:rPr>
          <w:rFonts w:hint="eastAsia" w:ascii="宋体" w:hAnsi="宋体" w:eastAsia="宋体" w:cs="宋体"/>
          <w:color w:val="auto"/>
          <w:kern w:val="0"/>
          <w:szCs w:val="20"/>
          <w:highlight w:val="none"/>
        </w:rPr>
        <w:t>电子文件形成部门和个人应积极协助和支持档案机构开展电子文件归档管理的日常监督、指导及电子档案的保管、利用等工作。</w:t>
      </w:r>
    </w:p>
    <w:p>
      <w:pPr>
        <w:keepNext w:val="0"/>
        <w:keepLines w:val="0"/>
        <w:pageBreakBefore w:val="0"/>
        <w:widowControl/>
        <w:numPr>
          <w:ilvl w:val="2"/>
          <w:numId w:val="0"/>
        </w:numPr>
        <w:kinsoku/>
        <w:wordWrap/>
        <w:overflowPunct/>
        <w:topLinePunct w:val="0"/>
        <w:bidi w:val="0"/>
        <w:adjustRightInd w:val="0"/>
        <w:snapToGrid/>
        <w:spacing w:line="360" w:lineRule="auto"/>
        <w:ind w:left="0"/>
        <w:jc w:val="left"/>
        <w:textAlignment w:val="auto"/>
        <w:outlineLvl w:val="3"/>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5.4.4</w:t>
      </w:r>
      <w:r>
        <w:rPr>
          <w:rFonts w:hint="eastAsia" w:ascii="宋体" w:hAnsi="宋体" w:eastAsia="宋体" w:cs="宋体"/>
          <w:color w:val="auto"/>
          <w:kern w:val="0"/>
          <w:highlight w:val="none"/>
        </w:rPr>
        <w:t>电子档案的保管、存储、迁移、鉴定、利用、销毁、统计等管理应符合CJJ/T　117的规定。</w:t>
      </w: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pStyle w:val="6"/>
        <w:jc w:val="center"/>
        <w:rPr>
          <w:rFonts w:hint="eastAsia" w:ascii="宋体" w:hAnsi="宋体" w:eastAsia="宋体" w:cs="宋体"/>
          <w:b/>
          <w:color w:val="auto"/>
          <w:sz w:val="36"/>
          <w:szCs w:val="36"/>
          <w:highlight w:val="none"/>
        </w:rPr>
      </w:pPr>
    </w:p>
    <w:p>
      <w:pPr>
        <w:spacing w:line="360" w:lineRule="auto"/>
        <w:jc w:val="both"/>
        <w:rPr>
          <w:rFonts w:hint="eastAsia" w:ascii="宋体" w:hAnsi="宋体" w:eastAsia="宋体" w:cs="宋体"/>
          <w:color w:val="auto"/>
          <w:highlight w:val="none"/>
        </w:rPr>
      </w:pPr>
      <w:r>
        <w:rPr>
          <w:rFonts w:hint="eastAsia" w:ascii="宋体" w:hAnsi="宋体" w:eastAsia="宋体" w:cs="宋体"/>
          <w:b/>
          <w:color w:val="auto"/>
          <w:sz w:val="36"/>
          <w:szCs w:val="36"/>
          <w:highlight w:val="none"/>
          <w:lang w:eastAsia="zh-CN"/>
        </w:rPr>
        <w:t>附件</w:t>
      </w:r>
      <w:r>
        <w:rPr>
          <w:rFonts w:hint="eastAsia" w:ascii="宋体" w:hAnsi="宋体" w:eastAsia="宋体" w:cs="宋体"/>
          <w:b/>
          <w:color w:val="auto"/>
          <w:sz w:val="36"/>
          <w:szCs w:val="36"/>
          <w:highlight w:val="none"/>
          <w:lang w:val="en-US" w:eastAsia="zh-CN"/>
        </w:rPr>
        <w:t>2：</w:t>
      </w:r>
    </w:p>
    <w:p>
      <w:pPr>
        <w:pStyle w:val="6"/>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杭州市城市河道养护人员作业行为规范（试行）</w:t>
      </w:r>
    </w:p>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总则</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为进一步规范城市河道日常养护操作管理，确保河道养护质量，树立城市河道养护人员良好的服务形象，特制定本规范。</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本规范是杭州市城市河道养护作业人员队伍队容风纪管理的基本依据，适用于杭州市区范围内（上城区、下城区、江干区、拱墅区、西湖区、景区、萧山区、余杭区、滨江区、经济技术开发区）所有城市河道一线养护作业人员。</w:t>
      </w:r>
    </w:p>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仪容仪表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河道作业人员工作期间应穿着统一工作服，保持着装整洁。</w:t>
      </w:r>
    </w:p>
    <w:p>
      <w:pPr>
        <w:numPr>
          <w:ilvl w:val="0"/>
          <w:numId w:val="2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作业时必须穿戴统一配发的工作服、工号牌。</w:t>
      </w:r>
    </w:p>
    <w:p>
      <w:pPr>
        <w:spacing w:line="360" w:lineRule="auto"/>
        <w:ind w:firstLine="1785" w:firstLineChars="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                               侧面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114300" distR="114300">
            <wp:extent cx="2095500" cy="2676525"/>
            <wp:effectExtent l="0" t="0" r="7620" b="57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7"/>
                    <a:stretch>
                      <a:fillRect/>
                    </a:stretch>
                  </pic:blipFill>
                  <pic:spPr>
                    <a:xfrm>
                      <a:off x="0" y="0"/>
                      <a:ext cx="2095500" cy="2676525"/>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drawing>
          <wp:inline distT="0" distB="0" distL="114300" distR="114300">
            <wp:extent cx="1943100" cy="2724150"/>
            <wp:effectExtent l="0" t="0" r="7620" b="381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8"/>
                    <a:stretch>
                      <a:fillRect/>
                    </a:stretch>
                  </pic:blipFill>
                  <pic:spPr>
                    <a:xfrm>
                      <a:off x="0" y="0"/>
                      <a:ext cx="1943100" cy="2724150"/>
                    </a:xfrm>
                    <a:prstGeom prst="rect">
                      <a:avLst/>
                    </a:prstGeom>
                    <a:noFill/>
                    <a:ln>
                      <a:noFill/>
                    </a:ln>
                  </pic:spPr>
                </pic:pic>
              </a:graphicData>
            </a:graphic>
          </wp:inline>
        </w:drawing>
      </w:r>
      <w:r>
        <w:rPr>
          <w:rFonts w:hint="eastAsia" w:ascii="宋体" w:hAnsi="宋体" w:eastAsia="宋体" w:cs="宋体"/>
          <w:color w:val="auto"/>
          <w:sz w:val="24"/>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（二）作业时衣着整齐，工作服无污渍、无破损、无脱线、无纽扣缺损，扣全纽扣，不敞衣露怀（河面养护时须着救生衣），不挽袖卷裤腿（防汛时除外），不穿拖鞋工作。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号牌要求佩戴在左胸前，表面保持干净，避免污渍迹沾染。工号牌长6.5cm，宽2cm，底色橘黄，字体为宋体，工号由各城区头两个字的首位字母和4位数字组成，如上城区，用SC开头后面跟0001，各城区可结合实际具体划分后四位数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河道作业人员工号牌，一人一号，不得转借。河道作业人员在非工作时间，不得穿戴工作服，凡离开河道作业队伍时，工作服和工号牌一律上交。</w:t>
      </w:r>
    </w:p>
    <w:p>
      <w:pPr>
        <w:spacing w:line="360" w:lineRule="auto"/>
        <w:ind w:firstLine="6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河道作业人员仪表应当整洁。男作业人员不得留长发、蓄长须；女作业人员上岗前应把头发夹好。</w:t>
      </w:r>
    </w:p>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行为规范</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河道作业人员应自觉做到文明礼仪，文明用语，礼让行人，规范作业，不得与他人、单位发生冲突。</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作业时间内严禁饮酒及酒后作业。不得边作业边吸烟、吃零食，不得聚堆闲聊、打牌休闲，不得从事与本职无关的其它活动。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第八条 河岸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得使用作业车辆或船只。</w:t>
      </w:r>
    </w:p>
    <w:p>
      <w:pPr>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河岸作业人员作业时不漏扫、返扫，变换工作位置时，不得将工具沿地拖行或扛在肩上，应将工具手持离地或放置于作业车辆内。作业时装载垃圾防止撒漏，以免影响环境卫生。不得在河道内清洗作业工具。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主动向班组长反馈作业过程中发现的异常情况（如违章行为、水质突变、已整治河道排水口晴天出水等现象）。</w:t>
      </w:r>
    </w:p>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检查考核</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各级监管部门应加强队容风纪教育，建立健全队容风纪检查制度。河道养护单位对队容风纪进行自查，区级河道行业主管部门组织日常检查，市级河道行业主管部门不定时抽查，及时督促纠正。</w:t>
      </w:r>
    </w:p>
    <w:p>
      <w:pPr>
        <w:spacing w:line="360" w:lineRule="auto"/>
        <w:ind w:firstLine="420" w:firstLineChars="200"/>
        <w:rPr>
          <w:rFonts w:hint="eastAsia" w:ascii="宋体" w:hAnsi="宋体" w:eastAsia="宋体" w:cs="宋体"/>
          <w:color w:val="auto"/>
          <w:sz w:val="21"/>
          <w:szCs w:val="21"/>
          <w:highlight w:val="none"/>
        </w:rPr>
        <w:sectPr>
          <w:footerReference r:id="rId10" w:type="default"/>
          <w:pgSz w:w="11907" w:h="16840"/>
          <w:pgMar w:top="1474" w:right="1814" w:bottom="1474" w:left="1814" w:header="851" w:footer="851" w:gutter="0"/>
          <w:pgNumType w:fmt="numberInDash"/>
          <w:cols w:space="720" w:num="1"/>
        </w:sectPr>
      </w:pPr>
      <w:r>
        <w:rPr>
          <w:rFonts w:hint="eastAsia" w:ascii="宋体" w:hAnsi="宋体" w:eastAsia="宋体" w:cs="宋体"/>
          <w:color w:val="auto"/>
          <w:sz w:val="21"/>
          <w:szCs w:val="21"/>
          <w:highlight w:val="none"/>
        </w:rPr>
        <w:t>第十二条 对检查中发现的作业等问题将纳入杭州市城市河道长效管理考核及养护服务考核。</w:t>
      </w:r>
    </w:p>
    <w:p>
      <w:pPr>
        <w:spacing w:line="360" w:lineRule="auto"/>
        <w:jc w:val="both"/>
        <w:rPr>
          <w:rFonts w:hint="eastAsia" w:ascii="宋体" w:hAnsi="宋体" w:eastAsia="宋体" w:cs="宋体"/>
          <w:color w:val="auto"/>
          <w:highlight w:val="none"/>
        </w:rPr>
      </w:pPr>
      <w:r>
        <w:rPr>
          <w:rFonts w:hint="eastAsia" w:ascii="宋体" w:hAnsi="宋体" w:eastAsia="宋体" w:cs="宋体"/>
          <w:b/>
          <w:color w:val="auto"/>
          <w:sz w:val="36"/>
          <w:szCs w:val="36"/>
          <w:highlight w:val="none"/>
          <w:lang w:eastAsia="zh-CN"/>
        </w:rPr>
        <w:t>附件</w:t>
      </w:r>
      <w:r>
        <w:rPr>
          <w:rFonts w:hint="eastAsia" w:ascii="宋体" w:hAnsi="宋体" w:eastAsia="宋体" w:cs="宋体"/>
          <w:b/>
          <w:color w:val="auto"/>
          <w:sz w:val="36"/>
          <w:szCs w:val="36"/>
          <w:highlight w:val="none"/>
          <w:lang w:val="en-US" w:eastAsia="zh-CN"/>
        </w:rPr>
        <w:t>3：</w:t>
      </w:r>
    </w:p>
    <w:p>
      <w:pPr>
        <w:spacing w:line="240" w:lineRule="auto"/>
        <w:ind w:left="0"/>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pacing w:val="1"/>
          <w:sz w:val="32"/>
          <w:szCs w:val="32"/>
          <w:highlight w:val="none"/>
        </w:rPr>
        <w:t>2022年度杭州市城市水设施河道管理评分细则</w:t>
      </w:r>
    </w:p>
    <w:tbl>
      <w:tblPr>
        <w:tblStyle w:val="966"/>
        <w:tblW w:w="14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1450"/>
        <w:gridCol w:w="1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196" w:type="dxa"/>
            <w:vAlign w:val="top"/>
          </w:tcPr>
          <w:p>
            <w:pPr>
              <w:spacing w:before="13" w:line="240" w:lineRule="auto"/>
              <w:ind w:left="0"/>
              <w:jc w:val="center"/>
              <w:rPr>
                <w:rFonts w:hint="eastAsia" w:ascii="宋体" w:hAnsi="宋体" w:eastAsia="宋体" w:cs="宋体"/>
                <w:color w:val="auto"/>
                <w:sz w:val="21"/>
                <w:szCs w:val="21"/>
                <w:highlight w:val="none"/>
              </w:rPr>
            </w:pPr>
            <w:bookmarkStart w:id="313" w:name="_bookmark3"/>
            <w:bookmarkEnd w:id="313"/>
            <w:r>
              <w:rPr>
                <w:rFonts w:hint="eastAsia" w:ascii="宋体" w:hAnsi="宋体" w:eastAsia="宋体" w:cs="宋体"/>
                <w:color w:val="auto"/>
                <w:spacing w:val="4"/>
                <w:sz w:val="21"/>
                <w:szCs w:val="21"/>
                <w:highlight w:val="none"/>
              </w:rPr>
              <w:t>考核类别</w:t>
            </w:r>
          </w:p>
        </w:tc>
        <w:tc>
          <w:tcPr>
            <w:tcW w:w="1450" w:type="dxa"/>
            <w:vAlign w:val="top"/>
          </w:tcPr>
          <w:p>
            <w:pPr>
              <w:spacing w:before="13" w:line="240" w:lineRule="auto"/>
              <w:ind w:left="321"/>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考核项目</w:t>
            </w:r>
          </w:p>
        </w:tc>
        <w:tc>
          <w:tcPr>
            <w:tcW w:w="11403" w:type="dxa"/>
            <w:vAlign w:val="top"/>
          </w:tcPr>
          <w:p>
            <w:pPr>
              <w:spacing w:before="13" w:line="240" w:lineRule="auto"/>
              <w:ind w:left="5132"/>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jc w:val="center"/>
        </w:trPr>
        <w:tc>
          <w:tcPr>
            <w:tcW w:w="1196" w:type="dxa"/>
            <w:vMerge w:val="restart"/>
            <w:tcBorders>
              <w:bottom w:val="nil"/>
            </w:tcBorders>
            <w:vAlign w:val="top"/>
          </w:tcPr>
          <w:p>
            <w:pPr>
              <w:spacing w:before="7" w:line="240" w:lineRule="auto"/>
              <w:ind w:left="1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1河道管理</w:t>
            </w:r>
          </w:p>
          <w:p>
            <w:pPr>
              <w:spacing w:line="240"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(38分)</w:t>
            </w:r>
          </w:p>
        </w:tc>
        <w:tc>
          <w:tcPr>
            <w:tcW w:w="1450" w:type="dxa"/>
            <w:vAlign w:val="top"/>
          </w:tcPr>
          <w:p>
            <w:pPr>
              <w:spacing w:before="8" w:line="240" w:lineRule="auto"/>
              <w:ind w:left="121" w:right="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1.1河道环境</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管理(12分)</w:t>
            </w:r>
          </w:p>
        </w:tc>
        <w:tc>
          <w:tcPr>
            <w:tcW w:w="11403" w:type="dxa"/>
            <w:vAlign w:val="top"/>
          </w:tcPr>
          <w:p>
            <w:pPr>
              <w:spacing w:before="7"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1.1.1河道养护</w:t>
            </w:r>
          </w:p>
          <w:p>
            <w:pPr>
              <w:spacing w:before="1" w:line="240" w:lineRule="auto"/>
              <w:ind w:left="132"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未按《杭州市城市河道长效管理考核规范》《杭州市城市河道养护技术要求》《城市河道养护管理规范》《杭州市城市</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4"/>
                <w:sz w:val="21"/>
                <w:szCs w:val="21"/>
                <w:highlight w:val="none"/>
              </w:rPr>
              <w:t>河道养护人员作业行为规范》落实河道养护单位进行河道标准化、规范化养护的，根</w:t>
            </w:r>
            <w:r>
              <w:rPr>
                <w:rFonts w:hint="eastAsia" w:ascii="宋体" w:hAnsi="宋体" w:eastAsia="宋体" w:cs="宋体"/>
                <w:color w:val="auto"/>
                <w:spacing w:val="3"/>
                <w:sz w:val="21"/>
                <w:szCs w:val="21"/>
                <w:highlight w:val="none"/>
              </w:rPr>
              <w:t>据情况扣0.5至10分。</w:t>
            </w:r>
          </w:p>
          <w:p>
            <w:pPr>
              <w:spacing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1.1.2河道违章</w:t>
            </w:r>
          </w:p>
          <w:p>
            <w:pPr>
              <w:spacing w:before="22" w:line="240" w:lineRule="auto"/>
              <w:ind w:left="132" w:right="1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未按《杭州市城市河道建设管理条例》《杭州市城市河道保护管理办法》做好河道违章行为查</w:t>
            </w:r>
            <w:r>
              <w:rPr>
                <w:rFonts w:hint="eastAsia" w:ascii="宋体" w:hAnsi="宋体" w:eastAsia="宋体" w:cs="宋体"/>
                <w:color w:val="auto"/>
                <w:spacing w:val="-1"/>
                <w:sz w:val="21"/>
                <w:szCs w:val="21"/>
                <w:highlight w:val="none"/>
              </w:rPr>
              <w:t>处的，根据情况扣0.5至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8"/>
                <w:sz w:val="21"/>
                <w:szCs w:val="21"/>
                <w:highlight w:val="none"/>
              </w:rPr>
              <w:t>分</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8"/>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196"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450" w:type="dxa"/>
            <w:vAlign w:val="top"/>
          </w:tcPr>
          <w:p>
            <w:pPr>
              <w:spacing w:before="9" w:line="240" w:lineRule="auto"/>
              <w:ind w:left="121" w:right="167"/>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1.2改善项目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管理(5分)</w:t>
            </w:r>
          </w:p>
        </w:tc>
        <w:tc>
          <w:tcPr>
            <w:tcW w:w="11403" w:type="dxa"/>
            <w:vAlign w:val="top"/>
          </w:tcPr>
          <w:p>
            <w:pPr>
              <w:spacing w:before="10"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1.2.1城市河道及闸泵站工程管理</w:t>
            </w:r>
          </w:p>
          <w:p>
            <w:pPr>
              <w:spacing w:before="9" w:line="240" w:lineRule="auto"/>
              <w:ind w:left="132" w:right="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未按《杭州市城市河道设施改善项目管理及考核</w:t>
            </w:r>
            <w:r>
              <w:rPr>
                <w:rFonts w:hint="eastAsia" w:ascii="宋体" w:hAnsi="宋体" w:eastAsia="宋体" w:cs="宋体"/>
                <w:color w:val="auto"/>
                <w:sz w:val="21"/>
                <w:szCs w:val="21"/>
                <w:highlight w:val="none"/>
              </w:rPr>
              <w:t xml:space="preserve">规范》、《杭州市城市河道设施改善工作规范》相关要求做好河道及闸 </w:t>
            </w:r>
            <w:r>
              <w:rPr>
                <w:rFonts w:hint="eastAsia" w:ascii="宋体" w:hAnsi="宋体" w:eastAsia="宋体" w:cs="宋体"/>
                <w:color w:val="auto"/>
                <w:spacing w:val="5"/>
                <w:sz w:val="21"/>
                <w:szCs w:val="21"/>
                <w:highlight w:val="none"/>
              </w:rPr>
              <w:t>站工程，导致台账记录缺失、错误、及报送不规范的，工程质量低下，进度滞后情况的，根据情况扣0.5至5分.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6" w:hRule="atLeast"/>
          <w:jc w:val="center"/>
        </w:trPr>
        <w:tc>
          <w:tcPr>
            <w:tcW w:w="1196"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450" w:type="dxa"/>
            <w:vAlign w:val="top"/>
          </w:tcPr>
          <w:p>
            <w:pPr>
              <w:spacing w:before="11" w:line="240" w:lineRule="auto"/>
              <w:ind w:left="121" w:right="18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1.3河道水质</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6"/>
                <w:sz w:val="21"/>
                <w:szCs w:val="21"/>
                <w:highlight w:val="none"/>
              </w:rPr>
              <w:t>达标(10分)</w:t>
            </w:r>
          </w:p>
        </w:tc>
        <w:tc>
          <w:tcPr>
            <w:tcW w:w="11403" w:type="dxa"/>
            <w:vAlign w:val="top"/>
          </w:tcPr>
          <w:p>
            <w:pPr>
              <w:spacing w:before="1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1.3.1断面考核</w:t>
            </w:r>
          </w:p>
          <w:p>
            <w:pPr>
              <w:spacing w:before="2" w:line="240" w:lineRule="auto"/>
              <w:ind w:left="132" w:right="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按照《杭州市河道水质考核方案》考核各城区考核断面水质情况。城区水质考核最终得分为该辖</w:t>
            </w:r>
            <w:r>
              <w:rPr>
                <w:rFonts w:hint="eastAsia" w:ascii="宋体" w:hAnsi="宋体" w:eastAsia="宋体" w:cs="宋体"/>
                <w:color w:val="auto"/>
                <w:spacing w:val="-1"/>
                <w:sz w:val="21"/>
                <w:szCs w:val="21"/>
                <w:highlight w:val="none"/>
              </w:rPr>
              <w:t>区内所有考核断面的平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均分计分乘以本项系数0.06。</w:t>
            </w:r>
          </w:p>
          <w:p>
            <w:pPr>
              <w:spacing w:before="2"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1.3.2排水口动态监管</w:t>
            </w:r>
          </w:p>
          <w:p>
            <w:pPr>
              <w:spacing w:line="240" w:lineRule="auto"/>
              <w:ind w:left="132" w:right="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发现新增排水口或发生排水口失管的，或其他未按照《河道排水口动态监管管理规范》做好</w:t>
            </w:r>
            <w:r>
              <w:rPr>
                <w:rFonts w:hint="eastAsia" w:ascii="宋体" w:hAnsi="宋体" w:eastAsia="宋体" w:cs="宋体"/>
                <w:color w:val="auto"/>
                <w:spacing w:val="-1"/>
                <w:sz w:val="21"/>
                <w:szCs w:val="21"/>
                <w:highlight w:val="none"/>
              </w:rPr>
              <w:t>排出口动态监管工作的，根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据情况扣0.5至2分。</w:t>
            </w:r>
          </w:p>
          <w:p>
            <w:pPr>
              <w:spacing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1.3.3水生态修复提升</w:t>
            </w:r>
          </w:p>
          <w:p>
            <w:pPr>
              <w:spacing w:before="1" w:line="240" w:lineRule="auto"/>
              <w:ind w:left="132" w:right="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未做好大面积外来物种入侵的；发现已完成生态治理项目缺失的；生态设施设备破损、不能</w:t>
            </w:r>
            <w:r>
              <w:rPr>
                <w:rFonts w:hint="eastAsia" w:ascii="宋体" w:hAnsi="宋体" w:eastAsia="宋体" w:cs="宋体"/>
                <w:color w:val="auto"/>
                <w:spacing w:val="-1"/>
                <w:sz w:val="21"/>
                <w:szCs w:val="21"/>
                <w:highlight w:val="none"/>
              </w:rPr>
              <w:t>正常使用的；发现生态治理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项目中存在失管状态的，或其他未按要求做好水生态修复提升的，根据情况扣0.2至1分。</w:t>
            </w:r>
          </w:p>
          <w:p>
            <w:pPr>
              <w:spacing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1.3.4水质突变情况</w:t>
            </w:r>
          </w:p>
          <w:p>
            <w:pPr>
              <w:spacing w:before="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河道有污花、蓝藻、死鱼，或其他水质突变情况的，根据情况扣0.2至1分。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96"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450" w:type="dxa"/>
            <w:vAlign w:val="top"/>
          </w:tcPr>
          <w:p>
            <w:pPr>
              <w:spacing w:before="27" w:line="240" w:lineRule="auto"/>
              <w:ind w:left="121" w:right="217" w:hanging="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1.4闸站设施</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6"/>
                <w:sz w:val="21"/>
                <w:szCs w:val="21"/>
                <w:highlight w:val="none"/>
              </w:rPr>
              <w:t>管理(6分)</w:t>
            </w:r>
          </w:p>
        </w:tc>
        <w:tc>
          <w:tcPr>
            <w:tcW w:w="11403" w:type="dxa"/>
            <w:vAlign w:val="top"/>
          </w:tcPr>
          <w:p>
            <w:pPr>
              <w:spacing w:before="14"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1.4.1组织管理</w:t>
            </w:r>
          </w:p>
          <w:p>
            <w:pPr>
              <w:spacing w:before="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闸站生产管理、信息报送、引配水调度等规章制度不全，或其他未按要求做好闸站设施组织管理工作的，根据情况扣0.5至3分。</w:t>
            </w:r>
          </w:p>
          <w:p>
            <w:pPr>
              <w:spacing w:before="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1.4.2设施养护</w:t>
            </w:r>
          </w:p>
          <w:p>
            <w:pPr>
              <w:spacing w:before="1" w:line="240" w:lineRule="auto"/>
              <w:ind w:left="132" w:right="3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闸站范围保洁及绿化养护不到位，或其他设施未按《杭州市城市河道闸站管理养护》进行养护的，</w:t>
            </w:r>
            <w:r>
              <w:rPr>
                <w:rFonts w:hint="eastAsia" w:ascii="宋体" w:hAnsi="宋体" w:eastAsia="宋体" w:cs="宋体"/>
                <w:color w:val="auto"/>
                <w:spacing w:val="3"/>
                <w:sz w:val="21"/>
                <w:szCs w:val="21"/>
                <w:highlight w:val="none"/>
              </w:rPr>
              <w:t>根据情况扣0.5至3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6"/>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196" w:type="dxa"/>
            <w:vMerge w:val="continue"/>
            <w:tcBorders>
              <w:top w:val="nil"/>
            </w:tcBorders>
            <w:vAlign w:val="top"/>
          </w:tcPr>
          <w:p>
            <w:pPr>
              <w:spacing w:line="240" w:lineRule="auto"/>
              <w:rPr>
                <w:rFonts w:hint="eastAsia" w:ascii="宋体" w:hAnsi="宋体" w:eastAsia="宋体" w:cs="宋体"/>
                <w:color w:val="auto"/>
                <w:sz w:val="21"/>
                <w:highlight w:val="none"/>
              </w:rPr>
            </w:pPr>
          </w:p>
        </w:tc>
        <w:tc>
          <w:tcPr>
            <w:tcW w:w="1450" w:type="dxa"/>
            <w:vAlign w:val="top"/>
          </w:tcPr>
          <w:p>
            <w:pPr>
              <w:spacing w:before="38" w:line="240" w:lineRule="auto"/>
              <w:ind w:left="121" w:right="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1.5河道综合</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管理(5分)</w:t>
            </w:r>
          </w:p>
        </w:tc>
        <w:tc>
          <w:tcPr>
            <w:tcW w:w="11403" w:type="dxa"/>
            <w:vAlign w:val="top"/>
          </w:tcPr>
          <w:p>
            <w:pPr>
              <w:spacing w:before="47"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1.5.1法治化管理</w:t>
            </w:r>
          </w:p>
          <w:p>
            <w:pPr>
              <w:spacing w:before="1" w:line="240" w:lineRule="auto"/>
              <w:ind w:left="132" w:right="15"/>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未按《杭州市城市河道建设和管理条例》《杭州市城市河道保护管理办法》做好涉河审批、批后监管，或其他法律法规</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17"/>
                <w:sz w:val="20"/>
                <w:szCs w:val="20"/>
                <w:highlight w:val="none"/>
              </w:rPr>
              <w:t>执行工作的，根据情况扣0.5至1分。</w:t>
            </w:r>
          </w:p>
        </w:tc>
      </w:tr>
    </w:tbl>
    <w:p>
      <w:pPr>
        <w:spacing w:line="240" w:lineRule="auto"/>
        <w:rPr>
          <w:rFonts w:hint="eastAsia" w:ascii="宋体" w:hAnsi="宋体" w:eastAsia="宋体" w:cs="宋体"/>
          <w:color w:val="auto"/>
          <w:highlight w:val="none"/>
        </w:rPr>
        <w:sectPr>
          <w:footerReference r:id="rId11" w:type="default"/>
          <w:pgSz w:w="17100" w:h="12280"/>
          <w:pgMar w:top="1043" w:right="2115" w:bottom="1634" w:left="925" w:header="0" w:footer="1515" w:gutter="0"/>
          <w:pgNumType w:fmt="numberInDash"/>
          <w:cols w:space="720" w:num="1"/>
        </w:sectPr>
      </w:pPr>
    </w:p>
    <w:p>
      <w:pPr>
        <w:spacing w:line="240" w:lineRule="auto"/>
        <w:rPr>
          <w:rFonts w:hint="eastAsia" w:ascii="宋体" w:hAnsi="宋体" w:eastAsia="宋体" w:cs="宋体"/>
          <w:color w:val="auto"/>
          <w:highlight w:val="none"/>
        </w:rPr>
      </w:pPr>
    </w:p>
    <w:tbl>
      <w:tblPr>
        <w:tblStyle w:val="96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499"/>
        <w:gridCol w:w="1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463" w:type="dxa"/>
            <w:vAlign w:val="top"/>
          </w:tcPr>
          <w:p>
            <w:pPr>
              <w:spacing w:before="13" w:line="240" w:lineRule="auto"/>
              <w:ind w:left="30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考核类别</w:t>
            </w:r>
          </w:p>
        </w:tc>
        <w:tc>
          <w:tcPr>
            <w:tcW w:w="1499" w:type="dxa"/>
            <w:vAlign w:val="top"/>
          </w:tcPr>
          <w:p>
            <w:pPr>
              <w:spacing w:before="13" w:line="240" w:lineRule="auto"/>
              <w:ind w:left="30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考核项目</w:t>
            </w:r>
          </w:p>
        </w:tc>
        <w:tc>
          <w:tcPr>
            <w:tcW w:w="11127" w:type="dxa"/>
            <w:vAlign w:val="top"/>
          </w:tcPr>
          <w:p>
            <w:pPr>
              <w:spacing w:before="13" w:line="240" w:lineRule="auto"/>
              <w:ind w:left="512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463" w:type="dxa"/>
            <w:vAlign w:val="top"/>
          </w:tcPr>
          <w:p>
            <w:pPr>
              <w:spacing w:line="240" w:lineRule="auto"/>
              <w:rPr>
                <w:rFonts w:hint="eastAsia" w:ascii="宋体" w:hAnsi="宋体" w:eastAsia="宋体" w:cs="宋体"/>
                <w:color w:val="auto"/>
                <w:sz w:val="21"/>
                <w:highlight w:val="none"/>
              </w:rPr>
            </w:pPr>
          </w:p>
        </w:tc>
        <w:tc>
          <w:tcPr>
            <w:tcW w:w="1499" w:type="dxa"/>
            <w:vAlign w:val="top"/>
          </w:tcPr>
          <w:p>
            <w:pPr>
              <w:spacing w:line="240" w:lineRule="auto"/>
              <w:rPr>
                <w:rFonts w:hint="eastAsia" w:ascii="宋体" w:hAnsi="宋体" w:eastAsia="宋体" w:cs="宋体"/>
                <w:color w:val="auto"/>
                <w:sz w:val="21"/>
                <w:highlight w:val="none"/>
              </w:rPr>
            </w:pPr>
          </w:p>
        </w:tc>
        <w:tc>
          <w:tcPr>
            <w:tcW w:w="11127" w:type="dxa"/>
            <w:vAlign w:val="top"/>
          </w:tcPr>
          <w:p>
            <w:pPr>
              <w:spacing w:before="7"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1.5.2专业化管理</w:t>
            </w:r>
          </w:p>
          <w:p>
            <w:pPr>
              <w:spacing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未按要求完成城市河道名录、设施量动态维护工作的；图审存在不符合相关法律法规及其他规定情形的：移交接收不及</w:t>
            </w:r>
          </w:p>
          <w:p>
            <w:pPr>
              <w:spacing w:before="70"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时造成城市河道失管的；或其他有未按要求做好城市</w:t>
            </w:r>
            <w:r>
              <w:rPr>
                <w:rFonts w:hint="eastAsia" w:ascii="宋体" w:hAnsi="宋体" w:eastAsia="宋体" w:cs="宋体"/>
                <w:color w:val="auto"/>
                <w:spacing w:val="4"/>
                <w:sz w:val="21"/>
                <w:szCs w:val="21"/>
                <w:highlight w:val="none"/>
              </w:rPr>
              <w:t>河道建管衔接工作的，根据情况扣0.5至2分，</w:t>
            </w:r>
          </w:p>
          <w:p>
            <w:pPr>
              <w:spacing w:before="2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1.5.3智慧化管理</w:t>
            </w:r>
          </w:p>
          <w:p>
            <w:pPr>
              <w:spacing w:before="1" w:line="240" w:lineRule="auto"/>
              <w:ind w:left="132" w:right="53"/>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每月平台系统登录率低于标准的；未做好城市河道智慧系统巡查、闸站、设施量维护等系统运用的，根据情</w:t>
            </w:r>
            <w:r>
              <w:rPr>
                <w:rFonts w:hint="eastAsia" w:ascii="宋体" w:hAnsi="宋体" w:eastAsia="宋体" w:cs="宋体"/>
                <w:color w:val="auto"/>
                <w:spacing w:val="11"/>
                <w:sz w:val="20"/>
                <w:szCs w:val="20"/>
                <w:highlight w:val="none"/>
              </w:rPr>
              <w:t>况扣0.5至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2</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3"/>
                <w:sz w:val="20"/>
                <w:szCs w:val="20"/>
                <w:highlight w:val="none"/>
              </w:rPr>
              <w:t>分</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3"/>
                <w:sz w:val="2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1463" w:type="dxa"/>
            <w:vMerge w:val="restart"/>
            <w:tcBorders>
              <w:bottom w:val="nil"/>
            </w:tcBorders>
            <w:vAlign w:val="top"/>
          </w:tcPr>
          <w:p>
            <w:pPr>
              <w:spacing w:before="20" w:line="24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2"/>
                <w:position w:val="5"/>
                <w:sz w:val="21"/>
                <w:szCs w:val="21"/>
                <w:highlight w:val="none"/>
              </w:rPr>
              <w:t>2污水管理</w:t>
            </w:r>
          </w:p>
          <w:p>
            <w:pPr>
              <w:spacing w:line="240" w:lineRule="auto"/>
              <w:ind w:left="18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(18)</w:t>
            </w:r>
          </w:p>
        </w:tc>
        <w:tc>
          <w:tcPr>
            <w:tcW w:w="1499" w:type="dxa"/>
            <w:vAlign w:val="top"/>
          </w:tcPr>
          <w:p>
            <w:pPr>
              <w:spacing w:before="39" w:line="240" w:lineRule="auto"/>
              <w:ind w:left="101" w:right="252" w:hanging="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2.1污水设施</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管理(5分)</w:t>
            </w:r>
          </w:p>
        </w:tc>
        <w:tc>
          <w:tcPr>
            <w:tcW w:w="11127" w:type="dxa"/>
            <w:vAlign w:val="top"/>
          </w:tcPr>
          <w:p>
            <w:pPr>
              <w:spacing w:before="18" w:line="240" w:lineRule="auto"/>
              <w:ind w:left="132" w:right="51"/>
              <w:jc w:val="both"/>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未按《杭州市城镇污水处理厂检查工作方案》和管网养护标准，进行养护或未开展相关工作的；相关数据未按时上报住</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3"/>
                <w:sz w:val="20"/>
                <w:szCs w:val="20"/>
                <w:highlight w:val="none"/>
              </w:rPr>
              <w:t>建部全国城镇污水处理管理信息系统、省厅系统平台的，根据情况扣0.5至5分。因管理不到位发生有责安全事故，此</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9"/>
                <w:sz w:val="20"/>
                <w:szCs w:val="20"/>
                <w:highlight w:val="none"/>
              </w:rPr>
              <w:t>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463"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499" w:type="dxa"/>
            <w:vAlign w:val="top"/>
          </w:tcPr>
          <w:p>
            <w:pPr>
              <w:spacing w:before="31" w:line="240" w:lineRule="auto"/>
              <w:ind w:left="101" w:right="24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2.2雨污分流</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管理(8分)</w:t>
            </w:r>
          </w:p>
        </w:tc>
        <w:tc>
          <w:tcPr>
            <w:tcW w:w="11127" w:type="dxa"/>
            <w:vAlign w:val="top"/>
          </w:tcPr>
          <w:p>
            <w:pPr>
              <w:spacing w:before="3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2.2.1河道异常出水</w:t>
            </w:r>
          </w:p>
          <w:p>
            <w:pPr>
              <w:spacing w:before="1" w:line="240" w:lineRule="auto"/>
              <w:ind w:left="132" w:right="7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河道排出口晴天异常出水；河道排出口雨天出水主要水质指标(氨氮、</w:t>
            </w:r>
            <w:r>
              <w:rPr>
                <w:rFonts w:hint="eastAsia" w:ascii="宋体" w:hAnsi="宋体" w:eastAsia="宋体" w:cs="宋体"/>
                <w:color w:val="auto"/>
                <w:sz w:val="21"/>
                <w:szCs w:val="21"/>
                <w:highlight w:val="none"/>
              </w:rPr>
              <w:t>COD</w:t>
            </w:r>
            <w:r>
              <w:rPr>
                <w:rFonts w:hint="eastAsia" w:ascii="宋体" w:hAnsi="宋体" w:eastAsia="宋体" w:cs="宋体"/>
                <w:color w:val="auto"/>
                <w:spacing w:val="8"/>
                <w:sz w:val="21"/>
                <w:szCs w:val="21"/>
                <w:highlight w:val="none"/>
              </w:rPr>
              <w:t>等)超过地表水V类水质标准5</w:t>
            </w:r>
            <w:r>
              <w:rPr>
                <w:rFonts w:hint="eastAsia" w:ascii="宋体" w:hAnsi="宋体" w:eastAsia="宋体" w:cs="宋体"/>
                <w:color w:val="auto"/>
                <w:spacing w:val="7"/>
                <w:sz w:val="21"/>
                <w:szCs w:val="21"/>
                <w:highlight w:val="none"/>
              </w:rPr>
              <w:t>0%,根据情况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扣0</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1"/>
                <w:sz w:val="21"/>
                <w:szCs w:val="21"/>
                <w:highlight w:val="none"/>
              </w:rPr>
              <w:t>2至2分。</w:t>
            </w:r>
          </w:p>
          <w:p>
            <w:pPr>
              <w:spacing w:before="9"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2.2.2晴雨比</w:t>
            </w:r>
          </w:p>
          <w:p>
            <w:pPr>
              <w:spacing w:before="1" w:line="240" w:lineRule="auto"/>
              <w:ind w:left="132" w:right="1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辖区街道晴雨比系数超过1.3,雨天污水支管接入主管处水质指标(氨氮、</w:t>
            </w:r>
            <w:r>
              <w:rPr>
                <w:rFonts w:hint="eastAsia" w:ascii="宋体" w:hAnsi="宋体" w:eastAsia="宋体" w:cs="宋体"/>
                <w:color w:val="auto"/>
                <w:sz w:val="21"/>
                <w:szCs w:val="21"/>
                <w:highlight w:val="none"/>
              </w:rPr>
              <w:t>COD</w:t>
            </w:r>
            <w:r>
              <w:rPr>
                <w:rFonts w:hint="eastAsia" w:ascii="宋体" w:hAnsi="宋体" w:eastAsia="宋体" w:cs="宋体"/>
                <w:color w:val="auto"/>
                <w:spacing w:val="3"/>
                <w:sz w:val="21"/>
                <w:szCs w:val="21"/>
                <w:highlight w:val="none"/>
              </w:rPr>
              <w:t>等)相比晴</w:t>
            </w:r>
            <w:r>
              <w:rPr>
                <w:rFonts w:hint="eastAsia" w:ascii="宋体" w:hAnsi="宋体" w:eastAsia="宋体" w:cs="宋体"/>
                <w:color w:val="auto"/>
                <w:spacing w:val="2"/>
                <w:sz w:val="21"/>
                <w:szCs w:val="21"/>
                <w:highlight w:val="none"/>
              </w:rPr>
              <w:t>天下降30%,辖区出现污水满溢，</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5"/>
                <w:sz w:val="21"/>
                <w:szCs w:val="21"/>
                <w:highlight w:val="none"/>
              </w:rPr>
              <w:t>根据情况扣0.2至2分。</w:t>
            </w:r>
          </w:p>
          <w:p>
            <w:pPr>
              <w:spacing w:before="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2.2.3生活小区零直排</w:t>
            </w:r>
          </w:p>
          <w:p>
            <w:pPr>
              <w:spacing w:before="2" w:line="240" w:lineRule="auto"/>
              <w:ind w:left="132" w:right="8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生活小区污水零直排工作不到位；污水总出口水质检测，雨天主要水质</w:t>
            </w:r>
            <w:r>
              <w:rPr>
                <w:rFonts w:hint="eastAsia" w:ascii="宋体" w:hAnsi="宋体" w:eastAsia="宋体" w:cs="宋体"/>
                <w:color w:val="auto"/>
                <w:spacing w:val="5"/>
                <w:sz w:val="21"/>
                <w:szCs w:val="21"/>
                <w:highlight w:val="none"/>
              </w:rPr>
              <w:t>指标(氨氮、</w:t>
            </w:r>
            <w:r>
              <w:rPr>
                <w:rFonts w:hint="eastAsia" w:ascii="宋体" w:hAnsi="宋体" w:eastAsia="宋体" w:cs="宋体"/>
                <w:color w:val="auto"/>
                <w:sz w:val="21"/>
                <w:szCs w:val="21"/>
                <w:highlight w:val="none"/>
              </w:rPr>
              <w:t>COD</w:t>
            </w:r>
            <w:r>
              <w:rPr>
                <w:rFonts w:hint="eastAsia" w:ascii="宋体" w:hAnsi="宋体" w:eastAsia="宋体" w:cs="宋体"/>
                <w:color w:val="auto"/>
                <w:spacing w:val="5"/>
                <w:sz w:val="21"/>
                <w:szCs w:val="21"/>
                <w:highlight w:val="none"/>
              </w:rPr>
              <w:t>等)相比晴天下降30%;雨天雨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水排出口主要水质指标(氨氮、</w:t>
            </w:r>
            <w:r>
              <w:rPr>
                <w:rFonts w:hint="eastAsia" w:ascii="宋体" w:hAnsi="宋体" w:eastAsia="宋体" w:cs="宋体"/>
                <w:color w:val="auto"/>
                <w:sz w:val="21"/>
                <w:szCs w:val="21"/>
                <w:highlight w:val="none"/>
              </w:rPr>
              <w:t>COD</w:t>
            </w:r>
            <w:r>
              <w:rPr>
                <w:rFonts w:hint="eastAsia" w:ascii="宋体" w:hAnsi="宋体" w:eastAsia="宋体" w:cs="宋体"/>
                <w:color w:val="auto"/>
                <w:spacing w:val="12"/>
                <w:sz w:val="21"/>
                <w:szCs w:val="21"/>
                <w:highlight w:val="none"/>
              </w:rPr>
              <w:t>等)超过地表水V</w:t>
            </w:r>
            <w:r>
              <w:rPr>
                <w:rFonts w:hint="eastAsia" w:ascii="宋体" w:hAnsi="宋体" w:eastAsia="宋体" w:cs="宋体"/>
                <w:color w:val="auto"/>
                <w:spacing w:val="11"/>
                <w:sz w:val="21"/>
                <w:szCs w:val="21"/>
                <w:highlight w:val="none"/>
              </w:rPr>
              <w:t>类水质标准50%,根据情况扣0.2至2分。</w:t>
            </w:r>
          </w:p>
          <w:p>
            <w:pPr>
              <w:spacing w:before="37"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2.2.4排查整改</w:t>
            </w:r>
          </w:p>
          <w:p>
            <w:pPr>
              <w:spacing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对河道异常出水、雨污分流排查、整改工作质量不高、推进不力，根据情况扣0.2至2分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1" w:hRule="atLeast"/>
        </w:trPr>
        <w:tc>
          <w:tcPr>
            <w:tcW w:w="1463" w:type="dxa"/>
            <w:vMerge w:val="continue"/>
            <w:tcBorders>
              <w:top w:val="nil"/>
            </w:tcBorders>
            <w:vAlign w:val="top"/>
          </w:tcPr>
          <w:p>
            <w:pPr>
              <w:spacing w:line="240" w:lineRule="auto"/>
              <w:rPr>
                <w:rFonts w:hint="eastAsia" w:ascii="宋体" w:hAnsi="宋体" w:eastAsia="宋体" w:cs="宋体"/>
                <w:color w:val="auto"/>
                <w:sz w:val="21"/>
                <w:highlight w:val="none"/>
              </w:rPr>
            </w:pPr>
          </w:p>
        </w:tc>
        <w:tc>
          <w:tcPr>
            <w:tcW w:w="1499" w:type="dxa"/>
            <w:vAlign w:val="top"/>
          </w:tcPr>
          <w:p>
            <w:pPr>
              <w:spacing w:before="33" w:line="240" w:lineRule="auto"/>
              <w:ind w:left="101" w:right="262" w:hanging="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2.3污水综合</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管理(5分)</w:t>
            </w:r>
          </w:p>
        </w:tc>
        <w:tc>
          <w:tcPr>
            <w:tcW w:w="11127" w:type="dxa"/>
            <w:vAlign w:val="top"/>
          </w:tcPr>
          <w:p>
            <w:pPr>
              <w:spacing w:before="94"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2.3.1用户管理</w:t>
            </w:r>
          </w:p>
          <w:p>
            <w:pPr>
              <w:spacing w:before="69" w:line="240" w:lineRule="auto"/>
              <w:ind w:left="132" w:right="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排水用户进网水质检测未按目标任务完成；未及时督促污水水质检测超标排水用户进行整改；未及</w:t>
            </w:r>
            <w:r>
              <w:rPr>
                <w:rFonts w:hint="eastAsia" w:ascii="宋体" w:hAnsi="宋体" w:eastAsia="宋体" w:cs="宋体"/>
                <w:color w:val="auto"/>
                <w:spacing w:val="-1"/>
                <w:sz w:val="21"/>
                <w:szCs w:val="21"/>
                <w:highlight w:val="none"/>
              </w:rPr>
              <w:t>时督促雨水口排出污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水的排水用户进行整改，根据情况扣0.1至1分。</w:t>
            </w:r>
          </w:p>
          <w:p>
            <w:pPr>
              <w:spacing w:before="100"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2.3.2工地管理</w:t>
            </w:r>
          </w:p>
          <w:p>
            <w:pPr>
              <w:spacing w:before="6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在建工地排水未规范纳管；工地周边区管排水设施监护不到位的，根据情况扣0.2至1分。</w:t>
            </w:r>
          </w:p>
          <w:p>
            <w:pPr>
              <w:spacing w:before="13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2.3.3任务推进</w:t>
            </w:r>
          </w:p>
          <w:p>
            <w:pPr>
              <w:spacing w:before="51" w:line="240" w:lineRule="auto"/>
              <w:ind w:left="132" w:right="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未按要求完成设施量统计上报、动态维护工作的；年度重点任务工作推进不力或滞后的，及其他未按要求上报污水任务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9"/>
                <w:sz w:val="21"/>
                <w:szCs w:val="21"/>
                <w:highlight w:val="none"/>
              </w:rPr>
              <w:t>推进工作资料。根据情况扣0.2至1分。</w:t>
            </w:r>
          </w:p>
          <w:p>
            <w:pPr>
              <w:spacing w:before="91" w:line="240"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2.3.4智慧应用</w:t>
            </w:r>
          </w:p>
        </w:tc>
      </w:tr>
    </w:tbl>
    <w:p>
      <w:pPr>
        <w:spacing w:line="240" w:lineRule="auto"/>
        <w:rPr>
          <w:rFonts w:hint="eastAsia" w:ascii="宋体" w:hAnsi="宋体" w:eastAsia="宋体" w:cs="宋体"/>
          <w:color w:val="auto"/>
          <w:sz w:val="21"/>
          <w:highlight w:val="none"/>
        </w:rPr>
      </w:pPr>
    </w:p>
    <w:p>
      <w:pPr>
        <w:spacing w:line="240" w:lineRule="auto"/>
        <w:rPr>
          <w:rFonts w:hint="eastAsia" w:ascii="宋体" w:hAnsi="宋体" w:eastAsia="宋体" w:cs="宋体"/>
          <w:color w:val="auto"/>
          <w:highlight w:val="none"/>
        </w:rPr>
        <w:sectPr>
          <w:footerReference r:id="rId12" w:type="default"/>
          <w:pgSz w:w="16840" w:h="11910"/>
          <w:pgMar w:top="1012" w:right="1605" w:bottom="1258" w:left="1135" w:header="0" w:footer="1119" w:gutter="0"/>
          <w:pgNumType w:fmt="numberInDash"/>
          <w:cols w:space="720" w:num="1"/>
        </w:sectPr>
      </w:pPr>
    </w:p>
    <w:tbl>
      <w:tblPr>
        <w:tblStyle w:val="966"/>
        <w:tblW w:w="14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1499"/>
        <w:gridCol w:w="1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464" w:type="dxa"/>
            <w:vAlign w:val="top"/>
          </w:tcPr>
          <w:p>
            <w:pPr>
              <w:spacing w:before="13" w:line="240" w:lineRule="auto"/>
              <w:ind w:left="28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考核类别</w:t>
            </w:r>
          </w:p>
        </w:tc>
        <w:tc>
          <w:tcPr>
            <w:tcW w:w="1499" w:type="dxa"/>
            <w:vAlign w:val="top"/>
          </w:tcPr>
          <w:p>
            <w:pPr>
              <w:spacing w:before="13" w:line="240" w:lineRule="auto"/>
              <w:ind w:left="33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考核项目</w:t>
            </w:r>
          </w:p>
        </w:tc>
        <w:tc>
          <w:tcPr>
            <w:tcW w:w="11097" w:type="dxa"/>
            <w:vAlign w:val="top"/>
          </w:tcPr>
          <w:p>
            <w:pPr>
              <w:spacing w:before="13" w:line="240" w:lineRule="auto"/>
              <w:ind w:left="514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464" w:type="dxa"/>
            <w:vAlign w:val="top"/>
          </w:tcPr>
          <w:p>
            <w:pPr>
              <w:spacing w:line="240" w:lineRule="auto"/>
              <w:rPr>
                <w:rFonts w:hint="eastAsia" w:ascii="宋体" w:hAnsi="宋体" w:eastAsia="宋体" w:cs="宋体"/>
                <w:color w:val="auto"/>
                <w:sz w:val="21"/>
                <w:highlight w:val="none"/>
              </w:rPr>
            </w:pPr>
          </w:p>
        </w:tc>
        <w:tc>
          <w:tcPr>
            <w:tcW w:w="1499" w:type="dxa"/>
            <w:vAlign w:val="top"/>
          </w:tcPr>
          <w:p>
            <w:pPr>
              <w:spacing w:line="240" w:lineRule="auto"/>
              <w:rPr>
                <w:rFonts w:hint="eastAsia" w:ascii="宋体" w:hAnsi="宋体" w:eastAsia="宋体" w:cs="宋体"/>
                <w:color w:val="auto"/>
                <w:sz w:val="21"/>
                <w:highlight w:val="none"/>
              </w:rPr>
            </w:pPr>
          </w:p>
        </w:tc>
        <w:tc>
          <w:tcPr>
            <w:tcW w:w="11097" w:type="dxa"/>
            <w:vAlign w:val="top"/>
          </w:tcPr>
          <w:p>
            <w:pPr>
              <w:spacing w:before="78" w:line="240" w:lineRule="auto"/>
              <w:ind w:left="142" w:right="7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未通过智慧系统上报晴天异常排出口整改方案的，或其他未按要求推进污水信息化建设、应用工作的，根据情况扣0.2</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24"/>
                <w:sz w:val="21"/>
                <w:szCs w:val="21"/>
                <w:highlight w:val="none"/>
              </w:rPr>
              <w:t>至1分。</w:t>
            </w:r>
          </w:p>
          <w:p>
            <w:pPr>
              <w:spacing w:before="99"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2.3.5投诉处理</w:t>
            </w:r>
          </w:p>
          <w:p>
            <w:pPr>
              <w:spacing w:before="26" w:line="240" w:lineRule="auto"/>
              <w:ind w:left="142"/>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出现有责投诉、处理投诉不及时、不到位或未告知其他相关部门的、处理投诉相互推诿情况的，根据情况扣0.2至1分。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trPr>
        <w:tc>
          <w:tcPr>
            <w:tcW w:w="1464" w:type="dxa"/>
            <w:vMerge w:val="restart"/>
            <w:tcBorders>
              <w:bottom w:val="nil"/>
            </w:tcBorders>
            <w:vAlign w:val="top"/>
          </w:tcPr>
          <w:p>
            <w:pPr>
              <w:spacing w:before="10" w:line="240"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3雨水管理</w:t>
            </w:r>
          </w:p>
          <w:p>
            <w:pPr>
              <w:spacing w:line="240"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(15分)</w:t>
            </w:r>
          </w:p>
        </w:tc>
        <w:tc>
          <w:tcPr>
            <w:tcW w:w="1499" w:type="dxa"/>
            <w:vAlign w:val="top"/>
          </w:tcPr>
          <w:p>
            <w:pPr>
              <w:spacing w:before="9" w:line="240" w:lineRule="auto"/>
              <w:ind w:left="120" w:right="2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3.1雨水设施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管理(8分)</w:t>
            </w:r>
          </w:p>
        </w:tc>
        <w:tc>
          <w:tcPr>
            <w:tcW w:w="11097" w:type="dxa"/>
            <w:vAlign w:val="top"/>
          </w:tcPr>
          <w:p>
            <w:pPr>
              <w:spacing w:before="10"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3.1现场检查</w:t>
            </w:r>
          </w:p>
          <w:p>
            <w:pPr>
              <w:spacing w:before="1" w:line="240" w:lineRule="auto"/>
              <w:ind w:left="142" w:right="111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雨水管渠及泵站作业要求及质量不符合《杭州市城市排水管渠养护管理</w:t>
            </w:r>
            <w:r>
              <w:rPr>
                <w:rFonts w:hint="eastAsia" w:ascii="宋体" w:hAnsi="宋体" w:eastAsia="宋体" w:cs="宋体"/>
                <w:color w:val="auto"/>
                <w:spacing w:val="5"/>
                <w:sz w:val="21"/>
                <w:szCs w:val="21"/>
                <w:highlight w:val="none"/>
              </w:rPr>
              <w:t>标准》的，根据情况扣0.5至4分.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3.2日常养护</w:t>
            </w:r>
          </w:p>
          <w:p>
            <w:pPr>
              <w:spacing w:before="1" w:line="240" w:lineRule="auto"/>
              <w:ind w:left="142"/>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管网清疏、检测质量不高；未完成清疏、检测</w:t>
            </w:r>
            <w:r>
              <w:rPr>
                <w:rFonts w:hint="eastAsia" w:ascii="宋体" w:hAnsi="宋体" w:eastAsia="宋体" w:cs="宋体"/>
                <w:color w:val="auto"/>
                <w:spacing w:val="10"/>
                <w:sz w:val="20"/>
                <w:szCs w:val="20"/>
                <w:highlight w:val="none"/>
              </w:rPr>
              <w:t>任务量；未开展清疏、检测工作的；相关数据未及时录入省厅等平台的，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2"/>
                <w:sz w:val="20"/>
                <w:szCs w:val="20"/>
                <w:highlight w:val="none"/>
              </w:rPr>
              <w:t>及其它不符合《杭州市城市排水管渠养护管理标准》进行养护的，根据情况扣0.5至4分。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8" w:hRule="atLeast"/>
        </w:trPr>
        <w:tc>
          <w:tcPr>
            <w:tcW w:w="1464"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499" w:type="dxa"/>
            <w:vAlign w:val="top"/>
          </w:tcPr>
          <w:p>
            <w:pPr>
              <w:spacing w:before="22" w:line="240" w:lineRule="auto"/>
              <w:ind w:left="120" w:right="2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3.2设施改善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(4分)</w:t>
            </w:r>
          </w:p>
        </w:tc>
        <w:tc>
          <w:tcPr>
            <w:tcW w:w="11097" w:type="dxa"/>
            <w:vAlign w:val="top"/>
          </w:tcPr>
          <w:p>
            <w:pPr>
              <w:spacing w:before="21"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3.2.1积水点治理</w:t>
            </w:r>
          </w:p>
          <w:p>
            <w:pPr>
              <w:spacing w:before="1" w:line="240" w:lineRule="auto"/>
              <w:ind w:left="142" w:right="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易港片区、积水点治理工作推进不实、进度滞后的；积水点分析及整改方案未按要求上报，分析成果或整改方案存在不</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1"/>
                <w:sz w:val="21"/>
                <w:szCs w:val="21"/>
                <w:highlight w:val="none"/>
              </w:rPr>
              <w:t>足的，根据情况扣0.5至4分。</w:t>
            </w:r>
          </w:p>
          <w:p>
            <w:pPr>
              <w:spacing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3.2.2雨水设施改善</w:t>
            </w:r>
          </w:p>
          <w:p>
            <w:pPr>
              <w:spacing w:before="1"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雨水口提标改造等改善工作推进不实、进度滞后的，根据情况扣0.5至2分。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1464" w:type="dxa"/>
            <w:vMerge w:val="continue"/>
            <w:tcBorders>
              <w:top w:val="nil"/>
            </w:tcBorders>
            <w:vAlign w:val="top"/>
          </w:tcPr>
          <w:p>
            <w:pPr>
              <w:spacing w:line="240" w:lineRule="auto"/>
              <w:rPr>
                <w:rFonts w:hint="eastAsia" w:ascii="宋体" w:hAnsi="宋体" w:eastAsia="宋体" w:cs="宋体"/>
                <w:color w:val="auto"/>
                <w:sz w:val="21"/>
                <w:highlight w:val="none"/>
              </w:rPr>
            </w:pPr>
          </w:p>
        </w:tc>
        <w:tc>
          <w:tcPr>
            <w:tcW w:w="1499" w:type="dxa"/>
            <w:vAlign w:val="top"/>
          </w:tcPr>
          <w:p>
            <w:pPr>
              <w:spacing w:before="14" w:line="240" w:lineRule="auto"/>
              <w:ind w:left="120" w:right="2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3.4雨水综合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管理(3分)</w:t>
            </w:r>
          </w:p>
        </w:tc>
        <w:tc>
          <w:tcPr>
            <w:tcW w:w="11097" w:type="dxa"/>
            <w:vAlign w:val="top"/>
          </w:tcPr>
          <w:p>
            <w:pPr>
              <w:spacing w:before="13"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3.4.1雨水综合管理</w:t>
            </w:r>
          </w:p>
          <w:p>
            <w:pPr>
              <w:spacing w:before="10" w:line="240" w:lineRule="auto"/>
              <w:ind w:left="142" w:right="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未按要求完成设施量统计上报、动态维护工作的；未制订并报送巡查、清疏和检测(含整改)等养护工作计划；年度重点</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5"/>
                <w:sz w:val="21"/>
                <w:szCs w:val="21"/>
                <w:highlight w:val="none"/>
              </w:rPr>
              <w:t>在务推进不力或滞后的，或其他未建立、落实辖区全覆盖排水长效管理</w:t>
            </w:r>
            <w:r>
              <w:rPr>
                <w:rFonts w:hint="eastAsia" w:ascii="宋体" w:hAnsi="宋体" w:eastAsia="宋体" w:cs="宋体"/>
                <w:color w:val="auto"/>
                <w:spacing w:val="4"/>
                <w:sz w:val="21"/>
                <w:szCs w:val="21"/>
                <w:highlight w:val="none"/>
              </w:rPr>
              <w:t>制度的，根据情况扣0.2至3分。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7" w:hRule="atLeast"/>
        </w:trPr>
        <w:tc>
          <w:tcPr>
            <w:tcW w:w="1464" w:type="dxa"/>
            <w:vMerge w:val="restart"/>
            <w:tcBorders>
              <w:bottom w:val="nil"/>
            </w:tcBorders>
            <w:vAlign w:val="top"/>
          </w:tcPr>
          <w:p>
            <w:pPr>
              <w:spacing w:before="13" w:line="240" w:lineRule="auto"/>
              <w:ind w:left="144" w:right="26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4.供节水管</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7"/>
                <w:sz w:val="21"/>
                <w:szCs w:val="21"/>
                <w:highlight w:val="none"/>
              </w:rPr>
              <w:t>理(15分)</w:t>
            </w:r>
          </w:p>
        </w:tc>
        <w:tc>
          <w:tcPr>
            <w:tcW w:w="1499" w:type="dxa"/>
            <w:vAlign w:val="top"/>
          </w:tcPr>
          <w:p>
            <w:pPr>
              <w:spacing w:before="24" w:line="240" w:lineRule="auto"/>
              <w:ind w:left="120" w:right="2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4.1供水设施</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6"/>
                <w:sz w:val="21"/>
                <w:szCs w:val="21"/>
                <w:highlight w:val="none"/>
              </w:rPr>
              <w:t>管理(7分)</w:t>
            </w:r>
          </w:p>
        </w:tc>
        <w:tc>
          <w:tcPr>
            <w:tcW w:w="11097" w:type="dxa"/>
            <w:vAlign w:val="top"/>
          </w:tcPr>
          <w:p>
            <w:pPr>
              <w:spacing w:before="13"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4.1.1城市供水设施管理和保护</w:t>
            </w:r>
          </w:p>
          <w:p>
            <w:pPr>
              <w:spacing w:before="1" w:line="240" w:lineRule="auto"/>
              <w:ind w:left="142" w:right="1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夫技《关于下达2022年杭州市城市水设施和河道保护管理工作目标任务的通知》做好城市供水管理</w:t>
            </w:r>
            <w:r>
              <w:rPr>
                <w:rFonts w:hint="eastAsia" w:ascii="宋体" w:hAnsi="宋体" w:eastAsia="宋体" w:cs="宋体"/>
                <w:color w:val="auto"/>
                <w:spacing w:val="1"/>
                <w:sz w:val="21"/>
                <w:szCs w:val="21"/>
                <w:highlight w:val="none"/>
              </w:rPr>
              <w:t>工作的，根据情况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扣0</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1"/>
                <w:sz w:val="21"/>
                <w:szCs w:val="21"/>
                <w:highlight w:val="none"/>
              </w:rPr>
              <w:t>2至3分；</w:t>
            </w:r>
          </w:p>
          <w:p>
            <w:pPr>
              <w:spacing w:before="9" w:line="240" w:lineRule="auto"/>
              <w:ind w:left="142" w:right="5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4.12未建立定期巡查各类供水设施及对影</w:t>
            </w:r>
            <w:r>
              <w:rPr>
                <w:rFonts w:hint="eastAsia" w:ascii="宋体" w:hAnsi="宋体" w:eastAsia="宋体" w:cs="宋体"/>
                <w:color w:val="auto"/>
                <w:spacing w:val="3"/>
                <w:sz w:val="21"/>
                <w:szCs w:val="21"/>
                <w:highlight w:val="none"/>
              </w:rPr>
              <w:t>响供水管线安全的在建项目等机制的；未建立相关台账的，或其他未按要求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做好供水设施管理保护工作的，根据情况扣0.2至3分。</w:t>
            </w:r>
          </w:p>
          <w:p>
            <w:pPr>
              <w:spacing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4.1.3年度供水规范化管理</w:t>
            </w:r>
          </w:p>
          <w:p>
            <w:pPr>
              <w:spacing w:before="10" w:line="240" w:lineRule="auto"/>
              <w:ind w:left="142"/>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未技时完成年度供水规范化管理考核的；未开</w:t>
            </w:r>
            <w:r>
              <w:rPr>
                <w:rFonts w:hint="eastAsia" w:ascii="宋体" w:hAnsi="宋体" w:eastAsia="宋体" w:cs="宋体"/>
                <w:color w:val="auto"/>
                <w:spacing w:val="10"/>
                <w:sz w:val="20"/>
                <w:szCs w:val="20"/>
                <w:highlight w:val="none"/>
              </w:rPr>
              <w:t>展居民住宅二次供水设施规范化管理检查的或规范化管理未达到要求的，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3"/>
                <w:sz w:val="20"/>
                <w:szCs w:val="20"/>
                <w:highlight w:val="none"/>
              </w:rPr>
              <w:t>根据情况扣0.2至2分。</w:t>
            </w:r>
          </w:p>
          <w:p>
            <w:pPr>
              <w:spacing w:before="2"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4.1.4用水户回流污染管理</w:t>
            </w:r>
          </w:p>
          <w:p>
            <w:pPr>
              <w:spacing w:before="1"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夫按时完成用水户回流污染管理排查的及整改的；未落实长效管理的，根据情况</w:t>
            </w:r>
            <w:r>
              <w:rPr>
                <w:rFonts w:hint="eastAsia" w:ascii="宋体" w:hAnsi="宋体" w:eastAsia="宋体" w:cs="宋体"/>
                <w:color w:val="auto"/>
                <w:spacing w:val="3"/>
                <w:sz w:val="21"/>
                <w:szCs w:val="21"/>
                <w:highlight w:val="none"/>
              </w:rPr>
              <w:t>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1464"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499" w:type="dxa"/>
            <w:vAlign w:val="top"/>
          </w:tcPr>
          <w:p>
            <w:pPr>
              <w:spacing w:before="18" w:line="240" w:lineRule="auto"/>
              <w:ind w:left="120" w:right="2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4.2节水管理</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0"/>
                <w:sz w:val="21"/>
                <w:szCs w:val="21"/>
                <w:highlight w:val="none"/>
              </w:rPr>
              <w:t>(5分)</w:t>
            </w:r>
          </w:p>
        </w:tc>
        <w:tc>
          <w:tcPr>
            <w:tcW w:w="11097" w:type="dxa"/>
            <w:vAlign w:val="top"/>
          </w:tcPr>
          <w:p>
            <w:pPr>
              <w:spacing w:before="24"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4,2.1计划用水与定额管理</w:t>
            </w:r>
          </w:p>
          <w:p>
            <w:pPr>
              <w:spacing w:line="240" w:lineRule="auto"/>
              <w:ind w:left="1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柔按要求划成新增计划用来户调查、用水计划(定额)核定的；计划用水率未达90%的；未执行非居民</w:t>
            </w:r>
            <w:r>
              <w:rPr>
                <w:rFonts w:hint="eastAsia" w:ascii="宋体" w:hAnsi="宋体" w:eastAsia="宋体" w:cs="宋体"/>
                <w:color w:val="auto"/>
                <w:spacing w:val="-1"/>
                <w:sz w:val="21"/>
                <w:szCs w:val="21"/>
                <w:highlight w:val="none"/>
              </w:rPr>
              <w:t>用户用水超计划(超</w:t>
            </w:r>
          </w:p>
        </w:tc>
      </w:tr>
    </w:tbl>
    <w:p>
      <w:pPr>
        <w:spacing w:line="240" w:lineRule="auto"/>
        <w:rPr>
          <w:rFonts w:hint="eastAsia" w:ascii="宋体" w:hAnsi="宋体" w:eastAsia="宋体" w:cs="宋体"/>
          <w:color w:val="auto"/>
          <w:highlight w:val="none"/>
        </w:rPr>
      </w:pPr>
    </w:p>
    <w:p>
      <w:pPr>
        <w:spacing w:line="240" w:lineRule="auto"/>
        <w:rPr>
          <w:rFonts w:hint="eastAsia" w:ascii="宋体" w:hAnsi="宋体" w:eastAsia="宋体" w:cs="宋体"/>
          <w:color w:val="auto"/>
          <w:sz w:val="21"/>
          <w:highlight w:val="none"/>
        </w:rPr>
      </w:pPr>
    </w:p>
    <w:p>
      <w:pPr>
        <w:pStyle w:val="79"/>
        <w:spacing w:line="240" w:lineRule="auto"/>
        <w:rPr>
          <w:rFonts w:hint="eastAsia" w:ascii="宋体" w:hAnsi="宋体" w:eastAsia="宋体" w:cs="宋体"/>
          <w:color w:val="auto"/>
          <w:highlight w:val="none"/>
        </w:rPr>
      </w:pPr>
    </w:p>
    <w:tbl>
      <w:tblPr>
        <w:tblStyle w:val="966"/>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1509"/>
        <w:gridCol w:w="1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64" w:type="dxa"/>
            <w:vAlign w:val="top"/>
          </w:tcPr>
          <w:p>
            <w:pPr>
              <w:spacing w:before="13" w:line="240" w:lineRule="auto"/>
              <w:ind w:left="29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考核类别</w:t>
            </w:r>
          </w:p>
        </w:tc>
        <w:tc>
          <w:tcPr>
            <w:tcW w:w="1509" w:type="dxa"/>
            <w:vAlign w:val="top"/>
          </w:tcPr>
          <w:p>
            <w:pPr>
              <w:spacing w:before="13" w:line="240" w:lineRule="auto"/>
              <w:ind w:left="31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考核项目</w:t>
            </w:r>
          </w:p>
        </w:tc>
        <w:tc>
          <w:tcPr>
            <w:tcW w:w="11117" w:type="dxa"/>
            <w:vAlign w:val="top"/>
          </w:tcPr>
          <w:p>
            <w:pPr>
              <w:spacing w:before="13" w:line="240" w:lineRule="auto"/>
              <w:ind w:left="512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1464" w:type="dxa"/>
            <w:vMerge w:val="restart"/>
            <w:tcBorders>
              <w:bottom w:val="nil"/>
            </w:tcBorders>
            <w:vAlign w:val="top"/>
          </w:tcPr>
          <w:p>
            <w:pPr>
              <w:spacing w:line="240" w:lineRule="auto"/>
              <w:rPr>
                <w:rFonts w:hint="eastAsia" w:ascii="宋体" w:hAnsi="宋体" w:eastAsia="宋体" w:cs="宋体"/>
                <w:color w:val="auto"/>
                <w:sz w:val="21"/>
                <w:highlight w:val="none"/>
              </w:rPr>
            </w:pPr>
          </w:p>
        </w:tc>
        <w:tc>
          <w:tcPr>
            <w:tcW w:w="1509" w:type="dxa"/>
            <w:vAlign w:val="top"/>
          </w:tcPr>
          <w:p>
            <w:pPr>
              <w:spacing w:line="240" w:lineRule="auto"/>
              <w:rPr>
                <w:rFonts w:hint="eastAsia" w:ascii="宋体" w:hAnsi="宋体" w:eastAsia="宋体" w:cs="宋体"/>
                <w:color w:val="auto"/>
                <w:sz w:val="21"/>
                <w:highlight w:val="none"/>
              </w:rPr>
            </w:pPr>
          </w:p>
        </w:tc>
        <w:tc>
          <w:tcPr>
            <w:tcW w:w="11117" w:type="dxa"/>
            <w:vAlign w:val="top"/>
          </w:tcPr>
          <w:p>
            <w:pPr>
              <w:spacing w:before="6"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定额)累进加价制度的，根据情况扣0.2至1分。</w:t>
            </w:r>
          </w:p>
          <w:p>
            <w:pPr>
              <w:spacing w:before="23"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4.2.2管网降损管理</w:t>
            </w:r>
          </w:p>
          <w:p>
            <w:pPr>
              <w:spacing w:before="10"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管网漏损率低于9.5%的；未完成分区计量工作的根据情况扣0.5分。</w:t>
            </w:r>
          </w:p>
          <w:p>
            <w:pPr>
              <w:spacing w:before="1"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4.2.3节水创建行动</w:t>
            </w:r>
          </w:p>
          <w:p>
            <w:pPr>
              <w:spacing w:before="11"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每项节水载体创建工作未按要求完成的，扣0.5分。</w:t>
            </w:r>
          </w:p>
          <w:p>
            <w:pPr>
              <w:spacing w:before="1"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4.2.4节水型器具普及</w:t>
            </w:r>
          </w:p>
          <w:p>
            <w:pPr>
              <w:spacing w:before="9" w:line="240" w:lineRule="auto"/>
              <w:ind w:left="121" w:right="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未完成辖区内重点用水户全覆盖检查的；公共建筑节水型器具普及率未到100%且未整改的；生活用水器具市场抽检率未</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2"/>
                <w:sz w:val="21"/>
                <w:szCs w:val="21"/>
                <w:highlight w:val="none"/>
              </w:rPr>
              <w:t>达80%或发现非节水型器具的，根据情况扣0.2至1分。</w:t>
            </w:r>
          </w:p>
          <w:p>
            <w:pPr>
              <w:spacing w:before="1"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4.2.5节水“三同时”管理</w:t>
            </w:r>
          </w:p>
          <w:p>
            <w:pPr>
              <w:spacing w:before="1" w:line="240" w:lineRule="auto"/>
              <w:ind w:left="16" w:right="74" w:firstLine="1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新建、改建、扩建工程项目中节水设施未与主体工程同时设计、施工、投入使用的；设计、施工</w:t>
            </w:r>
            <w:r>
              <w:rPr>
                <w:rFonts w:hint="eastAsia" w:ascii="宋体" w:hAnsi="宋体" w:eastAsia="宋体" w:cs="宋体"/>
                <w:color w:val="auto"/>
                <w:spacing w:val="-1"/>
                <w:sz w:val="21"/>
                <w:szCs w:val="21"/>
                <w:highlight w:val="none"/>
              </w:rPr>
              <w:t>、验收环节未建立节水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“三同时”管理相关台账的，根据情况扣0.5至1分。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464" w:type="dxa"/>
            <w:vMerge w:val="continue"/>
            <w:tcBorders>
              <w:top w:val="nil"/>
            </w:tcBorders>
            <w:vAlign w:val="top"/>
          </w:tcPr>
          <w:p>
            <w:pPr>
              <w:spacing w:line="240" w:lineRule="auto"/>
              <w:rPr>
                <w:rFonts w:hint="eastAsia" w:ascii="宋体" w:hAnsi="宋体" w:eastAsia="宋体" w:cs="宋体"/>
                <w:color w:val="auto"/>
                <w:sz w:val="21"/>
                <w:highlight w:val="none"/>
              </w:rPr>
            </w:pPr>
          </w:p>
        </w:tc>
        <w:tc>
          <w:tcPr>
            <w:tcW w:w="1509" w:type="dxa"/>
            <w:vAlign w:val="top"/>
          </w:tcPr>
          <w:p>
            <w:pPr>
              <w:spacing w:before="11" w:line="240" w:lineRule="auto"/>
              <w:ind w:left="111" w:right="19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4.3供节水综</w:t>
            </w:r>
            <w:r>
              <w:rPr>
                <w:rFonts w:hint="eastAsia" w:ascii="宋体" w:hAnsi="宋体" w:eastAsia="宋体" w:cs="宋体"/>
                <w:color w:val="auto"/>
                <w:spacing w:val="5"/>
                <w:sz w:val="21"/>
                <w:szCs w:val="21"/>
                <w:highlight w:val="none"/>
              </w:rPr>
              <w:t xml:space="preserve"> 合管理(3分)</w:t>
            </w:r>
          </w:p>
        </w:tc>
        <w:tc>
          <w:tcPr>
            <w:tcW w:w="11117" w:type="dxa"/>
            <w:vAlign w:val="top"/>
          </w:tcPr>
          <w:p>
            <w:pPr>
              <w:spacing w:before="12"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未完成节水型城市基础数据统计报送的；未按时完成的</w:t>
            </w:r>
            <w:r>
              <w:rPr>
                <w:rFonts w:hint="eastAsia" w:ascii="宋体" w:hAnsi="宋体" w:eastAsia="宋体" w:cs="宋体"/>
                <w:color w:val="auto"/>
                <w:spacing w:val="2"/>
                <w:sz w:val="21"/>
                <w:szCs w:val="21"/>
                <w:highlight w:val="none"/>
              </w:rPr>
              <w:t>；未按要求落实相关任务的，每次扣0.5分。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1464" w:type="dxa"/>
            <w:vMerge w:val="restart"/>
            <w:tcBorders>
              <w:bottom w:val="nil"/>
            </w:tcBorders>
            <w:vAlign w:val="top"/>
          </w:tcPr>
          <w:p>
            <w:pPr>
              <w:spacing w:before="16" w:line="240" w:lineRule="auto"/>
              <w:ind w:left="94" w:right="2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5应急处置(7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6"/>
                <w:sz w:val="21"/>
                <w:szCs w:val="21"/>
                <w:highlight w:val="none"/>
              </w:rPr>
              <w:t>)</w:t>
            </w:r>
          </w:p>
        </w:tc>
        <w:tc>
          <w:tcPr>
            <w:tcW w:w="1509" w:type="dxa"/>
            <w:vAlign w:val="top"/>
          </w:tcPr>
          <w:p>
            <w:pPr>
              <w:spacing w:before="13" w:line="24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5.1汛期积水</w:t>
            </w:r>
          </w:p>
        </w:tc>
        <w:tc>
          <w:tcPr>
            <w:tcW w:w="11117" w:type="dxa"/>
            <w:vAlign w:val="top"/>
          </w:tcPr>
          <w:p>
            <w:pPr>
              <w:spacing w:before="13" w:line="240"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发生积水或积水处置不及时的；或其他未按要</w:t>
            </w:r>
            <w:r>
              <w:rPr>
                <w:rFonts w:hint="eastAsia" w:ascii="宋体" w:hAnsi="宋体" w:eastAsia="宋体" w:cs="宋体"/>
                <w:color w:val="auto"/>
                <w:spacing w:val="4"/>
                <w:sz w:val="21"/>
                <w:szCs w:val="21"/>
                <w:highlight w:val="none"/>
              </w:rPr>
              <w:t>求做好汛期积水处置工作的，根据情况扣0.5至3分。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464"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509" w:type="dxa"/>
            <w:vAlign w:val="top"/>
          </w:tcPr>
          <w:p>
            <w:pPr>
              <w:spacing w:before="15" w:line="24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5.2应急准备</w:t>
            </w:r>
          </w:p>
        </w:tc>
        <w:tc>
          <w:tcPr>
            <w:tcW w:w="11117" w:type="dxa"/>
            <w:vAlign w:val="top"/>
          </w:tcPr>
          <w:p>
            <w:pPr>
              <w:spacing w:before="13" w:line="240" w:lineRule="auto"/>
              <w:ind w:left="132"/>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未按要求响应会商联调联试、增配应急排涝设备、防汛值班和落实应</w:t>
            </w:r>
            <w:r>
              <w:rPr>
                <w:rFonts w:hint="eastAsia" w:ascii="宋体" w:hAnsi="宋体" w:eastAsia="宋体" w:cs="宋体"/>
                <w:color w:val="auto"/>
                <w:spacing w:val="10"/>
                <w:sz w:val="20"/>
                <w:szCs w:val="20"/>
                <w:highlight w:val="none"/>
              </w:rPr>
              <w:t>急处置“一点一方案”的，根据情况扣0.5至2分。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464" w:type="dxa"/>
            <w:vMerge w:val="continue"/>
            <w:tcBorders>
              <w:top w:val="nil"/>
            </w:tcBorders>
            <w:vAlign w:val="top"/>
          </w:tcPr>
          <w:p>
            <w:pPr>
              <w:spacing w:line="240" w:lineRule="auto"/>
              <w:rPr>
                <w:rFonts w:hint="eastAsia" w:ascii="宋体" w:hAnsi="宋体" w:eastAsia="宋体" w:cs="宋体"/>
                <w:color w:val="auto"/>
                <w:sz w:val="21"/>
                <w:highlight w:val="none"/>
              </w:rPr>
            </w:pPr>
          </w:p>
        </w:tc>
        <w:tc>
          <w:tcPr>
            <w:tcW w:w="1509" w:type="dxa"/>
            <w:vAlign w:val="top"/>
          </w:tcPr>
          <w:p>
            <w:pPr>
              <w:spacing w:before="35" w:line="24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5.3调度处置</w:t>
            </w:r>
          </w:p>
        </w:tc>
        <w:tc>
          <w:tcPr>
            <w:tcW w:w="11117" w:type="dxa"/>
            <w:vAlign w:val="top"/>
          </w:tcPr>
          <w:p>
            <w:pPr>
              <w:spacing w:before="25" w:line="240" w:lineRule="auto"/>
              <w:ind w:left="121" w:right="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突发应急事件发生后行动迟缓、推诿或没有第一时间上报的；经督查后处置仍不得力的加重扣分；重大隐患未发现或发</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5"/>
                <w:sz w:val="21"/>
                <w:szCs w:val="21"/>
                <w:highlight w:val="none"/>
              </w:rPr>
              <w:t>现后未及时整改造成不良影响的，或其他未按要求做好调度处置工作的，根</w:t>
            </w:r>
            <w:r>
              <w:rPr>
                <w:rFonts w:hint="eastAsia" w:ascii="宋体" w:hAnsi="宋体" w:eastAsia="宋体" w:cs="宋体"/>
                <w:color w:val="auto"/>
                <w:spacing w:val="4"/>
                <w:sz w:val="21"/>
                <w:szCs w:val="21"/>
                <w:highlight w:val="none"/>
              </w:rPr>
              <w:t>据情况扣0.5至2分。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1464" w:type="dxa"/>
            <w:vMerge w:val="restart"/>
            <w:tcBorders>
              <w:bottom w:val="nil"/>
            </w:tcBorders>
            <w:vAlign w:val="top"/>
          </w:tcPr>
          <w:p>
            <w:pPr>
              <w:spacing w:before="14" w:line="240" w:lineRule="auto"/>
              <w:ind w:left="94" w:right="21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6行业发展管</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8"/>
                <w:sz w:val="21"/>
                <w:szCs w:val="21"/>
                <w:highlight w:val="none"/>
              </w:rPr>
              <w:t>理(7分)</w:t>
            </w:r>
          </w:p>
        </w:tc>
        <w:tc>
          <w:tcPr>
            <w:tcW w:w="1509" w:type="dxa"/>
            <w:vAlign w:val="top"/>
          </w:tcPr>
          <w:p>
            <w:pPr>
              <w:spacing w:before="35" w:line="240" w:lineRule="auto"/>
              <w:ind w:left="111" w:right="24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6.1行业提升</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0"/>
                <w:sz w:val="21"/>
                <w:szCs w:val="21"/>
                <w:highlight w:val="none"/>
              </w:rPr>
              <w:t>(3分)</w:t>
            </w:r>
          </w:p>
        </w:tc>
        <w:tc>
          <w:tcPr>
            <w:tcW w:w="11117" w:type="dxa"/>
            <w:vAlign w:val="top"/>
          </w:tcPr>
          <w:p>
            <w:pPr>
              <w:spacing w:before="15" w:line="240" w:lineRule="auto"/>
              <w:ind w:left="121" w:right="5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未按要求做好行业培训工作的；未开展行业六化案例梳理上报工作的，或其他未按要求做好行业提升相关工作的，根据</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8"/>
                <w:sz w:val="21"/>
                <w:szCs w:val="21"/>
                <w:highlight w:val="none"/>
              </w:rPr>
              <w:t>情况扣0.2至2分。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464" w:type="dxa"/>
            <w:vMerge w:val="continue"/>
            <w:tcBorders>
              <w:top w:val="nil"/>
              <w:bottom w:val="nil"/>
            </w:tcBorders>
            <w:vAlign w:val="top"/>
          </w:tcPr>
          <w:p>
            <w:pPr>
              <w:spacing w:line="240" w:lineRule="auto"/>
              <w:rPr>
                <w:rFonts w:hint="eastAsia" w:ascii="宋体" w:hAnsi="宋体" w:eastAsia="宋体" w:cs="宋体"/>
                <w:color w:val="auto"/>
                <w:sz w:val="21"/>
                <w:highlight w:val="none"/>
              </w:rPr>
            </w:pPr>
          </w:p>
        </w:tc>
        <w:tc>
          <w:tcPr>
            <w:tcW w:w="1509" w:type="dxa"/>
            <w:vAlign w:val="top"/>
          </w:tcPr>
          <w:p>
            <w:pPr>
              <w:spacing w:before="36" w:line="240" w:lineRule="auto"/>
              <w:ind w:left="111" w:right="24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6.2行业文化</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0"/>
                <w:sz w:val="21"/>
                <w:szCs w:val="21"/>
                <w:highlight w:val="none"/>
              </w:rPr>
              <w:t>(2分)</w:t>
            </w:r>
          </w:p>
        </w:tc>
        <w:tc>
          <w:tcPr>
            <w:tcW w:w="11117" w:type="dxa"/>
            <w:vAlign w:val="top"/>
          </w:tcPr>
          <w:p>
            <w:pPr>
              <w:spacing w:before="25" w:line="240" w:lineRule="auto"/>
              <w:ind w:left="121"/>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未结合节水宣传周等普及城市节水，开展节水宣传活动的；每月未按要求开展社会共建活动</w:t>
            </w:r>
            <w:r>
              <w:rPr>
                <w:rFonts w:hint="eastAsia" w:ascii="宋体" w:hAnsi="宋体" w:eastAsia="宋体" w:cs="宋体"/>
                <w:color w:val="auto"/>
                <w:spacing w:val="10"/>
                <w:sz w:val="20"/>
                <w:szCs w:val="20"/>
                <w:highlight w:val="none"/>
              </w:rPr>
              <w:t>的，根据情况扣0.2至2分。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1464" w:type="dxa"/>
            <w:vMerge w:val="continue"/>
            <w:tcBorders>
              <w:top w:val="nil"/>
            </w:tcBorders>
            <w:vAlign w:val="top"/>
          </w:tcPr>
          <w:p>
            <w:pPr>
              <w:spacing w:line="240" w:lineRule="auto"/>
              <w:rPr>
                <w:rFonts w:hint="eastAsia" w:ascii="宋体" w:hAnsi="宋体" w:eastAsia="宋体" w:cs="宋体"/>
                <w:color w:val="auto"/>
                <w:sz w:val="21"/>
                <w:highlight w:val="none"/>
              </w:rPr>
            </w:pPr>
          </w:p>
        </w:tc>
        <w:tc>
          <w:tcPr>
            <w:tcW w:w="1509" w:type="dxa"/>
            <w:vAlign w:val="top"/>
          </w:tcPr>
          <w:p>
            <w:pPr>
              <w:spacing w:before="19" w:line="240" w:lineRule="auto"/>
              <w:ind w:left="111" w:right="24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6.3智慧建设</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0"/>
                <w:sz w:val="21"/>
                <w:szCs w:val="21"/>
                <w:highlight w:val="none"/>
              </w:rPr>
              <w:t>(2分)</w:t>
            </w:r>
          </w:p>
        </w:tc>
        <w:tc>
          <w:tcPr>
            <w:tcW w:w="11117" w:type="dxa"/>
            <w:vAlign w:val="top"/>
          </w:tcPr>
          <w:p>
            <w:pPr>
              <w:spacing w:before="16" w:line="240" w:lineRule="auto"/>
              <w:ind w:left="121" w:right="5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未建立区(具)级河道和内满智慧平台，或区级智慧平台未与市平台对接联动的；未按要求建设感知设备、设备未接入市</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z w:val="21"/>
                <w:szCs w:val="21"/>
                <w:highlight w:val="none"/>
              </w:rPr>
              <w:t>级平台、感知设备离线失效等未达到感知设备建设要求的；未执行信息安全规定，导致系统信息泄露、泄密；根据情况</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8"/>
                <w:sz w:val="21"/>
                <w:szCs w:val="21"/>
                <w:highlight w:val="none"/>
              </w:rPr>
              <w:t>扣0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8"/>
                <w:sz w:val="21"/>
                <w:szCs w:val="21"/>
                <w:highlight w:val="none"/>
              </w:rPr>
              <w:t>2至2分</w:t>
            </w:r>
          </w:p>
        </w:tc>
      </w:tr>
    </w:tbl>
    <w:p>
      <w:pPr>
        <w:rPr>
          <w:rFonts w:hint="eastAsia"/>
          <w:color w:val="auto"/>
          <w:highlight w:val="none"/>
        </w:rPr>
        <w:sectPr>
          <w:pgSz w:w="16840" w:h="11907" w:orient="landscape"/>
          <w:pgMar w:top="1066" w:right="2217" w:bottom="1134" w:left="992" w:header="851" w:footer="851" w:gutter="0"/>
          <w:pgNumType w:fmt="numberInDash"/>
          <w:cols w:space="720" w:num="1"/>
        </w:sectPr>
      </w:pPr>
    </w:p>
    <w:p>
      <w:pPr>
        <w:numPr>
          <w:ilvl w:val="0"/>
          <w:numId w:val="27"/>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314" w:name="_Toc184314482"/>
      <w:bookmarkEnd w:id="314"/>
      <w:bookmarkStart w:id="315" w:name="_Toc184312100"/>
      <w:bookmarkEnd w:id="315"/>
      <w:bookmarkStart w:id="316" w:name="_Toc184308074"/>
      <w:bookmarkEnd w:id="316"/>
      <w:bookmarkStart w:id="317" w:name="_Toc184308061"/>
      <w:bookmarkEnd w:id="317"/>
      <w:bookmarkStart w:id="318" w:name="_Toc184310324"/>
      <w:bookmarkEnd w:id="318"/>
      <w:bookmarkStart w:id="319" w:name="_Toc184312099"/>
      <w:bookmarkEnd w:id="319"/>
      <w:bookmarkStart w:id="320" w:name="_Toc184312067"/>
      <w:bookmarkEnd w:id="320"/>
      <w:bookmarkStart w:id="321" w:name="_Toc184314436"/>
      <w:bookmarkEnd w:id="321"/>
      <w:bookmarkStart w:id="322" w:name="_Toc184314445"/>
      <w:bookmarkEnd w:id="322"/>
      <w:bookmarkStart w:id="323" w:name="_Toc184308048"/>
      <w:bookmarkEnd w:id="323"/>
      <w:bookmarkStart w:id="324" w:name="_Toc184314467"/>
      <w:bookmarkEnd w:id="324"/>
      <w:bookmarkStart w:id="325" w:name="_Toc184313276"/>
      <w:bookmarkEnd w:id="325"/>
      <w:bookmarkStart w:id="326" w:name="_Toc184308103"/>
      <w:bookmarkEnd w:id="326"/>
      <w:bookmarkStart w:id="327" w:name="_Toc184314458"/>
      <w:bookmarkEnd w:id="327"/>
      <w:bookmarkStart w:id="328" w:name="_Toc184313258"/>
      <w:bookmarkEnd w:id="328"/>
      <w:bookmarkStart w:id="329" w:name="_Toc184310302"/>
      <w:bookmarkEnd w:id="329"/>
      <w:bookmarkStart w:id="330" w:name="_Toc184312138"/>
      <w:bookmarkEnd w:id="330"/>
      <w:bookmarkStart w:id="331" w:name="_Toc184308063"/>
      <w:bookmarkEnd w:id="331"/>
      <w:bookmarkStart w:id="332" w:name="_Toc184314455"/>
      <w:bookmarkEnd w:id="332"/>
      <w:bookmarkStart w:id="333" w:name="_Toc184310334"/>
      <w:bookmarkEnd w:id="333"/>
      <w:bookmarkStart w:id="334" w:name="_Toc184314411"/>
      <w:bookmarkEnd w:id="334"/>
      <w:bookmarkStart w:id="335" w:name="_Toc184308086"/>
      <w:bookmarkEnd w:id="335"/>
      <w:bookmarkStart w:id="336" w:name="_Toc184312136"/>
      <w:bookmarkEnd w:id="336"/>
      <w:bookmarkStart w:id="337" w:name="_Toc184314472"/>
      <w:bookmarkEnd w:id="337"/>
      <w:bookmarkStart w:id="338" w:name="_Toc184308045"/>
      <w:bookmarkEnd w:id="338"/>
      <w:bookmarkStart w:id="339" w:name="_Toc184312090"/>
      <w:bookmarkEnd w:id="339"/>
      <w:bookmarkStart w:id="340" w:name="_Toc184310319"/>
      <w:bookmarkEnd w:id="340"/>
      <w:bookmarkStart w:id="341" w:name="_Toc184308087"/>
      <w:bookmarkEnd w:id="341"/>
      <w:bookmarkStart w:id="342" w:name="_Toc184314441"/>
      <w:bookmarkEnd w:id="342"/>
      <w:bookmarkStart w:id="343" w:name="_Toc184314439"/>
      <w:bookmarkEnd w:id="343"/>
      <w:bookmarkStart w:id="344" w:name="_Toc184314449"/>
      <w:bookmarkEnd w:id="344"/>
      <w:bookmarkStart w:id="345" w:name="_Toc184312103"/>
      <w:bookmarkEnd w:id="345"/>
      <w:bookmarkStart w:id="346" w:name="_Toc184312131"/>
      <w:bookmarkEnd w:id="346"/>
      <w:bookmarkStart w:id="347" w:name="_Toc184310292"/>
      <w:bookmarkEnd w:id="347"/>
      <w:bookmarkStart w:id="348" w:name="_Toc184308065"/>
      <w:bookmarkEnd w:id="348"/>
      <w:bookmarkStart w:id="349" w:name="_Toc184313268"/>
      <w:bookmarkEnd w:id="349"/>
      <w:bookmarkStart w:id="350" w:name="_Toc184313273"/>
      <w:bookmarkEnd w:id="350"/>
      <w:bookmarkStart w:id="351" w:name="_Toc184313242"/>
      <w:bookmarkEnd w:id="351"/>
      <w:bookmarkStart w:id="352" w:name="_Toc184310305"/>
      <w:bookmarkEnd w:id="352"/>
      <w:bookmarkStart w:id="353" w:name="_Toc184313249"/>
      <w:bookmarkEnd w:id="353"/>
      <w:bookmarkStart w:id="354" w:name="_Toc184308102"/>
      <w:bookmarkEnd w:id="354"/>
      <w:bookmarkStart w:id="355" w:name="_Toc184313289"/>
      <w:bookmarkEnd w:id="355"/>
      <w:bookmarkStart w:id="356" w:name="_Toc184310323"/>
      <w:bookmarkEnd w:id="356"/>
      <w:bookmarkStart w:id="357" w:name="_Toc184313293"/>
      <w:bookmarkEnd w:id="357"/>
      <w:bookmarkStart w:id="358" w:name="_Toc184314438"/>
      <w:bookmarkEnd w:id="358"/>
      <w:bookmarkStart w:id="359" w:name="_Toc184314414"/>
      <w:bookmarkEnd w:id="359"/>
      <w:bookmarkStart w:id="360" w:name="_Toc184314453"/>
      <w:bookmarkEnd w:id="360"/>
      <w:bookmarkStart w:id="361" w:name="_Toc184310313"/>
      <w:bookmarkEnd w:id="361"/>
      <w:bookmarkStart w:id="362" w:name="_Toc184313303"/>
      <w:bookmarkEnd w:id="362"/>
      <w:bookmarkStart w:id="363" w:name="_Toc184308079"/>
      <w:bookmarkEnd w:id="363"/>
      <w:bookmarkStart w:id="364" w:name="_Toc184308057"/>
      <w:bookmarkEnd w:id="364"/>
      <w:bookmarkStart w:id="365" w:name="_Toc184312085"/>
      <w:bookmarkEnd w:id="365"/>
      <w:bookmarkStart w:id="366" w:name="_Toc184308054"/>
      <w:bookmarkEnd w:id="366"/>
      <w:bookmarkStart w:id="367" w:name="_Toc184308101"/>
      <w:bookmarkEnd w:id="367"/>
      <w:bookmarkStart w:id="368" w:name="_Toc184310291"/>
      <w:bookmarkEnd w:id="368"/>
      <w:bookmarkStart w:id="369" w:name="_Toc184313257"/>
      <w:bookmarkEnd w:id="369"/>
      <w:bookmarkStart w:id="370" w:name="_Toc184308040"/>
      <w:bookmarkEnd w:id="370"/>
      <w:bookmarkStart w:id="371" w:name="_Toc184312117"/>
      <w:bookmarkEnd w:id="371"/>
      <w:bookmarkStart w:id="372" w:name="_Toc184314446"/>
      <w:bookmarkEnd w:id="372"/>
      <w:bookmarkStart w:id="373" w:name="_Toc184314450"/>
      <w:bookmarkEnd w:id="373"/>
      <w:bookmarkStart w:id="374" w:name="_Toc184312069"/>
      <w:bookmarkEnd w:id="374"/>
      <w:bookmarkStart w:id="375" w:name="_Toc184308056"/>
      <w:bookmarkEnd w:id="375"/>
      <w:bookmarkStart w:id="376" w:name="_Toc184313251"/>
      <w:bookmarkEnd w:id="376"/>
      <w:bookmarkStart w:id="377" w:name="_Toc184314410"/>
      <w:bookmarkEnd w:id="377"/>
      <w:bookmarkStart w:id="378" w:name="_Toc184310301"/>
      <w:bookmarkEnd w:id="378"/>
      <w:bookmarkStart w:id="379" w:name="_Toc184312135"/>
      <w:bookmarkEnd w:id="379"/>
      <w:bookmarkStart w:id="380" w:name="_Toc184312095"/>
      <w:bookmarkEnd w:id="380"/>
      <w:bookmarkStart w:id="381" w:name="_Toc184310311"/>
      <w:bookmarkEnd w:id="381"/>
      <w:bookmarkStart w:id="382" w:name="_Toc184312101"/>
      <w:bookmarkEnd w:id="382"/>
      <w:bookmarkStart w:id="383" w:name="_Toc184310281"/>
      <w:bookmarkEnd w:id="383"/>
      <w:bookmarkStart w:id="384" w:name="_Toc184312086"/>
      <w:bookmarkEnd w:id="384"/>
      <w:bookmarkStart w:id="385" w:name="_Toc184310296"/>
      <w:bookmarkEnd w:id="385"/>
      <w:bookmarkStart w:id="386" w:name="_Toc184314443"/>
      <w:bookmarkEnd w:id="386"/>
      <w:bookmarkStart w:id="387" w:name="_Toc184310317"/>
      <w:bookmarkEnd w:id="387"/>
      <w:bookmarkStart w:id="388" w:name="_Toc184314431"/>
      <w:bookmarkEnd w:id="388"/>
      <w:bookmarkStart w:id="389" w:name="_Toc184313256"/>
      <w:bookmarkEnd w:id="389"/>
      <w:bookmarkStart w:id="390" w:name="_Toc184314442"/>
      <w:bookmarkEnd w:id="390"/>
      <w:bookmarkStart w:id="391" w:name="_Toc184310273"/>
      <w:bookmarkEnd w:id="391"/>
      <w:bookmarkStart w:id="392" w:name="_Toc184313283"/>
      <w:bookmarkEnd w:id="392"/>
      <w:bookmarkStart w:id="393" w:name="_Toc184310309"/>
      <w:bookmarkEnd w:id="393"/>
      <w:bookmarkStart w:id="394" w:name="_Toc184312087"/>
      <w:bookmarkEnd w:id="394"/>
      <w:bookmarkStart w:id="395" w:name="_Toc184313253"/>
      <w:bookmarkEnd w:id="395"/>
      <w:bookmarkStart w:id="396" w:name="_Toc184308058"/>
      <w:bookmarkEnd w:id="396"/>
      <w:bookmarkStart w:id="397" w:name="_Toc184308053"/>
      <w:bookmarkEnd w:id="397"/>
      <w:bookmarkStart w:id="398" w:name="_Toc184312083"/>
      <w:bookmarkEnd w:id="398"/>
      <w:bookmarkStart w:id="399" w:name="_Toc184314413"/>
      <w:bookmarkEnd w:id="399"/>
      <w:bookmarkStart w:id="400" w:name="_Toc184312116"/>
      <w:bookmarkEnd w:id="400"/>
      <w:bookmarkStart w:id="401" w:name="_Toc184314447"/>
      <w:bookmarkEnd w:id="401"/>
      <w:bookmarkStart w:id="402" w:name="_Toc184310314"/>
      <w:bookmarkEnd w:id="402"/>
      <w:bookmarkStart w:id="403" w:name="_Toc184313287"/>
      <w:bookmarkEnd w:id="403"/>
      <w:bookmarkStart w:id="404" w:name="_Toc184308055"/>
      <w:bookmarkEnd w:id="404"/>
      <w:bookmarkStart w:id="405" w:name="_Toc184312106"/>
      <w:bookmarkEnd w:id="405"/>
      <w:bookmarkStart w:id="406" w:name="_Toc184308069"/>
      <w:bookmarkEnd w:id="406"/>
      <w:bookmarkStart w:id="407" w:name="_Toc184314429"/>
      <w:bookmarkEnd w:id="407"/>
      <w:bookmarkStart w:id="408" w:name="_Toc184312112"/>
      <w:bookmarkEnd w:id="408"/>
      <w:bookmarkStart w:id="409" w:name="_Toc184308049"/>
      <w:bookmarkEnd w:id="409"/>
      <w:bookmarkStart w:id="410" w:name="_Toc184308047"/>
      <w:bookmarkEnd w:id="410"/>
      <w:bookmarkStart w:id="411" w:name="_Toc184313262"/>
      <w:bookmarkEnd w:id="411"/>
      <w:bookmarkStart w:id="412" w:name="_Toc184308066"/>
      <w:bookmarkEnd w:id="412"/>
      <w:bookmarkStart w:id="413" w:name="_Toc184313279"/>
      <w:bookmarkEnd w:id="413"/>
      <w:bookmarkStart w:id="414" w:name="_Toc184310341"/>
      <w:bookmarkEnd w:id="414"/>
      <w:bookmarkStart w:id="415" w:name="_Toc184308072"/>
      <w:bookmarkEnd w:id="415"/>
      <w:bookmarkStart w:id="416" w:name="_Toc184313307"/>
      <w:bookmarkEnd w:id="416"/>
      <w:bookmarkStart w:id="417" w:name="_Toc184314478"/>
      <w:bookmarkEnd w:id="417"/>
      <w:bookmarkStart w:id="418" w:name="_Toc184308095"/>
      <w:bookmarkEnd w:id="418"/>
      <w:bookmarkStart w:id="419" w:name="_Toc184312084"/>
      <w:bookmarkEnd w:id="419"/>
      <w:bookmarkStart w:id="420" w:name="_Toc184312126"/>
      <w:bookmarkEnd w:id="420"/>
      <w:bookmarkStart w:id="421" w:name="_Toc184313305"/>
      <w:bookmarkEnd w:id="421"/>
      <w:bookmarkStart w:id="422" w:name="_Toc184310343"/>
      <w:bookmarkEnd w:id="422"/>
      <w:bookmarkStart w:id="423" w:name="_Toc184313297"/>
      <w:bookmarkEnd w:id="423"/>
      <w:bookmarkStart w:id="424" w:name="_Toc184310294"/>
      <w:bookmarkEnd w:id="424"/>
      <w:bookmarkStart w:id="425" w:name="_Toc184308051"/>
      <w:bookmarkEnd w:id="425"/>
      <w:bookmarkStart w:id="426" w:name="_Toc184312118"/>
      <w:bookmarkEnd w:id="426"/>
      <w:bookmarkStart w:id="427" w:name="_Toc184313275"/>
      <w:bookmarkEnd w:id="427"/>
      <w:bookmarkStart w:id="428" w:name="_Toc184308064"/>
      <w:bookmarkEnd w:id="428"/>
      <w:bookmarkStart w:id="429" w:name="_Toc184308077"/>
      <w:bookmarkEnd w:id="429"/>
      <w:bookmarkStart w:id="430" w:name="_Toc184313272"/>
      <w:bookmarkEnd w:id="430"/>
      <w:bookmarkStart w:id="431" w:name="_Toc184308100"/>
      <w:bookmarkEnd w:id="431"/>
      <w:bookmarkStart w:id="432" w:name="_Toc184312132"/>
      <w:bookmarkEnd w:id="432"/>
      <w:bookmarkStart w:id="433" w:name="_Toc184314462"/>
      <w:bookmarkEnd w:id="433"/>
      <w:bookmarkStart w:id="434" w:name="_Toc184312129"/>
      <w:bookmarkEnd w:id="434"/>
      <w:bookmarkStart w:id="435" w:name="_Toc184310335"/>
      <w:bookmarkEnd w:id="435"/>
      <w:bookmarkStart w:id="436" w:name="_Toc184312089"/>
      <w:bookmarkEnd w:id="436"/>
      <w:bookmarkStart w:id="437" w:name="_Toc184310274"/>
      <w:bookmarkEnd w:id="437"/>
      <w:bookmarkStart w:id="438" w:name="_Toc184314425"/>
      <w:bookmarkEnd w:id="438"/>
      <w:bookmarkStart w:id="439" w:name="_Toc184310340"/>
      <w:bookmarkEnd w:id="439"/>
      <w:bookmarkStart w:id="440" w:name="_Toc184314412"/>
      <w:bookmarkEnd w:id="440"/>
      <w:bookmarkStart w:id="441" w:name="_Toc184308104"/>
      <w:bookmarkEnd w:id="441"/>
      <w:bookmarkStart w:id="442" w:name="_Toc184312080"/>
      <w:bookmarkEnd w:id="442"/>
      <w:bookmarkStart w:id="443" w:name="_Toc184312070"/>
      <w:bookmarkEnd w:id="443"/>
      <w:bookmarkStart w:id="444" w:name="_Toc184314466"/>
      <w:bookmarkEnd w:id="444"/>
      <w:bookmarkStart w:id="445" w:name="_Toc184313261"/>
      <w:bookmarkEnd w:id="445"/>
      <w:bookmarkStart w:id="446" w:name="_Toc184310297"/>
      <w:bookmarkEnd w:id="446"/>
      <w:bookmarkStart w:id="447" w:name="_Toc184314481"/>
      <w:bookmarkEnd w:id="447"/>
      <w:bookmarkStart w:id="448" w:name="_Toc184310279"/>
      <w:bookmarkEnd w:id="448"/>
      <w:bookmarkStart w:id="449" w:name="_Toc184312092"/>
      <w:bookmarkEnd w:id="449"/>
      <w:bookmarkStart w:id="450" w:name="_Toc184308096"/>
      <w:bookmarkEnd w:id="450"/>
      <w:bookmarkStart w:id="451" w:name="_Toc184313280"/>
      <w:bookmarkEnd w:id="451"/>
      <w:bookmarkStart w:id="452" w:name="_Toc184308099"/>
      <w:bookmarkEnd w:id="452"/>
      <w:bookmarkStart w:id="453" w:name="_Toc184314430"/>
      <w:bookmarkEnd w:id="453"/>
      <w:bookmarkStart w:id="454" w:name="_Toc184313244"/>
      <w:bookmarkEnd w:id="454"/>
      <w:bookmarkStart w:id="455" w:name="_Toc184308039"/>
      <w:bookmarkEnd w:id="455"/>
      <w:bookmarkStart w:id="456" w:name="_Toc184314474"/>
      <w:bookmarkEnd w:id="456"/>
      <w:bookmarkStart w:id="457" w:name="_Toc184312121"/>
      <w:bookmarkEnd w:id="457"/>
      <w:bookmarkStart w:id="458" w:name="_Toc184310318"/>
      <w:bookmarkEnd w:id="458"/>
      <w:bookmarkStart w:id="459" w:name="_Toc184313271"/>
      <w:bookmarkEnd w:id="459"/>
      <w:bookmarkStart w:id="460" w:name="_Toc184312109"/>
      <w:bookmarkEnd w:id="460"/>
      <w:bookmarkStart w:id="461" w:name="_Toc184310303"/>
      <w:bookmarkEnd w:id="461"/>
      <w:bookmarkStart w:id="462" w:name="_Toc184308037"/>
      <w:bookmarkEnd w:id="462"/>
      <w:bookmarkStart w:id="463" w:name="_Toc184314432"/>
      <w:bookmarkEnd w:id="463"/>
      <w:bookmarkStart w:id="464" w:name="_Toc184312125"/>
      <w:bookmarkEnd w:id="464"/>
      <w:bookmarkStart w:id="465" w:name="_Toc184312134"/>
      <w:bookmarkEnd w:id="465"/>
      <w:bookmarkStart w:id="466" w:name="_Toc184308082"/>
      <w:bookmarkEnd w:id="466"/>
      <w:bookmarkStart w:id="467" w:name="_Toc184310278"/>
      <w:bookmarkEnd w:id="467"/>
      <w:bookmarkStart w:id="468" w:name="_Toc184313252"/>
      <w:bookmarkEnd w:id="468"/>
      <w:bookmarkStart w:id="469" w:name="_Toc184310312"/>
      <w:bookmarkEnd w:id="469"/>
      <w:bookmarkStart w:id="470" w:name="_Toc184312133"/>
      <w:bookmarkEnd w:id="470"/>
      <w:bookmarkStart w:id="471" w:name="_Toc184308044"/>
      <w:bookmarkEnd w:id="471"/>
      <w:bookmarkStart w:id="472" w:name="_Toc184314452"/>
      <w:bookmarkEnd w:id="472"/>
      <w:bookmarkStart w:id="473" w:name="_Toc184314417"/>
      <w:bookmarkEnd w:id="473"/>
      <w:bookmarkStart w:id="474" w:name="_Toc184312120"/>
      <w:bookmarkEnd w:id="474"/>
      <w:bookmarkStart w:id="475" w:name="_Toc184308093"/>
      <w:bookmarkEnd w:id="475"/>
      <w:bookmarkStart w:id="476" w:name="_Toc184312074"/>
      <w:bookmarkEnd w:id="476"/>
      <w:bookmarkStart w:id="477" w:name="_Toc184312082"/>
      <w:bookmarkEnd w:id="477"/>
      <w:bookmarkStart w:id="478" w:name="_Toc184312107"/>
      <w:bookmarkEnd w:id="478"/>
      <w:bookmarkStart w:id="479" w:name="_Toc184313246"/>
      <w:bookmarkEnd w:id="479"/>
      <w:bookmarkStart w:id="480" w:name="_Toc184308050"/>
      <w:bookmarkEnd w:id="480"/>
      <w:bookmarkStart w:id="481" w:name="_Toc184308062"/>
      <w:bookmarkEnd w:id="481"/>
      <w:bookmarkStart w:id="482" w:name="_Toc184310342"/>
      <w:bookmarkEnd w:id="482"/>
      <w:bookmarkStart w:id="483" w:name="_Toc184308088"/>
      <w:bookmarkEnd w:id="483"/>
      <w:bookmarkStart w:id="484" w:name="_Toc184312111"/>
      <w:bookmarkEnd w:id="484"/>
      <w:bookmarkStart w:id="485" w:name="_Toc184314456"/>
      <w:bookmarkEnd w:id="485"/>
      <w:bookmarkStart w:id="486" w:name="_Toc184313255"/>
      <w:bookmarkEnd w:id="486"/>
      <w:bookmarkStart w:id="487" w:name="_Toc184310339"/>
      <w:bookmarkEnd w:id="487"/>
      <w:bookmarkStart w:id="488" w:name="_Toc184313267"/>
      <w:bookmarkEnd w:id="488"/>
      <w:bookmarkStart w:id="489" w:name="_Toc184310280"/>
      <w:bookmarkEnd w:id="489"/>
      <w:bookmarkStart w:id="490" w:name="_Toc184312130"/>
      <w:bookmarkEnd w:id="490"/>
      <w:bookmarkStart w:id="491" w:name="_Toc184308041"/>
      <w:bookmarkEnd w:id="491"/>
      <w:bookmarkStart w:id="492" w:name="_Toc184313269"/>
      <w:bookmarkEnd w:id="492"/>
      <w:bookmarkStart w:id="493" w:name="_Toc184313306"/>
      <w:bookmarkEnd w:id="493"/>
      <w:bookmarkStart w:id="494" w:name="_Toc184313282"/>
      <w:bookmarkEnd w:id="494"/>
      <w:bookmarkStart w:id="495" w:name="_Toc184308043"/>
      <w:bookmarkEnd w:id="495"/>
      <w:bookmarkStart w:id="496" w:name="_Toc184312075"/>
      <w:bookmarkEnd w:id="496"/>
      <w:bookmarkStart w:id="497" w:name="_Toc184308106"/>
      <w:bookmarkEnd w:id="497"/>
      <w:bookmarkStart w:id="498" w:name="_Toc184310344"/>
      <w:bookmarkEnd w:id="498"/>
      <w:bookmarkStart w:id="499" w:name="_Toc184313288"/>
      <w:bookmarkEnd w:id="499"/>
      <w:bookmarkStart w:id="500" w:name="_Toc184308075"/>
      <w:bookmarkEnd w:id="500"/>
      <w:bookmarkStart w:id="501" w:name="_Toc184314416"/>
      <w:bookmarkEnd w:id="501"/>
      <w:bookmarkStart w:id="502" w:name="_Toc184314477"/>
      <w:bookmarkEnd w:id="502"/>
      <w:bookmarkStart w:id="503" w:name="_Toc184312072"/>
      <w:bookmarkEnd w:id="503"/>
      <w:bookmarkStart w:id="504" w:name="_Toc184313300"/>
      <w:bookmarkEnd w:id="504"/>
      <w:bookmarkStart w:id="505" w:name="_Toc184314435"/>
      <w:bookmarkEnd w:id="505"/>
      <w:bookmarkStart w:id="506" w:name="_Toc184313285"/>
      <w:bookmarkEnd w:id="506"/>
      <w:bookmarkStart w:id="507" w:name="_Toc184310333"/>
      <w:bookmarkEnd w:id="507"/>
      <w:bookmarkStart w:id="508" w:name="_Toc184313245"/>
      <w:bookmarkEnd w:id="508"/>
      <w:bookmarkStart w:id="509" w:name="_Toc184314415"/>
      <w:bookmarkEnd w:id="509"/>
      <w:bookmarkStart w:id="510" w:name="_Toc184314460"/>
      <w:bookmarkEnd w:id="510"/>
      <w:bookmarkStart w:id="511" w:name="_Toc184310290"/>
      <w:bookmarkEnd w:id="511"/>
      <w:bookmarkStart w:id="512" w:name="_Toc184314471"/>
      <w:bookmarkEnd w:id="512"/>
      <w:bookmarkStart w:id="513" w:name="_Toc184314470"/>
      <w:bookmarkEnd w:id="513"/>
      <w:bookmarkStart w:id="514" w:name="_Toc184312123"/>
      <w:bookmarkEnd w:id="514"/>
      <w:bookmarkStart w:id="515" w:name="_Toc184308080"/>
      <w:bookmarkEnd w:id="515"/>
      <w:bookmarkStart w:id="516" w:name="_Toc184310272"/>
      <w:bookmarkEnd w:id="516"/>
      <w:bookmarkStart w:id="517" w:name="_Toc184310320"/>
      <w:bookmarkEnd w:id="517"/>
      <w:bookmarkStart w:id="518" w:name="_Toc184314418"/>
      <w:bookmarkEnd w:id="518"/>
      <w:bookmarkStart w:id="519" w:name="_Toc184314433"/>
      <w:bookmarkEnd w:id="519"/>
      <w:bookmarkStart w:id="520" w:name="_Toc184313286"/>
      <w:bookmarkEnd w:id="520"/>
      <w:bookmarkStart w:id="521" w:name="_Toc184312077"/>
      <w:bookmarkEnd w:id="521"/>
      <w:bookmarkStart w:id="522" w:name="_Toc184314448"/>
      <w:bookmarkEnd w:id="522"/>
      <w:bookmarkStart w:id="523" w:name="_Toc184314461"/>
      <w:bookmarkEnd w:id="523"/>
      <w:bookmarkStart w:id="524" w:name="_Toc184310316"/>
      <w:bookmarkEnd w:id="524"/>
      <w:bookmarkStart w:id="525" w:name="_Toc184313284"/>
      <w:bookmarkEnd w:id="525"/>
      <w:bookmarkStart w:id="526" w:name="_Toc184308076"/>
      <w:bookmarkEnd w:id="526"/>
      <w:bookmarkStart w:id="527" w:name="_Toc184308071"/>
      <w:bookmarkEnd w:id="527"/>
      <w:bookmarkStart w:id="528" w:name="_Toc184313310"/>
      <w:bookmarkEnd w:id="528"/>
      <w:bookmarkStart w:id="529" w:name="_Toc184313296"/>
      <w:bookmarkEnd w:id="529"/>
      <w:bookmarkStart w:id="530" w:name="_Toc184308060"/>
      <w:bookmarkEnd w:id="530"/>
      <w:bookmarkStart w:id="531" w:name="_Toc184313265"/>
      <w:bookmarkEnd w:id="531"/>
      <w:bookmarkStart w:id="532" w:name="_Toc184312139"/>
      <w:bookmarkEnd w:id="532"/>
      <w:bookmarkStart w:id="533" w:name="_Toc184312113"/>
      <w:bookmarkEnd w:id="533"/>
      <w:bookmarkStart w:id="534" w:name="_Toc184314457"/>
      <w:bookmarkEnd w:id="534"/>
      <w:bookmarkStart w:id="535" w:name="_Toc184310277"/>
      <w:bookmarkEnd w:id="535"/>
      <w:bookmarkStart w:id="536" w:name="_Toc184308036"/>
      <w:bookmarkEnd w:id="536"/>
      <w:bookmarkStart w:id="537" w:name="_Toc184308038"/>
      <w:bookmarkEnd w:id="537"/>
      <w:bookmarkStart w:id="538" w:name="_Toc184313309"/>
      <w:bookmarkEnd w:id="538"/>
      <w:bookmarkStart w:id="539" w:name="_Toc184312073"/>
      <w:bookmarkEnd w:id="539"/>
      <w:bookmarkStart w:id="540" w:name="_Toc184314427"/>
      <w:bookmarkEnd w:id="540"/>
      <w:bookmarkStart w:id="541" w:name="_Toc184312071"/>
      <w:bookmarkEnd w:id="541"/>
      <w:bookmarkStart w:id="542" w:name="_Toc184312122"/>
      <w:bookmarkEnd w:id="542"/>
      <w:bookmarkStart w:id="543" w:name="_Toc184312076"/>
      <w:bookmarkEnd w:id="543"/>
      <w:bookmarkStart w:id="544" w:name="_Toc184314444"/>
      <w:bookmarkEnd w:id="544"/>
      <w:bookmarkStart w:id="545" w:name="_Toc184314469"/>
      <w:bookmarkEnd w:id="545"/>
      <w:bookmarkStart w:id="546" w:name="_Toc184313304"/>
      <w:bookmarkEnd w:id="546"/>
      <w:bookmarkStart w:id="547" w:name="_Toc184308089"/>
      <w:bookmarkEnd w:id="547"/>
      <w:bookmarkStart w:id="548" w:name="_Toc184308098"/>
      <w:bookmarkEnd w:id="548"/>
      <w:bookmarkStart w:id="549" w:name="_Toc184310276"/>
      <w:bookmarkEnd w:id="549"/>
      <w:bookmarkStart w:id="550" w:name="_Toc184313260"/>
      <w:bookmarkEnd w:id="550"/>
      <w:bookmarkStart w:id="551" w:name="_Toc184312137"/>
      <w:bookmarkEnd w:id="551"/>
      <w:bookmarkStart w:id="552" w:name="_Toc184310300"/>
      <w:bookmarkEnd w:id="552"/>
      <w:bookmarkStart w:id="553" w:name="_Toc184312110"/>
      <w:bookmarkEnd w:id="553"/>
      <w:bookmarkStart w:id="554" w:name="_Toc184312104"/>
      <w:bookmarkEnd w:id="554"/>
      <w:bookmarkStart w:id="555" w:name="_Toc184313290"/>
      <w:bookmarkEnd w:id="555"/>
      <w:bookmarkStart w:id="556" w:name="_Toc184308084"/>
      <w:bookmarkEnd w:id="556"/>
      <w:bookmarkStart w:id="557" w:name="_Toc184308042"/>
      <w:bookmarkEnd w:id="557"/>
      <w:bookmarkStart w:id="558" w:name="_Toc184308094"/>
      <w:bookmarkEnd w:id="558"/>
      <w:bookmarkStart w:id="559" w:name="_Toc184313298"/>
      <w:bookmarkEnd w:id="559"/>
      <w:bookmarkStart w:id="560" w:name="_Toc184313254"/>
      <w:bookmarkEnd w:id="560"/>
      <w:bookmarkStart w:id="561" w:name="_Toc184308107"/>
      <w:bookmarkEnd w:id="561"/>
      <w:bookmarkStart w:id="562" w:name="_Toc184314440"/>
      <w:bookmarkEnd w:id="562"/>
      <w:bookmarkStart w:id="563" w:name="_Toc184312091"/>
      <w:bookmarkEnd w:id="563"/>
      <w:bookmarkStart w:id="564" w:name="_Toc184308059"/>
      <w:bookmarkEnd w:id="564"/>
      <w:bookmarkStart w:id="565" w:name="_Toc184314437"/>
      <w:bookmarkEnd w:id="565"/>
      <w:bookmarkStart w:id="566" w:name="_Toc184310287"/>
      <w:bookmarkEnd w:id="566"/>
      <w:bookmarkStart w:id="567" w:name="_Toc184308090"/>
      <w:bookmarkEnd w:id="567"/>
      <w:bookmarkStart w:id="568" w:name="_Toc184314463"/>
      <w:bookmarkEnd w:id="568"/>
      <w:bookmarkStart w:id="569" w:name="_Toc184313295"/>
      <w:bookmarkEnd w:id="569"/>
      <w:bookmarkStart w:id="570" w:name="_Toc184312093"/>
      <w:bookmarkEnd w:id="570"/>
      <w:bookmarkStart w:id="571" w:name="_Toc184314465"/>
      <w:bookmarkEnd w:id="571"/>
      <w:bookmarkStart w:id="572" w:name="_Toc184312114"/>
      <w:bookmarkEnd w:id="572"/>
      <w:bookmarkStart w:id="573" w:name="_Toc184314420"/>
      <w:bookmarkEnd w:id="573"/>
      <w:bookmarkStart w:id="574" w:name="_Toc184313241"/>
      <w:bookmarkEnd w:id="574"/>
      <w:bookmarkStart w:id="575" w:name="_Toc184313243"/>
      <w:bookmarkEnd w:id="575"/>
      <w:bookmarkStart w:id="576" w:name="_Toc184310307"/>
      <w:bookmarkEnd w:id="576"/>
      <w:bookmarkStart w:id="577" w:name="_Toc184312094"/>
      <w:bookmarkEnd w:id="577"/>
      <w:bookmarkStart w:id="578" w:name="_Toc184310285"/>
      <w:bookmarkEnd w:id="578"/>
      <w:bookmarkStart w:id="579" w:name="_Toc184312088"/>
      <w:bookmarkEnd w:id="579"/>
      <w:bookmarkStart w:id="580" w:name="_Toc184314454"/>
      <w:bookmarkEnd w:id="580"/>
      <w:bookmarkStart w:id="581" w:name="_Toc184308105"/>
      <w:bookmarkEnd w:id="581"/>
      <w:bookmarkStart w:id="582" w:name="_Toc184312097"/>
      <w:bookmarkEnd w:id="582"/>
      <w:bookmarkStart w:id="583" w:name="_Toc184313240"/>
      <w:bookmarkEnd w:id="583"/>
      <w:bookmarkStart w:id="584" w:name="_Toc184313292"/>
      <w:bookmarkEnd w:id="584"/>
      <w:bookmarkStart w:id="585" w:name="_Toc184310283"/>
      <w:bookmarkEnd w:id="585"/>
      <w:bookmarkStart w:id="586" w:name="_Toc184310275"/>
      <w:bookmarkEnd w:id="586"/>
      <w:bookmarkStart w:id="587" w:name="_Toc184310308"/>
      <w:bookmarkEnd w:id="587"/>
      <w:bookmarkStart w:id="588" w:name="_Toc184310338"/>
      <w:bookmarkEnd w:id="588"/>
      <w:bookmarkStart w:id="589" w:name="_Toc184310310"/>
      <w:bookmarkEnd w:id="589"/>
      <w:bookmarkStart w:id="590" w:name="_Toc184312124"/>
      <w:bookmarkEnd w:id="590"/>
      <w:bookmarkStart w:id="591" w:name="_Toc184312098"/>
      <w:bookmarkEnd w:id="591"/>
      <w:bookmarkStart w:id="592" w:name="_Toc184310284"/>
      <w:bookmarkEnd w:id="592"/>
      <w:bookmarkStart w:id="593" w:name="_Toc184312079"/>
      <w:bookmarkEnd w:id="593"/>
      <w:bookmarkStart w:id="594" w:name="_Toc184310298"/>
      <w:bookmarkEnd w:id="594"/>
      <w:bookmarkStart w:id="595" w:name="_Toc184314434"/>
      <w:bookmarkEnd w:id="595"/>
      <w:bookmarkStart w:id="596" w:name="_Toc184314468"/>
      <w:bookmarkEnd w:id="596"/>
      <w:bookmarkStart w:id="597" w:name="_Toc184308092"/>
      <w:bookmarkEnd w:id="597"/>
      <w:bookmarkStart w:id="598" w:name="_Toc184308108"/>
      <w:bookmarkEnd w:id="598"/>
      <w:bookmarkStart w:id="599" w:name="_Toc184310336"/>
      <w:bookmarkEnd w:id="599"/>
      <w:bookmarkStart w:id="600" w:name="_Toc184312128"/>
      <w:bookmarkEnd w:id="600"/>
      <w:bookmarkStart w:id="601" w:name="_Toc184313264"/>
      <w:bookmarkEnd w:id="601"/>
      <w:bookmarkStart w:id="602" w:name="_Toc184314479"/>
      <w:bookmarkEnd w:id="602"/>
      <w:bookmarkStart w:id="603" w:name="_Toc184308083"/>
      <w:bookmarkEnd w:id="603"/>
      <w:bookmarkStart w:id="604" w:name="_Toc184310321"/>
      <w:bookmarkEnd w:id="604"/>
      <w:bookmarkStart w:id="605" w:name="_Toc184310293"/>
      <w:bookmarkEnd w:id="605"/>
      <w:bookmarkStart w:id="606" w:name="_Toc184310327"/>
      <w:bookmarkEnd w:id="606"/>
      <w:bookmarkStart w:id="607" w:name="_Toc184308081"/>
      <w:bookmarkEnd w:id="607"/>
      <w:bookmarkStart w:id="608" w:name="_Toc184310326"/>
      <w:bookmarkEnd w:id="608"/>
      <w:bookmarkStart w:id="609" w:name="_Toc184308073"/>
      <w:bookmarkEnd w:id="609"/>
      <w:bookmarkStart w:id="610" w:name="_Toc184314464"/>
      <w:bookmarkEnd w:id="610"/>
      <w:bookmarkStart w:id="611" w:name="_Toc184310329"/>
      <w:bookmarkEnd w:id="611"/>
      <w:bookmarkStart w:id="612" w:name="_Toc184308091"/>
      <w:bookmarkEnd w:id="612"/>
      <w:bookmarkStart w:id="613" w:name="_Toc184314451"/>
      <w:bookmarkEnd w:id="613"/>
      <w:bookmarkStart w:id="614" w:name="_Toc184313259"/>
      <w:bookmarkEnd w:id="614"/>
      <w:bookmarkStart w:id="615" w:name="_Toc184313281"/>
      <w:bookmarkEnd w:id="615"/>
      <w:bookmarkStart w:id="616" w:name="_Toc184314459"/>
      <w:bookmarkEnd w:id="616"/>
      <w:bookmarkStart w:id="617" w:name="_Toc184310286"/>
      <w:bookmarkEnd w:id="617"/>
      <w:bookmarkStart w:id="618" w:name="_Toc184313302"/>
      <w:bookmarkEnd w:id="618"/>
      <w:bookmarkStart w:id="619" w:name="_Toc184313248"/>
      <w:bookmarkEnd w:id="619"/>
      <w:bookmarkStart w:id="620" w:name="_Toc184314424"/>
      <w:bookmarkEnd w:id="620"/>
      <w:bookmarkStart w:id="621" w:name="_Toc184313277"/>
      <w:bookmarkEnd w:id="621"/>
      <w:bookmarkStart w:id="622" w:name="_Toc184308052"/>
      <w:bookmarkEnd w:id="622"/>
      <w:bookmarkStart w:id="623" w:name="_Toc184310328"/>
      <w:bookmarkEnd w:id="623"/>
      <w:bookmarkStart w:id="624" w:name="_Toc184312127"/>
      <w:bookmarkEnd w:id="624"/>
      <w:bookmarkStart w:id="625" w:name="_Toc184310304"/>
      <w:bookmarkEnd w:id="625"/>
      <w:bookmarkStart w:id="626" w:name="_Toc184313238"/>
      <w:bookmarkEnd w:id="626"/>
      <w:bookmarkStart w:id="627" w:name="_Toc184313308"/>
      <w:bookmarkEnd w:id="627"/>
      <w:bookmarkStart w:id="628" w:name="_Toc184314419"/>
      <w:bookmarkEnd w:id="628"/>
      <w:bookmarkStart w:id="629" w:name="_Toc184312102"/>
      <w:bookmarkEnd w:id="629"/>
      <w:bookmarkStart w:id="630" w:name="_Toc184310331"/>
      <w:bookmarkEnd w:id="630"/>
      <w:bookmarkStart w:id="631" w:name="_Toc184314421"/>
      <w:bookmarkEnd w:id="631"/>
      <w:bookmarkStart w:id="632" w:name="_Toc184310337"/>
      <w:bookmarkEnd w:id="632"/>
      <w:bookmarkStart w:id="633" w:name="_Toc184310295"/>
      <w:bookmarkEnd w:id="633"/>
      <w:bookmarkStart w:id="634" w:name="_Toc184312119"/>
      <w:bookmarkEnd w:id="634"/>
      <w:bookmarkStart w:id="635" w:name="_Toc184308097"/>
      <w:bookmarkEnd w:id="635"/>
      <w:bookmarkStart w:id="636" w:name="_Toc184310330"/>
      <w:bookmarkEnd w:id="636"/>
      <w:bookmarkStart w:id="637" w:name="_Toc184308085"/>
      <w:bookmarkEnd w:id="637"/>
      <w:bookmarkStart w:id="638" w:name="_Toc184312096"/>
      <w:bookmarkEnd w:id="638"/>
      <w:bookmarkStart w:id="639" w:name="_Toc184313263"/>
      <w:bookmarkEnd w:id="639"/>
      <w:bookmarkStart w:id="640" w:name="_Toc184313294"/>
      <w:bookmarkEnd w:id="640"/>
      <w:bookmarkStart w:id="641" w:name="_Toc184314423"/>
      <w:bookmarkEnd w:id="641"/>
      <w:bookmarkStart w:id="642" w:name="_Toc184310299"/>
      <w:bookmarkEnd w:id="642"/>
      <w:bookmarkStart w:id="643" w:name="_Toc184308070"/>
      <w:bookmarkEnd w:id="643"/>
      <w:bookmarkStart w:id="644" w:name="_Toc184312105"/>
      <w:bookmarkEnd w:id="644"/>
      <w:bookmarkStart w:id="645" w:name="_Toc184314480"/>
      <w:bookmarkEnd w:id="645"/>
      <w:bookmarkStart w:id="646" w:name="_Toc184314475"/>
      <w:bookmarkEnd w:id="646"/>
      <w:bookmarkStart w:id="647" w:name="_Toc184312068"/>
      <w:bookmarkEnd w:id="647"/>
      <w:bookmarkStart w:id="648" w:name="_Toc184313301"/>
      <w:bookmarkEnd w:id="648"/>
      <w:bookmarkStart w:id="649" w:name="_Toc184308067"/>
      <w:bookmarkEnd w:id="649"/>
      <w:bookmarkStart w:id="650" w:name="_Toc184310325"/>
      <w:bookmarkEnd w:id="650"/>
      <w:bookmarkStart w:id="651" w:name="_Toc184313250"/>
      <w:bookmarkEnd w:id="651"/>
      <w:bookmarkStart w:id="652" w:name="_Toc184308078"/>
      <w:bookmarkEnd w:id="652"/>
      <w:bookmarkStart w:id="653" w:name="_Toc184312108"/>
      <w:bookmarkEnd w:id="653"/>
      <w:bookmarkStart w:id="654" w:name="_Toc184313274"/>
      <w:bookmarkEnd w:id="654"/>
      <w:bookmarkStart w:id="655" w:name="_Toc184312081"/>
      <w:bookmarkEnd w:id="655"/>
      <w:bookmarkStart w:id="656" w:name="_Toc184310306"/>
      <w:bookmarkEnd w:id="656"/>
      <w:bookmarkStart w:id="657" w:name="_Toc184314422"/>
      <w:bookmarkEnd w:id="657"/>
      <w:bookmarkStart w:id="658" w:name="_Toc184310332"/>
      <w:bookmarkEnd w:id="658"/>
      <w:bookmarkStart w:id="659" w:name="_Toc184310289"/>
      <w:bookmarkEnd w:id="659"/>
      <w:bookmarkStart w:id="660" w:name="_Toc184314473"/>
      <w:bookmarkEnd w:id="660"/>
      <w:bookmarkStart w:id="661" w:name="_Toc184314428"/>
      <w:bookmarkEnd w:id="661"/>
      <w:bookmarkStart w:id="662" w:name="_Toc184313299"/>
      <w:bookmarkEnd w:id="662"/>
      <w:bookmarkStart w:id="663" w:name="_Toc184313266"/>
      <w:bookmarkEnd w:id="663"/>
      <w:bookmarkStart w:id="664" w:name="_Toc184314476"/>
      <w:bookmarkEnd w:id="664"/>
      <w:bookmarkStart w:id="665" w:name="_Toc184308068"/>
      <w:bookmarkEnd w:id="665"/>
      <w:bookmarkStart w:id="666" w:name="_Toc184312078"/>
      <w:bookmarkEnd w:id="666"/>
      <w:bookmarkStart w:id="667" w:name="_Toc184313278"/>
      <w:bookmarkEnd w:id="667"/>
      <w:bookmarkStart w:id="668" w:name="_Toc184308046"/>
      <w:bookmarkEnd w:id="668"/>
      <w:bookmarkStart w:id="669" w:name="_Toc184313239"/>
      <w:bookmarkEnd w:id="669"/>
      <w:bookmarkStart w:id="670" w:name="_Toc184313291"/>
      <w:bookmarkEnd w:id="670"/>
      <w:bookmarkStart w:id="671" w:name="_Toc184310322"/>
      <w:bookmarkEnd w:id="671"/>
      <w:bookmarkStart w:id="672" w:name="_Toc184310315"/>
      <w:bookmarkEnd w:id="672"/>
      <w:bookmarkStart w:id="673" w:name="_Toc184310282"/>
      <w:bookmarkEnd w:id="673"/>
      <w:bookmarkStart w:id="674" w:name="_Toc184313270"/>
      <w:bookmarkEnd w:id="674"/>
      <w:bookmarkStart w:id="675" w:name="_Toc184313247"/>
      <w:bookmarkEnd w:id="675"/>
      <w:bookmarkStart w:id="676" w:name="_Toc184314426"/>
      <w:bookmarkEnd w:id="676"/>
      <w:bookmarkStart w:id="677" w:name="_Toc184310288"/>
      <w:bookmarkEnd w:id="677"/>
      <w:bookmarkStart w:id="678" w:name="_Toc184312115"/>
      <w:bookmarkEnd w:id="678"/>
      <w:r>
        <w:rPr>
          <w:rFonts w:hint="eastAsia" w:ascii="宋体" w:hAnsi="宋体" w:eastAsia="宋体" w:cs="宋体"/>
          <w:b/>
          <w:color w:val="auto"/>
          <w:sz w:val="36"/>
          <w:szCs w:val="36"/>
          <w:highlight w:val="none"/>
        </w:rPr>
        <w:t>评标办法</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color w:val="auto"/>
          <w:highlight w:val="none"/>
        </w:rPr>
      </w:pPr>
      <w:r>
        <w:rPr>
          <w:rFonts w:hint="eastAsia" w:ascii="宋体" w:hAnsi="宋体" w:eastAsia="宋体" w:cs="宋体"/>
          <w:b/>
          <w:color w:val="auto"/>
          <w:sz w:val="32"/>
          <w:highlight w:val="none"/>
        </w:rPr>
        <w:t>二、评标标准</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070"/>
        <w:gridCol w:w="680"/>
        <w:gridCol w:w="5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6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标准分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报价部分</w:t>
            </w:r>
            <w:r>
              <w:rPr>
                <w:rFonts w:hint="eastAsia" w:ascii="宋体" w:hAnsi="宋体" w:cs="宋体"/>
                <w:color w:val="auto"/>
                <w:kern w:val="0"/>
                <w:sz w:val="24"/>
                <w:szCs w:val="24"/>
                <w:highlight w:val="none"/>
                <w:lang w:val="en-US" w:eastAsia="zh-CN"/>
              </w:rPr>
              <w:t>(15分）</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价格评分将在有效投标人范围内进行，最高得</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分，最低得0分（小数点后保留二位小数，第三位四舍五入）。满足采购文件要求且投标价格最低的</w:t>
            </w:r>
            <w:r>
              <w:rPr>
                <w:rFonts w:hint="eastAsia" w:ascii="宋体" w:hAnsi="宋体" w:eastAsia="宋体" w:cs="宋体"/>
                <w:b/>
                <w:color w:val="auto"/>
                <w:kern w:val="0"/>
                <w:sz w:val="24"/>
                <w:szCs w:val="24"/>
                <w:highlight w:val="none"/>
                <w:u w:val="thick"/>
              </w:rPr>
              <w:t>投标报价</w:t>
            </w:r>
            <w:r>
              <w:rPr>
                <w:rFonts w:hint="eastAsia" w:ascii="宋体" w:hAnsi="宋体" w:eastAsia="宋体" w:cs="宋体"/>
                <w:color w:val="auto"/>
                <w:kern w:val="0"/>
                <w:sz w:val="24"/>
                <w:szCs w:val="24"/>
                <w:highlight w:val="none"/>
              </w:rPr>
              <w:t>为</w:t>
            </w:r>
            <w:r>
              <w:rPr>
                <w:rFonts w:hint="eastAsia" w:ascii="宋体" w:hAnsi="宋体" w:eastAsia="宋体" w:cs="宋体"/>
                <w:b/>
                <w:color w:val="auto"/>
                <w:kern w:val="0"/>
                <w:sz w:val="24"/>
                <w:szCs w:val="24"/>
                <w:highlight w:val="none"/>
                <w:u w:val="thick"/>
              </w:rPr>
              <w:t>评标基准价</w:t>
            </w:r>
            <w:r>
              <w:rPr>
                <w:rFonts w:hint="eastAsia" w:ascii="宋体" w:hAnsi="宋体" w:eastAsia="宋体" w:cs="宋体"/>
                <w:color w:val="auto"/>
                <w:kern w:val="0"/>
                <w:sz w:val="24"/>
                <w:szCs w:val="24"/>
                <w:highlight w:val="none"/>
              </w:rPr>
              <w:t>，投标人的价格分统一按照下列公式计算：</w:t>
            </w:r>
          </w:p>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w:t>
            </w:r>
            <w:r>
              <w:rPr>
                <w:rFonts w:hint="eastAsia" w:ascii="宋体" w:hAnsi="宋体" w:eastAsia="宋体" w:cs="宋体"/>
                <w:b/>
                <w:color w:val="auto"/>
                <w:kern w:val="0"/>
                <w:sz w:val="24"/>
                <w:szCs w:val="24"/>
                <w:highlight w:val="none"/>
                <w:u w:val="thick"/>
              </w:rPr>
              <w:t>评标基准价</w:t>
            </w:r>
            <w:r>
              <w:rPr>
                <w:rFonts w:hint="eastAsia" w:ascii="宋体" w:hAnsi="宋体" w:eastAsia="宋体" w:cs="宋体"/>
                <w:color w:val="auto"/>
                <w:kern w:val="0"/>
                <w:sz w:val="24"/>
                <w:szCs w:val="24"/>
                <w:highlight w:val="none"/>
              </w:rPr>
              <w:t>/</w:t>
            </w:r>
            <w:r>
              <w:rPr>
                <w:rFonts w:hint="eastAsia" w:ascii="宋体" w:hAnsi="宋体" w:eastAsia="宋体" w:cs="宋体"/>
                <w:b/>
                <w:color w:val="auto"/>
                <w:kern w:val="0"/>
                <w:sz w:val="24"/>
                <w:szCs w:val="24"/>
                <w:highlight w:val="none"/>
                <w:u w:val="thick"/>
              </w:rPr>
              <w:t>投标报价</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6"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商务资信部分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4.5分</w:t>
            </w:r>
            <w:r>
              <w:rPr>
                <w:rFonts w:hint="eastAsia" w:ascii="宋体" w:hAnsi="宋体" w:cs="宋体"/>
                <w:color w:val="auto"/>
                <w:kern w:val="0"/>
                <w:sz w:val="24"/>
                <w:szCs w:val="24"/>
                <w:highlight w:val="none"/>
                <w:lang w:eastAsia="zh-CN"/>
              </w:rPr>
              <w:t>）</w:t>
            </w:r>
          </w:p>
        </w:tc>
        <w:tc>
          <w:tcPr>
            <w:tcW w:w="628" w:type="pc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企业认证</w:t>
            </w: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0-3分</w:t>
            </w:r>
          </w:p>
        </w:tc>
        <w:tc>
          <w:tcPr>
            <w:tcW w:w="3395"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 xml:space="preserve">投标人通过质量管理体系认证、环境管理体系认证、职业健康安全管理体系认证，每个得1分，最高得3分，没有的不得分。(须附有效证明材料，复印件加盖公章，否则不得分)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工作业绩</w:t>
            </w: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提供</w:t>
            </w:r>
            <w:r>
              <w:rPr>
                <w:rFonts w:hint="eastAsia" w:ascii="宋体" w:hAnsi="宋体" w:eastAsia="宋体" w:cs="宋体"/>
                <w:color w:val="auto"/>
                <w:kern w:val="2"/>
                <w:sz w:val="24"/>
                <w:szCs w:val="24"/>
                <w:highlight w:val="none"/>
                <w:lang w:val="en-US" w:eastAsia="zh-CN" w:bidi="ar-SA"/>
              </w:rPr>
              <w:t>2019年1月1日（以合同签订时间为准）起的河道养护</w:t>
            </w:r>
            <w:r>
              <w:rPr>
                <w:rFonts w:hint="eastAsia" w:ascii="宋体" w:hAnsi="宋体" w:eastAsia="宋体" w:cs="宋体"/>
                <w:color w:val="auto"/>
                <w:kern w:val="2"/>
                <w:sz w:val="24"/>
                <w:szCs w:val="24"/>
                <w:highlight w:val="none"/>
                <w:lang w:val="zh-CN" w:eastAsia="zh-CN" w:bidi="ar-SA"/>
              </w:rPr>
              <w:t>项目的业绩证明，提供一个业绩得</w:t>
            </w:r>
            <w:r>
              <w:rPr>
                <w:rFonts w:hint="eastAsia" w:ascii="宋体" w:hAnsi="宋体" w:eastAsia="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zh-CN" w:eastAsia="zh-CN" w:bidi="ar-SA"/>
              </w:rPr>
              <w:t>分，本项最高得</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zh-CN" w:eastAsia="zh-CN" w:bidi="ar-SA"/>
              </w:rPr>
              <w:t>分。（需提供中标通知书和养护合同复印件,缺一不可）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技术部分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80.5分</w:t>
            </w:r>
            <w:r>
              <w:rPr>
                <w:rFonts w:hint="eastAsia" w:ascii="宋体" w:hAnsi="宋体" w:cs="宋体"/>
                <w:color w:val="auto"/>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养护方案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32分</w:t>
            </w:r>
            <w:r>
              <w:rPr>
                <w:rFonts w:hint="eastAsia" w:ascii="宋体" w:hAnsi="宋体" w:cs="宋体"/>
                <w:color w:val="auto"/>
                <w:kern w:val="0"/>
                <w:sz w:val="24"/>
                <w:szCs w:val="24"/>
                <w:highlight w:val="none"/>
                <w:lang w:eastAsia="zh-CN"/>
              </w:rPr>
              <w:t>）</w:t>
            </w: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河道养护作业总体技术方案及思路（含河道主体及生态设施），</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方案思路</w:t>
            </w:r>
            <w:r>
              <w:rPr>
                <w:rFonts w:hint="eastAsia" w:ascii="宋体" w:hAnsi="宋体" w:eastAsia="宋体" w:cs="宋体"/>
                <w:color w:val="auto"/>
                <w:kern w:val="0"/>
                <w:sz w:val="24"/>
                <w:szCs w:val="24"/>
                <w:highlight w:val="none"/>
                <w:lang w:eastAsia="zh-CN"/>
              </w:rPr>
              <w:t>编制进行综合打分。（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0-3分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河道养护区域现状调查及问题分析</w:t>
            </w:r>
            <w:r>
              <w:rPr>
                <w:rFonts w:hint="eastAsia" w:ascii="宋体" w:hAnsi="宋体" w:cs="宋体"/>
                <w:color w:val="auto"/>
                <w:kern w:val="0"/>
                <w:sz w:val="24"/>
                <w:szCs w:val="24"/>
                <w:highlight w:val="none"/>
                <w:lang w:eastAsia="zh-CN"/>
              </w:rPr>
              <w:t>；从</w:t>
            </w:r>
            <w:r>
              <w:rPr>
                <w:rFonts w:hint="eastAsia" w:ascii="宋体" w:hAnsi="宋体" w:eastAsia="宋体" w:cs="宋体"/>
                <w:color w:val="auto"/>
                <w:kern w:val="0"/>
                <w:sz w:val="24"/>
                <w:szCs w:val="24"/>
                <w:highlight w:val="none"/>
              </w:rPr>
              <w:t>现状调查内容全面合理</w:t>
            </w:r>
            <w:r>
              <w:rPr>
                <w:rFonts w:hint="eastAsia" w:ascii="宋体" w:hAnsi="宋体" w:cs="宋体"/>
                <w:color w:val="auto"/>
                <w:kern w:val="0"/>
                <w:sz w:val="24"/>
                <w:szCs w:val="24"/>
                <w:highlight w:val="none"/>
                <w:lang w:eastAsia="zh-CN"/>
              </w:rPr>
              <w:t>性、</w:t>
            </w:r>
            <w:r>
              <w:rPr>
                <w:rFonts w:hint="eastAsia" w:ascii="宋体" w:hAnsi="宋体" w:eastAsia="宋体" w:cs="宋体"/>
                <w:color w:val="auto"/>
                <w:kern w:val="0"/>
                <w:sz w:val="24"/>
                <w:szCs w:val="24"/>
                <w:highlight w:val="none"/>
              </w:rPr>
              <w:t>问题分析</w:t>
            </w:r>
            <w:r>
              <w:rPr>
                <w:rFonts w:hint="eastAsia" w:ascii="宋体" w:hAnsi="宋体" w:eastAsia="宋体" w:cs="宋体"/>
                <w:color w:val="auto"/>
                <w:kern w:val="0"/>
                <w:sz w:val="24"/>
                <w:szCs w:val="24"/>
                <w:highlight w:val="none"/>
                <w:lang w:eastAsia="zh-CN"/>
              </w:rPr>
              <w:t>全面合理</w:t>
            </w:r>
            <w:r>
              <w:rPr>
                <w:rFonts w:hint="eastAsia" w:ascii="宋体" w:hAnsi="宋体" w:cs="宋体"/>
                <w:color w:val="auto"/>
                <w:kern w:val="0"/>
                <w:sz w:val="24"/>
                <w:szCs w:val="24"/>
                <w:highlight w:val="none"/>
                <w:lang w:eastAsia="zh-CN"/>
              </w:rPr>
              <w:t>性及</w:t>
            </w:r>
            <w:r>
              <w:rPr>
                <w:rFonts w:hint="eastAsia" w:ascii="宋体" w:hAnsi="宋体" w:eastAsia="宋体" w:cs="宋体"/>
                <w:color w:val="auto"/>
                <w:kern w:val="0"/>
                <w:sz w:val="24"/>
                <w:szCs w:val="24"/>
                <w:highlight w:val="none"/>
              </w:rPr>
              <w:t>针对性</w:t>
            </w:r>
            <w:r>
              <w:rPr>
                <w:rFonts w:hint="eastAsia" w:ascii="宋体" w:hAnsi="宋体" w:cs="宋体"/>
                <w:color w:val="auto"/>
                <w:kern w:val="0"/>
                <w:sz w:val="24"/>
                <w:szCs w:val="24"/>
                <w:highlight w:val="none"/>
                <w:lang w:eastAsia="zh-CN"/>
              </w:rPr>
              <w:t>等方面进行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河道排水（污）口调查及认知情况，长效管养中对排出口的相关处置应对措施，</w:t>
            </w:r>
            <w:r>
              <w:rPr>
                <w:rFonts w:hint="eastAsia" w:ascii="宋体" w:hAnsi="宋体" w:cs="宋体"/>
                <w:color w:val="auto"/>
                <w:kern w:val="0"/>
                <w:sz w:val="24"/>
                <w:szCs w:val="24"/>
                <w:highlight w:val="none"/>
                <w:lang w:eastAsia="zh-CN"/>
              </w:rPr>
              <w:t>认</w:t>
            </w:r>
            <w:r>
              <w:rPr>
                <w:rFonts w:hint="eastAsia" w:ascii="宋体" w:hAnsi="宋体" w:eastAsia="宋体" w:cs="宋体"/>
                <w:color w:val="auto"/>
                <w:kern w:val="0"/>
                <w:sz w:val="24"/>
                <w:szCs w:val="24"/>
                <w:highlight w:val="none"/>
              </w:rPr>
              <w:t>知</w:t>
            </w:r>
            <w:r>
              <w:rPr>
                <w:rFonts w:hint="eastAsia" w:ascii="宋体" w:hAnsi="宋体" w:cs="宋体"/>
                <w:color w:val="auto"/>
                <w:kern w:val="0"/>
                <w:sz w:val="24"/>
                <w:szCs w:val="24"/>
                <w:highlight w:val="none"/>
                <w:lang w:eastAsia="zh-CN"/>
              </w:rPr>
              <w:t>等进行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是否能够通过创新管理、智能化管理等方式进行作业人员及作业效率等管理，提供一项实例证明得1分，最高得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河道巡查及动态情况上报方案</w:t>
            </w:r>
            <w:r>
              <w:rPr>
                <w:rFonts w:hint="eastAsia" w:ascii="宋体" w:hAnsi="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巡查内容、巡查要求、情况上报反馈处置等方面</w:t>
            </w:r>
            <w:r>
              <w:rPr>
                <w:rFonts w:hint="eastAsia" w:ascii="宋体" w:hAnsi="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河道排污口动态监管方案，</w:t>
            </w:r>
            <w:r>
              <w:rPr>
                <w:rFonts w:hint="eastAsia" w:ascii="宋体" w:hAnsi="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排出口巡查机制</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排出口问题发现处置机制</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排出口问题追踪管理机制</w:t>
            </w:r>
            <w:r>
              <w:rPr>
                <w:rFonts w:hint="eastAsia" w:ascii="宋体" w:hAnsi="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方面</w:t>
            </w:r>
            <w:r>
              <w:rPr>
                <w:rFonts w:hint="eastAsia" w:ascii="宋体" w:hAnsi="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人员安全保障措施及方案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0-2分</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养护资料的收集和管理方案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0-2分</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投标人提供针对本项目的项目管理制度，包括①河道巡查制度方面、②安全管理制度方面、③岗位责任考核制度方面、④</w:t>
            </w:r>
            <w:r>
              <w:rPr>
                <w:rFonts w:hint="eastAsia" w:ascii="宋体" w:hAnsi="宋体" w:eastAsia="宋体" w:cs="宋体"/>
                <w:color w:val="auto"/>
                <w:kern w:val="0"/>
                <w:sz w:val="24"/>
                <w:szCs w:val="24"/>
                <w:highlight w:val="none"/>
              </w:rPr>
              <w:t>养护质量管理制度</w:t>
            </w:r>
            <w:r>
              <w:rPr>
                <w:rFonts w:hint="eastAsia" w:ascii="宋体" w:hAnsi="宋体" w:eastAsia="宋体" w:cs="宋体"/>
                <w:color w:val="auto"/>
                <w:sz w:val="24"/>
                <w:szCs w:val="24"/>
                <w:highlight w:val="none"/>
                <w:lang w:val="zh-CN"/>
              </w:rPr>
              <w:t>方面，⑤台账管理制度方面</w:t>
            </w:r>
            <w:r>
              <w:rPr>
                <w:rFonts w:hint="eastAsia" w:ascii="宋体" w:hAnsi="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方面</w:t>
            </w:r>
            <w:r>
              <w:rPr>
                <w:rFonts w:hint="eastAsia" w:ascii="宋体" w:hAnsi="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应急预案</w:t>
            </w:r>
            <w:r>
              <w:rPr>
                <w:rFonts w:hint="eastAsia" w:ascii="宋体" w:hAnsi="宋体" w:cs="宋体"/>
                <w:color w:val="auto"/>
                <w:kern w:val="0"/>
                <w:sz w:val="24"/>
                <w:szCs w:val="24"/>
                <w:highlight w:val="none"/>
                <w:lang w:val="en-US" w:eastAsia="zh-CN"/>
              </w:rPr>
              <w:t>（14分）</w:t>
            </w: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河面保洁应急预案，</w:t>
            </w:r>
            <w:r>
              <w:rPr>
                <w:rFonts w:hint="eastAsia" w:ascii="宋体" w:hAnsi="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各项突发事件及极端天气的应急内容</w:t>
            </w:r>
            <w:r>
              <w:rPr>
                <w:rFonts w:hint="eastAsia" w:ascii="宋体" w:hAnsi="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方面</w:t>
            </w:r>
            <w:r>
              <w:rPr>
                <w:rFonts w:hint="eastAsia" w:ascii="宋体" w:hAnsi="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水体[质]突变应急预案，</w:t>
            </w:r>
            <w:r>
              <w:rPr>
                <w:rFonts w:hint="eastAsia" w:ascii="宋体" w:hAnsi="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水质突变原因分析</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突变处理技术</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有效应急措施</w:t>
            </w:r>
            <w:r>
              <w:rPr>
                <w:rFonts w:hint="eastAsia" w:ascii="宋体" w:hAnsi="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方面</w:t>
            </w:r>
            <w:r>
              <w:rPr>
                <w:rFonts w:hint="eastAsia" w:ascii="宋体" w:hAnsi="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河道保洁安全作业应急预案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0-2分</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重大活动及节假日保障预案</w:t>
            </w:r>
            <w:r>
              <w:rPr>
                <w:rFonts w:hint="eastAsia" w:ascii="宋体" w:hAnsi="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保障目标、组织安排</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有效应对措施</w:t>
            </w:r>
            <w:r>
              <w:rPr>
                <w:rFonts w:hint="eastAsia" w:ascii="宋体" w:hAnsi="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方面</w:t>
            </w:r>
            <w:r>
              <w:rPr>
                <w:rFonts w:hint="eastAsia" w:ascii="宋体" w:hAnsi="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防汛抗台应急预案，</w:t>
            </w:r>
            <w:r>
              <w:rPr>
                <w:rFonts w:hint="eastAsia" w:ascii="宋体" w:hAnsi="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工作目标、组织机构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明确有效应急措施</w:t>
            </w:r>
            <w:r>
              <w:rPr>
                <w:rFonts w:hint="eastAsia" w:ascii="宋体" w:hAnsi="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方面</w:t>
            </w:r>
            <w:r>
              <w:rPr>
                <w:rFonts w:hint="eastAsia" w:ascii="宋体" w:hAnsi="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lang w:eastAsia="zh-CN"/>
              </w:rPr>
              <w:t>综合打分。（</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0-1分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保洁养护质量承诺情况，执行采购人工作范围内下达指令性任务的承诺，同意执行采购人扣分扣款制度的承诺。提供得1分，不提供不得分。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人员安排</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17分</w:t>
            </w:r>
            <w:r>
              <w:rPr>
                <w:rFonts w:hint="eastAsia" w:ascii="宋体" w:hAnsi="宋体" w:cs="宋体"/>
                <w:color w:val="auto"/>
                <w:kern w:val="0"/>
                <w:sz w:val="24"/>
                <w:szCs w:val="24"/>
                <w:highlight w:val="none"/>
                <w:lang w:eastAsia="zh-CN"/>
              </w:rPr>
              <w:t>）</w:t>
            </w: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现场负责人有专业技术职称证书，具有高级市政工程师，得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分。具有中级市政工程师的，得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分。没有不得分。本项最高得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（证明材料：由人事厅或人力资源和社会保障厅颁发的职称证书复印件、劳动合同复印件、企业任职证明文件及近3个月的社保缴纳证明复印件。）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提供投入本项目的管理、巡查人员、养护作业人员的配备情况，满足要求的得1分，人员配备比较充足的得2分，人员配备充足完善的得</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分，本项最高得</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分。（巡查养护人员配备须按照杭州市地方标准DB3301/T0272-2018《城市河道养护管理规范》5.2人员配备及管理中要求配备到位。）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养护人员安排情况（河道主体、生态设施养护人员分段投入情况、作业时间、方法、线路等）及人员投入（每条河道的一线长效养护管理人员均需分河道明确人数）：①养护人员安排情况及人员投入</w:t>
            </w:r>
            <w:r>
              <w:rPr>
                <w:rFonts w:hint="eastAsia" w:ascii="宋体" w:hAnsi="宋体" w:eastAsia="宋体" w:cs="宋体"/>
                <w:color w:val="auto"/>
                <w:sz w:val="24"/>
                <w:szCs w:val="24"/>
                <w:highlight w:val="none"/>
                <w:lang w:val="zh-CN" w:eastAsia="zh-CN"/>
              </w:rPr>
              <w:t>②</w:t>
            </w:r>
            <w:r>
              <w:rPr>
                <w:rFonts w:hint="eastAsia" w:ascii="宋体" w:hAnsi="宋体" w:eastAsia="宋体" w:cs="宋体"/>
                <w:color w:val="auto"/>
                <w:kern w:val="0"/>
                <w:sz w:val="24"/>
                <w:szCs w:val="24"/>
                <w:highlight w:val="none"/>
                <w:lang w:val="en-US" w:eastAsia="zh-CN"/>
              </w:rPr>
              <w:t>养护作业时间安排</w:t>
            </w:r>
            <w:r>
              <w:rPr>
                <w:rFonts w:hint="eastAsia" w:ascii="宋体" w:hAnsi="宋体" w:eastAsia="宋体" w:cs="宋体"/>
                <w:color w:val="auto"/>
                <w:sz w:val="24"/>
                <w:szCs w:val="24"/>
                <w:highlight w:val="none"/>
                <w:lang w:val="zh-CN" w:eastAsia="zh-CN"/>
              </w:rPr>
              <w:t>③</w:t>
            </w:r>
            <w:r>
              <w:rPr>
                <w:rFonts w:hint="eastAsia" w:ascii="宋体" w:hAnsi="宋体" w:eastAsia="宋体" w:cs="宋体"/>
                <w:color w:val="auto"/>
                <w:kern w:val="0"/>
                <w:sz w:val="24"/>
                <w:szCs w:val="24"/>
                <w:highlight w:val="none"/>
                <w:lang w:val="en-US" w:eastAsia="zh-CN"/>
              </w:rPr>
              <w:t>养护线路安排</w:t>
            </w:r>
            <w:r>
              <w:rPr>
                <w:rFonts w:hint="eastAsia" w:ascii="宋体" w:hAnsi="宋体" w:eastAsia="宋体" w:cs="宋体"/>
                <w:color w:val="auto"/>
                <w:sz w:val="24"/>
                <w:szCs w:val="24"/>
                <w:highlight w:val="none"/>
                <w:lang w:val="zh-CN" w:eastAsia="zh-CN"/>
              </w:rPr>
              <w:t>④养护</w:t>
            </w:r>
            <w:r>
              <w:rPr>
                <w:rFonts w:hint="eastAsia" w:ascii="宋体" w:hAnsi="宋体" w:eastAsia="宋体" w:cs="宋体"/>
                <w:color w:val="auto"/>
                <w:kern w:val="0"/>
                <w:sz w:val="24"/>
                <w:szCs w:val="24"/>
                <w:highlight w:val="none"/>
                <w:lang w:val="en-US" w:eastAsia="zh-CN"/>
              </w:rPr>
              <w:t>方法</w:t>
            </w:r>
            <w:r>
              <w:rPr>
                <w:rFonts w:hint="eastAsia"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每一项</w:t>
            </w:r>
            <w:r>
              <w:rPr>
                <w:rFonts w:hint="eastAsia" w:hAnsi="宋体" w:cs="宋体"/>
                <w:color w:val="auto"/>
                <w:kern w:val="0"/>
                <w:sz w:val="24"/>
                <w:szCs w:val="24"/>
                <w:highlight w:val="none"/>
                <w:lang w:val="en-US" w:eastAsia="zh-CN"/>
              </w:rPr>
              <w:t>最高</w:t>
            </w:r>
            <w:r>
              <w:rPr>
                <w:rFonts w:hint="eastAsia" w:ascii="宋体" w:hAnsi="宋体" w:eastAsia="宋体" w:cs="宋体"/>
                <w:color w:val="auto"/>
                <w:kern w:val="0"/>
                <w:sz w:val="24"/>
                <w:szCs w:val="24"/>
                <w:highlight w:val="none"/>
                <w:lang w:val="en-US" w:eastAsia="zh-CN"/>
              </w:rPr>
              <w:t>得</w:t>
            </w:r>
            <w:r>
              <w:rPr>
                <w:rFonts w:hint="eastAsia"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分，本项最高得</w:t>
            </w:r>
            <w:r>
              <w:rPr>
                <w:rFonts w:hint="eastAsia"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投标人拥有注册安全工程师的，得</w:t>
            </w: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分（需提供建设部门颁发的安全生产考核证书）。现场配备专职安全员的（需提供建设部门颁发的安全生产考核证书），得</w:t>
            </w: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分。不提供的，该项不得分。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0-2分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cs="仿宋_GB2312"/>
                <w:color w:val="auto"/>
                <w:sz w:val="24"/>
                <w:highlight w:val="none"/>
              </w:rPr>
              <w:t>定期开展安全生产培训，</w:t>
            </w:r>
            <w:r>
              <w:rPr>
                <w:rFonts w:hint="eastAsia" w:hAnsi="宋体" w:cs="仿宋_GB2312"/>
                <w:color w:val="auto"/>
                <w:sz w:val="24"/>
                <w:highlight w:val="none"/>
                <w:lang w:val="en-US" w:eastAsia="zh-CN"/>
              </w:rPr>
              <w:t>提供培训</w:t>
            </w:r>
            <w:r>
              <w:rPr>
                <w:rFonts w:hint="eastAsia" w:ascii="宋体" w:hAnsi="宋体" w:cs="仿宋_GB2312"/>
                <w:color w:val="auto"/>
                <w:sz w:val="24"/>
                <w:highlight w:val="none"/>
              </w:rPr>
              <w:t>记录的，得</w:t>
            </w:r>
            <w:r>
              <w:rPr>
                <w:rFonts w:hint="eastAsia" w:hAnsi="宋体" w:cs="仿宋_GB2312"/>
                <w:color w:val="auto"/>
                <w:sz w:val="24"/>
                <w:highlight w:val="none"/>
                <w:lang w:val="en-US" w:eastAsia="zh-CN"/>
              </w:rPr>
              <w:t>2</w:t>
            </w:r>
            <w:r>
              <w:rPr>
                <w:rFonts w:hint="eastAsia" w:ascii="宋体" w:hAnsi="宋体" w:cs="仿宋_GB2312"/>
                <w:color w:val="auto"/>
                <w:sz w:val="24"/>
                <w:highlight w:val="none"/>
              </w:rPr>
              <w:t>分，未定期开展培训无记录的，该项不得分。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tcBorders>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before="100" w:beforeAutospacing="1" w:after="100" w:afterAutospacing="1" w:line="24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社保缴纳情况</w:t>
            </w:r>
            <w:r>
              <w:rPr>
                <w:rFonts w:hint="eastAsia" w:hAnsi="宋体" w:cs="宋体"/>
                <w:color w:val="auto"/>
                <w:kern w:val="0"/>
                <w:sz w:val="24"/>
                <w:szCs w:val="24"/>
                <w:highlight w:val="none"/>
                <w:lang w:val="en-US" w:eastAsia="zh-CN"/>
              </w:rPr>
              <w:t>（2分）</w:t>
            </w: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项目部管理人员、专职安全员必须在投标人单位缴纳社保，提供社保证明的得1分。现场巡查、养护作业人员必须购买人身意外保险，提供相关证明的得1分</w:t>
            </w:r>
            <w:r>
              <w:rPr>
                <w:rFonts w:hint="eastAsia" w:hAnsi="宋体" w:cs="宋体"/>
                <w:color w:val="auto"/>
                <w:kern w:val="0"/>
                <w:sz w:val="24"/>
                <w:szCs w:val="24"/>
                <w:highlight w:val="none"/>
                <w:lang w:val="en-US" w:eastAsia="zh-CN"/>
              </w:rPr>
              <w:t>，不提供不得分</w:t>
            </w:r>
            <w:r>
              <w:rPr>
                <w:rFonts w:hint="eastAsia" w:ascii="宋体" w:hAnsi="宋体" w:eastAsia="宋体" w:cs="宋体"/>
                <w:color w:val="auto"/>
                <w:kern w:val="0"/>
                <w:sz w:val="24"/>
                <w:szCs w:val="24"/>
                <w:highlight w:val="none"/>
                <w:lang w:val="en-US" w:eastAsia="zh-CN"/>
              </w:rPr>
              <w:t>。本项最高得2分。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设备配备</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14分</w:t>
            </w:r>
            <w:r>
              <w:rPr>
                <w:rFonts w:hint="eastAsia" w:ascii="宋体" w:hAnsi="宋体" w:cs="宋体"/>
                <w:color w:val="auto"/>
                <w:kern w:val="0"/>
                <w:sz w:val="24"/>
                <w:szCs w:val="24"/>
                <w:highlight w:val="none"/>
                <w:lang w:eastAsia="zh-CN"/>
              </w:rPr>
              <w:t>）</w:t>
            </w: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提供满足采购需求的船只后，每增加一艘符合项目要求的船只得1分，本项最高得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0-1分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本项目须配备河道专用巡查车1辆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须提供以下两种材料中任意一种：1.提供投标人购置发票、车辆行驶证；2.政府划拨的须提供资产划拨单、原采购单位的购置发票、车辆行驶证。证明材料不提供或提供不全的不得分)</w:t>
            </w:r>
            <w:r>
              <w:rPr>
                <w:rFonts w:hint="eastAsia" w:ascii="宋体" w:hAnsi="宋体" w:cs="宋体"/>
                <w:color w:val="auto"/>
                <w:kern w:val="0"/>
                <w:sz w:val="24"/>
                <w:szCs w:val="24"/>
                <w:highlight w:val="none"/>
                <w:lang w:val="en-US" w:eastAsia="zh-CN"/>
              </w:rPr>
              <w:t>，有得1分，无不得分。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0-1分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新型高效河面保洁设备的投入[机动船不计]，有一项得1分，最高得1分。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须提供以下两种材料中任意一种：1.提供投标人购置发票、设备外观照片；2.政府划拨的须提供资产划拨单、原采购单位的购置发票、设备外观照片。证明材料不提供或提供不全的不得分)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olor w:val="auto"/>
                <w:sz w:val="24"/>
                <w:highlight w:val="none"/>
              </w:rPr>
              <w:t>排放口应急处置</w:t>
            </w:r>
            <w:r>
              <w:rPr>
                <w:rFonts w:hint="eastAsia" w:ascii="宋体" w:hAnsi="宋体"/>
                <w:color w:val="auto"/>
                <w:sz w:val="24"/>
                <w:highlight w:val="none"/>
                <w:lang w:val="zh-CN"/>
              </w:rPr>
              <w:t>设备</w:t>
            </w:r>
            <w:r>
              <w:rPr>
                <w:rFonts w:hint="eastAsia" w:ascii="宋体" w:hAnsi="宋体"/>
                <w:color w:val="auto"/>
                <w:sz w:val="24"/>
                <w:highlight w:val="none"/>
                <w:lang w:val="en-US" w:eastAsia="zh-CN"/>
              </w:rPr>
              <w:t>投入</w:t>
            </w:r>
            <w:r>
              <w:rPr>
                <w:rFonts w:hint="eastAsia" w:ascii="宋体" w:hAnsi="宋体"/>
                <w:color w:val="auto"/>
                <w:sz w:val="24"/>
                <w:highlight w:val="none"/>
                <w:lang w:val="zh-CN"/>
              </w:rPr>
              <w:t>：</w:t>
            </w:r>
            <w:r>
              <w:rPr>
                <w:rFonts w:hint="eastAsia" w:ascii="宋体" w:hAnsi="宋体"/>
                <w:color w:val="auto"/>
                <w:sz w:val="24"/>
                <w:highlight w:val="none"/>
                <w:lang w:val="en-US" w:eastAsia="zh-CN"/>
              </w:rPr>
              <w:t>本项目投入大功率</w:t>
            </w:r>
            <w:r>
              <w:rPr>
                <w:rFonts w:hint="eastAsia" w:ascii="宋体" w:hAnsi="宋体"/>
                <w:color w:val="auto"/>
                <w:sz w:val="24"/>
                <w:highlight w:val="none"/>
              </w:rPr>
              <w:t>排水应急抢险</w:t>
            </w:r>
            <w:r>
              <w:rPr>
                <w:rFonts w:hint="eastAsia" w:ascii="宋体" w:hAnsi="宋体"/>
                <w:color w:val="auto"/>
                <w:sz w:val="24"/>
                <w:highlight w:val="none"/>
                <w:lang w:val="en-US" w:eastAsia="zh-CN"/>
              </w:rPr>
              <w:t>泵</w:t>
            </w:r>
            <w:r>
              <w:rPr>
                <w:rFonts w:hint="eastAsia" w:ascii="宋体" w:hAnsi="宋体"/>
                <w:color w:val="auto"/>
                <w:sz w:val="24"/>
                <w:highlight w:val="none"/>
              </w:rPr>
              <w:t>车</w:t>
            </w:r>
            <w:r>
              <w:rPr>
                <w:rFonts w:hint="eastAsia" w:ascii="宋体" w:hAnsi="宋体"/>
                <w:color w:val="auto"/>
                <w:sz w:val="24"/>
                <w:highlight w:val="none"/>
                <w:lang w:val="en-US" w:eastAsia="zh-CN"/>
              </w:rPr>
              <w:t>的（不小于1500m</w:t>
            </w:r>
            <w:r>
              <w:rPr>
                <w:rFonts w:hint="eastAsia" w:ascii="宋体" w:hAnsi="宋体"/>
                <w:color w:val="auto"/>
                <w:sz w:val="24"/>
                <w:highlight w:val="none"/>
                <w:vertAlign w:val="superscript"/>
                <w:lang w:val="en-US" w:eastAsia="zh-CN"/>
              </w:rPr>
              <w:t>3</w:t>
            </w:r>
            <w:r>
              <w:rPr>
                <w:rFonts w:hint="eastAsia" w:ascii="宋体" w:hAnsi="宋体"/>
                <w:color w:val="auto"/>
                <w:sz w:val="24"/>
                <w:highlight w:val="none"/>
                <w:lang w:val="en-US" w:eastAsia="zh-CN"/>
              </w:rPr>
              <w:t>/s），得3分，无不得分。配备</w:t>
            </w:r>
            <w:r>
              <w:rPr>
                <w:rFonts w:hint="eastAsia" w:ascii="宋体" w:hAnsi="宋体"/>
                <w:color w:val="auto"/>
                <w:sz w:val="24"/>
                <w:highlight w:val="none"/>
              </w:rPr>
              <w:t>水泵</w:t>
            </w:r>
            <w:r>
              <w:rPr>
                <w:rFonts w:hint="eastAsia" w:ascii="宋体" w:hAnsi="宋体"/>
                <w:color w:val="auto"/>
                <w:sz w:val="24"/>
                <w:highlight w:val="none"/>
                <w:lang w:val="en-US" w:eastAsia="zh-CN"/>
              </w:rPr>
              <w:t>等其他排水设施配备的，得1分，无不得分。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须提供以下两种材料中任意一种：1.提供投标人购置发票、设备外观照片；2.政府划拨的须提供资产划拨单、原采购单位的购置发票、设备外观照片。证明材料不提供或提供不全的不得分)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0-1分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承诺中标后自行采购吸油棉、拦污索等水质应急物资的，</w:t>
            </w:r>
            <w:r>
              <w:rPr>
                <w:rFonts w:hint="eastAsia" w:ascii="宋体" w:hAnsi="宋体" w:cs="仿宋_GB2312"/>
                <w:color w:val="auto"/>
                <w:sz w:val="24"/>
                <w:highlight w:val="none"/>
              </w:rPr>
              <w:t>得</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eastAsia="宋体" w:cs="宋体"/>
                <w:color w:val="auto"/>
                <w:kern w:val="0"/>
                <w:sz w:val="24"/>
                <w:highlight w:val="none"/>
              </w:rPr>
              <w:t>（提供承诺函，不提供不得分，如中标后未能在承诺时效内提供的视作提供不实资料骗取中标，取消中标资格并上报主管部门）</w:t>
            </w:r>
            <w:r>
              <w:rPr>
                <w:rFonts w:hint="eastAsia" w:ascii="宋体" w:hAnsi="宋体" w:cs="仿宋_GB2312"/>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0-1分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olor w:val="auto"/>
                <w:sz w:val="24"/>
                <w:highlight w:val="none"/>
              </w:rPr>
              <w:t>管道封堵气囊</w:t>
            </w:r>
            <w:r>
              <w:rPr>
                <w:rFonts w:hint="eastAsia" w:ascii="宋体" w:hAnsi="宋体"/>
                <w:color w:val="auto"/>
                <w:sz w:val="24"/>
                <w:highlight w:val="none"/>
                <w:lang w:val="en-US" w:eastAsia="zh-CN"/>
              </w:rPr>
              <w:t>拥有数量不少于3只，</w:t>
            </w:r>
            <w:r>
              <w:rPr>
                <w:rFonts w:hint="eastAsia" w:ascii="宋体" w:hAnsi="宋体" w:cs="仿宋_GB2312"/>
                <w:color w:val="auto"/>
                <w:sz w:val="24"/>
                <w:highlight w:val="none"/>
              </w:rPr>
              <w:t>得</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分，</w:t>
            </w:r>
            <w:r>
              <w:rPr>
                <w:rFonts w:hint="eastAsia" w:ascii="宋体" w:hAnsi="宋体" w:cs="仿宋_GB2312"/>
                <w:color w:val="auto"/>
                <w:sz w:val="24"/>
                <w:highlight w:val="none"/>
                <w:lang w:val="en-US" w:eastAsia="zh-CN"/>
              </w:rPr>
              <w:t>不满足不得分。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须提供以下两种材料中任意一种：1.提供投标人购置发票、设备外观照片；2.政府划拨的须提供资产划拨单、原采购单位的购置发票、设备外观照片。证明材料不提供或提供不全的不得分)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399" w:type="pct"/>
            <w:tcBorders>
              <w:top w:val="single" w:color="auto" w:sz="4" w:space="0"/>
              <w:left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highlight w:val="none"/>
              </w:rPr>
              <w:t>承诺在中标后一周内落实以下规模的养护基地的：具有养护基地</w:t>
            </w:r>
            <w:r>
              <w:rPr>
                <w:rFonts w:hint="eastAsia" w:hAnsi="宋体" w:cs="宋体"/>
                <w:color w:val="auto"/>
                <w:kern w:val="0"/>
                <w:sz w:val="24"/>
                <w:highlight w:val="none"/>
                <w:lang w:val="en-US" w:eastAsia="zh-CN"/>
              </w:rPr>
              <w:t>500</w:t>
            </w:r>
            <w:r>
              <w:rPr>
                <w:rFonts w:hint="eastAsia" w:ascii="宋体" w:hAnsi="宋体" w:eastAsia="宋体" w:cs="宋体"/>
                <w:color w:val="auto"/>
                <w:kern w:val="0"/>
                <w:sz w:val="24"/>
                <w:highlight w:val="none"/>
              </w:rPr>
              <w:t>㎡并距离项目服务范围不超过20KM，的得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分；（提供承诺函，不提供不得分，如中标后未能在承诺时效内提供的视作提供不实资料骗取中标，取消中标资格并上报主管部门）。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p>
        </w:tc>
        <w:tc>
          <w:tcPr>
            <w:tcW w:w="628" w:type="pc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优惠承诺</w:t>
            </w:r>
            <w:r>
              <w:rPr>
                <w:rFonts w:hint="eastAsia" w:ascii="宋体" w:hAnsi="宋体" w:cs="宋体"/>
                <w:color w:val="auto"/>
                <w:kern w:val="0"/>
                <w:sz w:val="24"/>
                <w:szCs w:val="24"/>
                <w:highlight w:val="none"/>
                <w:lang w:val="en-US" w:eastAsia="zh-CN"/>
              </w:rPr>
              <w:t>（1.5分）</w:t>
            </w:r>
          </w:p>
        </w:tc>
        <w:tc>
          <w:tcPr>
            <w:tcW w:w="39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3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eastAsia="zh-CN"/>
              </w:rPr>
              <w:t>投标人提出的优惠条件和承诺情况及其可实现程度等</w:t>
            </w:r>
            <w:r>
              <w:rPr>
                <w:rFonts w:hint="eastAsia" w:ascii="宋体" w:hAnsi="宋体" w:cs="宋体"/>
                <w:color w:val="auto"/>
                <w:kern w:val="0"/>
                <w:sz w:val="24"/>
                <w:szCs w:val="24"/>
                <w:highlight w:val="none"/>
                <w:lang w:val="zh-CN" w:eastAsia="zh-CN"/>
              </w:rPr>
              <w:t>，</w:t>
            </w:r>
          </w:p>
        </w:tc>
      </w:tr>
    </w:tbl>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2、以联合体</w:t>
      </w:r>
      <w:r>
        <w:rPr>
          <w:rFonts w:hint="eastAsia" w:ascii="宋体" w:hAnsi="宋体" w:cs="宋体"/>
          <w:color w:val="auto"/>
          <w:sz w:val="24"/>
          <w:highlight w:val="none"/>
          <w:lang w:eastAsia="zh-CN"/>
        </w:rPr>
        <w:t>投标的以上评分要求涉及到的证明材料任意一家联合体成员具备即可。</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9"/>
        <w:spacing w:before="0" w:line="360" w:lineRule="auto"/>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line="360" w:lineRule="auto"/>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9"/>
        <w:spacing w:before="0" w:line="360" w:lineRule="auto"/>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4"/>
        <w:spacing w:line="360" w:lineRule="auto"/>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
        <w:snapToGrid w:val="0"/>
        <w:spacing w:line="360" w:lineRule="auto"/>
        <w:rPr>
          <w:rFonts w:hint="eastAsia" w:ascii="宋体" w:hAnsi="宋体" w:eastAsia="宋体" w:cs="宋体"/>
          <w:color w:val="auto"/>
          <w:highlight w:val="none"/>
        </w:rPr>
      </w:pPr>
    </w:p>
    <w:p>
      <w:pPr>
        <w:pStyle w:val="2"/>
        <w:snapToGrid w:val="0"/>
        <w:spacing w:line="360" w:lineRule="auto"/>
        <w:rPr>
          <w:rFonts w:hint="eastAsia" w:ascii="宋体" w:hAnsi="宋体" w:eastAsia="宋体" w:cs="宋体"/>
          <w:color w:val="auto"/>
          <w:highlight w:val="none"/>
        </w:rPr>
      </w:pPr>
    </w:p>
    <w:p>
      <w:pPr>
        <w:pStyle w:val="2"/>
        <w:snapToGrid w:val="0"/>
        <w:spacing w:line="360" w:lineRule="auto"/>
        <w:rPr>
          <w:rFonts w:hint="eastAsia" w:ascii="宋体" w:hAnsi="宋体" w:eastAsia="宋体" w:cs="宋体"/>
          <w:color w:val="auto"/>
          <w:highlight w:val="none"/>
        </w:rPr>
      </w:pPr>
    </w:p>
    <w:p>
      <w:pPr>
        <w:pStyle w:val="2"/>
        <w:snapToGrid w:val="0"/>
        <w:spacing w:line="360" w:lineRule="auto"/>
        <w:rPr>
          <w:rFonts w:hint="eastAsia" w:ascii="宋体" w:hAnsi="宋体" w:eastAsia="宋体" w:cs="宋体"/>
          <w:color w:val="auto"/>
          <w:highlight w:val="none"/>
        </w:rPr>
      </w:pPr>
    </w:p>
    <w:bookmarkEnd w:id="25"/>
    <w:p>
      <w:pP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7" w:h="16840"/>
          <w:pgMar w:top="1474" w:right="1814" w:bottom="1474" w:left="1814" w:header="851" w:footer="851" w:gutter="0"/>
          <w:pgNumType w:fmt="numberInDash"/>
          <w:cols w:space="720" w:num="1"/>
        </w:sectPr>
      </w:pPr>
      <w:bookmarkStart w:id="679" w:name="第五部分"/>
      <w:bookmarkStart w:id="680"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pPr>
        <w:pStyle w:val="700"/>
        <w:spacing w:line="360" w:lineRule="auto"/>
        <w:rPr>
          <w:rFonts w:hint="eastAsia" w:ascii="宋体" w:hAnsi="宋体" w:eastAsia="宋体" w:cs="宋体"/>
          <w:color w:val="auto"/>
          <w:szCs w:val="24"/>
          <w:highlight w:val="none"/>
        </w:rPr>
      </w:pPr>
    </w:p>
    <w:p>
      <w:pPr>
        <w:pStyle w:val="700"/>
        <w:spacing w:line="360" w:lineRule="auto"/>
        <w:rPr>
          <w:rFonts w:hint="eastAsia" w:ascii="宋体" w:hAnsi="宋体" w:eastAsia="宋体" w:cs="宋体"/>
          <w:color w:val="auto"/>
          <w:szCs w:val="24"/>
          <w:highlight w:val="none"/>
        </w:rPr>
      </w:pPr>
    </w:p>
    <w:p>
      <w:pPr>
        <w:pStyle w:val="700"/>
        <w:spacing w:line="360" w:lineRule="auto"/>
        <w:jc w:val="center"/>
        <w:rPr>
          <w:rFonts w:hint="eastAsia" w:ascii="宋体" w:hAnsi="宋体" w:eastAsia="宋体" w:cs="宋体"/>
          <w:color w:val="auto"/>
          <w:szCs w:val="24"/>
          <w:highlight w:val="none"/>
        </w:rPr>
      </w:pPr>
    </w:p>
    <w:p>
      <w:pPr>
        <w:pStyle w:val="700"/>
        <w:spacing w:line="360" w:lineRule="auto"/>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700"/>
        <w:spacing w:line="360" w:lineRule="auto"/>
        <w:ind w:left="0" w:leftChars="0" w:firstLine="0" w:firstLineChars="0"/>
        <w:rPr>
          <w:rFonts w:hint="eastAsia" w:ascii="宋体" w:hAnsi="宋体" w:eastAsia="宋体" w:cs="宋体"/>
          <w:color w:val="auto"/>
          <w:szCs w:val="24"/>
          <w:highlight w:val="none"/>
        </w:rPr>
      </w:pPr>
    </w:p>
    <w:p>
      <w:pPr>
        <w:spacing w:before="120" w:line="360" w:lineRule="auto"/>
        <w:rPr>
          <w:rFonts w:hint="eastAsia" w:ascii="宋体" w:hAnsi="宋体" w:eastAsia="宋体" w:cs="宋体"/>
          <w:color w:val="auto"/>
          <w:sz w:val="24"/>
          <w:highlight w:val="none"/>
        </w:rPr>
      </w:pPr>
    </w:p>
    <w:p>
      <w:pPr>
        <w:spacing w:before="120" w:line="360" w:lineRule="auto"/>
        <w:ind w:left="220" w:leftChars="0"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云普港以东河道设施长效管养招标项目</w:t>
      </w:r>
    </w:p>
    <w:p>
      <w:pPr>
        <w:pStyle w:val="597"/>
        <w:spacing w:before="120"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 w:val="24"/>
          <w:highlight w:val="none"/>
        </w:rPr>
      </w:pPr>
    </w:p>
    <w:p>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杭州市上城区综合行政执法局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360" w:lineRule="auto"/>
        <w:rPr>
          <w:rFonts w:hint="eastAsia" w:ascii="宋体" w:hAnsi="宋体" w:eastAsia="宋体" w:cs="宋体"/>
          <w:color w:val="auto"/>
          <w:sz w:val="24"/>
          <w:highlight w:val="none"/>
        </w:rPr>
      </w:pPr>
    </w:p>
    <w:p>
      <w:pPr>
        <w:adjustRightInd w:val="0"/>
        <w:snapToGrid w:val="0"/>
        <w:spacing w:line="560" w:lineRule="exact"/>
        <w:jc w:val="center"/>
        <w:outlineLvl w:val="0"/>
        <w:rPr>
          <w:rFonts w:hint="eastAsia" w:ascii="宋体" w:hAnsi="宋体" w:cs="宋体"/>
          <w:color w:val="auto"/>
          <w:sz w:val="24"/>
          <w:highlight w:val="none"/>
          <w:u w:val="single"/>
          <w:lang w:val="en-US" w:eastAsia="zh-CN"/>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日</w:t>
      </w:r>
    </w:p>
    <w:p>
      <w:pPr>
        <w:pStyle w:val="6"/>
        <w:rPr>
          <w:rFonts w:hint="eastAsia" w:ascii="宋体" w:hAnsi="宋体" w:cs="宋体"/>
          <w:color w:val="auto"/>
          <w:sz w:val="24"/>
          <w:highlight w:val="none"/>
          <w:u w:val="single"/>
          <w:lang w:val="en-US" w:eastAsia="zh-CN"/>
        </w:rPr>
      </w:pPr>
    </w:p>
    <w:p>
      <w:pPr>
        <w:rPr>
          <w:rFonts w:hint="eastAsia" w:ascii="宋体" w:hAnsi="宋体" w:cs="宋体"/>
          <w:color w:val="auto"/>
          <w:sz w:val="24"/>
          <w:highlight w:val="none"/>
          <w:u w:val="single"/>
          <w:lang w:val="en-US" w:eastAsia="zh-CN"/>
        </w:rPr>
      </w:pPr>
    </w:p>
    <w:p>
      <w:pPr>
        <w:pStyle w:val="6"/>
        <w:rPr>
          <w:rFonts w:hint="eastAsia" w:ascii="宋体" w:hAnsi="宋体" w:cs="宋体"/>
          <w:color w:val="auto"/>
          <w:sz w:val="24"/>
          <w:highlight w:val="none"/>
          <w:u w:val="single"/>
          <w:lang w:val="en-US" w:eastAsia="zh-CN"/>
        </w:rPr>
      </w:pPr>
    </w:p>
    <w:p>
      <w:pPr>
        <w:rPr>
          <w:rFonts w:hint="default"/>
          <w:color w:val="auto"/>
          <w:highlight w:val="none"/>
          <w:lang w:val="en-US" w:eastAsia="zh-CN"/>
        </w:rPr>
      </w:pPr>
    </w:p>
    <w:p>
      <w:pPr>
        <w:spacing w:line="360" w:lineRule="auto"/>
        <w:ind w:firstLine="57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根据《中华人民共和国政府采购法》、《中华人民共和国</w:t>
      </w:r>
      <w:r>
        <w:rPr>
          <w:rFonts w:hint="eastAsia" w:ascii="宋体" w:hAnsi="宋体" w:eastAsia="宋体" w:cs="宋体"/>
          <w:color w:val="auto"/>
          <w:sz w:val="24"/>
          <w:szCs w:val="20"/>
          <w:highlight w:val="none"/>
          <w:lang w:val="en-US" w:eastAsia="zh-CN"/>
        </w:rPr>
        <w:t>民法典</w:t>
      </w:r>
      <w:r>
        <w:rPr>
          <w:rFonts w:hint="eastAsia" w:ascii="宋体" w:hAnsi="宋体" w:eastAsia="宋体" w:cs="宋体"/>
          <w:color w:val="auto"/>
          <w:sz w:val="24"/>
          <w:szCs w:val="20"/>
          <w:highlight w:val="none"/>
        </w:rPr>
        <w:t>》等法律法规和相关文件（编号：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0"/>
          <w:highlight w:val="none"/>
        </w:rPr>
        <w:t>）要求，遵循平等、自愿、公平、诚实信用的原则</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经甲乙双方平等协商，达成如下条款</w:t>
      </w:r>
      <w:r>
        <w:rPr>
          <w:rFonts w:hint="eastAsia" w:ascii="宋体" w:hAnsi="宋体" w:eastAsia="宋体" w:cs="宋体"/>
          <w:color w:val="auto"/>
          <w:sz w:val="24"/>
          <w:szCs w:val="20"/>
          <w:highlight w:val="none"/>
          <w:lang w:eastAsia="zh-CN"/>
        </w:rPr>
        <w:t>：</w:t>
      </w:r>
    </w:p>
    <w:p>
      <w:pPr>
        <w:spacing w:line="360" w:lineRule="auto"/>
        <w:ind w:firstLine="482"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4"/>
          <w:highlight w:val="none"/>
        </w:rPr>
        <w:t>一、服务内容、要求</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eastAsia="zh-CN"/>
        </w:rPr>
        <w:t>甲方同意由乙方承担</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lang w:eastAsia="zh-CN"/>
        </w:rPr>
        <w:t>项目，相关设施量具体见《招标文件》。</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具体养护内容涉及</w:t>
      </w:r>
      <w:r>
        <w:rPr>
          <w:rFonts w:hint="eastAsia" w:ascii="宋体" w:hAnsi="宋体" w:eastAsia="宋体" w:cs="宋体"/>
          <w:bCs/>
          <w:color w:val="auto"/>
          <w:sz w:val="24"/>
          <w:szCs w:val="24"/>
          <w:highlight w:val="none"/>
        </w:rPr>
        <w:t>：</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(1)河面保洁、河岸保洁、河岸巡查、驳坎保洁维护（含</w:t>
      </w:r>
      <w:r>
        <w:rPr>
          <w:rFonts w:hint="eastAsia" w:ascii="宋体" w:hAnsi="宋体" w:eastAsia="宋体" w:cs="宋体"/>
          <w:bCs/>
          <w:color w:val="auto"/>
          <w:sz w:val="24"/>
          <w:highlight w:val="none"/>
          <w:lang w:val="en-US" w:eastAsia="zh-CN"/>
        </w:rPr>
        <w:t>局部破损的</w:t>
      </w:r>
      <w:r>
        <w:rPr>
          <w:rFonts w:hint="eastAsia" w:ascii="宋体" w:hAnsi="宋体" w:eastAsia="宋体" w:cs="宋体"/>
          <w:bCs/>
          <w:color w:val="auto"/>
          <w:sz w:val="24"/>
          <w:highlight w:val="none"/>
        </w:rPr>
        <w:t>小修小补）、标警示牌保洁维护</w:t>
      </w:r>
      <w:r>
        <w:rPr>
          <w:rFonts w:hint="eastAsia" w:ascii="宋体" w:hAnsi="宋体" w:eastAsia="宋体" w:cs="宋体"/>
          <w:bCs/>
          <w:color w:val="auto"/>
          <w:sz w:val="24"/>
          <w:highlight w:val="none"/>
          <w:lang w:eastAsia="zh-CN"/>
        </w:rPr>
        <w:t>（包括河道信息牌、</w:t>
      </w:r>
      <w:r>
        <w:rPr>
          <w:rFonts w:hint="eastAsia" w:ascii="宋体" w:hAnsi="宋体" w:eastAsia="宋体" w:cs="宋体"/>
          <w:bCs/>
          <w:color w:val="auto"/>
          <w:sz w:val="24"/>
          <w:highlight w:val="none"/>
          <w:lang w:val="en-US" w:eastAsia="zh-CN"/>
        </w:rPr>
        <w:t>告示牌等，</w:t>
      </w:r>
      <w:r>
        <w:rPr>
          <w:rFonts w:hint="eastAsia" w:ascii="宋体" w:hAnsi="宋体" w:eastAsia="宋体" w:cs="宋体"/>
          <w:bCs/>
          <w:color w:val="auto"/>
          <w:sz w:val="24"/>
          <w:highlight w:val="none"/>
          <w:lang w:eastAsia="zh-CN"/>
        </w:rPr>
        <w:t>最终以甲方确认的为准）、</w:t>
      </w:r>
      <w:r>
        <w:rPr>
          <w:rFonts w:hint="eastAsia" w:ascii="宋体" w:hAnsi="宋体" w:eastAsia="宋体" w:cs="宋体"/>
          <w:bCs/>
          <w:color w:val="auto"/>
          <w:sz w:val="24"/>
          <w:highlight w:val="none"/>
          <w:shd w:val="clear" w:color="auto" w:fill="auto"/>
        </w:rPr>
        <w:t>栏杆</w:t>
      </w:r>
      <w:r>
        <w:rPr>
          <w:rFonts w:hint="eastAsia" w:ascii="宋体" w:hAnsi="宋体" w:eastAsia="宋体" w:cs="宋体"/>
          <w:bCs/>
          <w:color w:val="auto"/>
          <w:sz w:val="24"/>
          <w:highlight w:val="none"/>
        </w:rPr>
        <w:t>保洁维护（含小修小补）、垃圾外运处置、生态浮岛滨岸挺水植物养护、浮水植物养护、沉水植物养护、曝气增氧机维护（含小修小补）、人工水草维护（含小修小补）等，具体详见附件中河道养护技术标准和服务要求。</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本养护项目中，养护单位应采取一切措施，避免河道水质出现劣</w:t>
      </w:r>
      <w:r>
        <w:rPr>
          <w:rFonts w:hint="eastAsia" w:ascii="宋体" w:hAnsi="宋体" w:eastAsia="宋体" w:cs="宋体"/>
          <w:color w:val="auto"/>
          <w:sz w:val="24"/>
          <w:highlight w:val="none"/>
        </w:rPr>
        <w:t>Ⅴ类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以省、市月度监测通报为准</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lang w:val="en-US" w:eastAsia="zh-CN"/>
        </w:rPr>
        <w:t>避免被治水办三色预警考核通报，确保省、</w:t>
      </w:r>
      <w:r>
        <w:rPr>
          <w:rFonts w:hint="eastAsia" w:ascii="宋体" w:hAnsi="宋体" w:eastAsia="宋体" w:cs="宋体"/>
          <w:color w:val="auto"/>
          <w:sz w:val="24"/>
          <w:highlight w:val="none"/>
          <w:lang w:val="en-US" w:eastAsia="zh-CN"/>
        </w:rPr>
        <w:t>市控水质监测断面达标。</w:t>
      </w:r>
    </w:p>
    <w:p>
      <w:pPr>
        <w:adjustRightInd w:val="0"/>
        <w:snapToGrid w:val="0"/>
        <w:spacing w:line="360" w:lineRule="auto"/>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lang w:val="en-US" w:eastAsia="zh-CN"/>
        </w:rPr>
        <w:t>在养护过程中承诺在中标养护的河道</w:t>
      </w:r>
      <w:r>
        <w:rPr>
          <w:rFonts w:hint="eastAsia" w:ascii="宋体" w:hAnsi="宋体" w:eastAsia="宋体" w:cs="宋体"/>
          <w:bCs/>
          <w:color w:val="auto"/>
          <w:sz w:val="24"/>
          <w:highlight w:val="none"/>
          <w:lang w:eastAsia="zh-CN"/>
        </w:rPr>
        <w:t>河岸每</w:t>
      </w:r>
      <w:r>
        <w:rPr>
          <w:rFonts w:hint="eastAsia" w:ascii="宋体" w:hAnsi="宋体" w:eastAsia="宋体" w:cs="宋体"/>
          <w:bCs/>
          <w:color w:val="auto"/>
          <w:sz w:val="24"/>
          <w:highlight w:val="none"/>
          <w:lang w:val="en-US" w:eastAsia="zh-CN"/>
        </w:rPr>
        <w:t>500米</w:t>
      </w:r>
      <w:r>
        <w:rPr>
          <w:rFonts w:hint="eastAsia" w:ascii="宋体" w:hAnsi="宋体" w:eastAsia="宋体" w:cs="宋体"/>
          <w:bCs/>
          <w:color w:val="auto"/>
          <w:sz w:val="24"/>
          <w:highlight w:val="none"/>
          <w:lang w:eastAsia="zh-CN"/>
        </w:rPr>
        <w:t>设置救生设施</w:t>
      </w:r>
      <w:r>
        <w:rPr>
          <w:rFonts w:hint="eastAsia" w:ascii="宋体" w:hAnsi="宋体" w:eastAsia="宋体" w:cs="宋体"/>
          <w:bCs/>
          <w:color w:val="auto"/>
          <w:sz w:val="24"/>
          <w:highlight w:val="none"/>
          <w:lang w:val="en-US" w:eastAsia="zh-CN"/>
        </w:rPr>
        <w:t>一套，救生设施包括救生圈及救生杆（不小于3米的伸缩杆），救生设施所有权归投标人所有，在河道养护期间需保证救生设施的正常使用，合同终止后可收回。</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)河道排污口的检查、上报、记录；</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)重要活动及重大节日、突发应急事件保障。</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)涉河违法行为、水质（体）突变、设施隐患等情况检查上报及相应的应急处置。</w:t>
      </w:r>
    </w:p>
    <w:p>
      <w:pPr>
        <w:adjustRightInd w:val="0"/>
        <w:snapToGrid w:val="0"/>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)河道蚊蝇的消杀工作。</w:t>
      </w:r>
    </w:p>
    <w:p>
      <w:pPr>
        <w:adjustRightInd w:val="0"/>
        <w:snapToGrid w:val="0"/>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)对下河玩耍、捕鱼、游泳人员进行劝阻。</w:t>
      </w:r>
    </w:p>
    <w:p>
      <w:pPr>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)做好各类河道养护工作台账。</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具体设施量以最新设施量统计表为准，有关作业规范要求见《招标文件》。</w:t>
      </w:r>
    </w:p>
    <w:p>
      <w:pPr>
        <w:numPr>
          <w:ilvl w:val="0"/>
          <w:numId w:val="0"/>
        </w:numPr>
        <w:spacing w:line="360" w:lineRule="auto"/>
        <w:ind w:firstLine="482"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二、</w:t>
      </w:r>
      <w:r>
        <w:rPr>
          <w:rFonts w:hint="eastAsia" w:ascii="宋体" w:hAnsi="宋体" w:eastAsia="宋体" w:cs="宋体"/>
          <w:b/>
          <w:bCs/>
          <w:color w:val="auto"/>
          <w:sz w:val="24"/>
          <w:szCs w:val="20"/>
          <w:highlight w:val="none"/>
        </w:rPr>
        <w:t>合同有效期</w:t>
      </w:r>
      <w:r>
        <w:rPr>
          <w:rFonts w:hint="eastAsia" w:ascii="宋体" w:hAnsi="宋体" w:eastAsia="宋体" w:cs="宋体"/>
          <w:b/>
          <w:bCs/>
          <w:color w:val="auto"/>
          <w:sz w:val="24"/>
          <w:szCs w:val="20"/>
          <w:highlight w:val="none"/>
          <w:lang w:val="en-US" w:eastAsia="zh-CN"/>
        </w:rPr>
        <w:t>限</w:t>
      </w:r>
    </w:p>
    <w:p>
      <w:pPr>
        <w:numPr>
          <w:ilvl w:val="0"/>
          <w:numId w:val="0"/>
        </w:num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u w:val="single"/>
          <w:lang w:val="en-US" w:eastAsia="zh-CN"/>
        </w:rPr>
        <w:t xml:space="preserve">20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日至</w:t>
      </w:r>
      <w:r>
        <w:rPr>
          <w:rFonts w:hint="eastAsia" w:ascii="宋体" w:hAnsi="宋体" w:eastAsia="宋体" w:cs="宋体"/>
          <w:color w:val="auto"/>
          <w:sz w:val="24"/>
          <w:szCs w:val="20"/>
          <w:highlight w:val="none"/>
          <w:u w:val="single"/>
          <w:lang w:val="en-US" w:eastAsia="zh-CN"/>
        </w:rPr>
        <w:t xml:space="preserve">20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日止</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共</w:t>
      </w:r>
      <w:r>
        <w:rPr>
          <w:rFonts w:hint="eastAsia" w:ascii="宋体" w:hAnsi="宋体" w:eastAsia="宋体" w:cs="宋体"/>
          <w:color w:val="auto"/>
          <w:sz w:val="24"/>
          <w:szCs w:val="20"/>
          <w:highlight w:val="none"/>
          <w:u w:val="single"/>
          <w:lang w:val="en-US" w:eastAsia="zh-CN"/>
        </w:rPr>
        <w:t>36</w:t>
      </w:r>
      <w:r>
        <w:rPr>
          <w:rFonts w:hint="eastAsia" w:ascii="宋体" w:hAnsi="宋体" w:eastAsia="宋体" w:cs="宋体"/>
          <w:color w:val="auto"/>
          <w:sz w:val="24"/>
          <w:szCs w:val="20"/>
          <w:highlight w:val="none"/>
          <w:lang w:val="en-US" w:eastAsia="zh-CN"/>
        </w:rPr>
        <w:t>个月。</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因</w:t>
      </w:r>
      <w:r>
        <w:rPr>
          <w:rFonts w:hint="eastAsia" w:ascii="宋体" w:hAnsi="宋体" w:eastAsia="宋体" w:cs="宋体"/>
          <w:color w:val="auto"/>
          <w:sz w:val="24"/>
          <w:szCs w:val="24"/>
          <w:highlight w:val="none"/>
        </w:rPr>
        <w:t>部分河道设施因故不能养护或中途中止养护，具体养护设施量及养护时间以甲方通知为准，养护经费根据投标报价和实际发生养护时间据实结算，乙方已完全了解并接受甲方的安排</w:t>
      </w:r>
      <w:r>
        <w:rPr>
          <w:rFonts w:hint="eastAsia" w:ascii="宋体" w:hAnsi="宋体" w:eastAsia="宋体" w:cs="宋体"/>
          <w:color w:val="auto"/>
          <w:sz w:val="24"/>
          <w:szCs w:val="20"/>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0"/>
          <w:highlight w:val="none"/>
        </w:rPr>
        <w:t>三、</w:t>
      </w:r>
      <w:r>
        <w:rPr>
          <w:rFonts w:hint="eastAsia" w:ascii="宋体" w:hAnsi="宋体" w:eastAsia="宋体" w:cs="宋体"/>
          <w:b/>
          <w:bCs/>
          <w:color w:val="auto"/>
          <w:sz w:val="24"/>
          <w:highlight w:val="none"/>
        </w:rPr>
        <w:t>合同价款及支付方式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1、长效养护服务合同总价金额：人民币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；单年</w:t>
      </w:r>
      <w:r>
        <w:rPr>
          <w:rFonts w:hint="eastAsia" w:ascii="宋体" w:hAnsi="宋体" w:eastAsia="宋体" w:cs="宋体"/>
          <w:color w:val="auto"/>
          <w:sz w:val="24"/>
          <w:highlight w:val="none"/>
        </w:rPr>
        <w:t>长效养护服务金额人民币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合同总价金额包括但不限于：完成本标项所有长效管理养护服务所需的车辆、船只、器械、材料、人工、运杂、服装、高温、管理房水电、治水设备养护费、水质突变应急费、养护水电费、应急抢险相关费用及保障应急费用、人身意外伤害保险（保额不少于20万/人）、税费（包含本合同执行中相关的一切税费,由乙方承担）、采购文件明确的其它需乙方承担的费用及其它潜在满足甲方监管要求可能涉及的一切费用。同时，上述报价还应包括突击整治任务、蚊蝇消杀、重大政治活动等突发性事件的河道养护工作所产生的各项费用</w:t>
      </w:r>
      <w:r>
        <w:rPr>
          <w:rFonts w:hint="eastAsia" w:ascii="宋体" w:hAnsi="宋体" w:eastAsia="宋体" w:cs="宋体"/>
          <w:color w:val="auto"/>
          <w:sz w:val="24"/>
          <w:szCs w:val="20"/>
          <w:highlight w:val="none"/>
          <w:lang w:val="zh-CN"/>
        </w:rPr>
        <w:t>。</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河道建设红线内所有河道主体、生态设施均属养护责任范围（产权不属</w:t>
      </w:r>
      <w:r>
        <w:rPr>
          <w:rFonts w:hint="eastAsia" w:ascii="宋体" w:hAnsi="宋体" w:eastAsia="宋体" w:cs="宋体"/>
          <w:color w:val="auto"/>
          <w:sz w:val="24"/>
          <w:szCs w:val="20"/>
          <w:highlight w:val="none"/>
          <w:lang w:eastAsia="zh-CN"/>
        </w:rPr>
        <w:t>甲方</w:t>
      </w:r>
      <w:r>
        <w:rPr>
          <w:rFonts w:hint="eastAsia" w:ascii="宋体" w:hAnsi="宋体" w:eastAsia="宋体" w:cs="宋体"/>
          <w:color w:val="auto"/>
          <w:sz w:val="24"/>
          <w:szCs w:val="20"/>
          <w:highlight w:val="none"/>
        </w:rPr>
        <w:t>的除外）。如提供设施量表有偏小而</w:t>
      </w:r>
      <w:r>
        <w:rPr>
          <w:rFonts w:hint="eastAsia" w:ascii="宋体" w:hAnsi="宋体" w:eastAsia="宋体" w:cs="宋体"/>
          <w:color w:val="auto"/>
          <w:sz w:val="24"/>
          <w:szCs w:val="20"/>
          <w:highlight w:val="none"/>
          <w:lang w:eastAsia="zh-CN"/>
        </w:rPr>
        <w:t>乙方</w:t>
      </w:r>
      <w:r>
        <w:rPr>
          <w:rFonts w:hint="eastAsia" w:ascii="宋体" w:hAnsi="宋体" w:eastAsia="宋体" w:cs="宋体"/>
          <w:color w:val="auto"/>
          <w:sz w:val="24"/>
          <w:szCs w:val="20"/>
          <w:highlight w:val="none"/>
        </w:rPr>
        <w:t>未提出异议，不得以不在招标范围而拒绝养护；养护过程中，设施量调整不超过招标文件中设施量的2%时（以经费计），合同金额不予调整；若设施量有重大调整，则由甲乙双方以补充合同的形式另行确定。</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3、本项目进场前，中标人应</w:t>
      </w:r>
      <w:r>
        <w:rPr>
          <w:rFonts w:hint="eastAsia" w:ascii="宋体" w:hAnsi="宋体" w:cs="宋体"/>
          <w:color w:val="auto"/>
          <w:sz w:val="24"/>
          <w:szCs w:val="20"/>
          <w:highlight w:val="none"/>
          <w:lang w:val="en-US" w:eastAsia="zh-CN"/>
        </w:rPr>
        <w:t>根据履约验收情况</w:t>
      </w:r>
      <w:r>
        <w:rPr>
          <w:rFonts w:hint="eastAsia" w:ascii="宋体" w:hAnsi="宋体" w:eastAsia="宋体" w:cs="宋体"/>
          <w:color w:val="auto"/>
          <w:sz w:val="24"/>
          <w:szCs w:val="20"/>
          <w:highlight w:val="none"/>
        </w:rPr>
        <w:t>缴纳履约保证金</w:t>
      </w:r>
      <w:r>
        <w:rPr>
          <w:rFonts w:hint="eastAsia" w:ascii="宋体" w:hAnsi="宋体" w:eastAsia="宋体" w:cs="宋体"/>
          <w:color w:val="auto"/>
          <w:sz w:val="24"/>
          <w:szCs w:val="20"/>
          <w:highlight w:val="none"/>
          <w:lang w:eastAsia="zh-CN"/>
        </w:rPr>
        <w:t>，即人民币</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lang w:eastAsia="zh-CN"/>
        </w:rPr>
        <w:t>元（大写）</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4、付款方式：</w:t>
      </w:r>
      <w:r>
        <w:rPr>
          <w:rFonts w:hint="eastAsia" w:ascii="宋体" w:hAnsi="宋体" w:eastAsia="宋体" w:cs="宋体"/>
          <w:bCs/>
          <w:color w:val="auto"/>
          <w:sz w:val="24"/>
          <w:highlight w:val="none"/>
        </w:rPr>
        <w:t>项目支付方式为签订合同后7个工作日内支付第一年度中标价40%的预付款，剩余第一年度60%的养护款在第二年度上半年根据考核结果运用，扣除相关费用后结清余款；后续两年参照执行。</w:t>
      </w:r>
    </w:p>
    <w:p>
      <w:pPr>
        <w:adjustRightInd w:val="0"/>
        <w:snapToGrid w:val="0"/>
        <w:spacing w:line="360" w:lineRule="auto"/>
        <w:ind w:firstLine="480" w:firstLineChars="20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5、甲方支付每笔费用前，乙方应先向甲方开具相应金额的发票，否则甲方有权顺延付款期限。</w:t>
      </w:r>
    </w:p>
    <w:p>
      <w:pPr>
        <w:adjustRightInd w:val="0"/>
        <w:snapToGri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、考核付款中如出现超付现象，下一次付款应予以扣减。</w:t>
      </w:r>
    </w:p>
    <w:p>
      <w:pPr>
        <w:adjustRightInd w:val="0"/>
        <w:snapToGri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rPr>
        <w:t>考核付款中如出现前后冲突的，则从有利于</w:t>
      </w:r>
      <w:r>
        <w:rPr>
          <w:rFonts w:hint="eastAsia" w:ascii="宋体" w:hAnsi="宋体" w:eastAsia="宋体" w:cs="宋体"/>
          <w:color w:val="auto"/>
          <w:sz w:val="24"/>
          <w:szCs w:val="20"/>
          <w:highlight w:val="none"/>
          <w:lang w:eastAsia="zh-CN"/>
        </w:rPr>
        <w:t>甲方</w:t>
      </w:r>
      <w:r>
        <w:rPr>
          <w:rFonts w:hint="eastAsia" w:ascii="宋体" w:hAnsi="宋体" w:eastAsia="宋体" w:cs="宋体"/>
          <w:color w:val="auto"/>
          <w:sz w:val="24"/>
          <w:szCs w:val="20"/>
          <w:highlight w:val="none"/>
        </w:rPr>
        <w:t>的方向解释。</w:t>
      </w:r>
    </w:p>
    <w:p>
      <w:pPr>
        <w:adjustRightInd w:val="0"/>
        <w:snapToGri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szCs w:val="20"/>
          <w:highlight w:val="none"/>
        </w:rPr>
        <w:t>乙方应在甲方付款前，开具同等付款金额的税务正式发票给甲方。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四、合同权利条款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甲方的权利：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1.根据考核情况</w:t>
      </w:r>
      <w:r>
        <w:rPr>
          <w:rFonts w:hint="eastAsia" w:ascii="宋体" w:hAnsi="宋体" w:eastAsia="宋体" w:cs="宋体"/>
          <w:color w:val="auto"/>
          <w:sz w:val="24"/>
          <w:highlight w:val="none"/>
          <w:lang w:val="en-US" w:eastAsia="zh-CN"/>
        </w:rPr>
        <w:t>提出考核依据并</w:t>
      </w:r>
      <w:r>
        <w:rPr>
          <w:rFonts w:hint="eastAsia" w:ascii="宋体" w:hAnsi="宋体" w:eastAsia="宋体" w:cs="宋体"/>
          <w:color w:val="auto"/>
          <w:sz w:val="24"/>
          <w:highlight w:val="none"/>
        </w:rPr>
        <w:t>支付相应的养护经费。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2.对合同范围内的城市河道及其附属设施养护运行情况进行监督管理。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3.审定年度和月度养护运行计划，审核乙方上报的养护工作量报表，检查养护运行计划执行情况。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4.对乙方日常养护运行的质量、安全运行、巡查工作及资料台账进行定期或不定期检查，并对养护运行情况进行考核。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5.按照市委、市政府或上级部门指示，在防汛、抗台、抗雪</w:t>
      </w:r>
      <w:r>
        <w:rPr>
          <w:rFonts w:hint="eastAsia" w:ascii="宋体" w:hAnsi="宋体" w:eastAsia="宋体" w:cs="宋体"/>
          <w:color w:val="auto"/>
          <w:sz w:val="24"/>
          <w:highlight w:val="none"/>
          <w:lang w:val="en-US" w:eastAsia="zh-CN"/>
        </w:rPr>
        <w:t>防冻</w:t>
      </w:r>
      <w:r>
        <w:rPr>
          <w:rFonts w:hint="eastAsia" w:ascii="宋体" w:hAnsi="宋体" w:eastAsia="宋体" w:cs="宋体"/>
          <w:color w:val="auto"/>
          <w:sz w:val="24"/>
          <w:highlight w:val="none"/>
        </w:rPr>
        <w:t>和重大活动保障等特殊情况及重大事件发生时，可要求乙方采取应急措施，对城市河道进行特殊养护。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6.对乙方承包养护范围内的城市河道养护运行状况和设施完好状况进行跟踪检查，发现乙方未按约定要求进行维护时，可要求乙方</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highlight w:val="none"/>
        </w:rPr>
        <w:t>整改，并按合同约定进行处理。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乙方的权利：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1.按照合同确定的养护运行范围，根据考核情况取得相应确定的养护运行经费。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2.编制年度、月度养护运行计划和配水工作方案，经甲方审定后安排日常养护工作。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3.按甲方要求进行临时维护的项目以及新增城市河道设施项目，乙方有权按补充合同获得相应的养护运行费用。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4.甲方无正当理由拖欠养护运行费用二个月以上（含），乙方有权中止合同；中止合同至少</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提前三个月</w:t>
      </w:r>
      <w:r>
        <w:rPr>
          <w:rFonts w:hint="eastAsia" w:ascii="宋体" w:hAnsi="宋体" w:eastAsia="宋体" w:cs="宋体"/>
          <w:color w:val="auto"/>
          <w:sz w:val="24"/>
          <w:highlight w:val="none"/>
          <w:lang w:val="en-US" w:eastAsia="zh-CN"/>
        </w:rPr>
        <w:t>书面</w:t>
      </w:r>
      <w:r>
        <w:rPr>
          <w:rFonts w:hint="eastAsia" w:ascii="宋体" w:hAnsi="宋体" w:eastAsia="宋体" w:cs="宋体"/>
          <w:color w:val="auto"/>
          <w:sz w:val="24"/>
          <w:highlight w:val="none"/>
        </w:rPr>
        <w:t>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五、合同责任条款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1.提供河道</w:t>
      </w:r>
      <w:r>
        <w:rPr>
          <w:rFonts w:hint="eastAsia" w:ascii="宋体" w:hAnsi="宋体" w:eastAsia="宋体" w:cs="宋体"/>
          <w:color w:val="auto"/>
          <w:sz w:val="24"/>
          <w:highlight w:val="none"/>
          <w:lang w:val="en-US" w:eastAsia="zh-CN"/>
        </w:rPr>
        <w:t>长效</w:t>
      </w:r>
      <w:r>
        <w:rPr>
          <w:rFonts w:hint="eastAsia" w:ascii="宋体" w:hAnsi="宋体" w:eastAsia="宋体" w:cs="宋体"/>
          <w:color w:val="auto"/>
          <w:sz w:val="24"/>
          <w:highlight w:val="none"/>
        </w:rPr>
        <w:t>养护标准、作业规范及考核办法。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2.按约定拨付养护经费。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3.如遇防汛防台、抗雪防冻、突发事件以及重大活动保障等工作，协调乙方在作业过程中同其他部门的关系。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严格按合同条款、本次招投标要求、河道管养质量标准及相关规定，精心组织养护，确保河道管养质量，承担设施、人员安全和公共安全责任。乙方未能严格遵照上述要求、标准和规定，造成人身损害或财产损失的，由乙方单独负责；由此导致甲方承担赔偿责任的，甲方有权向乙方追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2.严格履行投标书中优惠承诺、投标书及招标过程中的有关承诺。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3.养护作业人员及数量的投入、机械设备的投入必须与投标时作出的承诺一致。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4.遇到防汛防台、防雪抗冻、重大活动保障、突发事件或自然灾害，必须服从甲方指挥与安排，并</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highlight w:val="none"/>
        </w:rPr>
        <w:t>将有关情况上报至甲方。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5、遇灾害性天气，听从甲方统一指挥，</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highlight w:val="none"/>
        </w:rPr>
        <w:t>组织人员应对突发性情况，并完成甲方交办的突击性任务。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6.协助甲方调查、解决市民来信来访及投诉（含数字城管），并根据甲方要求</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highlight w:val="none"/>
        </w:rPr>
        <w:t>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7.发现河道设施损坏或缺损，</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highlight w:val="none"/>
        </w:rPr>
        <w:t>与相关部门联系。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8.合同期满并经甲方考核合格后，乙方应提交完整的养护台帐，并按甲方要求做好与下一家养护企业的衔接。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9、制定灾害性天气应急预案，建立应急救灾队伍，将应急预案和人员名单上报至甲方备案。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10、建立应急备货制，备货内容：防汛防台、抗雪防冻等物资及设备。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11、乙方必须加强安全管理工作，定期进行安全培训。发生各类事故后乙方应</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highlight w:val="none"/>
        </w:rPr>
        <w:t>向甲方报告，并自行负责处理，承担由此导致的一切责任。如事故因乙方责任导致发生的，除乙方自行承担相关经济责任外，甲方保留对乙方的经济追偿权。</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12、对</w:t>
      </w:r>
      <w:r>
        <w:rPr>
          <w:rFonts w:hint="eastAsia" w:ascii="宋体" w:hAnsi="宋体" w:eastAsia="宋体" w:cs="宋体"/>
          <w:color w:val="auto"/>
          <w:sz w:val="24"/>
          <w:szCs w:val="20"/>
          <w:highlight w:val="none"/>
        </w:rPr>
        <w:t>排出口进行监管，</w:t>
      </w:r>
      <w:r>
        <w:rPr>
          <w:rFonts w:hint="eastAsia" w:ascii="宋体" w:hAnsi="宋体" w:eastAsia="宋体" w:cs="宋体"/>
          <w:color w:val="auto"/>
          <w:sz w:val="24"/>
          <w:highlight w:val="none"/>
        </w:rPr>
        <w:t>根据杭州市城市河道沿线排出口管理有关要求建立河道排出口档案（包括按要求的标识线等内容），并按要求进行排出口巡查工作。</w:t>
      </w:r>
      <w:r>
        <w:rPr>
          <w:rFonts w:hint="eastAsia" w:ascii="宋体" w:hAnsi="宋体" w:eastAsia="宋体" w:cs="宋体"/>
          <w:color w:val="auto"/>
          <w:sz w:val="24"/>
          <w:szCs w:val="20"/>
          <w:highlight w:val="none"/>
        </w:rPr>
        <w:t>尤其是新增排出口、违规泥浆水排放等，</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szCs w:val="20"/>
          <w:highlight w:val="none"/>
        </w:rPr>
        <w:t>报告甲方。</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13、对水质进行监管，尤其是水质突变等，</w:t>
      </w:r>
      <w:r>
        <w:rPr>
          <w:rFonts w:hint="eastAsia" w:ascii="宋体" w:hAnsi="宋体" w:eastAsia="宋体" w:cs="宋体"/>
          <w:color w:val="auto"/>
          <w:sz w:val="24"/>
          <w:highlight w:val="none"/>
          <w:lang w:val="en-US" w:eastAsia="zh-CN"/>
        </w:rPr>
        <w:t>第一时间</w:t>
      </w:r>
      <w:r>
        <w:rPr>
          <w:rFonts w:hint="eastAsia" w:ascii="宋体" w:hAnsi="宋体" w:eastAsia="宋体" w:cs="宋体"/>
          <w:color w:val="auto"/>
          <w:sz w:val="24"/>
          <w:szCs w:val="20"/>
          <w:highlight w:val="none"/>
        </w:rPr>
        <w:t>报告甲方。</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14、按市、区河道保洁养护要求，做好河道垃圾分类处置工作。</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15、</w:t>
      </w:r>
      <w:r>
        <w:rPr>
          <w:rFonts w:hint="eastAsia" w:ascii="宋体" w:hAnsi="宋体" w:eastAsia="宋体" w:cs="宋体"/>
          <w:color w:val="auto"/>
          <w:sz w:val="24"/>
          <w:szCs w:val="20"/>
          <w:highlight w:val="none"/>
          <w:lang w:eastAsia="zh-CN"/>
        </w:rPr>
        <w:t>甲方</w:t>
      </w:r>
      <w:r>
        <w:rPr>
          <w:rFonts w:hint="eastAsia" w:ascii="宋体" w:hAnsi="宋体" w:eastAsia="宋体" w:cs="宋体"/>
          <w:color w:val="auto"/>
          <w:sz w:val="24"/>
          <w:szCs w:val="20"/>
          <w:highlight w:val="none"/>
        </w:rPr>
        <w:t>现场管理制度如有调整的，乙方应无条件服从。</w:t>
      </w:r>
    </w:p>
    <w:p>
      <w:pPr>
        <w:spacing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六、河道</w:t>
      </w:r>
      <w:r>
        <w:rPr>
          <w:rFonts w:hint="eastAsia" w:ascii="宋体" w:hAnsi="宋体" w:eastAsia="宋体" w:cs="宋体"/>
          <w:b/>
          <w:bCs/>
          <w:color w:val="auto"/>
          <w:sz w:val="24"/>
          <w:szCs w:val="20"/>
          <w:highlight w:val="none"/>
          <w:lang w:val="en-US" w:eastAsia="zh-CN"/>
        </w:rPr>
        <w:t>长效</w:t>
      </w:r>
      <w:r>
        <w:rPr>
          <w:rFonts w:hint="eastAsia" w:ascii="宋体" w:hAnsi="宋体" w:eastAsia="宋体" w:cs="宋体"/>
          <w:b/>
          <w:bCs/>
          <w:color w:val="auto"/>
          <w:sz w:val="24"/>
          <w:szCs w:val="20"/>
          <w:highlight w:val="none"/>
        </w:rPr>
        <w:t>养护技术要求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河道主体养护质量达到</w:t>
      </w:r>
      <w:r>
        <w:rPr>
          <w:rFonts w:hint="eastAsia" w:ascii="宋体" w:hAnsi="宋体" w:eastAsia="宋体" w:cs="宋体"/>
          <w:bCs/>
          <w:color w:val="auto"/>
          <w:sz w:val="24"/>
          <w:szCs w:val="24"/>
          <w:highlight w:val="none"/>
        </w:rPr>
        <w:t>《城市河道养护管理规范》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DB 3301/T 0272—2018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技术要求，养护人员满足</w:t>
      </w:r>
      <w:r>
        <w:rPr>
          <w:rFonts w:hint="eastAsia" w:ascii="宋体" w:hAnsi="宋体" w:eastAsia="宋体" w:cs="宋体"/>
          <w:color w:val="auto"/>
          <w:kern w:val="0"/>
          <w:sz w:val="24"/>
          <w:szCs w:val="24"/>
          <w:highlight w:val="none"/>
        </w:rPr>
        <w:t>《杭州市城市河道养护人员行为规范和服务标准》。如在养护期内，上级领导部门制定了新的养护标准和要求，养护单位应参照执行新的版本。</w:t>
      </w:r>
    </w:p>
    <w:p>
      <w:pPr>
        <w:numPr>
          <w:ilvl w:val="0"/>
          <w:numId w:val="0"/>
        </w:numPr>
        <w:adjustRightInd w:val="0"/>
        <w:snapToGrid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highlight w:val="none"/>
          <w:lang w:val="en-US" w:eastAsia="zh-CN"/>
        </w:rPr>
        <w:t>七、考核标准</w:t>
      </w:r>
    </w:p>
    <w:p>
      <w:pPr>
        <w:numPr>
          <w:ilvl w:val="0"/>
          <w:numId w:val="0"/>
        </w:num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甲方对乙方工作进行考核，管理考核由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2022年度杭州市城市水设施河道管理评分细则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val="en-US" w:eastAsia="zh-CN"/>
        </w:rPr>
        <w:t>上城</w:t>
      </w:r>
      <w:r>
        <w:rPr>
          <w:rFonts w:hint="eastAsia" w:ascii="宋体" w:hAnsi="宋体" w:eastAsia="宋体" w:cs="宋体"/>
          <w:color w:val="auto"/>
          <w:sz w:val="24"/>
          <w:highlight w:val="none"/>
        </w:rPr>
        <w:t>区河道综合养护管理考核实施办法》执行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如遇市、区两级管理考核办法调整修改的，相关考核自考核办法修改后公布之日起实行。考核结果告知乙方，具体要求参照如下执行：</w:t>
      </w:r>
    </w:p>
    <w:p>
      <w:pPr>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1、城市河道</w:t>
      </w:r>
      <w:r>
        <w:rPr>
          <w:rFonts w:hint="eastAsia" w:ascii="宋体" w:hAnsi="宋体" w:eastAsia="宋体" w:cs="宋体"/>
          <w:color w:val="auto"/>
          <w:kern w:val="0"/>
          <w:sz w:val="24"/>
          <w:szCs w:val="24"/>
          <w:highlight w:val="none"/>
          <w:lang w:val="en-US" w:eastAsia="zh-CN"/>
        </w:rPr>
        <w:t>长效</w:t>
      </w:r>
      <w:r>
        <w:rPr>
          <w:rFonts w:hint="eastAsia" w:ascii="宋体" w:hAnsi="宋体" w:eastAsia="宋体" w:cs="宋体"/>
          <w:color w:val="auto"/>
          <w:kern w:val="0"/>
          <w:sz w:val="24"/>
          <w:szCs w:val="24"/>
          <w:highlight w:val="none"/>
        </w:rPr>
        <w:t>养护管理扣分折合成经费从养护款中扣除。</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highlight w:val="none"/>
        </w:rPr>
        <w:t>全国检查每查处1件有责问题扣5000元；全省检查每查处1件有责问题扣3000元；市级检查每查处1件有责问题扣1000元；被新闻媒体曝光经核查属实的，每次扣3000元；防汛防台、抗雪防冻、突发事件应急处理及重大活动保障处置不力的，每1件扣5000元;接到群众来电、来信、来访投诉并经查实的，每次扣500元；垃圾、漂浮物及修剪树枝没有日产日清的每发现1次扣500元；现场养护人员未按投标承诺到位的，每1人次扣500元；河道水体突变、违法违章事件（瞬时类除外）未在第一时间发现上报的，每件扣5000元。</w:t>
      </w:r>
    </w:p>
    <w:p>
      <w:pPr>
        <w:adjustRightInd w:val="0"/>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eastAsia="宋体" w:cs="宋体"/>
          <w:bCs/>
          <w:color w:val="auto"/>
          <w:sz w:val="24"/>
          <w:highlight w:val="none"/>
        </w:rPr>
        <w:t>日常监管得分按照细则进行长效管养经费单项扣款</w:t>
      </w:r>
      <w:r>
        <w:rPr>
          <w:rFonts w:hint="eastAsia" w:ascii="宋体" w:hAnsi="宋体" w:eastAsia="宋体" w:cs="宋体"/>
          <w:bCs/>
          <w:color w:val="auto"/>
          <w:sz w:val="24"/>
          <w:highlight w:val="none"/>
          <w:lang w:eastAsia="zh-CN"/>
        </w:rPr>
        <w:t>市扣分每分扣</w:t>
      </w:r>
      <w:r>
        <w:rPr>
          <w:rFonts w:hint="eastAsia" w:ascii="宋体" w:hAnsi="宋体" w:eastAsia="宋体" w:cs="宋体"/>
          <w:bCs/>
          <w:color w:val="auto"/>
          <w:sz w:val="24"/>
          <w:highlight w:val="none"/>
          <w:lang w:val="en-US" w:eastAsia="zh-CN"/>
        </w:rPr>
        <w:t>400元，区扣分200元，该项在考核办法中如有调整的，同步进行调整。</w:t>
      </w:r>
    </w:p>
    <w:p>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4、养护河道水质出现劣</w:t>
      </w:r>
      <w:r>
        <w:rPr>
          <w:rFonts w:hint="eastAsia" w:ascii="宋体" w:hAnsi="宋体" w:eastAsia="宋体" w:cs="宋体"/>
          <w:color w:val="auto"/>
          <w:sz w:val="24"/>
          <w:highlight w:val="none"/>
        </w:rPr>
        <w:t>Ⅴ类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以省、市月度监测通报为准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每有1个处（断面），扣1000元；</w:t>
      </w:r>
      <w:r>
        <w:rPr>
          <w:rFonts w:hint="eastAsia" w:ascii="宋体" w:hAnsi="宋体" w:eastAsia="宋体" w:cs="宋体"/>
          <w:bCs/>
          <w:color w:val="auto"/>
          <w:sz w:val="24"/>
          <w:highlight w:val="none"/>
          <w:lang w:val="en-US" w:eastAsia="zh-CN"/>
        </w:rPr>
        <w:t>被治水办三色预警考核通报的，每有1</w:t>
      </w:r>
      <w:r>
        <w:rPr>
          <w:rFonts w:hint="eastAsia" w:ascii="宋体" w:hAnsi="宋体" w:eastAsia="宋体" w:cs="宋体"/>
          <w:color w:val="auto"/>
          <w:sz w:val="24"/>
          <w:highlight w:val="none"/>
          <w:lang w:val="en-US" w:eastAsia="zh-CN"/>
        </w:rPr>
        <w:t>处（断面）</w:t>
      </w:r>
      <w:r>
        <w:rPr>
          <w:rFonts w:hint="eastAsia" w:ascii="宋体" w:hAnsi="宋体" w:eastAsia="宋体" w:cs="宋体"/>
          <w:bCs/>
          <w:color w:val="auto"/>
          <w:sz w:val="24"/>
          <w:highlight w:val="none"/>
          <w:lang w:val="en-US" w:eastAsia="zh-CN"/>
        </w:rPr>
        <w:t>扣5000元；省、</w:t>
      </w:r>
      <w:r>
        <w:rPr>
          <w:rFonts w:hint="eastAsia" w:ascii="宋体" w:hAnsi="宋体" w:eastAsia="宋体" w:cs="宋体"/>
          <w:color w:val="auto"/>
          <w:sz w:val="24"/>
          <w:highlight w:val="none"/>
          <w:lang w:val="en-US" w:eastAsia="zh-CN"/>
        </w:rPr>
        <w:t>市控水质监测断面，每有1处（断面）</w:t>
      </w:r>
      <w:r>
        <w:rPr>
          <w:rFonts w:hint="eastAsia" w:ascii="宋体" w:hAnsi="宋体" w:eastAsia="宋体" w:cs="宋体"/>
          <w:bCs/>
          <w:color w:val="auto"/>
          <w:sz w:val="24"/>
          <w:highlight w:val="none"/>
          <w:lang w:val="en-US" w:eastAsia="zh-CN"/>
        </w:rPr>
        <w:t>扣5000元。</w:t>
      </w:r>
    </w:p>
    <w:p>
      <w:pPr>
        <w:pStyle w:val="6"/>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24"/>
          <w:szCs w:val="20"/>
          <w:highlight w:val="none"/>
        </w:rPr>
      </w:pPr>
      <w:r>
        <w:rPr>
          <w:rFonts w:hint="eastAsia" w:ascii="宋体" w:hAnsi="宋体" w:eastAsia="宋体" w:cs="宋体"/>
          <w:bCs/>
          <w:color w:val="auto"/>
          <w:sz w:val="24"/>
          <w:highlight w:val="none"/>
          <w:lang w:val="en-US" w:eastAsia="zh-CN"/>
        </w:rPr>
        <w:t>5、相关扣分扣款以管理部门出具的相关文件为准。</w:t>
      </w:r>
    </w:p>
    <w:p>
      <w:pPr>
        <w:spacing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八、警告退出办法</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r>
        <w:rPr>
          <w:rFonts w:hint="eastAsia" w:ascii="宋体" w:hAnsi="宋体" w:eastAsia="宋体" w:cs="宋体"/>
          <w:b/>
          <w:bCs/>
          <w:color w:val="auto"/>
          <w:sz w:val="24"/>
          <w:szCs w:val="20"/>
          <w:highlight w:val="none"/>
        </w:rPr>
        <w:t>1、警告。</w:t>
      </w:r>
      <w:r>
        <w:rPr>
          <w:rFonts w:hint="eastAsia" w:ascii="宋体" w:hAnsi="宋体" w:eastAsia="宋体" w:cs="宋体"/>
          <w:color w:val="auto"/>
          <w:sz w:val="24"/>
          <w:szCs w:val="20"/>
          <w:highlight w:val="none"/>
        </w:rPr>
        <w:t>在河道</w:t>
      </w:r>
      <w:r>
        <w:rPr>
          <w:rFonts w:hint="eastAsia" w:ascii="宋体" w:hAnsi="宋体" w:eastAsia="宋体" w:cs="宋体"/>
          <w:color w:val="auto"/>
          <w:sz w:val="24"/>
          <w:szCs w:val="20"/>
          <w:highlight w:val="none"/>
          <w:lang w:val="en-US" w:eastAsia="zh-CN"/>
        </w:rPr>
        <w:t>长效</w:t>
      </w:r>
      <w:r>
        <w:rPr>
          <w:rFonts w:hint="eastAsia" w:ascii="宋体" w:hAnsi="宋体" w:eastAsia="宋体" w:cs="宋体"/>
          <w:color w:val="auto"/>
          <w:sz w:val="24"/>
          <w:szCs w:val="20"/>
          <w:highlight w:val="none"/>
        </w:rPr>
        <w:t>养护作业合同期间，有下列情景之一的给予一次警告；给甲方造成损失的，甲方有权要求乙方按实际损失赔偿：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（1）被省、市级主要领导批示、批评的；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（2）被国家、省、市主流媒体曝光经核查属实的；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（3）月度合同标段数字城管、市查抄告问题及时整改率未达到100%的</w:t>
      </w:r>
      <w:r>
        <w:rPr>
          <w:rFonts w:hint="eastAsia" w:ascii="宋体" w:hAnsi="宋体" w:eastAsia="宋体" w:cs="宋体"/>
          <w:color w:val="auto"/>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（4）防汛防台、抗雪防冻、突发事件应急处理及重大活动保障处置不力的</w:t>
      </w:r>
      <w:r>
        <w:rPr>
          <w:rFonts w:hint="eastAsia" w:ascii="宋体" w:hAnsi="宋体" w:eastAsia="宋体" w:cs="宋体"/>
          <w:color w:val="auto"/>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（5）管理混乱，发生管养人员集体上访的</w:t>
      </w:r>
      <w:r>
        <w:rPr>
          <w:rFonts w:hint="eastAsia" w:ascii="宋体" w:hAnsi="宋体" w:eastAsia="宋体" w:cs="宋体"/>
          <w:color w:val="auto"/>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（6）违反国家有关规定，发生一般事故的。</w:t>
      </w:r>
    </w:p>
    <w:p>
      <w:pPr>
        <w:adjustRightInd w:val="0"/>
        <w:snapToGrid w:val="0"/>
        <w:spacing w:line="360" w:lineRule="auto"/>
        <w:ind w:firstLine="482" w:firstLineChars="20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2、退出。</w:t>
      </w:r>
      <w:r>
        <w:rPr>
          <w:rFonts w:hint="eastAsia" w:ascii="宋体" w:hAnsi="宋体" w:eastAsia="宋体" w:cs="宋体"/>
          <w:color w:val="auto"/>
          <w:kern w:val="0"/>
          <w:sz w:val="24"/>
          <w:highlight w:val="none"/>
        </w:rPr>
        <w:t>在河道长效养护作业合同期间，</w:t>
      </w:r>
      <w:r>
        <w:rPr>
          <w:rFonts w:hint="eastAsia" w:ascii="宋体" w:hAnsi="宋体" w:eastAsia="宋体" w:cs="宋体"/>
          <w:color w:val="auto"/>
          <w:kern w:val="0"/>
          <w:sz w:val="24"/>
          <w:szCs w:val="24"/>
          <w:highlight w:val="none"/>
          <w:lang w:val="en-US" w:eastAsia="zh-CN"/>
        </w:rPr>
        <w:t>如出现</w:t>
      </w:r>
      <w:r>
        <w:rPr>
          <w:rFonts w:hint="eastAsia" w:ascii="宋体" w:hAnsi="宋体" w:eastAsia="宋体" w:cs="宋体"/>
          <w:color w:val="auto"/>
          <w:kern w:val="0"/>
          <w:sz w:val="24"/>
          <w:szCs w:val="24"/>
          <w:highlight w:val="none"/>
        </w:rPr>
        <w:t>以下</w:t>
      </w:r>
      <w:r>
        <w:rPr>
          <w:rFonts w:hint="eastAsia" w:ascii="宋体" w:hAnsi="宋体" w:eastAsia="宋体" w:cs="宋体"/>
          <w:color w:val="auto"/>
          <w:kern w:val="0"/>
          <w:sz w:val="24"/>
          <w:szCs w:val="24"/>
          <w:highlight w:val="none"/>
          <w:lang w:val="en-US" w:eastAsia="zh-CN"/>
        </w:rPr>
        <w:t>任一</w:t>
      </w:r>
      <w:r>
        <w:rPr>
          <w:rFonts w:hint="eastAsia" w:ascii="宋体" w:hAnsi="宋体" w:eastAsia="宋体" w:cs="宋体"/>
          <w:color w:val="auto"/>
          <w:sz w:val="24"/>
          <w:szCs w:val="24"/>
          <w:highlight w:val="none"/>
        </w:rPr>
        <w:t>种情况的，</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有权提前终止养护合同</w:t>
      </w:r>
      <w:r>
        <w:rPr>
          <w:rFonts w:hint="eastAsia" w:ascii="宋体" w:hAnsi="宋体" w:eastAsia="宋体" w:cs="宋体"/>
          <w:color w:val="auto"/>
          <w:sz w:val="24"/>
          <w:szCs w:val="24"/>
          <w:highlight w:val="none"/>
        </w:rPr>
        <w:t>，履约保证金不予退还；</w:t>
      </w:r>
      <w:r>
        <w:rPr>
          <w:rFonts w:hint="eastAsia" w:ascii="宋体" w:hAnsi="宋体" w:eastAsia="宋体" w:cs="宋体"/>
          <w:color w:val="auto"/>
          <w:sz w:val="24"/>
          <w:szCs w:val="20"/>
          <w:highlight w:val="none"/>
        </w:rPr>
        <w:t>给甲方造成损失的，甲方还有权要求乙方按实际损失赔偿</w:t>
      </w:r>
      <w:r>
        <w:rPr>
          <w:rFonts w:hint="eastAsia" w:ascii="宋体" w:hAnsi="宋体" w:eastAsia="宋体" w:cs="宋体"/>
          <w:color w:val="auto"/>
          <w:kern w:val="0"/>
          <w:sz w:val="24"/>
          <w:szCs w:val="24"/>
          <w:highlight w:val="none"/>
        </w:rPr>
        <w:t>并保留进一步追究的权利</w:t>
      </w:r>
      <w:r>
        <w:rPr>
          <w:rFonts w:hint="eastAsia" w:ascii="宋体" w:hAnsi="宋体" w:eastAsia="宋体" w:cs="宋体"/>
          <w:color w:val="auto"/>
          <w:sz w:val="24"/>
          <w:szCs w:val="20"/>
          <w:highlight w:val="none"/>
        </w:rPr>
        <w:t>：</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（1）被省、市级主要领导同一河道批示、批评2次以上（含2次）；</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（2）被国家、省、市主流媒体曝光经核查属实的，3次以上（含4次）；</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（3）不履行招标承诺，并无法完成养护工作；</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月度检查连续2次低于90分或一年内累计4次低于90分。</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sz w:val="24"/>
          <w:highlight w:val="none"/>
        </w:rPr>
        <w:t>同一合同标段在合同期一年内累计被警告3次的。</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（6）上级有关部门发出整改通知书且不整改或整改不力的，合同期一年内累计达到二次的，予以解除合同，履约保证金不予归还。</w:t>
      </w:r>
    </w:p>
    <w:p>
      <w:pPr>
        <w:spacing w:line="360" w:lineRule="auto"/>
        <w:ind w:firstLine="48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4"/>
          <w:highlight w:val="none"/>
        </w:rPr>
        <w:t>（7）违反国家有关规定，发生较大事故以上的（含较大事故）。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）在本项目实施过程中，不得发生拖欠农民工工资问题，如有且引发社会不稳定情况的，立即予以</w:t>
      </w:r>
      <w:r>
        <w:rPr>
          <w:rFonts w:hint="eastAsia" w:ascii="宋体" w:hAnsi="宋体" w:eastAsia="宋体" w:cs="宋体"/>
          <w:color w:val="auto"/>
          <w:kern w:val="0"/>
          <w:sz w:val="24"/>
          <w:szCs w:val="24"/>
          <w:highlight w:val="none"/>
          <w:lang w:val="en-US" w:eastAsia="zh-CN"/>
        </w:rPr>
        <w:t>终止合同</w:t>
      </w:r>
      <w:r>
        <w:rPr>
          <w:rFonts w:hint="eastAsia" w:ascii="宋体" w:hAnsi="宋体" w:eastAsia="宋体" w:cs="宋体"/>
          <w:color w:val="auto"/>
          <w:kern w:val="0"/>
          <w:sz w:val="24"/>
          <w:szCs w:val="24"/>
          <w:highlight w:val="none"/>
        </w:rPr>
        <w:t>。</w:t>
      </w:r>
    </w:p>
    <w:p>
      <w:pPr>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rPr>
        <w:t>九、</w:t>
      </w:r>
      <w:r>
        <w:rPr>
          <w:rFonts w:hint="eastAsia" w:ascii="宋体" w:hAnsi="宋体" w:eastAsia="宋体" w:cs="宋体"/>
          <w:b/>
          <w:bCs/>
          <w:color w:val="auto"/>
          <w:sz w:val="24"/>
          <w:szCs w:val="20"/>
          <w:highlight w:val="none"/>
          <w:lang w:val="en-US" w:eastAsia="zh-CN"/>
        </w:rPr>
        <w:t>违约责任</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任何一方均不得无故单方解除本合同。一方擅自解除本合同，或者不履行本合同项下己方的主要义务，即构成根本违约，应按照合同总价的20%向守约方支付违约金。若违约金不足以弥补守约方损失的，违约方还应当补足违约金和损失之间的差额。</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2、违约方还应承担守约方为追究违约方违约责任而支出的合理费用（包括但不限于诉讼费、公证费、鉴定费、差旅费、律师费等）。</w:t>
      </w:r>
    </w:p>
    <w:p>
      <w:pPr>
        <w:adjustRightInd w:val="0"/>
        <w:snapToGri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rPr>
        <w:t>3、本合同如遇不可抗拒的原因无法继续履行时，即自然终止，双方自行承担各自损失。乙方擅自终止合同的，除履约保证金不予归还外，且产生的养护费用甲方不予支付。</w:t>
      </w:r>
    </w:p>
    <w:p>
      <w:pPr>
        <w:adjustRightInd w:val="0"/>
        <w:snapToGrid w:val="0"/>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十、争议的解决</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rPr>
        <w:t>本合同如发生纠纷，甲、乙双方应当及时协商解决，如协商不成，</w:t>
      </w:r>
      <w:r>
        <w:rPr>
          <w:rFonts w:hint="eastAsia" w:ascii="宋体" w:hAnsi="宋体" w:eastAsia="宋体" w:cs="宋体"/>
          <w:color w:val="auto"/>
          <w:kern w:val="0"/>
          <w:sz w:val="24"/>
          <w:szCs w:val="24"/>
          <w:highlight w:val="none"/>
          <w:lang w:val="en-US" w:eastAsia="zh-CN"/>
        </w:rPr>
        <w:t>任何</w:t>
      </w:r>
      <w:r>
        <w:rPr>
          <w:rFonts w:hint="eastAsia" w:ascii="宋体" w:hAnsi="宋体" w:eastAsia="宋体" w:cs="宋体"/>
          <w:color w:val="auto"/>
          <w:kern w:val="0"/>
          <w:sz w:val="24"/>
          <w:szCs w:val="24"/>
          <w:highlight w:val="none"/>
        </w:rPr>
        <w:t>一方可向</w:t>
      </w:r>
      <w:r>
        <w:rPr>
          <w:rFonts w:hint="eastAsia" w:ascii="宋体" w:hAnsi="宋体" w:eastAsia="宋体" w:cs="宋体"/>
          <w:color w:val="auto"/>
          <w:kern w:val="0"/>
          <w:sz w:val="24"/>
          <w:szCs w:val="24"/>
          <w:highlight w:val="none"/>
          <w:lang w:val="en-US" w:eastAsia="zh-CN"/>
        </w:rPr>
        <w:t>杭州市上城</w:t>
      </w:r>
      <w:r>
        <w:rPr>
          <w:rFonts w:hint="eastAsia" w:ascii="宋体" w:hAnsi="宋体" w:eastAsia="宋体" w:cs="宋体"/>
          <w:color w:val="auto"/>
          <w:kern w:val="0"/>
          <w:sz w:val="24"/>
          <w:szCs w:val="24"/>
          <w:highlight w:val="none"/>
        </w:rPr>
        <w:t>区人民法院提起诉讼。</w:t>
      </w:r>
    </w:p>
    <w:p>
      <w:pPr>
        <w:spacing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十一、其他</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养护人员工资不得低于杭州市劳动保障部门规定的最低工资标准，必须落实职工劳保福利待遇，为职工缴纳社会保险费（养老保险、医疗保险、失业保险、工伤保险和生育保险）与住房公积金，保障职工休息休假权利，加班必须足额支付加班费。经确认乙方未达到上述要求的，甲方有权立即终止合同。因乙方与聘用、雇佣人员所引发的劳资纠纷，由此产生的经济责任，由乙方自行承担。因乙方原因给甲方造成损失的，甲方有权追偿。</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乙方在河道</w:t>
      </w:r>
      <w:r>
        <w:rPr>
          <w:rFonts w:hint="eastAsia" w:ascii="宋体" w:hAnsi="宋体" w:eastAsia="宋体" w:cs="宋体"/>
          <w:color w:val="auto"/>
          <w:sz w:val="24"/>
          <w:szCs w:val="20"/>
          <w:highlight w:val="none"/>
          <w:lang w:val="en-US" w:eastAsia="zh-CN"/>
        </w:rPr>
        <w:t>长效</w:t>
      </w:r>
      <w:r>
        <w:rPr>
          <w:rFonts w:hint="eastAsia" w:ascii="宋体" w:hAnsi="宋体" w:eastAsia="宋体" w:cs="宋体"/>
          <w:color w:val="auto"/>
          <w:sz w:val="24"/>
          <w:szCs w:val="20"/>
          <w:highlight w:val="none"/>
        </w:rPr>
        <w:t>养护服务过程中达不到甲方的要求和标准，甲方有权按规定（包括但不限于合同条款及考核实施细则）进行经济处罚，直至终止合同。</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、乙方必须加强安全管理工作，定期进行安全培训。发生各类事故后乙方应及时向甲方报告，并自行负责处理。如事故因乙方责任导致发生的，甲方将视情况对乙方做出经济处罚，情节严重的可直接终止合同。</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、本合同以乙方向甲方按合同总价金额的</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 xml:space="preserve"> %缴纳履约保证金作为合同生效的必要条件。</w:t>
      </w:r>
      <w:r>
        <w:rPr>
          <w:rFonts w:hint="eastAsia" w:ascii="宋体" w:hAnsi="宋体" w:eastAsia="宋体" w:cs="宋体"/>
          <w:color w:val="auto"/>
          <w:sz w:val="24"/>
          <w:szCs w:val="20"/>
          <w:highlight w:val="none"/>
          <w:lang w:eastAsia="zh-CN"/>
        </w:rPr>
        <w:t>履约验收合格后</w:t>
      </w:r>
      <w:r>
        <w:rPr>
          <w:rFonts w:hint="eastAsia" w:ascii="宋体" w:hAnsi="宋体" w:eastAsia="宋体" w:cs="宋体"/>
          <w:color w:val="auto"/>
          <w:sz w:val="24"/>
          <w:szCs w:val="20"/>
          <w:highlight w:val="none"/>
        </w:rPr>
        <w:t>在5个工作日内退还。</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、合同履行期内甲乙双方均不得随意变更（</w:t>
      </w:r>
      <w:r>
        <w:rPr>
          <w:rFonts w:hint="eastAsia" w:ascii="宋体" w:hAnsi="宋体" w:eastAsia="宋体" w:cs="宋体"/>
          <w:color w:val="auto"/>
          <w:sz w:val="24"/>
          <w:szCs w:val="24"/>
          <w:highlight w:val="none"/>
        </w:rPr>
        <w:t>如因市级河道主管部门对河道的养护有调整要求的，按市级河道主管部门的相关意见进行调整，投标单位应无条件服从）</w:t>
      </w:r>
      <w:r>
        <w:rPr>
          <w:rFonts w:hint="eastAsia" w:ascii="宋体" w:hAnsi="宋体" w:eastAsia="宋体" w:cs="宋体"/>
          <w:color w:val="auto"/>
          <w:sz w:val="24"/>
          <w:szCs w:val="20"/>
          <w:highlight w:val="none"/>
        </w:rPr>
        <w:t>或解除合同。合同若有未尽事宜，需经双方共同协商，作出补充规定，补充规定与本合同有同等法律效力。</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、所有招标文件（招标编号：</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）、投标文件及评标过程中形成的文字资料、询标纪要均作为本合同的组成部分，具有同等效力。</w:t>
      </w:r>
    </w:p>
    <w:p>
      <w:pPr>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7</w:t>
      </w:r>
      <w:r>
        <w:rPr>
          <w:rFonts w:hint="eastAsia" w:ascii="宋体" w:hAnsi="宋体" w:eastAsia="宋体" w:cs="宋体"/>
          <w:bCs/>
          <w:color w:val="auto"/>
          <w:sz w:val="24"/>
          <w:szCs w:val="24"/>
          <w:highlight w:val="none"/>
        </w:rPr>
        <w:t>、如在本项目养护期间因考核不符合要求</w:t>
      </w:r>
      <w:r>
        <w:rPr>
          <w:rFonts w:hint="eastAsia" w:ascii="宋体" w:hAnsi="宋体" w:eastAsia="宋体" w:cs="宋体"/>
          <w:bCs/>
          <w:color w:val="auto"/>
          <w:sz w:val="24"/>
          <w:szCs w:val="24"/>
          <w:highlight w:val="none"/>
          <w:lang w:val="en-US" w:eastAsia="zh-CN"/>
        </w:rPr>
        <w:t>终止合同</w:t>
      </w:r>
      <w:r>
        <w:rPr>
          <w:rFonts w:hint="eastAsia" w:ascii="宋体" w:hAnsi="宋体" w:eastAsia="宋体" w:cs="宋体"/>
          <w:bCs/>
          <w:color w:val="auto"/>
          <w:sz w:val="24"/>
          <w:szCs w:val="24"/>
          <w:highlight w:val="none"/>
        </w:rPr>
        <w:t>的单位，从</w:t>
      </w:r>
      <w:r>
        <w:rPr>
          <w:rFonts w:hint="eastAsia" w:ascii="宋体" w:hAnsi="宋体" w:eastAsia="宋体" w:cs="宋体"/>
          <w:bCs/>
          <w:color w:val="auto"/>
          <w:sz w:val="24"/>
          <w:szCs w:val="24"/>
          <w:highlight w:val="none"/>
          <w:lang w:val="en-US" w:eastAsia="zh-CN"/>
        </w:rPr>
        <w:t>终止合同</w:t>
      </w:r>
      <w:r>
        <w:rPr>
          <w:rFonts w:hint="eastAsia" w:ascii="宋体" w:hAnsi="宋体" w:eastAsia="宋体" w:cs="宋体"/>
          <w:bCs/>
          <w:color w:val="auto"/>
          <w:sz w:val="24"/>
          <w:szCs w:val="24"/>
          <w:highlight w:val="none"/>
        </w:rPr>
        <w:t>之日起</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年内，不得再次参加杭州市</w:t>
      </w:r>
      <w:r>
        <w:rPr>
          <w:rFonts w:hint="eastAsia" w:ascii="宋体" w:hAnsi="宋体" w:eastAsia="宋体" w:cs="宋体"/>
          <w:bCs/>
          <w:color w:val="auto"/>
          <w:sz w:val="24"/>
          <w:szCs w:val="24"/>
          <w:highlight w:val="none"/>
          <w:lang w:val="en-US" w:eastAsia="zh-CN"/>
        </w:rPr>
        <w:t>上城区综合行政执法局</w:t>
      </w:r>
      <w:r>
        <w:rPr>
          <w:rFonts w:hint="eastAsia" w:ascii="宋体" w:hAnsi="宋体" w:eastAsia="宋体" w:cs="宋体"/>
          <w:bCs/>
          <w:color w:val="auto"/>
          <w:sz w:val="24"/>
          <w:szCs w:val="24"/>
          <w:highlight w:val="none"/>
        </w:rPr>
        <w:t>组织的河道长效管理养护项目招标。</w:t>
      </w:r>
    </w:p>
    <w:p>
      <w:pPr>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、对养护不到位产生较大负面影响的单位由综合监管中心通报批评；在通报一次后仍未整改的，企业将被列入区养护市场“诚信黑名单”。同时终止养护合同并报市河道管理部门，建议对该单位实施市场禁入。</w:t>
      </w:r>
    </w:p>
    <w:p>
      <w:pP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9</w:t>
      </w:r>
      <w:r>
        <w:rPr>
          <w:rFonts w:hint="eastAsia" w:ascii="宋体" w:hAnsi="宋体" w:eastAsia="宋体" w:cs="宋体"/>
          <w:color w:val="auto"/>
          <w:sz w:val="24"/>
          <w:szCs w:val="20"/>
          <w:highlight w:val="none"/>
        </w:rPr>
        <w:t>、本合同一式陆份，</w:t>
      </w:r>
      <w:r>
        <w:rPr>
          <w:rFonts w:hint="eastAsia" w:ascii="宋体" w:hAnsi="宋体" w:eastAsia="宋体" w:cs="宋体"/>
          <w:color w:val="auto"/>
          <w:sz w:val="24"/>
          <w:szCs w:val="24"/>
          <w:highlight w:val="none"/>
        </w:rPr>
        <w:t>甲乙双方各执叁份</w:t>
      </w:r>
      <w:r>
        <w:rPr>
          <w:rFonts w:hint="eastAsia" w:ascii="宋体" w:hAnsi="宋体" w:eastAsia="宋体" w:cs="宋体"/>
          <w:color w:val="auto"/>
          <w:sz w:val="24"/>
          <w:szCs w:val="20"/>
          <w:highlight w:val="none"/>
        </w:rPr>
        <w:t>。本合同经甲乙</w:t>
      </w:r>
      <w:r>
        <w:rPr>
          <w:rFonts w:hint="eastAsia" w:ascii="宋体" w:hAnsi="宋体" w:eastAsia="宋体" w:cs="宋体"/>
          <w:color w:val="auto"/>
          <w:sz w:val="24"/>
          <w:szCs w:val="20"/>
          <w:highlight w:val="none"/>
          <w:lang w:val="en-US" w:eastAsia="zh-CN"/>
        </w:rPr>
        <w:t>双方</w:t>
      </w:r>
      <w:r>
        <w:rPr>
          <w:rFonts w:hint="eastAsia" w:ascii="宋体" w:hAnsi="宋体" w:eastAsia="宋体" w:cs="宋体"/>
          <w:color w:val="auto"/>
          <w:sz w:val="24"/>
          <w:szCs w:val="20"/>
          <w:highlight w:val="none"/>
        </w:rPr>
        <w:t>签字盖章，并由乙方向甲方缴纳履约保证金后生效。</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（以下为签字页，无正文）</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甲方：（盖章）                      乙方：（盖章）</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                        法定代表人：</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或受委托人（签字）：                或受委托人（签字）：</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联系人（签字）：                    联系人（签字）：</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地址：                              地址：</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邮编：                              邮编：</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电话：                              电话：</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传真：                              传真：</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开户银行：                          开户银行：</w:t>
      </w:r>
    </w:p>
    <w:p>
      <w:pPr>
        <w:pStyle w:val="6"/>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帐号：                              帐号：</w:t>
      </w:r>
    </w:p>
    <w:p>
      <w:pPr>
        <w:spacing w:line="360" w:lineRule="auto"/>
        <w:rPr>
          <w:rFonts w:hint="eastAsia" w:ascii="宋体" w:hAnsi="宋体" w:eastAsia="宋体" w:cs="宋体"/>
          <w:color w:val="auto"/>
          <w:sz w:val="24"/>
          <w:szCs w:val="20"/>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签约时间：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 xml:space="preserve">日     </w:t>
      </w:r>
    </w:p>
    <w:p>
      <w:pPr>
        <w:adjustRightInd w:val="0"/>
        <w:snapToGrid w:val="0"/>
        <w:spacing w:line="360" w:lineRule="auto"/>
        <w:jc w:val="center"/>
        <w:outlineLvl w:val="0"/>
        <w:rPr>
          <w:rFonts w:hint="eastAsia" w:ascii="宋体" w:hAnsi="宋体" w:eastAsia="宋体" w:cs="宋体"/>
          <w:color w:val="auto"/>
          <w:sz w:val="24"/>
          <w:szCs w:val="20"/>
          <w:highlight w:val="none"/>
          <w:u w:val="single"/>
          <w:lang w:val="en-US" w:eastAsia="zh-CN"/>
        </w:rPr>
      </w:pP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签约地点：</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杭州市上城区综合行政执法局</w:t>
      </w:r>
      <w:r>
        <w:rPr>
          <w:rFonts w:hint="eastAsia" w:ascii="宋体" w:hAnsi="宋体" w:eastAsia="宋体" w:cs="宋体"/>
          <w:color w:val="auto"/>
          <w:sz w:val="24"/>
          <w:szCs w:val="20"/>
          <w:highlight w:val="none"/>
          <w:u w:val="single"/>
        </w:rPr>
        <w:t xml:space="preserve"> </w:t>
      </w:r>
    </w:p>
    <w:p>
      <w:pPr>
        <w:spacing w:line="360" w:lineRule="auto"/>
        <w:ind w:left="720" w:firstLine="723" w:firstLineChars="200"/>
        <w:outlineLvl w:val="0"/>
        <w:rPr>
          <w:rFonts w:hint="eastAsia" w:ascii="宋体" w:hAnsi="宋体" w:eastAsia="宋体" w:cs="宋体"/>
          <w:b/>
          <w:color w:val="auto"/>
          <w:sz w:val="36"/>
          <w:szCs w:val="20"/>
          <w:highlight w:val="none"/>
        </w:rPr>
      </w:pPr>
    </w:p>
    <w:p>
      <w:pPr>
        <w:pStyle w:val="6"/>
        <w:rPr>
          <w:rFonts w:hint="eastAsia" w:ascii="宋体" w:hAnsi="宋体" w:eastAsia="宋体" w:cs="宋体"/>
          <w:color w:val="auto"/>
          <w:sz w:val="24"/>
          <w:highlight w:val="none"/>
          <w:u w:val="single"/>
        </w:rPr>
      </w:pPr>
    </w:p>
    <w:p>
      <w:pPr>
        <w:rPr>
          <w:rFonts w:hint="eastAsia" w:ascii="宋体" w:hAnsi="宋体" w:eastAsia="宋体" w:cs="宋体"/>
          <w:color w:val="auto"/>
          <w:sz w:val="24"/>
          <w:highlight w:val="none"/>
          <w:u w:val="single"/>
        </w:rPr>
      </w:pPr>
    </w:p>
    <w:p>
      <w:pPr>
        <w:pStyle w:val="6"/>
        <w:rPr>
          <w:rFonts w:hint="eastAsia"/>
          <w:color w:val="auto"/>
          <w:highlight w:val="none"/>
          <w:lang w:val="en-US" w:eastAsia="zh-CN"/>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679"/>
      <w:r>
        <w:rPr>
          <w:rFonts w:hint="eastAsia" w:ascii="宋体" w:hAnsi="宋体" w:eastAsia="宋体" w:cs="宋体"/>
          <w:b/>
          <w:color w:val="auto"/>
          <w:sz w:val="36"/>
          <w:szCs w:val="20"/>
          <w:highlight w:val="none"/>
        </w:rPr>
        <w:t xml:space="preserve"> </w:t>
      </w:r>
      <w:bookmarkEnd w:id="680"/>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杭州市上城区综合行政执法局、浙江科佳工程咨询有限公司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云普港以东河道设施长效管养招标项目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上城政采分-2022-01329</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widowControl/>
        <w:numPr>
          <w:ilvl w:val="0"/>
          <w:numId w:val="28"/>
        </w:numPr>
        <w:spacing w:line="360" w:lineRule="auto"/>
        <w:ind w:left="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numPr>
          <w:ilvl w:val="0"/>
          <w:numId w:val="0"/>
        </w:numPr>
        <w:spacing w:line="360" w:lineRule="auto"/>
        <w:jc w:val="both"/>
        <w:rPr>
          <w:rFonts w:hint="eastAsia" w:ascii="宋体" w:hAnsi="宋体" w:eastAsia="宋体" w:cs="宋体"/>
          <w:color w:val="auto"/>
          <w:sz w:val="24"/>
          <w:highlight w:val="none"/>
        </w:rPr>
      </w:pPr>
    </w:p>
    <w:p>
      <w:pPr>
        <w:pStyle w:val="79"/>
        <w:spacing w:line="360" w:lineRule="auto"/>
        <w:rPr>
          <w:rFonts w:hint="eastAsia" w:ascii="宋体" w:hAnsi="宋体" w:eastAsia="宋体" w:cs="宋体"/>
          <w:color w:val="auto"/>
          <w:highlight w:val="none"/>
          <w:lang w:val="en-US" w:eastAsia="zh-CN"/>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val="0"/>
          <w:snapToGrid w:val="0"/>
          <w:color w:val="auto"/>
          <w:kern w:val="0"/>
          <w:sz w:val="28"/>
          <w:szCs w:val="28"/>
          <w:highlight w:val="none"/>
          <w:lang w:val="en-US" w:eastAsia="zh-CN" w:bidi="ar-SA"/>
        </w:rPr>
      </w:pPr>
    </w:p>
    <w:p>
      <w:pPr>
        <w:spacing w:line="360" w:lineRule="auto"/>
        <w:rPr>
          <w:rFonts w:hint="eastAsia" w:ascii="宋体" w:hAnsi="宋体" w:eastAsia="宋体" w:cs="宋体"/>
          <w:b/>
          <w:bCs w:val="0"/>
          <w:snapToGrid w:val="0"/>
          <w:color w:val="auto"/>
          <w:kern w:val="0"/>
          <w:sz w:val="28"/>
          <w:szCs w:val="28"/>
          <w:highlight w:val="none"/>
          <w:lang w:val="en-US" w:eastAsia="zh-CN" w:bidi="ar-SA"/>
        </w:rPr>
      </w:pPr>
    </w:p>
    <w:p>
      <w:pPr>
        <w:snapToGrid w:val="0"/>
        <w:spacing w:line="360" w:lineRule="auto"/>
        <w:ind w:firstLine="420" w:firstLineChars="200"/>
        <w:jc w:val="left"/>
        <w:rPr>
          <w:rFonts w:hint="eastAsia" w:ascii="宋体" w:hAnsi="宋体" w:eastAsia="宋体" w:cs="宋体"/>
          <w:color w:val="auto"/>
          <w:szCs w:val="21"/>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（4）评标标准相应的商务技术资料</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（7）其他资信资料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）同类业绩表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）提供针对项目的完整技术解决方案</w:t>
      </w:r>
      <w:r>
        <w:rPr>
          <w:rFonts w:hint="eastAsia" w:ascii="宋体" w:hAnsi="宋体" w:eastAsia="宋体" w:cs="宋体"/>
          <w:color w:val="auto"/>
          <w:highlight w:val="none"/>
        </w:rPr>
        <w:t>………………………………………………（页码）</w:t>
      </w:r>
    </w:p>
    <w:p>
      <w:pPr>
        <w:pStyle w:val="79"/>
        <w:spacing w:line="360" w:lineRule="auto"/>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pacing w:line="360" w:lineRule="auto"/>
        <w:rPr>
          <w:rFonts w:hint="eastAsia" w:ascii="宋体" w:hAnsi="宋体" w:eastAsia="宋体" w:cs="宋体"/>
          <w:color w:val="auto"/>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杭州市上城区综合行政执法局、浙江科佳工程咨询有限公司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云普港以东河道设施长效管养招标项目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上城政采分-2022-01329</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2.1.3本项目的特定资格要求（如果有）</w:t>
      </w:r>
      <w:r>
        <w:rPr>
          <w:rFonts w:hint="eastAsia" w:ascii="宋体" w:hAnsi="宋体" w:eastAsia="宋体" w:cs="宋体"/>
          <w:color w:val="auto"/>
          <w:sz w:val="24"/>
          <w:highlight w:val="none"/>
          <w:lang w:eastAsia="zh-CN"/>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2.1.4</w:t>
      </w:r>
      <w:r>
        <w:rPr>
          <w:rFonts w:hint="eastAsia" w:ascii="宋体" w:hAnsi="宋体" w:eastAsia="宋体" w:cs="宋体"/>
          <w:color w:val="auto"/>
          <w:sz w:val="24"/>
          <w:highlight w:val="none"/>
        </w:rPr>
        <w:t>非联合体的声明函。</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2.2.9</w:t>
      </w:r>
      <w:r>
        <w:rPr>
          <w:rFonts w:hint="eastAsia" w:ascii="宋体" w:hAnsi="宋体" w:eastAsia="宋体" w:cs="宋体"/>
          <w:color w:val="auto"/>
          <w:sz w:val="24"/>
          <w:highlight w:val="none"/>
          <w:lang w:val="zh-CN"/>
        </w:rPr>
        <w:t>其他资信资料；</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2.2.10</w:t>
      </w:r>
      <w:r>
        <w:rPr>
          <w:rFonts w:hint="eastAsia" w:ascii="宋体" w:hAnsi="宋体" w:eastAsia="宋体" w:cs="宋体"/>
          <w:color w:val="auto"/>
          <w:sz w:val="24"/>
          <w:highlight w:val="none"/>
          <w:lang w:val="zh-CN"/>
        </w:rPr>
        <w:t>同类业绩表；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2.2.11</w:t>
      </w:r>
      <w:r>
        <w:rPr>
          <w:rFonts w:hint="eastAsia" w:ascii="宋体" w:hAnsi="宋体" w:eastAsia="宋体" w:cs="宋体"/>
          <w:color w:val="auto"/>
          <w:sz w:val="24"/>
          <w:highlight w:val="none"/>
          <w:lang w:val="zh-CN"/>
        </w:rPr>
        <w:t>提供针对项目的完整技术解决方案。</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2.3.2投标价格组成明细表；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p>
    <w:p>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杭州市上城区综合行政执法局、浙江科佳工程咨询有限公司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云普港以东河道设施长效管养招标项目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上城政采分-2022-01329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7"/>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pPr>
        <w:spacing w:line="360" w:lineRule="auto"/>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4"/>
              <w:spacing w:line="360" w:lineRule="auto"/>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lang w:val="en-US" w:eastAsia="zh-CN"/>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spacing w:line="360" w:lineRule="auto"/>
              <w:jc w:val="center"/>
              <w:rPr>
                <w:rFonts w:hint="eastAsia" w:ascii="宋体" w:hAnsi="宋体" w:eastAsia="宋体" w:cs="宋体"/>
                <w:b/>
                <w:color w:val="auto"/>
                <w:kern w:val="0"/>
                <w:sz w:val="32"/>
                <w:szCs w:val="32"/>
                <w:highlight w:val="none"/>
              </w:rPr>
            </w:pPr>
          </w:p>
        </w:tc>
        <w:tc>
          <w:tcPr>
            <w:tcW w:w="3546" w:type="dxa"/>
          </w:tcPr>
          <w:p>
            <w:pPr>
              <w:spacing w:line="360" w:lineRule="auto"/>
              <w:jc w:val="center"/>
              <w:rPr>
                <w:rFonts w:hint="eastAsia" w:ascii="宋体" w:hAnsi="宋体" w:eastAsia="宋体" w:cs="宋体"/>
                <w:b/>
                <w:color w:val="auto"/>
                <w:kern w:val="0"/>
                <w:sz w:val="32"/>
                <w:szCs w:val="32"/>
                <w:highlight w:val="none"/>
              </w:rPr>
            </w:pPr>
          </w:p>
        </w:tc>
        <w:tc>
          <w:tcPr>
            <w:tcW w:w="1276" w:type="dxa"/>
          </w:tcPr>
          <w:p>
            <w:pPr>
              <w:spacing w:line="360" w:lineRule="auto"/>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spacing w:line="360" w:lineRule="auto"/>
              <w:jc w:val="center"/>
              <w:rPr>
                <w:rFonts w:hint="eastAsia" w:ascii="宋体" w:hAnsi="宋体" w:eastAsia="宋体" w:cs="宋体"/>
                <w:b/>
                <w:color w:val="auto"/>
                <w:kern w:val="0"/>
                <w:sz w:val="32"/>
                <w:szCs w:val="32"/>
                <w:highlight w:val="none"/>
              </w:rPr>
            </w:pPr>
          </w:p>
        </w:tc>
        <w:tc>
          <w:tcPr>
            <w:tcW w:w="3546" w:type="dxa"/>
          </w:tcPr>
          <w:p>
            <w:pPr>
              <w:spacing w:line="360" w:lineRule="auto"/>
              <w:jc w:val="center"/>
              <w:rPr>
                <w:rFonts w:hint="eastAsia" w:ascii="宋体" w:hAnsi="宋体" w:eastAsia="宋体" w:cs="宋体"/>
                <w:b/>
                <w:color w:val="auto"/>
                <w:kern w:val="0"/>
                <w:sz w:val="32"/>
                <w:szCs w:val="32"/>
                <w:highlight w:val="none"/>
              </w:rPr>
            </w:pPr>
          </w:p>
        </w:tc>
        <w:tc>
          <w:tcPr>
            <w:tcW w:w="1276" w:type="dxa"/>
          </w:tcPr>
          <w:p>
            <w:pPr>
              <w:spacing w:line="360" w:lineRule="auto"/>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spacing w:line="360" w:lineRule="auto"/>
              <w:jc w:val="center"/>
              <w:rPr>
                <w:rFonts w:hint="eastAsia" w:ascii="宋体" w:hAnsi="宋体" w:eastAsia="宋体" w:cs="宋体"/>
                <w:b/>
                <w:color w:val="auto"/>
                <w:kern w:val="0"/>
                <w:sz w:val="32"/>
                <w:szCs w:val="32"/>
                <w:highlight w:val="none"/>
              </w:rPr>
            </w:pPr>
          </w:p>
        </w:tc>
        <w:tc>
          <w:tcPr>
            <w:tcW w:w="3546" w:type="dxa"/>
          </w:tcPr>
          <w:p>
            <w:pPr>
              <w:spacing w:line="360" w:lineRule="auto"/>
              <w:jc w:val="center"/>
              <w:rPr>
                <w:rFonts w:hint="eastAsia" w:ascii="宋体" w:hAnsi="宋体" w:eastAsia="宋体" w:cs="宋体"/>
                <w:b/>
                <w:color w:val="auto"/>
                <w:kern w:val="0"/>
                <w:sz w:val="32"/>
                <w:szCs w:val="32"/>
                <w:highlight w:val="none"/>
              </w:rPr>
            </w:pPr>
          </w:p>
        </w:tc>
        <w:tc>
          <w:tcPr>
            <w:tcW w:w="1276" w:type="dxa"/>
          </w:tcPr>
          <w:p>
            <w:pPr>
              <w:spacing w:line="360" w:lineRule="auto"/>
              <w:jc w:val="center"/>
              <w:rPr>
                <w:rFonts w:hint="eastAsia" w:ascii="宋体" w:hAnsi="宋体" w:eastAsia="宋体" w:cs="宋体"/>
                <w:b/>
                <w:color w:val="auto"/>
                <w:kern w:val="0"/>
                <w:sz w:val="32"/>
                <w:szCs w:val="32"/>
                <w:highlight w:val="none"/>
              </w:rPr>
            </w:pPr>
          </w:p>
        </w:tc>
      </w:tr>
    </w:tbl>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2891" w:firstLineChars="900"/>
        <w:rPr>
          <w:rFonts w:hint="eastAsia" w:ascii="宋体" w:hAnsi="宋体" w:eastAsia="宋体" w:cs="宋体"/>
          <w:b/>
          <w:bCs/>
          <w:color w:val="auto"/>
          <w:sz w:val="32"/>
          <w:szCs w:val="32"/>
          <w:highlight w:val="none"/>
        </w:rPr>
      </w:pPr>
    </w:p>
    <w:p>
      <w:pPr>
        <w:spacing w:line="360" w:lineRule="auto"/>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杭州市上城区综合行政执法局、浙江科佳工程咨询有限公司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numberInDash"/>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其他资信资料</w:t>
      </w:r>
    </w:p>
    <w:p>
      <w:pPr>
        <w:pStyle w:val="44"/>
        <w:spacing w:line="360" w:lineRule="auto"/>
        <w:rPr>
          <w:rFonts w:hint="eastAsia" w:ascii="宋体" w:hAnsi="宋体" w:eastAsia="宋体" w:cs="宋体"/>
          <w:color w:val="auto"/>
          <w:highlight w:val="none"/>
          <w:lang w:val="en-US" w:eastAsia="zh-CN"/>
        </w:rPr>
      </w:pPr>
    </w:p>
    <w:tbl>
      <w:tblPr>
        <w:tblStyle w:val="62"/>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4"/>
        <w:gridCol w:w="1066"/>
        <w:gridCol w:w="113"/>
        <w:gridCol w:w="772"/>
        <w:gridCol w:w="2022"/>
        <w:gridCol w:w="681"/>
        <w:gridCol w:w="666"/>
        <w:gridCol w:w="686"/>
        <w:gridCol w:w="654"/>
        <w:gridCol w:w="649"/>
        <w:gridCol w:w="587"/>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10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85"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2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tc>
        <w:tc>
          <w:tcPr>
            <w:tcW w:w="6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340"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单位法人</w:t>
            </w:r>
          </w:p>
        </w:tc>
        <w:tc>
          <w:tcPr>
            <w:tcW w:w="64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87"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565"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10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885"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022"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666"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340"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49"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587"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565"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restart"/>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单位概况</w:t>
            </w: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营业执照经营范围</w:t>
            </w:r>
          </w:p>
        </w:tc>
        <w:tc>
          <w:tcPr>
            <w:tcW w:w="2794" w:type="dxa"/>
            <w:gridSpan w:val="2"/>
            <w:vAlign w:val="center"/>
          </w:tcPr>
          <w:p>
            <w:pPr>
              <w:snapToGrid w:val="0"/>
              <w:spacing w:line="360" w:lineRule="auto"/>
              <w:jc w:val="left"/>
              <w:rPr>
                <w:rFonts w:hint="eastAsia" w:ascii="宋体" w:hAnsi="宋体" w:eastAsia="宋体" w:cs="宋体"/>
                <w:color w:val="auto"/>
                <w:sz w:val="24"/>
                <w:szCs w:val="24"/>
                <w:highlight w:val="none"/>
              </w:rPr>
            </w:pPr>
          </w:p>
        </w:tc>
        <w:tc>
          <w:tcPr>
            <w:tcW w:w="681" w:type="dxa"/>
            <w:vMerge w:val="restart"/>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上一年主要经济指标</w:t>
            </w:r>
          </w:p>
        </w:tc>
        <w:tc>
          <w:tcPr>
            <w:tcW w:w="1352" w:type="dxa"/>
            <w:gridSpan w:val="2"/>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年营业收入</w:t>
            </w:r>
          </w:p>
        </w:tc>
        <w:tc>
          <w:tcPr>
            <w:tcW w:w="2455" w:type="dxa"/>
            <w:gridSpan w:val="4"/>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794" w:type="dxa"/>
            <w:gridSpan w:val="2"/>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资产总额</w:t>
            </w:r>
          </w:p>
        </w:tc>
        <w:tc>
          <w:tcPr>
            <w:tcW w:w="2455" w:type="dxa"/>
            <w:gridSpan w:val="4"/>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2794" w:type="dxa"/>
            <w:gridSpan w:val="2"/>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left w:val="single" w:color="auto" w:sz="4" w:space="0"/>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信用情况</w:t>
            </w:r>
          </w:p>
        </w:tc>
        <w:tc>
          <w:tcPr>
            <w:tcW w:w="2794" w:type="dxa"/>
            <w:gridSpan w:val="2"/>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荣誉情况</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794"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681" w:type="dxa"/>
            <w:vMerge w:val="continue"/>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1179" w:type="dxa"/>
            <w:gridSpan w:val="2"/>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794" w:type="dxa"/>
            <w:gridSpan w:val="2"/>
            <w:tcBorders>
              <w:bottom w:val="single" w:color="auto" w:sz="4" w:space="0"/>
            </w:tcBorders>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  人</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681" w:type="dxa"/>
            <w:vMerge w:val="continue"/>
            <w:tcBorders>
              <w:bottom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67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8461" w:type="dxa"/>
            <w:gridSpan w:val="11"/>
            <w:vAlign w:val="center"/>
          </w:tcPr>
          <w:p>
            <w:pPr>
              <w:snapToGrid w:val="0"/>
              <w:spacing w:line="360" w:lineRule="auto"/>
              <w:jc w:val="center"/>
              <w:rPr>
                <w:rFonts w:hint="eastAsia" w:ascii="宋体" w:hAnsi="宋体" w:eastAsia="宋体" w:cs="宋体"/>
                <w:color w:val="auto"/>
                <w:sz w:val="24"/>
                <w:szCs w:val="24"/>
                <w:highlight w:val="none"/>
                <w:u w:val="single"/>
              </w:rPr>
            </w:pPr>
          </w:p>
        </w:tc>
      </w:tr>
    </w:tbl>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【说明】：相关证明材料附后。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投标人名称(电子签名)：                              </w:t>
      </w:r>
    </w:p>
    <w:p>
      <w:pPr>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b/>
          <w:color w:val="auto"/>
          <w:kern w:val="0"/>
          <w:sz w:val="32"/>
          <w:szCs w:val="32"/>
          <w:highlight w:val="none"/>
        </w:rPr>
        <w:br w:type="page"/>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八、同类</w:t>
      </w:r>
      <w:r>
        <w:rPr>
          <w:rFonts w:hint="eastAsia" w:ascii="宋体" w:hAnsi="宋体" w:eastAsia="宋体" w:cs="宋体"/>
          <w:b/>
          <w:color w:val="auto"/>
          <w:kern w:val="0"/>
          <w:sz w:val="32"/>
          <w:szCs w:val="32"/>
          <w:highlight w:val="none"/>
        </w:rPr>
        <w:t>业绩表</w:t>
      </w:r>
    </w:p>
    <w:p>
      <w:pPr>
        <w:snapToGrid w:val="0"/>
        <w:spacing w:line="360" w:lineRule="auto"/>
        <w:rPr>
          <w:rFonts w:hint="eastAsia" w:ascii="宋体" w:hAnsi="宋体" w:eastAsia="宋体" w:cs="宋体"/>
          <w:color w:val="auto"/>
          <w:sz w:val="24"/>
          <w:szCs w:val="24"/>
          <w:highlight w:val="none"/>
          <w:lang w:val="en-US" w:eastAsia="zh-CN"/>
        </w:rPr>
      </w:pPr>
    </w:p>
    <w:p>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云普港以东河道设施长效管养招标项目</w:t>
      </w:r>
    </w:p>
    <w:p>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上城政采分-2022-01329</w:t>
      </w:r>
    </w:p>
    <w:p>
      <w:pPr>
        <w:pStyle w:val="638"/>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val="en-US" w:eastAsia="zh-CN"/>
        </w:rPr>
        <w:t>名称：</w:t>
      </w:r>
      <w:r>
        <w:rPr>
          <w:rFonts w:hint="eastAsia" w:hAnsi="宋体" w:cs="宋体"/>
          <w:color w:val="auto"/>
          <w:sz w:val="24"/>
          <w:szCs w:val="24"/>
          <w:highlight w:val="none"/>
          <w:lang w:eastAsia="zh-CN"/>
        </w:rPr>
        <w:t>云普港以东河道设施长效管养招标项目</w:t>
      </w:r>
    </w:p>
    <w:tbl>
      <w:tblPr>
        <w:tblStyle w:val="62"/>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440"/>
        <w:gridCol w:w="1390"/>
        <w:gridCol w:w="1310"/>
        <w:gridCol w:w="1080"/>
        <w:gridCol w:w="900"/>
        <w:gridCol w:w="90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108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合同编号</w:t>
            </w:r>
          </w:p>
        </w:tc>
        <w:tc>
          <w:tcPr>
            <w:tcW w:w="144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用户名称</w:t>
            </w:r>
          </w:p>
        </w:tc>
        <w:tc>
          <w:tcPr>
            <w:tcW w:w="139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合同内容描述</w:t>
            </w:r>
          </w:p>
        </w:tc>
        <w:tc>
          <w:tcPr>
            <w:tcW w:w="131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合同金额</w:t>
            </w:r>
          </w:p>
        </w:tc>
        <w:tc>
          <w:tcPr>
            <w:tcW w:w="1080" w:type="dxa"/>
            <w:vAlign w:val="center"/>
          </w:tcPr>
          <w:p>
            <w:pPr>
              <w:snapToGrid w:val="0"/>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签约及完成日期</w:t>
            </w:r>
          </w:p>
        </w:tc>
        <w:tc>
          <w:tcPr>
            <w:tcW w:w="9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9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719"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44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9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31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108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900"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c>
          <w:tcPr>
            <w:tcW w:w="719" w:type="dxa"/>
            <w:vAlign w:val="center"/>
          </w:tcPr>
          <w:p>
            <w:pPr>
              <w:snapToGrid w:val="0"/>
              <w:spacing w:line="360" w:lineRule="auto"/>
              <w:jc w:val="center"/>
              <w:rPr>
                <w:rFonts w:hint="eastAsia" w:ascii="宋体" w:hAnsi="宋体" w:eastAsia="宋体" w:cs="宋体"/>
                <w:color w:val="auto"/>
                <w:spacing w:val="20"/>
                <w:sz w:val="24"/>
                <w:szCs w:val="24"/>
                <w:highlight w:val="none"/>
              </w:rPr>
            </w:pPr>
          </w:p>
        </w:tc>
      </w:tr>
    </w:tbl>
    <w:p>
      <w:pPr>
        <w:adjustRightInd w:val="0"/>
        <w:snapToGrid w:val="0"/>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5"/>
        <w:tabs>
          <w:tab w:val="left" w:pos="720"/>
          <w:tab w:val="clear" w:pos="900"/>
        </w:tabs>
        <w:spacing w:line="360" w:lineRule="auto"/>
        <w:ind w:firstLine="502"/>
        <w:rPr>
          <w:rFonts w:hint="eastAsia" w:ascii="宋体" w:hAnsi="宋体" w:eastAsia="宋体" w:cs="宋体"/>
          <w:color w:val="auto"/>
          <w:spacing w:val="20"/>
          <w:sz w:val="24"/>
          <w:szCs w:val="24"/>
          <w:highlight w:val="none"/>
        </w:rPr>
      </w:pP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填表说明：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（1）此表不提供，可视为无业绩。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（2）此表仅提供了格式，表格不够可自行增加。</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（3）表后附合同等相关证明材料。</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（4）评标办法所要求资料请务必提供。</w:t>
      </w:r>
    </w:p>
    <w:p>
      <w:pP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九、提供针对项目的完整技术解决方案</w:t>
      </w:r>
    </w:p>
    <w:p>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提供针对本项目的完整技术解决方案</w:t>
      </w:r>
    </w:p>
    <w:p>
      <w:pPr>
        <w:keepNext/>
        <w:keepLines/>
        <w:tabs>
          <w:tab w:val="left" w:pos="720"/>
        </w:tabs>
        <w:adjustRightInd w:val="0"/>
        <w:spacing w:before="120"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（一）项目需求分析</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根据投标人的调查情况，结合招标文件内容，阐述项目的现状，以及项目实施的重点、难点。</w:t>
      </w:r>
    </w:p>
    <w:p>
      <w:pPr>
        <w:keepNext/>
        <w:keepLines/>
        <w:tabs>
          <w:tab w:val="left" w:pos="720"/>
        </w:tabs>
        <w:adjustRightInd w:val="0"/>
        <w:spacing w:before="120"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（二）采购需求响应说明</w:t>
      </w:r>
    </w:p>
    <w:tbl>
      <w:tblPr>
        <w:tblStyle w:val="62"/>
        <w:tblW w:w="9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770"/>
        <w:gridCol w:w="2551"/>
        <w:gridCol w:w="1700"/>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62" w:type="dxa"/>
            <w:gridSpan w:val="3"/>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1700" w:type="dxa"/>
            <w:vMerge w:val="restart"/>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w:t>
            </w:r>
          </w:p>
        </w:tc>
        <w:tc>
          <w:tcPr>
            <w:tcW w:w="2132" w:type="dxa"/>
            <w:vMerge w:val="restart"/>
            <w:tcBorders>
              <w:lef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序号</w:t>
            </w:r>
          </w:p>
        </w:tc>
        <w:tc>
          <w:tcPr>
            <w:tcW w:w="2770"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内容名称</w:t>
            </w: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具体要求</w:t>
            </w:r>
          </w:p>
        </w:tc>
        <w:tc>
          <w:tcPr>
            <w:tcW w:w="1700" w:type="dxa"/>
            <w:vMerge w:val="continue"/>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vMerge w:val="continue"/>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94" w:type="dxa"/>
            <w:gridSpan w:val="5"/>
            <w:vAlign w:val="center"/>
          </w:tcPr>
          <w:p>
            <w:pPr>
              <w:widowControl/>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0"/>
                <w:sz w:val="24"/>
                <w:szCs w:val="24"/>
                <w:highlight w:val="none"/>
                <w:lang w:bidi="ar"/>
              </w:rPr>
              <w:t>“第三部分</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采购需求”内容（要求点对点逐项列明）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1</w:t>
            </w:r>
          </w:p>
        </w:tc>
        <w:tc>
          <w:tcPr>
            <w:tcW w:w="2770" w:type="dxa"/>
            <w:tcBorders>
              <w:left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auto"/>
                <w:kern w:val="40"/>
                <w:sz w:val="24"/>
                <w:szCs w:val="24"/>
                <w:highlight w:val="none"/>
              </w:rPr>
            </w:pP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1700"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2</w:t>
            </w:r>
          </w:p>
        </w:tc>
        <w:tc>
          <w:tcPr>
            <w:tcW w:w="2770" w:type="dxa"/>
            <w:tcBorders>
              <w:left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auto"/>
                <w:kern w:val="40"/>
                <w:sz w:val="24"/>
                <w:szCs w:val="24"/>
                <w:highlight w:val="none"/>
              </w:rPr>
            </w:pP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1700"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41" w:type="dxa"/>
            <w:tcBorders>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w:t>
            </w:r>
          </w:p>
        </w:tc>
        <w:tc>
          <w:tcPr>
            <w:tcW w:w="2770" w:type="dxa"/>
            <w:tcBorders>
              <w:left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w:t>
            </w:r>
          </w:p>
        </w:tc>
        <w:tc>
          <w:tcPr>
            <w:tcW w:w="2551"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sz w:val="24"/>
                <w:szCs w:val="24"/>
                <w:highlight w:val="none"/>
              </w:rPr>
              <w:t>......</w:t>
            </w:r>
          </w:p>
        </w:tc>
        <w:tc>
          <w:tcPr>
            <w:tcW w:w="1700"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c>
          <w:tcPr>
            <w:tcW w:w="2132" w:type="dxa"/>
            <w:tcBorders>
              <w:left w:val="single" w:color="auto" w:sz="4" w:space="0"/>
            </w:tcBorders>
            <w:vAlign w:val="center"/>
          </w:tcPr>
          <w:p>
            <w:pPr>
              <w:snapToGrid w:val="0"/>
              <w:spacing w:line="360" w:lineRule="auto"/>
              <w:jc w:val="center"/>
              <w:rPr>
                <w:rFonts w:hint="eastAsia" w:ascii="宋体" w:hAnsi="宋体" w:eastAsia="宋体" w:cs="宋体"/>
                <w:color w:val="auto"/>
                <w:kern w:val="4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94" w:type="dxa"/>
            <w:gridSpan w:val="5"/>
            <w:vAlign w:val="center"/>
          </w:tcPr>
          <w:p>
            <w:pPr>
              <w:widowControl/>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0"/>
                <w:sz w:val="24"/>
                <w:szCs w:val="24"/>
                <w:highlight w:val="none"/>
                <w:lang w:bidi="ar"/>
              </w:rPr>
              <w:t>“第</w:t>
            </w:r>
            <w:r>
              <w:rPr>
                <w:rFonts w:hint="eastAsia" w:ascii="宋体" w:hAnsi="宋体" w:eastAsia="宋体" w:cs="宋体"/>
                <w:color w:val="auto"/>
                <w:kern w:val="0"/>
                <w:sz w:val="24"/>
                <w:szCs w:val="24"/>
                <w:highlight w:val="none"/>
                <w:lang w:val="en-US" w:eastAsia="zh-CN" w:bidi="ar"/>
              </w:rPr>
              <w:t>五部分</w:t>
            </w:r>
            <w:r>
              <w:rPr>
                <w:rFonts w:hint="eastAsia" w:ascii="宋体" w:hAnsi="宋体" w:eastAsia="宋体" w:cs="宋体"/>
                <w:color w:val="auto"/>
                <w:kern w:val="0"/>
                <w:sz w:val="24"/>
                <w:szCs w:val="24"/>
                <w:highlight w:val="none"/>
                <w:lang w:bidi="ar"/>
              </w:rPr>
              <w:t xml:space="preserve"> 拟签订的合同文本”内容（直接注明不能符合内容即可，未注明视为全部满足）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277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551"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170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132" w:type="dxa"/>
            <w:tcBorders>
              <w:lef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77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551"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170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132" w:type="dxa"/>
            <w:tcBorders>
              <w:lef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p>
        </w:tc>
        <w:tc>
          <w:tcPr>
            <w:tcW w:w="277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p>
        </w:tc>
        <w:tc>
          <w:tcPr>
            <w:tcW w:w="2551"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p>
        </w:tc>
        <w:tc>
          <w:tcPr>
            <w:tcW w:w="1700" w:type="dxa"/>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c>
          <w:tcPr>
            <w:tcW w:w="2132" w:type="dxa"/>
            <w:tcBorders>
              <w:left w:val="single" w:color="auto" w:sz="4" w:space="0"/>
            </w:tcBorders>
            <w:vAlign w:val="center"/>
          </w:tcPr>
          <w:p>
            <w:pPr>
              <w:widowControl/>
              <w:spacing w:line="360" w:lineRule="auto"/>
              <w:jc w:val="center"/>
              <w:rPr>
                <w:rFonts w:hint="eastAsia" w:ascii="宋体" w:hAnsi="宋体" w:eastAsia="宋体" w:cs="宋体"/>
                <w:color w:val="auto"/>
                <w:kern w:val="0"/>
                <w:sz w:val="24"/>
                <w:szCs w:val="24"/>
                <w:highlight w:val="none"/>
                <w:lang w:bidi="ar"/>
              </w:rPr>
            </w:pPr>
          </w:p>
        </w:tc>
      </w:tr>
    </w:tbl>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1）投标人应对招标文件要求进行逐条响应，并说明具体响应内容。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2）投标人不得提供与本项目采购无关的其他商品、服务。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3）不限于表格形式，可采用其他形式表述。</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 xml:space="preserve">（三）针对本项目的实施方案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1.重点难点问题分析及应对措施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2.针对本项目熟悉理解情况</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3.项目掌握程度及技术方案情况</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4.项目成果要求掌握情况</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5.质量保证措施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6.安全保证措施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7.项目管理制度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8.数据保密措施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9.售后服务情况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投标人自身经验拟定的验收方案齐备性、可操作性、科学性，应从有利于项目实施角度制订方案。 </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10.其他需要说明的内容</w:t>
      </w:r>
    </w:p>
    <w:p>
      <w:pPr>
        <w:widowControl/>
        <w:spacing w:line="360" w:lineRule="auto"/>
        <w:jc w:val="left"/>
        <w:rPr>
          <w:rFonts w:hint="eastAsia" w:ascii="宋体" w:hAnsi="宋体" w:eastAsia="宋体" w:cs="宋体"/>
          <w:b/>
          <w:bCs/>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kern w:val="0"/>
          <w:sz w:val="24"/>
          <w:szCs w:val="24"/>
          <w:highlight w:val="none"/>
          <w:lang w:bidi="ar"/>
        </w:rPr>
        <w:t>本项目拟投入的主要设施表</w:t>
      </w:r>
    </w:p>
    <w:tbl>
      <w:tblPr>
        <w:tblStyle w:val="63"/>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14"/>
        <w:gridCol w:w="814"/>
        <w:gridCol w:w="814"/>
        <w:gridCol w:w="814"/>
        <w:gridCol w:w="814"/>
        <w:gridCol w:w="814"/>
        <w:gridCol w:w="1010"/>
        <w:gridCol w:w="814"/>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序号</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设备名称</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型号</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规格</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数量</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国别</w:t>
            </w:r>
          </w:p>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产地</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制造</w:t>
            </w:r>
          </w:p>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年份</w:t>
            </w:r>
          </w:p>
        </w:tc>
        <w:tc>
          <w:tcPr>
            <w:tcW w:w="1010"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额定功率（kW）</w:t>
            </w:r>
          </w:p>
        </w:tc>
        <w:tc>
          <w:tcPr>
            <w:tcW w:w="814"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生产</w:t>
            </w:r>
          </w:p>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能力</w:t>
            </w:r>
          </w:p>
        </w:tc>
        <w:tc>
          <w:tcPr>
            <w:tcW w:w="815"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用途</w:t>
            </w:r>
          </w:p>
        </w:tc>
        <w:tc>
          <w:tcPr>
            <w:tcW w:w="815" w:type="dxa"/>
            <w:vAlign w:val="center"/>
          </w:tcPr>
          <w:p>
            <w:pPr>
              <w:snapToGrid w:val="0"/>
              <w:spacing w:line="360" w:lineRule="auto"/>
              <w:jc w:val="center"/>
              <w:rPr>
                <w:rFonts w:hint="eastAsia" w:ascii="宋体" w:hAnsi="宋体" w:eastAsia="宋体" w:cs="宋体"/>
                <w:color w:val="auto"/>
                <w:kern w:val="40"/>
                <w:sz w:val="24"/>
                <w:szCs w:val="24"/>
                <w:highlight w:val="none"/>
              </w:rPr>
            </w:pPr>
            <w:r>
              <w:rPr>
                <w:rFonts w:hint="eastAsia" w:ascii="宋体" w:hAnsi="宋体" w:eastAsia="宋体" w:cs="宋体"/>
                <w:color w:val="auto"/>
                <w:kern w:val="4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1010"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4"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c>
          <w:tcPr>
            <w:tcW w:w="815" w:type="dxa"/>
            <w:vAlign w:val="center"/>
          </w:tcPr>
          <w:p>
            <w:pPr>
              <w:keepNext/>
              <w:keepLines/>
              <w:tabs>
                <w:tab w:val="left" w:pos="720"/>
              </w:tabs>
              <w:adjustRightInd w:val="0"/>
              <w:spacing w:before="120" w:line="360" w:lineRule="auto"/>
              <w:jc w:val="center"/>
              <w:rPr>
                <w:rFonts w:hint="eastAsia" w:ascii="宋体" w:hAnsi="宋体" w:eastAsia="宋体" w:cs="宋体"/>
                <w:b/>
                <w:bCs/>
                <w:color w:val="auto"/>
                <w:sz w:val="24"/>
                <w:szCs w:val="24"/>
                <w:highlight w:val="none"/>
              </w:rPr>
            </w:pPr>
          </w:p>
        </w:tc>
      </w:tr>
    </w:tbl>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b/>
          <w:bCs/>
          <w:color w:val="auto"/>
          <w:sz w:val="24"/>
          <w:szCs w:val="24"/>
          <w:highlight w:val="none"/>
        </w:rPr>
        <w:t>（五）</w:t>
      </w:r>
      <w:r>
        <w:rPr>
          <w:rFonts w:hint="eastAsia" w:ascii="宋体" w:hAnsi="宋体" w:eastAsia="宋体" w:cs="宋体"/>
          <w:b/>
          <w:bCs/>
          <w:color w:val="auto"/>
          <w:kern w:val="0"/>
          <w:sz w:val="24"/>
          <w:szCs w:val="24"/>
          <w:highlight w:val="none"/>
          <w:lang w:bidi="ar"/>
        </w:rPr>
        <w:t xml:space="preserve">投标人为完成本项目组建的项目组人员名单 </w:t>
      </w:r>
    </w:p>
    <w:p>
      <w:pPr>
        <w:widowControl/>
        <w:spacing w:line="360" w:lineRule="auto"/>
        <w:ind w:right="-733" w:rightChars="-349"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每个专业人员的情况应该明确表示，明确各阶段投入人数，在提交的标书中安排的人员，须为单位的固定职员；每个参加项目人员的履历表应随标书一并提交，主要内容包括学历（学院、大学和其他职业教育，列出大学的名称，就学日期以及所取得的学位）、工作特长（特长领域、能力取向等）、 经验与业绩（主要是类似项目的经验，该人员参与的时间以及在项目中的责任）等、资质情况等； </w:t>
      </w:r>
    </w:p>
    <w:p>
      <w:pPr>
        <w:widowControl/>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不限于表格形式，可采用其他形式表述。 </w:t>
      </w:r>
    </w:p>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1）项目组人员表 </w:t>
      </w:r>
    </w:p>
    <w:tbl>
      <w:tblPr>
        <w:tblStyle w:val="63"/>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013"/>
        <w:gridCol w:w="1013"/>
        <w:gridCol w:w="1137"/>
        <w:gridCol w:w="889"/>
        <w:gridCol w:w="1013"/>
        <w:gridCol w:w="1013"/>
        <w:gridCol w:w="119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12" w:type="dxa"/>
            <w:vMerge w:val="restart"/>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项目组职务</w:t>
            </w:r>
          </w:p>
        </w:tc>
        <w:tc>
          <w:tcPr>
            <w:tcW w:w="1013" w:type="dxa"/>
            <w:vMerge w:val="restart"/>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姓名</w:t>
            </w:r>
          </w:p>
        </w:tc>
        <w:tc>
          <w:tcPr>
            <w:tcW w:w="1013" w:type="dxa"/>
            <w:vMerge w:val="restart"/>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职称</w:t>
            </w:r>
          </w:p>
        </w:tc>
        <w:tc>
          <w:tcPr>
            <w:tcW w:w="5249" w:type="dxa"/>
            <w:gridSpan w:val="5"/>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人员所具有的执业或职业资格证明</w:t>
            </w:r>
          </w:p>
        </w:tc>
        <w:tc>
          <w:tcPr>
            <w:tcW w:w="1213"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12" w:type="dxa"/>
            <w:vMerge w:val="continue"/>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Merge w:val="continue"/>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Merge w:val="continue"/>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证书名称</w:t>
            </w:r>
          </w:p>
        </w:tc>
        <w:tc>
          <w:tcPr>
            <w:tcW w:w="889"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级别</w:t>
            </w:r>
          </w:p>
        </w:tc>
        <w:tc>
          <w:tcPr>
            <w:tcW w:w="1013"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证号</w:t>
            </w:r>
          </w:p>
        </w:tc>
        <w:tc>
          <w:tcPr>
            <w:tcW w:w="1013"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专业</w:t>
            </w:r>
          </w:p>
        </w:tc>
        <w:tc>
          <w:tcPr>
            <w:tcW w:w="1197" w:type="dxa"/>
            <w:vAlign w:val="center"/>
          </w:tcPr>
          <w:p>
            <w:pPr>
              <w:pStyle w:val="6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社保缴纳</w:t>
            </w:r>
          </w:p>
        </w:tc>
        <w:tc>
          <w:tcPr>
            <w:tcW w:w="1213" w:type="dxa"/>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12"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889"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9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2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12"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889"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9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2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12"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3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889"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0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197"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c>
          <w:tcPr>
            <w:tcW w:w="1213" w:type="dxa"/>
            <w:vAlign w:val="center"/>
          </w:tcPr>
          <w:p>
            <w:pPr>
              <w:pStyle w:val="638"/>
              <w:widowControl w:val="0"/>
              <w:spacing w:line="360" w:lineRule="auto"/>
              <w:ind w:firstLine="420"/>
              <w:jc w:val="center"/>
              <w:rPr>
                <w:rFonts w:hint="eastAsia" w:ascii="宋体" w:hAnsi="宋体" w:eastAsia="宋体" w:cs="宋体"/>
                <w:color w:val="auto"/>
                <w:sz w:val="24"/>
                <w:szCs w:val="24"/>
                <w:highlight w:val="none"/>
              </w:rPr>
            </w:pPr>
          </w:p>
        </w:tc>
      </w:tr>
    </w:tbl>
    <w:p>
      <w:pPr>
        <w:topLinePunct/>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附：相关人员的社保机构出具的社保缴纳证明材料。</w:t>
      </w:r>
    </w:p>
    <w:p>
      <w:pPr>
        <w:widowControl/>
        <w:spacing w:line="360" w:lineRule="auto"/>
        <w:ind w:right="-733" w:rightChars="-349"/>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2）项目负责人简历表 </w:t>
      </w:r>
    </w:p>
    <w:tbl>
      <w:tblPr>
        <w:tblStyle w:val="62"/>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584"/>
        <w:gridCol w:w="1583"/>
        <w:gridCol w:w="1583"/>
        <w:gridCol w:w="158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84"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504"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84"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504"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6"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6253" w:type="dxa"/>
            <w:gridSpan w:val="4"/>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419" w:type="dxa"/>
            <w:gridSpan w:val="6"/>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w:t>
            </w:r>
          </w:p>
        </w:tc>
        <w:tc>
          <w:tcPr>
            <w:tcW w:w="158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58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主要内容</w:t>
            </w:r>
          </w:p>
        </w:tc>
        <w:tc>
          <w:tcPr>
            <w:tcW w:w="3166" w:type="dxa"/>
            <w:gridSpan w:val="2"/>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w:t>
            </w:r>
          </w:p>
        </w:tc>
        <w:tc>
          <w:tcPr>
            <w:tcW w:w="1504"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4"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3" w:type="dxa"/>
            <w:vAlign w:val="center"/>
          </w:tcPr>
          <w:p>
            <w:pPr>
              <w:snapToGrid w:val="0"/>
              <w:spacing w:line="360" w:lineRule="auto"/>
              <w:jc w:val="left"/>
              <w:rPr>
                <w:rFonts w:hint="eastAsia" w:ascii="宋体" w:hAnsi="宋体" w:eastAsia="宋体" w:cs="宋体"/>
                <w:color w:val="auto"/>
                <w:sz w:val="24"/>
                <w:szCs w:val="24"/>
                <w:highlight w:val="none"/>
              </w:rPr>
            </w:pPr>
          </w:p>
        </w:tc>
        <w:tc>
          <w:tcPr>
            <w:tcW w:w="3166" w:type="dxa"/>
            <w:gridSpan w:val="2"/>
            <w:vAlign w:val="center"/>
          </w:tcPr>
          <w:p>
            <w:pPr>
              <w:snapToGrid w:val="0"/>
              <w:spacing w:line="360" w:lineRule="auto"/>
              <w:jc w:val="left"/>
              <w:rPr>
                <w:rFonts w:hint="eastAsia" w:ascii="宋体" w:hAnsi="宋体" w:eastAsia="宋体" w:cs="宋体"/>
                <w:color w:val="auto"/>
                <w:sz w:val="24"/>
                <w:szCs w:val="24"/>
                <w:highlight w:val="none"/>
              </w:rPr>
            </w:pPr>
          </w:p>
        </w:tc>
        <w:tc>
          <w:tcPr>
            <w:tcW w:w="1504" w:type="dxa"/>
            <w:vAlign w:val="center"/>
          </w:tcPr>
          <w:p>
            <w:pPr>
              <w:snapToGrid w:val="0"/>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82"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4" w:type="dxa"/>
            <w:vAlign w:val="center"/>
          </w:tcPr>
          <w:p>
            <w:pPr>
              <w:snapToGrid w:val="0"/>
              <w:spacing w:line="360" w:lineRule="auto"/>
              <w:jc w:val="left"/>
              <w:rPr>
                <w:rFonts w:hint="eastAsia" w:ascii="宋体" w:hAnsi="宋体" w:eastAsia="宋体" w:cs="宋体"/>
                <w:color w:val="auto"/>
                <w:sz w:val="24"/>
                <w:szCs w:val="24"/>
                <w:highlight w:val="none"/>
              </w:rPr>
            </w:pPr>
          </w:p>
        </w:tc>
        <w:tc>
          <w:tcPr>
            <w:tcW w:w="1583" w:type="dxa"/>
            <w:vAlign w:val="center"/>
          </w:tcPr>
          <w:p>
            <w:pPr>
              <w:snapToGrid w:val="0"/>
              <w:spacing w:line="360" w:lineRule="auto"/>
              <w:jc w:val="left"/>
              <w:rPr>
                <w:rFonts w:hint="eastAsia" w:ascii="宋体" w:hAnsi="宋体" w:eastAsia="宋体" w:cs="宋体"/>
                <w:color w:val="auto"/>
                <w:sz w:val="24"/>
                <w:szCs w:val="24"/>
                <w:highlight w:val="none"/>
              </w:rPr>
            </w:pPr>
          </w:p>
        </w:tc>
        <w:tc>
          <w:tcPr>
            <w:tcW w:w="3166" w:type="dxa"/>
            <w:gridSpan w:val="2"/>
            <w:vAlign w:val="center"/>
          </w:tcPr>
          <w:p>
            <w:pPr>
              <w:snapToGrid w:val="0"/>
              <w:spacing w:line="360" w:lineRule="auto"/>
              <w:jc w:val="left"/>
              <w:rPr>
                <w:rFonts w:hint="eastAsia" w:ascii="宋体" w:hAnsi="宋体" w:eastAsia="宋体" w:cs="宋体"/>
                <w:color w:val="auto"/>
                <w:sz w:val="24"/>
                <w:szCs w:val="24"/>
                <w:highlight w:val="none"/>
              </w:rPr>
            </w:pPr>
          </w:p>
        </w:tc>
        <w:tc>
          <w:tcPr>
            <w:tcW w:w="1504" w:type="dxa"/>
            <w:vAlign w:val="center"/>
          </w:tcPr>
          <w:p>
            <w:pPr>
              <w:snapToGrid w:val="0"/>
              <w:spacing w:line="360" w:lineRule="auto"/>
              <w:jc w:val="left"/>
              <w:rPr>
                <w:rFonts w:hint="eastAsia" w:ascii="宋体" w:hAnsi="宋体" w:eastAsia="宋体" w:cs="宋体"/>
                <w:color w:val="auto"/>
                <w:sz w:val="24"/>
                <w:szCs w:val="24"/>
                <w:highlight w:val="none"/>
              </w:rPr>
            </w:pPr>
          </w:p>
        </w:tc>
      </w:tr>
    </w:tbl>
    <w:p>
      <w:pPr>
        <w:pStyle w:val="722"/>
        <w:snapToGrid w:val="0"/>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应附身份证、学历证等复印件，管理过的项目业绩附相关证明材料。</w:t>
      </w:r>
    </w:p>
    <w:p>
      <w:pPr>
        <w:spacing w:line="360" w:lineRule="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（2）投标价格组成明细表…………………………………………………………（页码）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numberInDash"/>
          <w:cols w:space="720" w:num="1"/>
          <w:titlePg/>
          <w:docGrid w:linePitch="312" w:charSpace="0"/>
        </w:sectPr>
      </w:pP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杭州市上城区综合行政执法局、浙江科佳工程咨询有限公司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zh-CN"/>
        </w:rPr>
        <w:t>云普港以东河道设施长效管养招标项目</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上城政采分-2022-01329</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pPr w:leftFromText="180" w:rightFromText="180" w:vertAnchor="text" w:horzAnchor="page" w:tblpX="1441" w:tblpY="360"/>
        <w:tblOverlap w:val="never"/>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724"/>
        <w:gridCol w:w="2726"/>
        <w:gridCol w:w="1133"/>
        <w:gridCol w:w="1087"/>
        <w:gridCol w:w="3088"/>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450" w:type="dxa"/>
            <w:gridSpan w:val="2"/>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p>
        </w:tc>
        <w:tc>
          <w:tcPr>
            <w:tcW w:w="113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8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308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13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5450" w:type="dxa"/>
            <w:gridSpan w:val="2"/>
            <w:vAlign w:val="center"/>
          </w:tcPr>
          <w:p>
            <w:pPr>
              <w:spacing w:line="360" w:lineRule="auto"/>
              <w:jc w:val="center"/>
              <w:rPr>
                <w:rFonts w:hint="eastAsia" w:ascii="宋体" w:hAnsi="宋体" w:eastAsia="宋体" w:cs="宋体"/>
                <w:b/>
                <w:color w:val="auto"/>
                <w:sz w:val="24"/>
                <w:highlight w:val="none"/>
                <w:lang w:val="en-US"/>
              </w:rPr>
            </w:pPr>
            <w:r>
              <w:rPr>
                <w:rFonts w:hint="eastAsia" w:ascii="宋体" w:hAnsi="宋体" w:cs="宋体"/>
                <w:b/>
                <w:color w:val="auto"/>
                <w:sz w:val="24"/>
                <w:highlight w:val="none"/>
                <w:lang w:eastAsia="zh-CN"/>
              </w:rPr>
              <w:t>云普港以东河道设施长效管养招标项目</w:t>
            </w:r>
          </w:p>
        </w:tc>
        <w:tc>
          <w:tcPr>
            <w:tcW w:w="113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08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w:t>
            </w:r>
          </w:p>
        </w:tc>
        <w:tc>
          <w:tcPr>
            <w:tcW w:w="308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响应招标文件要求</w:t>
            </w:r>
          </w:p>
        </w:tc>
        <w:tc>
          <w:tcPr>
            <w:tcW w:w="226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59" w:type="dxa"/>
            <w:gridSpan w:val="2"/>
            <w:vMerge w:val="restart"/>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b/>
                <w:color w:val="auto"/>
                <w:sz w:val="24"/>
                <w:highlight w:val="none"/>
                <w:lang w:val="en-US" w:eastAsia="zh-CN"/>
              </w:rPr>
              <w:t>单年养护经费</w:t>
            </w:r>
          </w:p>
        </w:tc>
        <w:tc>
          <w:tcPr>
            <w:tcW w:w="3859" w:type="dxa"/>
            <w:gridSpan w:val="2"/>
            <w:vAlign w:val="center"/>
          </w:tcPr>
          <w:p>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4"/>
                <w:highlight w:val="none"/>
              </w:rPr>
              <w:t>投标报价（小写）</w:t>
            </w:r>
          </w:p>
        </w:tc>
        <w:tc>
          <w:tcPr>
            <w:tcW w:w="6440" w:type="dxa"/>
            <w:gridSpan w:val="3"/>
            <w:vAlign w:val="center"/>
          </w:tcPr>
          <w:p>
            <w:pPr>
              <w:spacing w:line="360" w:lineRule="auto"/>
              <w:jc w:val="cente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59" w:type="dxa"/>
            <w:gridSpan w:val="2"/>
            <w:vMerge w:val="continue"/>
            <w:vAlign w:val="center"/>
          </w:tcPr>
          <w:p>
            <w:pPr>
              <w:spacing w:line="360" w:lineRule="auto"/>
              <w:jc w:val="center"/>
              <w:rPr>
                <w:rFonts w:hint="eastAsia" w:ascii="宋体" w:hAnsi="宋体" w:eastAsia="宋体" w:cs="宋体"/>
                <w:color w:val="auto"/>
                <w:highlight w:val="none"/>
                <w:lang w:val="en-US" w:eastAsia="zh-CN"/>
              </w:rPr>
            </w:pPr>
          </w:p>
        </w:tc>
        <w:tc>
          <w:tcPr>
            <w:tcW w:w="3859" w:type="dxa"/>
            <w:gridSpan w:val="2"/>
            <w:vAlign w:val="center"/>
          </w:tcPr>
          <w:p>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4"/>
                <w:highlight w:val="none"/>
              </w:rPr>
              <w:t>投标报价（大写）</w:t>
            </w:r>
          </w:p>
        </w:tc>
        <w:tc>
          <w:tcPr>
            <w:tcW w:w="6440" w:type="dxa"/>
            <w:gridSpan w:val="3"/>
            <w:vAlign w:val="center"/>
          </w:tcPr>
          <w:p>
            <w:pPr>
              <w:spacing w:line="360" w:lineRule="auto"/>
              <w:jc w:val="cente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59" w:type="dxa"/>
            <w:gridSpan w:val="2"/>
            <w:vMerge w:val="restart"/>
            <w:vAlign w:val="center"/>
          </w:tcPr>
          <w:p>
            <w:pPr>
              <w:tabs>
                <w:tab w:val="left" w:pos="2571"/>
              </w:tabs>
              <w:spacing w:line="360" w:lineRule="auto"/>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4"/>
                <w:highlight w:val="none"/>
                <w:lang w:val="en-US" w:eastAsia="zh-CN"/>
              </w:rPr>
              <w:t>三年养护总报价</w:t>
            </w:r>
          </w:p>
        </w:tc>
        <w:tc>
          <w:tcPr>
            <w:tcW w:w="3859" w:type="dxa"/>
            <w:gridSpan w:val="2"/>
            <w:vAlign w:val="center"/>
          </w:tcPr>
          <w:p>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4"/>
                <w:highlight w:val="none"/>
              </w:rPr>
              <w:t>投标报价（小写）</w:t>
            </w:r>
          </w:p>
        </w:tc>
        <w:tc>
          <w:tcPr>
            <w:tcW w:w="6440" w:type="dxa"/>
            <w:gridSpan w:val="3"/>
            <w:vAlign w:val="center"/>
          </w:tcPr>
          <w:p>
            <w:pPr>
              <w:spacing w:line="360" w:lineRule="auto"/>
              <w:jc w:val="center"/>
              <w:rPr>
                <w:rFonts w:hint="eastAsia" w:ascii="宋体" w:hAnsi="宋体" w:eastAsia="宋体" w:cs="宋体"/>
                <w:b/>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59" w:type="dxa"/>
            <w:gridSpan w:val="2"/>
            <w:vMerge w:val="continue"/>
            <w:vAlign w:val="center"/>
          </w:tcPr>
          <w:p>
            <w:pPr>
              <w:spacing w:line="360" w:lineRule="auto"/>
              <w:jc w:val="center"/>
              <w:rPr>
                <w:rFonts w:hint="eastAsia" w:ascii="宋体" w:hAnsi="宋体" w:eastAsia="宋体" w:cs="宋体"/>
                <w:color w:val="auto"/>
                <w:highlight w:val="none"/>
                <w:lang w:val="en-US" w:eastAsia="zh-CN"/>
              </w:rPr>
            </w:pPr>
          </w:p>
        </w:tc>
        <w:tc>
          <w:tcPr>
            <w:tcW w:w="3859" w:type="dxa"/>
            <w:gridSpan w:val="2"/>
            <w:vAlign w:val="center"/>
          </w:tcPr>
          <w:p>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4"/>
                <w:highlight w:val="none"/>
              </w:rPr>
              <w:t>投标报价（大写）</w:t>
            </w:r>
          </w:p>
        </w:tc>
        <w:tc>
          <w:tcPr>
            <w:tcW w:w="6440" w:type="dxa"/>
            <w:gridSpan w:val="3"/>
            <w:vAlign w:val="center"/>
          </w:tcPr>
          <w:p>
            <w:pPr>
              <w:spacing w:line="360" w:lineRule="auto"/>
              <w:jc w:val="center"/>
              <w:rPr>
                <w:rFonts w:hint="eastAsia" w:ascii="宋体" w:hAnsi="宋体" w:eastAsia="宋体" w:cs="宋体"/>
                <w:color w:val="auto"/>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numberInDash"/>
          <w:cols w:space="720" w:num="1"/>
          <w:titlePg/>
          <w:docGrid w:linePitch="312" w:charSpace="0"/>
        </w:sectPr>
      </w:pPr>
    </w:p>
    <w:p>
      <w:pPr>
        <w:pStyle w:val="691"/>
        <w:keepNext w:val="0"/>
        <w:pageBreakBefore w:val="0"/>
        <w:numPr>
          <w:ilvl w:val="0"/>
          <w:numId w:val="29"/>
        </w:numPr>
        <w:tabs>
          <w:tab w:val="clear" w:pos="720"/>
        </w:tabs>
        <w:snapToGrid w:val="0"/>
        <w:spacing w:before="120" w:after="120" w:line="360" w:lineRule="auto"/>
        <w:ind w:firstLine="643"/>
        <w:outlineLvl w:val="9"/>
        <w:rPr>
          <w:rFonts w:hint="eastAsia" w:ascii="宋体" w:hAnsi="宋体" w:eastAsia="宋体" w:cs="宋体"/>
          <w:b/>
          <w:color w:val="auto"/>
          <w:kern w:val="2"/>
          <w:sz w:val="32"/>
          <w:szCs w:val="32"/>
          <w:highlight w:val="none"/>
          <w:lang w:val="en-US" w:eastAsia="zh-CN" w:bidi="ar-SA"/>
        </w:rPr>
      </w:pPr>
      <w:bookmarkStart w:id="681" w:name="_Toc336683580"/>
      <w:bookmarkStart w:id="682" w:name="_Toc345575540"/>
      <w:r>
        <w:rPr>
          <w:rFonts w:hint="eastAsia" w:ascii="宋体" w:hAnsi="宋体" w:eastAsia="宋体" w:cs="宋体"/>
          <w:color w:val="auto"/>
          <w:kern w:val="2"/>
          <w:sz w:val="32"/>
          <w:szCs w:val="32"/>
          <w:highlight w:val="none"/>
          <w:lang w:val="en-US" w:eastAsia="zh-CN"/>
        </w:rPr>
        <w:t>投</w:t>
      </w:r>
      <w:r>
        <w:rPr>
          <w:rFonts w:hint="eastAsia" w:ascii="宋体" w:hAnsi="宋体" w:eastAsia="宋体" w:cs="宋体"/>
          <w:b/>
          <w:color w:val="auto"/>
          <w:kern w:val="2"/>
          <w:sz w:val="32"/>
          <w:szCs w:val="32"/>
          <w:highlight w:val="none"/>
          <w:lang w:val="en-US" w:eastAsia="zh-CN" w:bidi="ar-SA"/>
        </w:rPr>
        <w:t>标价格组成明细表</w:t>
      </w:r>
      <w:bookmarkEnd w:id="681"/>
      <w:bookmarkEnd w:id="682"/>
    </w:p>
    <w:tbl>
      <w:tblPr>
        <w:tblStyle w:val="62"/>
        <w:tblW w:w="4997" w:type="pct"/>
        <w:tblInd w:w="0" w:type="dxa"/>
        <w:tblLayout w:type="autofit"/>
        <w:tblCellMar>
          <w:top w:w="0" w:type="dxa"/>
          <w:left w:w="0" w:type="dxa"/>
          <w:bottom w:w="0" w:type="dxa"/>
          <w:right w:w="0" w:type="dxa"/>
        </w:tblCellMar>
      </w:tblPr>
      <w:tblGrid>
        <w:gridCol w:w="1028"/>
        <w:gridCol w:w="1234"/>
        <w:gridCol w:w="1503"/>
        <w:gridCol w:w="1332"/>
        <w:gridCol w:w="1332"/>
        <w:gridCol w:w="1332"/>
        <w:gridCol w:w="1334"/>
      </w:tblGrid>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7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河道名称</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河道类别</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河道长度（米）</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河道宽度（米）</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河道主体保洁巡查部分</w:t>
            </w: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河面保洁</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水域面积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河岸巡查</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w:t>
            </w:r>
            <w:r>
              <w:rPr>
                <w:rFonts w:hint="eastAsia" w:ascii="宋体" w:hAnsi="宋体" w:cs="宋体"/>
                <w:color w:val="auto"/>
                <w:kern w:val="0"/>
                <w:sz w:val="18"/>
                <w:szCs w:val="18"/>
                <w:highlight w:val="none"/>
                <w:lang w:val="en-US" w:eastAsia="zh-CN" w:bidi="ar"/>
              </w:rPr>
              <w:t>岸</w:t>
            </w:r>
            <w:r>
              <w:rPr>
                <w:rFonts w:hint="eastAsia" w:ascii="宋体" w:hAnsi="宋体" w:cs="宋体"/>
                <w:color w:val="auto"/>
                <w:kern w:val="0"/>
                <w:sz w:val="18"/>
                <w:szCs w:val="18"/>
                <w:highlight w:val="none"/>
                <w:lang w:bidi="ar"/>
              </w:rPr>
              <w:t>长度（公里）</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河道主体维修养护部分</w:t>
            </w: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硬质驳坎</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驳坎长度（米）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自然岸线</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自然岸线（米）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标警示牌</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警标示牌（个）</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栏杆维护</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栏杆长度（米）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河面垃圾外运</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水域面积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河道附属生态设施部分</w:t>
            </w: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生态浮岛及滨岸带挺水植物</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浮岛及挺水植物（平方米）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浮水植物</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浮水植物  </w:t>
            </w:r>
          </w:p>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沉水植物</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沉水植物 </w:t>
            </w:r>
          </w:p>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曝气增氧机</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曝气增氧机（台）</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人工水草</w:t>
            </w: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人工水草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8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主体设施养护经费合计（元）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18"/>
                <w:szCs w:val="18"/>
                <w:highlight w:val="none"/>
              </w:rPr>
            </w:pPr>
          </w:p>
        </w:tc>
      </w:tr>
    </w:tbl>
    <w:p>
      <w:pPr>
        <w:pStyle w:val="691"/>
        <w:keepNext w:val="0"/>
        <w:pageBreakBefore w:val="0"/>
        <w:tabs>
          <w:tab w:val="left" w:pos="420"/>
        </w:tabs>
        <w:adjustRightInd w:val="0"/>
        <w:snapToGrid w:val="0"/>
        <w:spacing w:line="360" w:lineRule="auto"/>
        <w:outlineLvl w:val="1"/>
        <w:rPr>
          <w:rFonts w:hint="eastAsia" w:ascii="宋体" w:hAnsi="宋体" w:eastAsia="宋体" w:cs="宋体"/>
          <w:color w:val="auto"/>
          <w:kern w:val="2"/>
          <w:sz w:val="32"/>
          <w:szCs w:val="32"/>
          <w:highlight w:val="none"/>
        </w:rPr>
      </w:pP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（1）本项目的投标应以人民币报价，投标人报价应是包括为完成本工程项目可能发生的全部费用及成交人的利润和应交纳的税金等一切费用，采购项目不出具联系单。</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（2）投标人应承担其参加本招标活动自身所发生的费用。</w:t>
      </w:r>
    </w:p>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（3）按提供的</w:t>
      </w:r>
      <w:r>
        <w:rPr>
          <w:rFonts w:hint="eastAsia" w:ascii="宋体" w:hAnsi="宋体" w:eastAsia="宋体" w:cs="宋体"/>
          <w:b/>
          <w:color w:val="auto"/>
          <w:sz w:val="24"/>
          <w:szCs w:val="24"/>
          <w:highlight w:val="none"/>
          <w:lang w:eastAsia="zh-CN"/>
        </w:rPr>
        <w:t>设施量</w:t>
      </w:r>
      <w:r>
        <w:rPr>
          <w:rFonts w:hint="eastAsia" w:ascii="宋体" w:hAnsi="宋体" w:eastAsia="宋体" w:cs="宋体"/>
          <w:b/>
          <w:color w:val="auto"/>
          <w:sz w:val="24"/>
          <w:szCs w:val="24"/>
          <w:highlight w:val="none"/>
        </w:rPr>
        <w:t>分别报价，报价内容按</w:t>
      </w:r>
      <w:r>
        <w:rPr>
          <w:rFonts w:hint="eastAsia" w:ascii="宋体" w:hAnsi="宋体" w:eastAsia="宋体" w:cs="宋体"/>
          <w:b/>
          <w:color w:val="auto"/>
          <w:sz w:val="24"/>
          <w:szCs w:val="24"/>
          <w:highlight w:val="none"/>
          <w:lang w:eastAsia="zh-CN"/>
        </w:rPr>
        <w:t>设施量</w:t>
      </w:r>
      <w:r>
        <w:rPr>
          <w:rFonts w:hint="eastAsia" w:ascii="宋体" w:hAnsi="宋体" w:eastAsia="宋体" w:cs="宋体"/>
          <w:b/>
          <w:color w:val="auto"/>
          <w:sz w:val="24"/>
          <w:szCs w:val="24"/>
          <w:highlight w:val="none"/>
        </w:rPr>
        <w:t>逐一报价，若有漏项，视为已包含在内。</w:t>
      </w:r>
    </w:p>
    <w:p>
      <w:pPr>
        <w:pStyle w:val="6"/>
        <w:ind w:left="0" w:leftChars="0" w:firstLine="0" w:firstLineChars="0"/>
        <w:rPr>
          <w:rFonts w:hint="eastAsia" w:hAnsi="宋体" w:cs="宋体"/>
          <w:b/>
          <w:snapToGrid/>
          <w:color w:val="auto"/>
          <w:kern w:val="2"/>
          <w:sz w:val="24"/>
          <w:szCs w:val="24"/>
          <w:highlight w:val="none"/>
          <w:lang w:val="en-US" w:eastAsia="zh-CN" w:bidi="ar-SA"/>
        </w:rPr>
      </w:pP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设施量参照第三部分采购需求3《本次招标的河道设施量表》，</w:t>
      </w:r>
      <w:r>
        <w:rPr>
          <w:rFonts w:hint="eastAsia" w:ascii="宋体" w:hAnsi="宋体" w:eastAsia="宋体" w:cs="宋体"/>
          <w:b/>
          <w:snapToGrid/>
          <w:color w:val="auto"/>
          <w:kern w:val="2"/>
          <w:sz w:val="24"/>
          <w:szCs w:val="24"/>
          <w:highlight w:val="none"/>
          <w:lang w:val="en-US" w:eastAsia="zh-CN" w:bidi="ar-SA"/>
        </w:rPr>
        <w:t>单价</w:t>
      </w:r>
      <w:r>
        <w:rPr>
          <w:rFonts w:hint="eastAsia" w:hAnsi="宋体" w:cs="宋体"/>
          <w:b/>
          <w:snapToGrid/>
          <w:color w:val="auto"/>
          <w:kern w:val="2"/>
          <w:sz w:val="24"/>
          <w:szCs w:val="24"/>
          <w:highlight w:val="none"/>
          <w:lang w:val="en-US" w:eastAsia="zh-CN" w:bidi="ar-SA"/>
        </w:rPr>
        <w:t>最高限价</w:t>
      </w:r>
      <w:r>
        <w:rPr>
          <w:rFonts w:hint="eastAsia" w:ascii="宋体" w:hAnsi="宋体" w:eastAsia="宋体" w:cs="宋体"/>
          <w:b/>
          <w:snapToGrid/>
          <w:color w:val="auto"/>
          <w:kern w:val="2"/>
          <w:sz w:val="24"/>
          <w:szCs w:val="24"/>
          <w:highlight w:val="none"/>
          <w:lang w:val="en-US" w:eastAsia="zh-CN" w:bidi="ar-SA"/>
        </w:rPr>
        <w:t>参照《河道设施养护定额表》</w:t>
      </w:r>
      <w:r>
        <w:rPr>
          <w:rFonts w:hint="eastAsia" w:hAnsi="宋体" w:cs="宋体"/>
          <w:b/>
          <w:snapToGrid/>
          <w:color w:val="auto"/>
          <w:kern w:val="2"/>
          <w:sz w:val="24"/>
          <w:szCs w:val="24"/>
          <w:highlight w:val="none"/>
          <w:lang w:val="en-US" w:eastAsia="zh-CN" w:bidi="ar-SA"/>
        </w:rPr>
        <w:t>。</w:t>
      </w:r>
    </w:p>
    <w:p>
      <w:pPr>
        <w:rPr>
          <w:rFonts w:hint="eastAsia"/>
          <w:color w:val="auto"/>
          <w:highlight w:val="none"/>
          <w:lang w:val="en-US" w:eastAsia="zh-CN"/>
        </w:rPr>
      </w:pPr>
    </w:p>
    <w:p>
      <w:pPr>
        <w:rPr>
          <w:rFonts w:hint="default" w:hAnsi="宋体" w:cs="宋体"/>
          <w:b/>
          <w:snapToGrid/>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投标报价总价不得超过预算价格，项目单价不得超过定额标准。</w:t>
      </w:r>
    </w:p>
    <w:p>
      <w:pPr>
        <w:spacing w:line="360" w:lineRule="auto"/>
        <w:ind w:left="6226" w:leftChars="2736" w:hanging="480" w:hangingChars="200"/>
        <w:jc w:val="left"/>
        <w:rPr>
          <w:rFonts w:hint="eastAsia" w:ascii="宋体" w:hAnsi="宋体" w:eastAsia="宋体" w:cs="宋体"/>
          <w:color w:val="auto"/>
          <w:sz w:val="24"/>
          <w:highlight w:val="none"/>
        </w:rPr>
      </w:pPr>
    </w:p>
    <w:p>
      <w:pPr>
        <w:spacing w:line="360" w:lineRule="auto"/>
        <w:ind w:left="6229" w:leftChars="2166" w:hanging="1680" w:hangingChars="7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投标人名称(电子签名)：</w:t>
      </w:r>
    </w:p>
    <w:p>
      <w:pPr>
        <w:spacing w:line="360" w:lineRule="auto"/>
        <w:ind w:left="6239" w:leftChars="228" w:hanging="5760" w:hangingChars="2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法定代表人或授权委托人(签字)：</w:t>
      </w:r>
    </w:p>
    <w:p>
      <w:pPr>
        <w:pStyle w:val="691"/>
        <w:keepNext w:val="0"/>
        <w:pageBreakBefore w:val="0"/>
        <w:widowControl w:val="0"/>
        <w:numPr>
          <w:ilvl w:val="0"/>
          <w:numId w:val="0"/>
        </w:numPr>
        <w:tabs>
          <w:tab w:val="clear" w:pos="720"/>
        </w:tabs>
        <w:adjustRightInd w:val="0"/>
        <w:snapToGrid w:val="0"/>
        <w:spacing w:before="120" w:after="120" w:line="360" w:lineRule="auto"/>
        <w:jc w:val="center"/>
        <w:outlineLvl w:val="9"/>
        <w:rPr>
          <w:rFonts w:hint="eastAsia" w:ascii="宋体" w:hAnsi="宋体" w:eastAsia="宋体" w:cs="宋体"/>
          <w:b w:val="0"/>
          <w:color w:val="auto"/>
          <w:kern w:val="2"/>
          <w:sz w:val="24"/>
          <w:szCs w:val="24"/>
          <w:highlight w:val="none"/>
          <w:lang w:val="en-US" w:eastAsia="zh-CN" w:bidi="ar-SA"/>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numberInDash"/>
          <w:cols w:space="720" w:num="1"/>
          <w:titlePg/>
          <w:docGrid w:linePitch="312" w:charSpace="0"/>
        </w:sect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color w:val="auto"/>
          <w:kern w:val="2"/>
          <w:sz w:val="24"/>
          <w:szCs w:val="24"/>
          <w:highlight w:val="none"/>
          <w:lang w:val="en-US" w:eastAsia="zh-CN" w:bidi="ar-SA"/>
        </w:rPr>
        <w:t xml:space="preserve"> 日期： 年  月   </w:t>
      </w: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line="360" w:lineRule="auto"/>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4"/>
        <w:numPr>
          <w:ilvl w:val="255"/>
          <w:numId w:val="0"/>
        </w:numPr>
        <w:spacing w:line="360" w:lineRule="auto"/>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4"/>
        <w:numPr>
          <w:ilvl w:val="255"/>
          <w:numId w:val="0"/>
        </w:numPr>
        <w:spacing w:line="360" w:lineRule="auto"/>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683" w:name="_Toc465665161"/>
      <w:r>
        <w:rPr>
          <w:rFonts w:hint="eastAsia" w:ascii="宋体" w:hAnsi="宋体" w:eastAsia="宋体" w:cs="宋体"/>
          <w:color w:val="auto"/>
          <w:highlight w:val="none"/>
        </w:rPr>
        <w:t>附件</w:t>
      </w:r>
      <w:bookmarkEnd w:id="683"/>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684" w:name="OLE_LINK14"/>
      <w:bookmarkStart w:id="685" w:name="OLE_LINK13"/>
      <w:r>
        <w:rPr>
          <w:rFonts w:hint="eastAsia" w:ascii="宋体" w:hAnsi="宋体" w:eastAsia="宋体" w:cs="宋体"/>
          <w:b/>
          <w:color w:val="auto"/>
          <w:spacing w:val="6"/>
          <w:sz w:val="32"/>
          <w:szCs w:val="32"/>
          <w:highlight w:val="none"/>
        </w:rPr>
        <w:t>残疾人福利性单位声明函</w:t>
      </w:r>
    </w:p>
    <w:bookmarkEnd w:id="684"/>
    <w:bookmarkEnd w:id="685"/>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杭州市上城区综合行政执法局、</w:t>
      </w:r>
      <w:r>
        <w:rPr>
          <w:rFonts w:hint="eastAsia" w:ascii="宋体" w:hAnsi="宋体" w:eastAsia="宋体" w:cs="宋体"/>
          <w:color w:val="auto"/>
          <w:sz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云普港以东河道设施长效管养招标项目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上城政采分-2022-01329</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spacing w:line="360" w:lineRule="auto"/>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color w:val="auto"/>
          <w:spacing w:val="6"/>
          <w:sz w:val="32"/>
          <w:szCs w:val="32"/>
          <w:highlight w:val="none"/>
        </w:rPr>
      </w:pPr>
    </w:p>
    <w:p>
      <w:pPr>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color w:val="auto"/>
          <w:sz w:val="24"/>
          <w:highlight w:val="none"/>
          <w:lang w:val="en-US" w:eastAsia="zh-CN"/>
        </w:rPr>
        <w:t xml:space="preserve"> </w:t>
      </w:r>
    </w:p>
    <w:p>
      <w:pPr>
        <w:spacing w:line="360" w:lineRule="auto"/>
        <w:ind w:right="420"/>
        <w:rPr>
          <w:rFonts w:hint="eastAsia" w:ascii="宋体" w:hAnsi="宋体" w:eastAsia="宋体" w:cs="宋体"/>
          <w:color w:val="auto"/>
          <w:highlight w:val="none"/>
        </w:rPr>
      </w:pPr>
    </w:p>
    <w:bookmarkEnd w:id="686"/>
    <w:sectPr>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- 76 -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- 76 -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- 75 -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- 84 -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- 84 -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- 83 -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104"/>
      <w:rPr>
        <w:rFonts w:ascii="宋体" w:hAnsi="宋体" w:eastAsia="宋体" w:cs="宋体"/>
        <w:sz w:val="12"/>
        <w:szCs w:val="12"/>
      </w:rPr>
    </w:pPr>
    <w:r>
      <w:rPr>
        <w:sz w:val="1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044"/>
      <w:rPr>
        <w:rFonts w:ascii="宋体" w:hAnsi="宋体" w:eastAsia="宋体" w:cs="宋体"/>
        <w:sz w:val="14"/>
        <w:szCs w:val="14"/>
      </w:rPr>
    </w:pPr>
    <w:r>
      <w:rPr>
        <w:sz w:val="1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D293A"/>
    <w:multiLevelType w:val="multilevel"/>
    <w:tmpl w:val="80FD293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CA2592E"/>
    <w:multiLevelType w:val="multilevel"/>
    <w:tmpl w:val="8CA2592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99EA3C3"/>
    <w:multiLevelType w:val="multilevel"/>
    <w:tmpl w:val="999EA3C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9D6900B4"/>
    <w:multiLevelType w:val="multilevel"/>
    <w:tmpl w:val="9D6900B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B635C8BB"/>
    <w:multiLevelType w:val="multilevel"/>
    <w:tmpl w:val="B635C8B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C1785E57"/>
    <w:multiLevelType w:val="multilevel"/>
    <w:tmpl w:val="C1785E5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CA0F33BE"/>
    <w:multiLevelType w:val="multilevel"/>
    <w:tmpl w:val="CA0F33B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CF15A032"/>
    <w:multiLevelType w:val="multilevel"/>
    <w:tmpl w:val="CF15A03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D4F28D43"/>
    <w:multiLevelType w:val="multilevel"/>
    <w:tmpl w:val="D4F28D4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D87CA47A"/>
    <w:multiLevelType w:val="multilevel"/>
    <w:tmpl w:val="D87CA47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E427283A"/>
    <w:multiLevelType w:val="multilevel"/>
    <w:tmpl w:val="E427283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E6F6C42D"/>
    <w:multiLevelType w:val="multilevel"/>
    <w:tmpl w:val="E6F6C42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F0E2ACC3"/>
    <w:multiLevelType w:val="multilevel"/>
    <w:tmpl w:val="F0E2ACC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00000009"/>
    <w:multiLevelType w:val="singleLevel"/>
    <w:tmpl w:val="00000009"/>
    <w:lvl w:ilvl="0" w:tentative="0">
      <w:start w:val="1"/>
      <w:numFmt w:val="chineseCounting"/>
      <w:suff w:val="nothing"/>
      <w:lvlText w:val="（%1）"/>
      <w:lvlJc w:val="left"/>
    </w:lvl>
  </w:abstractNum>
  <w:abstractNum w:abstractNumId="14">
    <w:nsid w:val="083FA551"/>
    <w:multiLevelType w:val="multilevel"/>
    <w:tmpl w:val="083FA55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0C066A34"/>
    <w:multiLevelType w:val="multilevel"/>
    <w:tmpl w:val="0C066A3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10A4E214"/>
    <w:multiLevelType w:val="multilevel"/>
    <w:tmpl w:val="10A4E21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17A1857B"/>
    <w:multiLevelType w:val="singleLevel"/>
    <w:tmpl w:val="17A1857B"/>
    <w:lvl w:ilvl="0" w:tentative="0">
      <w:start w:val="1"/>
      <w:numFmt w:val="lowerLetter"/>
      <w:suff w:val="space"/>
      <w:lvlText w:val="%1)"/>
      <w:lvlJc w:val="left"/>
    </w:lvl>
  </w:abstractNum>
  <w:abstractNum w:abstractNumId="18">
    <w:nsid w:val="3736AE44"/>
    <w:multiLevelType w:val="multilevel"/>
    <w:tmpl w:val="3736AE4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387AEA2A"/>
    <w:multiLevelType w:val="singleLevel"/>
    <w:tmpl w:val="387AEA2A"/>
    <w:lvl w:ilvl="0" w:tentative="0">
      <w:start w:val="2"/>
      <w:numFmt w:val="chineseCounting"/>
      <w:suff w:val="nothing"/>
      <w:lvlText w:val="%1、"/>
      <w:lvlJc w:val="left"/>
      <w:rPr>
        <w:rFonts w:hint="eastAsia"/>
      </w:rPr>
    </w:lvl>
  </w:abstractNum>
  <w:abstractNum w:abstractNumId="20">
    <w:nsid w:val="3AD3B063"/>
    <w:multiLevelType w:val="multilevel"/>
    <w:tmpl w:val="3AD3B06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192787E"/>
    <w:multiLevelType w:val="multilevel"/>
    <w:tmpl w:val="4192787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AAE01A4"/>
    <w:multiLevelType w:val="singleLevel"/>
    <w:tmpl w:val="4AAE01A4"/>
    <w:lvl w:ilvl="0" w:tentative="0">
      <w:start w:val="4"/>
      <w:numFmt w:val="chineseCounting"/>
      <w:suff w:val="space"/>
      <w:lvlText w:val="第%1部分"/>
      <w:lvlJc w:val="left"/>
      <w:rPr>
        <w:rFonts w:hint="eastAsia"/>
      </w:rPr>
    </w:lvl>
  </w:abstractNum>
  <w:abstractNum w:abstractNumId="23">
    <w:nsid w:val="4E0E9123"/>
    <w:multiLevelType w:val="multilevel"/>
    <w:tmpl w:val="4E0E912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51264DA9"/>
    <w:multiLevelType w:val="singleLevel"/>
    <w:tmpl w:val="51264DA9"/>
    <w:lvl w:ilvl="0" w:tentative="0">
      <w:start w:val="3"/>
      <w:numFmt w:val="decimal"/>
      <w:lvlText w:val="%1."/>
      <w:lvlJc w:val="left"/>
      <w:pPr>
        <w:tabs>
          <w:tab w:val="left" w:pos="312"/>
        </w:tabs>
      </w:pPr>
    </w:lvl>
  </w:abstractNum>
  <w:abstractNum w:abstractNumId="25">
    <w:nsid w:val="5A0FDB68"/>
    <w:multiLevelType w:val="multilevel"/>
    <w:tmpl w:val="5A0FDB6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60505CBA"/>
    <w:multiLevelType w:val="multilevel"/>
    <w:tmpl w:val="60505CB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67298C99"/>
    <w:multiLevelType w:val="singleLevel"/>
    <w:tmpl w:val="67298C99"/>
    <w:lvl w:ilvl="0" w:tentative="0">
      <w:start w:val="1"/>
      <w:numFmt w:val="upperLetter"/>
      <w:lvlText w:val="%1."/>
      <w:lvlJc w:val="left"/>
      <w:pPr>
        <w:tabs>
          <w:tab w:val="left" w:pos="312"/>
        </w:tabs>
      </w:pPr>
    </w:lvl>
  </w:abstractNum>
  <w:abstractNum w:abstractNumId="28">
    <w:nsid w:val="7939EDA2"/>
    <w:multiLevelType w:val="multilevel"/>
    <w:tmpl w:val="7939EDA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4"/>
  </w:num>
  <w:num w:numId="2">
    <w:abstractNumId w:val="17"/>
  </w:num>
  <w:num w:numId="3">
    <w:abstractNumId w:val="20"/>
  </w:num>
  <w:num w:numId="4">
    <w:abstractNumId w:val="10"/>
  </w:num>
  <w:num w:numId="5">
    <w:abstractNumId w:val="0"/>
  </w:num>
  <w:num w:numId="6">
    <w:abstractNumId w:val="26"/>
  </w:num>
  <w:num w:numId="7">
    <w:abstractNumId w:val="14"/>
  </w:num>
  <w:num w:numId="8">
    <w:abstractNumId w:val="12"/>
  </w:num>
  <w:num w:numId="9">
    <w:abstractNumId w:val="6"/>
  </w:num>
  <w:num w:numId="10">
    <w:abstractNumId w:val="7"/>
  </w:num>
  <w:num w:numId="11">
    <w:abstractNumId w:val="1"/>
  </w:num>
  <w:num w:numId="12">
    <w:abstractNumId w:val="28"/>
  </w:num>
  <w:num w:numId="13">
    <w:abstractNumId w:val="3"/>
  </w:num>
  <w:num w:numId="14">
    <w:abstractNumId w:val="23"/>
  </w:num>
  <w:num w:numId="15">
    <w:abstractNumId w:val="8"/>
  </w:num>
  <w:num w:numId="16">
    <w:abstractNumId w:val="2"/>
  </w:num>
  <w:num w:numId="17">
    <w:abstractNumId w:val="21"/>
  </w:num>
  <w:num w:numId="18">
    <w:abstractNumId w:val="15"/>
  </w:num>
  <w:num w:numId="19">
    <w:abstractNumId w:val="9"/>
  </w:num>
  <w:num w:numId="20">
    <w:abstractNumId w:val="4"/>
  </w:num>
  <w:num w:numId="21">
    <w:abstractNumId w:val="18"/>
  </w:num>
  <w:num w:numId="22">
    <w:abstractNumId w:val="11"/>
  </w:num>
  <w:num w:numId="23">
    <w:abstractNumId w:val="25"/>
  </w:num>
  <w:num w:numId="24">
    <w:abstractNumId w:val="5"/>
  </w:num>
  <w:num w:numId="25">
    <w:abstractNumId w:val="16"/>
  </w:num>
  <w:num w:numId="26">
    <w:abstractNumId w:val="13"/>
  </w:num>
  <w:num w:numId="27">
    <w:abstractNumId w:val="22"/>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jQxOGY5NzcyZWJkNGExYTViOThjZTExNmJlMDgifQ=="/>
  </w:docVars>
  <w:rsids>
    <w:rsidRoot w:val="0000000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170"/>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467"/>
    <w:rsid w:val="019F7441"/>
    <w:rsid w:val="01B37585"/>
    <w:rsid w:val="01D55165"/>
    <w:rsid w:val="01DF6BF8"/>
    <w:rsid w:val="01EC2C57"/>
    <w:rsid w:val="024737BC"/>
    <w:rsid w:val="026B2E25"/>
    <w:rsid w:val="02824D4D"/>
    <w:rsid w:val="02DC4B10"/>
    <w:rsid w:val="02DD76CE"/>
    <w:rsid w:val="02F36323"/>
    <w:rsid w:val="02F5619C"/>
    <w:rsid w:val="02F8465F"/>
    <w:rsid w:val="0326446A"/>
    <w:rsid w:val="032D5555"/>
    <w:rsid w:val="036634D2"/>
    <w:rsid w:val="03936CB9"/>
    <w:rsid w:val="03DD35E4"/>
    <w:rsid w:val="03E4553F"/>
    <w:rsid w:val="04076900"/>
    <w:rsid w:val="041A5A3B"/>
    <w:rsid w:val="042311BA"/>
    <w:rsid w:val="042B157A"/>
    <w:rsid w:val="048F763B"/>
    <w:rsid w:val="049F330E"/>
    <w:rsid w:val="04AA775C"/>
    <w:rsid w:val="04AF1889"/>
    <w:rsid w:val="04C24964"/>
    <w:rsid w:val="04F3493C"/>
    <w:rsid w:val="04F66F48"/>
    <w:rsid w:val="05251E14"/>
    <w:rsid w:val="057202F6"/>
    <w:rsid w:val="05A16594"/>
    <w:rsid w:val="05A7762D"/>
    <w:rsid w:val="060E5941"/>
    <w:rsid w:val="06110FAF"/>
    <w:rsid w:val="06493CA7"/>
    <w:rsid w:val="065A6178"/>
    <w:rsid w:val="066A652D"/>
    <w:rsid w:val="066F1CF3"/>
    <w:rsid w:val="06930BB8"/>
    <w:rsid w:val="06E16067"/>
    <w:rsid w:val="07245D42"/>
    <w:rsid w:val="07264C62"/>
    <w:rsid w:val="0779354C"/>
    <w:rsid w:val="07B54D24"/>
    <w:rsid w:val="07C949D3"/>
    <w:rsid w:val="07E57004"/>
    <w:rsid w:val="07F550A9"/>
    <w:rsid w:val="08061376"/>
    <w:rsid w:val="08452D77"/>
    <w:rsid w:val="086401F8"/>
    <w:rsid w:val="08751CAA"/>
    <w:rsid w:val="087E4C40"/>
    <w:rsid w:val="08BC355E"/>
    <w:rsid w:val="08C95E5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645E"/>
    <w:rsid w:val="09E04166"/>
    <w:rsid w:val="0A1C0718"/>
    <w:rsid w:val="0A3E7710"/>
    <w:rsid w:val="0A5B7E63"/>
    <w:rsid w:val="0AA374A5"/>
    <w:rsid w:val="0AAB7649"/>
    <w:rsid w:val="0ABC01A5"/>
    <w:rsid w:val="0ABC5606"/>
    <w:rsid w:val="0ACF3E49"/>
    <w:rsid w:val="0AD3537F"/>
    <w:rsid w:val="0B30404E"/>
    <w:rsid w:val="0B4C6C14"/>
    <w:rsid w:val="0B631A88"/>
    <w:rsid w:val="0B633CF7"/>
    <w:rsid w:val="0B683D45"/>
    <w:rsid w:val="0B7F3F11"/>
    <w:rsid w:val="0B884417"/>
    <w:rsid w:val="0BF6188C"/>
    <w:rsid w:val="0BF73C91"/>
    <w:rsid w:val="0C170175"/>
    <w:rsid w:val="0C571A41"/>
    <w:rsid w:val="0C5C1171"/>
    <w:rsid w:val="0C5E1CBC"/>
    <w:rsid w:val="0C615B50"/>
    <w:rsid w:val="0C8445DA"/>
    <w:rsid w:val="0C87121B"/>
    <w:rsid w:val="0C9F24F4"/>
    <w:rsid w:val="0CC007F7"/>
    <w:rsid w:val="0CFE707A"/>
    <w:rsid w:val="0D063BDA"/>
    <w:rsid w:val="0D08375F"/>
    <w:rsid w:val="0D184CFB"/>
    <w:rsid w:val="0D4A7419"/>
    <w:rsid w:val="0D827401"/>
    <w:rsid w:val="0D84094E"/>
    <w:rsid w:val="0D8A00E9"/>
    <w:rsid w:val="0D8D589E"/>
    <w:rsid w:val="0DA01C73"/>
    <w:rsid w:val="0DA76E31"/>
    <w:rsid w:val="0DD5144B"/>
    <w:rsid w:val="0DD63300"/>
    <w:rsid w:val="0DF50604"/>
    <w:rsid w:val="0DF702FE"/>
    <w:rsid w:val="0E060E51"/>
    <w:rsid w:val="0E5604B2"/>
    <w:rsid w:val="0E6D5D79"/>
    <w:rsid w:val="0E7C25E1"/>
    <w:rsid w:val="0E9D0089"/>
    <w:rsid w:val="0EB803EE"/>
    <w:rsid w:val="0ED71D6D"/>
    <w:rsid w:val="0EF94D4B"/>
    <w:rsid w:val="0F4958DC"/>
    <w:rsid w:val="0F515DF7"/>
    <w:rsid w:val="0F596BA8"/>
    <w:rsid w:val="0F6248D2"/>
    <w:rsid w:val="0F693536"/>
    <w:rsid w:val="0F7B0511"/>
    <w:rsid w:val="0F7B76D9"/>
    <w:rsid w:val="0F816ACD"/>
    <w:rsid w:val="0F9832DB"/>
    <w:rsid w:val="0FAE7713"/>
    <w:rsid w:val="0FBF3FD2"/>
    <w:rsid w:val="0FBF7FF3"/>
    <w:rsid w:val="0FF37032"/>
    <w:rsid w:val="10646583"/>
    <w:rsid w:val="106A4437"/>
    <w:rsid w:val="10782D90"/>
    <w:rsid w:val="107D4B15"/>
    <w:rsid w:val="108A3C80"/>
    <w:rsid w:val="1092263A"/>
    <w:rsid w:val="10AD3B8F"/>
    <w:rsid w:val="10C26171"/>
    <w:rsid w:val="10F33360"/>
    <w:rsid w:val="10FC16EA"/>
    <w:rsid w:val="110F1D40"/>
    <w:rsid w:val="11266F33"/>
    <w:rsid w:val="118963A1"/>
    <w:rsid w:val="118A209B"/>
    <w:rsid w:val="11C6522A"/>
    <w:rsid w:val="11E104CC"/>
    <w:rsid w:val="11E20309"/>
    <w:rsid w:val="12096C65"/>
    <w:rsid w:val="12255233"/>
    <w:rsid w:val="12530213"/>
    <w:rsid w:val="12641821"/>
    <w:rsid w:val="127723A9"/>
    <w:rsid w:val="12827F92"/>
    <w:rsid w:val="12862074"/>
    <w:rsid w:val="12883966"/>
    <w:rsid w:val="129E45B4"/>
    <w:rsid w:val="12D81596"/>
    <w:rsid w:val="12FE1154"/>
    <w:rsid w:val="13072A44"/>
    <w:rsid w:val="135F4BE2"/>
    <w:rsid w:val="139B1A0A"/>
    <w:rsid w:val="139D25C7"/>
    <w:rsid w:val="13BF3CE4"/>
    <w:rsid w:val="141008D8"/>
    <w:rsid w:val="14125FE6"/>
    <w:rsid w:val="143B280D"/>
    <w:rsid w:val="146D271E"/>
    <w:rsid w:val="14982588"/>
    <w:rsid w:val="149A5AD9"/>
    <w:rsid w:val="14A7619D"/>
    <w:rsid w:val="150536C3"/>
    <w:rsid w:val="150C1963"/>
    <w:rsid w:val="151447A0"/>
    <w:rsid w:val="152A7520"/>
    <w:rsid w:val="154A6454"/>
    <w:rsid w:val="15762120"/>
    <w:rsid w:val="15A074FD"/>
    <w:rsid w:val="15B773A6"/>
    <w:rsid w:val="16A8729C"/>
    <w:rsid w:val="16B33777"/>
    <w:rsid w:val="16BC70A7"/>
    <w:rsid w:val="16C6339E"/>
    <w:rsid w:val="172F2D79"/>
    <w:rsid w:val="17557BEF"/>
    <w:rsid w:val="17D349C1"/>
    <w:rsid w:val="180E4681"/>
    <w:rsid w:val="1830729E"/>
    <w:rsid w:val="1870062C"/>
    <w:rsid w:val="18817102"/>
    <w:rsid w:val="18830A15"/>
    <w:rsid w:val="18852B28"/>
    <w:rsid w:val="188B5321"/>
    <w:rsid w:val="1891463B"/>
    <w:rsid w:val="19932372"/>
    <w:rsid w:val="19A20DD5"/>
    <w:rsid w:val="19AE03F1"/>
    <w:rsid w:val="19C969AD"/>
    <w:rsid w:val="1A071A03"/>
    <w:rsid w:val="1A1F16AE"/>
    <w:rsid w:val="1A3B5C77"/>
    <w:rsid w:val="1A984BAD"/>
    <w:rsid w:val="1AB8220E"/>
    <w:rsid w:val="1AE4166C"/>
    <w:rsid w:val="1AF06CFB"/>
    <w:rsid w:val="1AF11B8D"/>
    <w:rsid w:val="1B11359C"/>
    <w:rsid w:val="1B2A271F"/>
    <w:rsid w:val="1B506DE6"/>
    <w:rsid w:val="1B530544"/>
    <w:rsid w:val="1B713184"/>
    <w:rsid w:val="1BA209CF"/>
    <w:rsid w:val="1BB4777D"/>
    <w:rsid w:val="1BD7315A"/>
    <w:rsid w:val="1BD75AB8"/>
    <w:rsid w:val="1C0459C2"/>
    <w:rsid w:val="1C1B3B4A"/>
    <w:rsid w:val="1C252067"/>
    <w:rsid w:val="1C88086E"/>
    <w:rsid w:val="1CA72241"/>
    <w:rsid w:val="1D266CE1"/>
    <w:rsid w:val="1D3963AF"/>
    <w:rsid w:val="1D6A673C"/>
    <w:rsid w:val="1D815123"/>
    <w:rsid w:val="1D9247AE"/>
    <w:rsid w:val="1DB567EC"/>
    <w:rsid w:val="1DF51A98"/>
    <w:rsid w:val="1E3D060F"/>
    <w:rsid w:val="1E3F7D2E"/>
    <w:rsid w:val="1E4134E4"/>
    <w:rsid w:val="1E5062B3"/>
    <w:rsid w:val="1E523514"/>
    <w:rsid w:val="1E714A66"/>
    <w:rsid w:val="1E73338C"/>
    <w:rsid w:val="1E802593"/>
    <w:rsid w:val="1EA617D7"/>
    <w:rsid w:val="1EA703CC"/>
    <w:rsid w:val="1EB71EF2"/>
    <w:rsid w:val="1EB7330C"/>
    <w:rsid w:val="1F0A0FF3"/>
    <w:rsid w:val="1F3C5A94"/>
    <w:rsid w:val="1F5771FF"/>
    <w:rsid w:val="1F7E3685"/>
    <w:rsid w:val="1F8E2D43"/>
    <w:rsid w:val="1FB03782"/>
    <w:rsid w:val="1FC77039"/>
    <w:rsid w:val="1FE868A9"/>
    <w:rsid w:val="20034907"/>
    <w:rsid w:val="20173E4B"/>
    <w:rsid w:val="20387F2D"/>
    <w:rsid w:val="204E48BC"/>
    <w:rsid w:val="207F7762"/>
    <w:rsid w:val="208921B3"/>
    <w:rsid w:val="20973DEB"/>
    <w:rsid w:val="20B26522"/>
    <w:rsid w:val="20B44310"/>
    <w:rsid w:val="20EA2E7A"/>
    <w:rsid w:val="211116EB"/>
    <w:rsid w:val="21374CAA"/>
    <w:rsid w:val="216133FC"/>
    <w:rsid w:val="21D56769"/>
    <w:rsid w:val="21E464DA"/>
    <w:rsid w:val="21E52EF3"/>
    <w:rsid w:val="21FB5D7B"/>
    <w:rsid w:val="220B1C3D"/>
    <w:rsid w:val="221D1D20"/>
    <w:rsid w:val="22334A87"/>
    <w:rsid w:val="22BE6801"/>
    <w:rsid w:val="233500BF"/>
    <w:rsid w:val="23377FF7"/>
    <w:rsid w:val="236B425F"/>
    <w:rsid w:val="23735689"/>
    <w:rsid w:val="23832621"/>
    <w:rsid w:val="23836192"/>
    <w:rsid w:val="23901F29"/>
    <w:rsid w:val="239C0061"/>
    <w:rsid w:val="23B908A4"/>
    <w:rsid w:val="23E95BEF"/>
    <w:rsid w:val="23FD0064"/>
    <w:rsid w:val="245375B0"/>
    <w:rsid w:val="24642C0A"/>
    <w:rsid w:val="246942F3"/>
    <w:rsid w:val="24B22173"/>
    <w:rsid w:val="24B95AD9"/>
    <w:rsid w:val="24BA27A4"/>
    <w:rsid w:val="24BE24DA"/>
    <w:rsid w:val="24CF5825"/>
    <w:rsid w:val="24D663E6"/>
    <w:rsid w:val="24D77F2B"/>
    <w:rsid w:val="258B00E2"/>
    <w:rsid w:val="25A917A6"/>
    <w:rsid w:val="25BE27CC"/>
    <w:rsid w:val="25F74A5C"/>
    <w:rsid w:val="2628662C"/>
    <w:rsid w:val="262D45DE"/>
    <w:rsid w:val="26467401"/>
    <w:rsid w:val="268853A2"/>
    <w:rsid w:val="26A53EF9"/>
    <w:rsid w:val="26A94201"/>
    <w:rsid w:val="26AB75C6"/>
    <w:rsid w:val="26AC274F"/>
    <w:rsid w:val="27044A29"/>
    <w:rsid w:val="271D34C8"/>
    <w:rsid w:val="276142BF"/>
    <w:rsid w:val="27783712"/>
    <w:rsid w:val="27907362"/>
    <w:rsid w:val="281E2155"/>
    <w:rsid w:val="2826423B"/>
    <w:rsid w:val="28333E1D"/>
    <w:rsid w:val="28454BD6"/>
    <w:rsid w:val="28455253"/>
    <w:rsid w:val="28551971"/>
    <w:rsid w:val="285B1C53"/>
    <w:rsid w:val="289F7086"/>
    <w:rsid w:val="28AB039A"/>
    <w:rsid w:val="28C32028"/>
    <w:rsid w:val="28CC490F"/>
    <w:rsid w:val="28DE40AA"/>
    <w:rsid w:val="2905530D"/>
    <w:rsid w:val="29345E77"/>
    <w:rsid w:val="294C65AD"/>
    <w:rsid w:val="2967312E"/>
    <w:rsid w:val="29806583"/>
    <w:rsid w:val="298B3C4C"/>
    <w:rsid w:val="29F26D24"/>
    <w:rsid w:val="2A15033F"/>
    <w:rsid w:val="2A1662C1"/>
    <w:rsid w:val="2A1C7367"/>
    <w:rsid w:val="2A2815FA"/>
    <w:rsid w:val="2A4F6B01"/>
    <w:rsid w:val="2A6D6092"/>
    <w:rsid w:val="2A6E1E53"/>
    <w:rsid w:val="2A7D76B4"/>
    <w:rsid w:val="2AA25464"/>
    <w:rsid w:val="2B437463"/>
    <w:rsid w:val="2B7807EE"/>
    <w:rsid w:val="2BBF00EC"/>
    <w:rsid w:val="2BC37CFD"/>
    <w:rsid w:val="2BD5237F"/>
    <w:rsid w:val="2BE536CE"/>
    <w:rsid w:val="2BE758D9"/>
    <w:rsid w:val="2C09049E"/>
    <w:rsid w:val="2C0A653C"/>
    <w:rsid w:val="2C191F85"/>
    <w:rsid w:val="2C324A12"/>
    <w:rsid w:val="2C4613C9"/>
    <w:rsid w:val="2C5A6220"/>
    <w:rsid w:val="2CB73169"/>
    <w:rsid w:val="2CE82D6F"/>
    <w:rsid w:val="2D093882"/>
    <w:rsid w:val="2D343236"/>
    <w:rsid w:val="2DD15014"/>
    <w:rsid w:val="2DF72DE4"/>
    <w:rsid w:val="2E0220AF"/>
    <w:rsid w:val="2E4B082A"/>
    <w:rsid w:val="2E5D4E86"/>
    <w:rsid w:val="2E5D790B"/>
    <w:rsid w:val="2E732B82"/>
    <w:rsid w:val="2E9A3C18"/>
    <w:rsid w:val="2EA9483D"/>
    <w:rsid w:val="2EBB0FEE"/>
    <w:rsid w:val="2EC63002"/>
    <w:rsid w:val="2EC851B9"/>
    <w:rsid w:val="2F0A6B38"/>
    <w:rsid w:val="2F89774B"/>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5F4BF1"/>
    <w:rsid w:val="336963EB"/>
    <w:rsid w:val="33816EEB"/>
    <w:rsid w:val="33EB55CD"/>
    <w:rsid w:val="33EC4C02"/>
    <w:rsid w:val="340D2360"/>
    <w:rsid w:val="3410665D"/>
    <w:rsid w:val="34120C85"/>
    <w:rsid w:val="34211214"/>
    <w:rsid w:val="342E63AB"/>
    <w:rsid w:val="346807B7"/>
    <w:rsid w:val="34950E68"/>
    <w:rsid w:val="34986E94"/>
    <w:rsid w:val="34AF62C9"/>
    <w:rsid w:val="34CB4388"/>
    <w:rsid w:val="34F66AE8"/>
    <w:rsid w:val="34FA6E12"/>
    <w:rsid w:val="35155921"/>
    <w:rsid w:val="353F679D"/>
    <w:rsid w:val="358D5588"/>
    <w:rsid w:val="35CB64B0"/>
    <w:rsid w:val="363A3B40"/>
    <w:rsid w:val="365302AE"/>
    <w:rsid w:val="36607A0A"/>
    <w:rsid w:val="366E227C"/>
    <w:rsid w:val="366F2E0D"/>
    <w:rsid w:val="36793D93"/>
    <w:rsid w:val="367B6A5C"/>
    <w:rsid w:val="36A74ADA"/>
    <w:rsid w:val="36AD60D5"/>
    <w:rsid w:val="36B224F9"/>
    <w:rsid w:val="36EC0CC9"/>
    <w:rsid w:val="373F410B"/>
    <w:rsid w:val="37442A19"/>
    <w:rsid w:val="37D76237"/>
    <w:rsid w:val="37EE7094"/>
    <w:rsid w:val="38296C89"/>
    <w:rsid w:val="383002EB"/>
    <w:rsid w:val="38586797"/>
    <w:rsid w:val="38604E46"/>
    <w:rsid w:val="38BC0149"/>
    <w:rsid w:val="38D87D1C"/>
    <w:rsid w:val="38F31B67"/>
    <w:rsid w:val="38F96472"/>
    <w:rsid w:val="390069D0"/>
    <w:rsid w:val="395B34A0"/>
    <w:rsid w:val="39636459"/>
    <w:rsid w:val="3963744A"/>
    <w:rsid w:val="396B7F6C"/>
    <w:rsid w:val="39AC23F5"/>
    <w:rsid w:val="39AE3D98"/>
    <w:rsid w:val="39B417A9"/>
    <w:rsid w:val="39E80069"/>
    <w:rsid w:val="39FC5695"/>
    <w:rsid w:val="3A006D8E"/>
    <w:rsid w:val="3A3651E5"/>
    <w:rsid w:val="3A744481"/>
    <w:rsid w:val="3A8C7BEF"/>
    <w:rsid w:val="3A906246"/>
    <w:rsid w:val="3AAF6860"/>
    <w:rsid w:val="3B145A0B"/>
    <w:rsid w:val="3B1958DF"/>
    <w:rsid w:val="3B2349B7"/>
    <w:rsid w:val="3B420884"/>
    <w:rsid w:val="3B616CFF"/>
    <w:rsid w:val="3B6259F6"/>
    <w:rsid w:val="3B6B11DD"/>
    <w:rsid w:val="3B8D538C"/>
    <w:rsid w:val="3B976654"/>
    <w:rsid w:val="3BC01EFC"/>
    <w:rsid w:val="3BCA786A"/>
    <w:rsid w:val="3BCC65D1"/>
    <w:rsid w:val="3BD31E2F"/>
    <w:rsid w:val="3BF15831"/>
    <w:rsid w:val="3C047A4D"/>
    <w:rsid w:val="3C105946"/>
    <w:rsid w:val="3C471448"/>
    <w:rsid w:val="3C4D31A2"/>
    <w:rsid w:val="3C5F759A"/>
    <w:rsid w:val="3C6C525A"/>
    <w:rsid w:val="3C9B215F"/>
    <w:rsid w:val="3CCE23CB"/>
    <w:rsid w:val="3CD016DD"/>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76446"/>
    <w:rsid w:val="3EAF4836"/>
    <w:rsid w:val="3EC33DFA"/>
    <w:rsid w:val="3F060E16"/>
    <w:rsid w:val="3F1D1096"/>
    <w:rsid w:val="3F2F0234"/>
    <w:rsid w:val="3F6363FE"/>
    <w:rsid w:val="3F756B8F"/>
    <w:rsid w:val="3F95482B"/>
    <w:rsid w:val="4019356B"/>
    <w:rsid w:val="40592157"/>
    <w:rsid w:val="406E1CAE"/>
    <w:rsid w:val="40A0133A"/>
    <w:rsid w:val="40C31A53"/>
    <w:rsid w:val="40F46F69"/>
    <w:rsid w:val="40FF545D"/>
    <w:rsid w:val="410067C8"/>
    <w:rsid w:val="413B45AF"/>
    <w:rsid w:val="418F0D2A"/>
    <w:rsid w:val="41A24A28"/>
    <w:rsid w:val="41D01505"/>
    <w:rsid w:val="42474939"/>
    <w:rsid w:val="424C3C57"/>
    <w:rsid w:val="42613FF3"/>
    <w:rsid w:val="42660D96"/>
    <w:rsid w:val="428667D2"/>
    <w:rsid w:val="42CC7D90"/>
    <w:rsid w:val="42CD1CE0"/>
    <w:rsid w:val="42E1381E"/>
    <w:rsid w:val="42ED6459"/>
    <w:rsid w:val="42FE58DD"/>
    <w:rsid w:val="431272F0"/>
    <w:rsid w:val="43174B3D"/>
    <w:rsid w:val="433A476F"/>
    <w:rsid w:val="434B790E"/>
    <w:rsid w:val="4360274F"/>
    <w:rsid w:val="43895E48"/>
    <w:rsid w:val="43977AB6"/>
    <w:rsid w:val="43A3342B"/>
    <w:rsid w:val="43C77C27"/>
    <w:rsid w:val="43D72F83"/>
    <w:rsid w:val="43DB5537"/>
    <w:rsid w:val="43DE09EE"/>
    <w:rsid w:val="44002FAD"/>
    <w:rsid w:val="449101DD"/>
    <w:rsid w:val="44DE1391"/>
    <w:rsid w:val="451B225C"/>
    <w:rsid w:val="452410C9"/>
    <w:rsid w:val="45317DFB"/>
    <w:rsid w:val="4544241B"/>
    <w:rsid w:val="456D3CE4"/>
    <w:rsid w:val="4579042C"/>
    <w:rsid w:val="457F0571"/>
    <w:rsid w:val="45851176"/>
    <w:rsid w:val="45C63B94"/>
    <w:rsid w:val="460E7DA5"/>
    <w:rsid w:val="46422483"/>
    <w:rsid w:val="4659254A"/>
    <w:rsid w:val="465B0637"/>
    <w:rsid w:val="465E3F0D"/>
    <w:rsid w:val="466A16E6"/>
    <w:rsid w:val="46846A6B"/>
    <w:rsid w:val="46893F2B"/>
    <w:rsid w:val="46C4686E"/>
    <w:rsid w:val="477B778F"/>
    <w:rsid w:val="478203EC"/>
    <w:rsid w:val="47B025FA"/>
    <w:rsid w:val="4809698F"/>
    <w:rsid w:val="4811697D"/>
    <w:rsid w:val="4870692D"/>
    <w:rsid w:val="487637D6"/>
    <w:rsid w:val="487A3E25"/>
    <w:rsid w:val="488B5503"/>
    <w:rsid w:val="48937E21"/>
    <w:rsid w:val="489A0361"/>
    <w:rsid w:val="48B94FF3"/>
    <w:rsid w:val="48E37AAB"/>
    <w:rsid w:val="48FD4B4C"/>
    <w:rsid w:val="490A68E0"/>
    <w:rsid w:val="491055FE"/>
    <w:rsid w:val="495F5B3E"/>
    <w:rsid w:val="496F77D7"/>
    <w:rsid w:val="497654FD"/>
    <w:rsid w:val="49B64211"/>
    <w:rsid w:val="49C11AD5"/>
    <w:rsid w:val="49F6167F"/>
    <w:rsid w:val="4A064FA0"/>
    <w:rsid w:val="4A16615C"/>
    <w:rsid w:val="4A4424D7"/>
    <w:rsid w:val="4A64022A"/>
    <w:rsid w:val="4AB82D0F"/>
    <w:rsid w:val="4AEB7664"/>
    <w:rsid w:val="4AFD7C19"/>
    <w:rsid w:val="4B0567D1"/>
    <w:rsid w:val="4B236AAE"/>
    <w:rsid w:val="4B345FB7"/>
    <w:rsid w:val="4B707271"/>
    <w:rsid w:val="4B9739F7"/>
    <w:rsid w:val="4BEB14BD"/>
    <w:rsid w:val="4BEE2503"/>
    <w:rsid w:val="4C101AF6"/>
    <w:rsid w:val="4C245A30"/>
    <w:rsid w:val="4C814A0E"/>
    <w:rsid w:val="4CB6685F"/>
    <w:rsid w:val="4CC367FE"/>
    <w:rsid w:val="4CDD2925"/>
    <w:rsid w:val="4D077F3C"/>
    <w:rsid w:val="4D123355"/>
    <w:rsid w:val="4D2A3B31"/>
    <w:rsid w:val="4D312C52"/>
    <w:rsid w:val="4D905305"/>
    <w:rsid w:val="4D964A72"/>
    <w:rsid w:val="4D9C1254"/>
    <w:rsid w:val="4DA059EA"/>
    <w:rsid w:val="4E52268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87825"/>
    <w:rsid w:val="518832C8"/>
    <w:rsid w:val="51A0432A"/>
    <w:rsid w:val="51A86090"/>
    <w:rsid w:val="51B7396D"/>
    <w:rsid w:val="51CD590D"/>
    <w:rsid w:val="522E4CC3"/>
    <w:rsid w:val="5244713B"/>
    <w:rsid w:val="52615633"/>
    <w:rsid w:val="52746DE2"/>
    <w:rsid w:val="52977FD4"/>
    <w:rsid w:val="52992CE6"/>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B02EF"/>
    <w:rsid w:val="54CA0D16"/>
    <w:rsid w:val="54DD4057"/>
    <w:rsid w:val="54E7490F"/>
    <w:rsid w:val="550764A4"/>
    <w:rsid w:val="550B2BF6"/>
    <w:rsid w:val="55214EB5"/>
    <w:rsid w:val="55364EFD"/>
    <w:rsid w:val="555D4828"/>
    <w:rsid w:val="55607602"/>
    <w:rsid w:val="557A4C8B"/>
    <w:rsid w:val="558931E1"/>
    <w:rsid w:val="55923347"/>
    <w:rsid w:val="55925180"/>
    <w:rsid w:val="55983B1B"/>
    <w:rsid w:val="55A8376B"/>
    <w:rsid w:val="55DC29B6"/>
    <w:rsid w:val="55DD4241"/>
    <w:rsid w:val="564C575A"/>
    <w:rsid w:val="56535401"/>
    <w:rsid w:val="566B6D1E"/>
    <w:rsid w:val="57032A2C"/>
    <w:rsid w:val="570F1328"/>
    <w:rsid w:val="570F5219"/>
    <w:rsid w:val="5723302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B03E3"/>
    <w:rsid w:val="58917D2F"/>
    <w:rsid w:val="5894085C"/>
    <w:rsid w:val="58AE4F0C"/>
    <w:rsid w:val="58B85899"/>
    <w:rsid w:val="58D92C77"/>
    <w:rsid w:val="58E363A9"/>
    <w:rsid w:val="595942A5"/>
    <w:rsid w:val="595E1678"/>
    <w:rsid w:val="596D5BD4"/>
    <w:rsid w:val="597E3DD8"/>
    <w:rsid w:val="59F80043"/>
    <w:rsid w:val="5A09252F"/>
    <w:rsid w:val="5A0B2778"/>
    <w:rsid w:val="5A2A7C7B"/>
    <w:rsid w:val="5A392F01"/>
    <w:rsid w:val="5A3E2560"/>
    <w:rsid w:val="5A531F71"/>
    <w:rsid w:val="5A557200"/>
    <w:rsid w:val="5A5D3B6E"/>
    <w:rsid w:val="5A637A76"/>
    <w:rsid w:val="5A6D33BA"/>
    <w:rsid w:val="5A792B1F"/>
    <w:rsid w:val="5A874767"/>
    <w:rsid w:val="5A8959FD"/>
    <w:rsid w:val="5AAD6F28"/>
    <w:rsid w:val="5ACD78B7"/>
    <w:rsid w:val="5AD63A24"/>
    <w:rsid w:val="5B0B0567"/>
    <w:rsid w:val="5B226B5D"/>
    <w:rsid w:val="5B234FAF"/>
    <w:rsid w:val="5B2E1A1D"/>
    <w:rsid w:val="5B750193"/>
    <w:rsid w:val="5B843A1C"/>
    <w:rsid w:val="5B873E3F"/>
    <w:rsid w:val="5BE32549"/>
    <w:rsid w:val="5C02690E"/>
    <w:rsid w:val="5C196DA7"/>
    <w:rsid w:val="5C2A048C"/>
    <w:rsid w:val="5C80234E"/>
    <w:rsid w:val="5C8A680C"/>
    <w:rsid w:val="5CD13A1E"/>
    <w:rsid w:val="5D0C4701"/>
    <w:rsid w:val="5D0F0395"/>
    <w:rsid w:val="5D221076"/>
    <w:rsid w:val="5D397964"/>
    <w:rsid w:val="5D5A391C"/>
    <w:rsid w:val="5D5F10C0"/>
    <w:rsid w:val="5D675118"/>
    <w:rsid w:val="5D891B7B"/>
    <w:rsid w:val="5DAD38EE"/>
    <w:rsid w:val="5E006862"/>
    <w:rsid w:val="5E0207B9"/>
    <w:rsid w:val="5E1834A1"/>
    <w:rsid w:val="5E261785"/>
    <w:rsid w:val="5E4A7017"/>
    <w:rsid w:val="5E552BBA"/>
    <w:rsid w:val="5E611C10"/>
    <w:rsid w:val="5EFC7377"/>
    <w:rsid w:val="5F06174D"/>
    <w:rsid w:val="5F3A3602"/>
    <w:rsid w:val="5F6277C6"/>
    <w:rsid w:val="5F6D0B1D"/>
    <w:rsid w:val="5F7371A2"/>
    <w:rsid w:val="5F8D0B82"/>
    <w:rsid w:val="5FBE4115"/>
    <w:rsid w:val="5FCC5339"/>
    <w:rsid w:val="5FE34A5B"/>
    <w:rsid w:val="5FFE1E36"/>
    <w:rsid w:val="601401C0"/>
    <w:rsid w:val="60232584"/>
    <w:rsid w:val="607330CE"/>
    <w:rsid w:val="60825176"/>
    <w:rsid w:val="609F2AC4"/>
    <w:rsid w:val="60B4383A"/>
    <w:rsid w:val="60EC26DA"/>
    <w:rsid w:val="60FA2EE8"/>
    <w:rsid w:val="61054A27"/>
    <w:rsid w:val="610A52BC"/>
    <w:rsid w:val="611D2366"/>
    <w:rsid w:val="61421856"/>
    <w:rsid w:val="615227C4"/>
    <w:rsid w:val="61654E3F"/>
    <w:rsid w:val="6182292A"/>
    <w:rsid w:val="619F7F92"/>
    <w:rsid w:val="61F94C26"/>
    <w:rsid w:val="62000E56"/>
    <w:rsid w:val="624F3E49"/>
    <w:rsid w:val="62632286"/>
    <w:rsid w:val="626D4451"/>
    <w:rsid w:val="62885958"/>
    <w:rsid w:val="62F40B65"/>
    <w:rsid w:val="62FC2CFE"/>
    <w:rsid w:val="63024505"/>
    <w:rsid w:val="635B1DB5"/>
    <w:rsid w:val="63711FED"/>
    <w:rsid w:val="63880DDC"/>
    <w:rsid w:val="638D750D"/>
    <w:rsid w:val="63AC6CC0"/>
    <w:rsid w:val="63BA764D"/>
    <w:rsid w:val="64055776"/>
    <w:rsid w:val="64240056"/>
    <w:rsid w:val="643E143A"/>
    <w:rsid w:val="648B6EEF"/>
    <w:rsid w:val="64C158BF"/>
    <w:rsid w:val="64CE2EAA"/>
    <w:rsid w:val="6533747F"/>
    <w:rsid w:val="653C3090"/>
    <w:rsid w:val="65854376"/>
    <w:rsid w:val="658767BE"/>
    <w:rsid w:val="65892531"/>
    <w:rsid w:val="66195831"/>
    <w:rsid w:val="66232993"/>
    <w:rsid w:val="662E75B1"/>
    <w:rsid w:val="66342C2E"/>
    <w:rsid w:val="663E784C"/>
    <w:rsid w:val="668B6A45"/>
    <w:rsid w:val="66B228A7"/>
    <w:rsid w:val="672F3F24"/>
    <w:rsid w:val="673E055F"/>
    <w:rsid w:val="67551CE3"/>
    <w:rsid w:val="677F5B2A"/>
    <w:rsid w:val="67A22552"/>
    <w:rsid w:val="67B22DCC"/>
    <w:rsid w:val="67BE71AA"/>
    <w:rsid w:val="67D90273"/>
    <w:rsid w:val="67DE5875"/>
    <w:rsid w:val="67E55852"/>
    <w:rsid w:val="67EB1AB4"/>
    <w:rsid w:val="67FA1285"/>
    <w:rsid w:val="682744EC"/>
    <w:rsid w:val="68517184"/>
    <w:rsid w:val="68551F4F"/>
    <w:rsid w:val="68762168"/>
    <w:rsid w:val="687C10C9"/>
    <w:rsid w:val="68840C16"/>
    <w:rsid w:val="68876EFB"/>
    <w:rsid w:val="68884654"/>
    <w:rsid w:val="689F444F"/>
    <w:rsid w:val="68B96DBB"/>
    <w:rsid w:val="68CA2805"/>
    <w:rsid w:val="68E937A3"/>
    <w:rsid w:val="693E15D3"/>
    <w:rsid w:val="69627681"/>
    <w:rsid w:val="6977531D"/>
    <w:rsid w:val="69791EA7"/>
    <w:rsid w:val="6983299E"/>
    <w:rsid w:val="69CC2BFF"/>
    <w:rsid w:val="69FD55B8"/>
    <w:rsid w:val="6A0B1C62"/>
    <w:rsid w:val="6A2406C8"/>
    <w:rsid w:val="6A3C7C0C"/>
    <w:rsid w:val="6A997041"/>
    <w:rsid w:val="6ADE0BD1"/>
    <w:rsid w:val="6AE96859"/>
    <w:rsid w:val="6B147746"/>
    <w:rsid w:val="6B24787C"/>
    <w:rsid w:val="6B573233"/>
    <w:rsid w:val="6B5B6274"/>
    <w:rsid w:val="6B8553A9"/>
    <w:rsid w:val="6B935D53"/>
    <w:rsid w:val="6C196F71"/>
    <w:rsid w:val="6C226FCB"/>
    <w:rsid w:val="6C31226F"/>
    <w:rsid w:val="6C552F0B"/>
    <w:rsid w:val="6C840AE1"/>
    <w:rsid w:val="6C8C67B7"/>
    <w:rsid w:val="6C9D744C"/>
    <w:rsid w:val="6D167928"/>
    <w:rsid w:val="6D26299B"/>
    <w:rsid w:val="6D4772EC"/>
    <w:rsid w:val="6D5B2E17"/>
    <w:rsid w:val="6D9078AF"/>
    <w:rsid w:val="6DA15D94"/>
    <w:rsid w:val="6DAA3FEF"/>
    <w:rsid w:val="6DBD2F07"/>
    <w:rsid w:val="6DC0172B"/>
    <w:rsid w:val="6DCB690C"/>
    <w:rsid w:val="6DD41A5B"/>
    <w:rsid w:val="6DE2733E"/>
    <w:rsid w:val="6DF43C2E"/>
    <w:rsid w:val="6DF51CA3"/>
    <w:rsid w:val="6E344B86"/>
    <w:rsid w:val="6E8335BD"/>
    <w:rsid w:val="6E8E12EF"/>
    <w:rsid w:val="6E972936"/>
    <w:rsid w:val="6ED446C5"/>
    <w:rsid w:val="6EE5454F"/>
    <w:rsid w:val="6F0F5C83"/>
    <w:rsid w:val="6F2A7D94"/>
    <w:rsid w:val="6F8331F1"/>
    <w:rsid w:val="6FAE1A09"/>
    <w:rsid w:val="6FD74555"/>
    <w:rsid w:val="6FD75BF8"/>
    <w:rsid w:val="702712B8"/>
    <w:rsid w:val="707723D0"/>
    <w:rsid w:val="70F5661B"/>
    <w:rsid w:val="70F86B47"/>
    <w:rsid w:val="71360107"/>
    <w:rsid w:val="713B688E"/>
    <w:rsid w:val="71743676"/>
    <w:rsid w:val="71C04054"/>
    <w:rsid w:val="71D43752"/>
    <w:rsid w:val="71F1796A"/>
    <w:rsid w:val="72154626"/>
    <w:rsid w:val="72262B5D"/>
    <w:rsid w:val="72283FF7"/>
    <w:rsid w:val="722E7212"/>
    <w:rsid w:val="723A0474"/>
    <w:rsid w:val="725923E4"/>
    <w:rsid w:val="72864BF7"/>
    <w:rsid w:val="729023FC"/>
    <w:rsid w:val="73C0646E"/>
    <w:rsid w:val="73E44A5D"/>
    <w:rsid w:val="74147B26"/>
    <w:rsid w:val="742222F5"/>
    <w:rsid w:val="74476126"/>
    <w:rsid w:val="74706664"/>
    <w:rsid w:val="747F3682"/>
    <w:rsid w:val="749C4185"/>
    <w:rsid w:val="7502290C"/>
    <w:rsid w:val="75067759"/>
    <w:rsid w:val="751D2A9F"/>
    <w:rsid w:val="752E6DCD"/>
    <w:rsid w:val="754A60CC"/>
    <w:rsid w:val="7551380D"/>
    <w:rsid w:val="75600BE5"/>
    <w:rsid w:val="7564475C"/>
    <w:rsid w:val="7583797F"/>
    <w:rsid w:val="75D20F1D"/>
    <w:rsid w:val="75DA2C18"/>
    <w:rsid w:val="75F54412"/>
    <w:rsid w:val="761D08E0"/>
    <w:rsid w:val="765D347C"/>
    <w:rsid w:val="76792531"/>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33DB1"/>
    <w:rsid w:val="78E172CC"/>
    <w:rsid w:val="78EA1D1F"/>
    <w:rsid w:val="7904172F"/>
    <w:rsid w:val="790F7E27"/>
    <w:rsid w:val="792A231A"/>
    <w:rsid w:val="79316829"/>
    <w:rsid w:val="797E66A9"/>
    <w:rsid w:val="79A97383"/>
    <w:rsid w:val="79E27E8B"/>
    <w:rsid w:val="79F850CE"/>
    <w:rsid w:val="79FD443C"/>
    <w:rsid w:val="7A1371A1"/>
    <w:rsid w:val="7A1D1975"/>
    <w:rsid w:val="7A3E5150"/>
    <w:rsid w:val="7A4670D6"/>
    <w:rsid w:val="7A534B63"/>
    <w:rsid w:val="7A5A20C7"/>
    <w:rsid w:val="7A615382"/>
    <w:rsid w:val="7A67303B"/>
    <w:rsid w:val="7AAB1D04"/>
    <w:rsid w:val="7AAD27F0"/>
    <w:rsid w:val="7ABA4368"/>
    <w:rsid w:val="7AC51DFD"/>
    <w:rsid w:val="7AD05746"/>
    <w:rsid w:val="7B257FFD"/>
    <w:rsid w:val="7B343476"/>
    <w:rsid w:val="7B5A2978"/>
    <w:rsid w:val="7B5A7E4C"/>
    <w:rsid w:val="7B667AF9"/>
    <w:rsid w:val="7B7468F8"/>
    <w:rsid w:val="7BE0163E"/>
    <w:rsid w:val="7BEE0103"/>
    <w:rsid w:val="7C063474"/>
    <w:rsid w:val="7C0A0FE4"/>
    <w:rsid w:val="7C254906"/>
    <w:rsid w:val="7C590818"/>
    <w:rsid w:val="7C75137E"/>
    <w:rsid w:val="7C7C10F6"/>
    <w:rsid w:val="7C853BEA"/>
    <w:rsid w:val="7C881368"/>
    <w:rsid w:val="7C9453FC"/>
    <w:rsid w:val="7CE27788"/>
    <w:rsid w:val="7D0C32F1"/>
    <w:rsid w:val="7D0F408D"/>
    <w:rsid w:val="7D3B4196"/>
    <w:rsid w:val="7D491C6C"/>
    <w:rsid w:val="7D5429C0"/>
    <w:rsid w:val="7D6E6D43"/>
    <w:rsid w:val="7DB57A34"/>
    <w:rsid w:val="7DE06EDF"/>
    <w:rsid w:val="7DE60973"/>
    <w:rsid w:val="7DEF0916"/>
    <w:rsid w:val="7E1E5218"/>
    <w:rsid w:val="7E9A4E1F"/>
    <w:rsid w:val="7EA7723A"/>
    <w:rsid w:val="7EF56FBB"/>
    <w:rsid w:val="7EFD41B3"/>
    <w:rsid w:val="7F0768EB"/>
    <w:rsid w:val="7F143BEC"/>
    <w:rsid w:val="7F39191A"/>
    <w:rsid w:val="7F715AF2"/>
    <w:rsid w:val="7F886E69"/>
    <w:rsid w:val="7FD701B1"/>
    <w:rsid w:val="B8AF86AF"/>
    <w:rsid w:val="BB7FA927"/>
    <w:rsid w:val="F5FFD31F"/>
    <w:rsid w:val="F6F99AB4"/>
    <w:rsid w:val="FBF5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semiHidden/>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semiHidden/>
    <w:unhideWhenUsed/>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semiHidden/>
    <w:unhideWhenUsed/>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semiHidden/>
    <w:unhideWhenUsed/>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semiHidden/>
    <w:unhideWhenUsed/>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semiHidden/>
    <w:unhideWhenUsed/>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semiHidden/>
    <w:unhideWhenUsed/>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semiHidden/>
    <w:unhideWhenUsed/>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2">
    <w:name w:val="Body Text Indent"/>
    <w:basedOn w:val="1"/>
    <w:link w:val="263"/>
    <w:qFormat/>
    <w:uiPriority w:val="0"/>
    <w:pPr>
      <w:spacing w:line="480" w:lineRule="exact"/>
      <w:ind w:firstLine="480" w:firstLineChars="200"/>
    </w:pPr>
    <w:rPr>
      <w:rFonts w:ascii="宋体" w:hAnsi="宋体"/>
      <w:sz w:val="24"/>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semiHidden/>
    <w:unhideWhenUsed/>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0"/>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0"/>
    <w:pPr>
      <w:tabs>
        <w:tab w:val="center" w:pos="4153"/>
        <w:tab w:val="right" w:pos="8306"/>
      </w:tabs>
      <w:snapToGrid w:val="0"/>
      <w:jc w:val="left"/>
    </w:pPr>
    <w:rPr>
      <w:sz w:val="18"/>
      <w:szCs w:val="18"/>
    </w:rPr>
  </w:style>
  <w:style w:type="paragraph" w:styleId="42">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Normal Indent1"/>
    <w:basedOn w:val="1"/>
    <w:qFormat/>
    <w:uiPriority w:val="0"/>
    <w:pPr>
      <w:adjustRightInd/>
      <w:ind w:firstLine="420"/>
    </w:pPr>
    <w:rPr>
      <w:sz w:val="28"/>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69"/>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69"/>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semiHidden/>
    <w:unhideWhenUsed/>
    <w:qFormat/>
    <w:uiPriority w:val="99"/>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semiHidden/>
    <w:unhideWhenUsed/>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basedOn w:val="69"/>
    <w:qFormat/>
    <w:uiPriority w:val="0"/>
    <w:rPr>
      <w:rFonts w:hint="eastAsia" w:ascii="仿宋" w:hAnsi="仿宋" w:eastAsia="仿宋" w:cs="仿宋"/>
      <w:color w:val="000000"/>
      <w:sz w:val="22"/>
      <w:szCs w:val="22"/>
      <w:u w:val="none"/>
    </w:rPr>
  </w:style>
  <w:style w:type="character" w:customStyle="1" w:styleId="96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63">
    <w:name w:val="font101"/>
    <w:basedOn w:val="69"/>
    <w:qFormat/>
    <w:uiPriority w:val="0"/>
    <w:rPr>
      <w:rFonts w:hint="eastAsia" w:ascii="新宋体" w:hAnsi="新宋体" w:eastAsia="新宋体" w:cs="新宋体"/>
      <w:color w:val="000000"/>
      <w:sz w:val="16"/>
      <w:szCs w:val="16"/>
      <w:u w:val="none"/>
    </w:rPr>
  </w:style>
  <w:style w:type="character" w:customStyle="1" w:styleId="964">
    <w:name w:val="font122"/>
    <w:basedOn w:val="69"/>
    <w:qFormat/>
    <w:uiPriority w:val="0"/>
    <w:rPr>
      <w:rFonts w:hint="eastAsia" w:ascii="新宋体" w:hAnsi="新宋体" w:eastAsia="新宋体" w:cs="新宋体"/>
      <w:color w:val="000000"/>
      <w:sz w:val="18"/>
      <w:szCs w:val="18"/>
      <w:u w:val="none"/>
      <w:vertAlign w:val="superscript"/>
    </w:rPr>
  </w:style>
  <w:style w:type="character" w:customStyle="1" w:styleId="965">
    <w:name w:val="font131"/>
    <w:basedOn w:val="69"/>
    <w:qFormat/>
    <w:uiPriority w:val="0"/>
    <w:rPr>
      <w:rFonts w:hint="eastAsia" w:ascii="新宋体" w:hAnsi="新宋体" w:eastAsia="新宋体" w:cs="新宋体"/>
      <w:color w:val="000000"/>
      <w:sz w:val="20"/>
      <w:szCs w:val="20"/>
      <w:u w:val="none"/>
      <w:vertAlign w:val="superscript"/>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49146</Words>
  <Characters>52562</Characters>
  <Lines>287</Lines>
  <Paragraphs>81</Paragraphs>
  <TotalTime>15</TotalTime>
  <ScaleCrop>false</ScaleCrop>
  <LinksUpToDate>false</LinksUpToDate>
  <CharactersWithSpaces>57595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jxj</cp:lastModifiedBy>
  <cp:lastPrinted>2022-08-25T17:27:00Z</cp:lastPrinted>
  <dcterms:modified xsi:type="dcterms:W3CDTF">2022-12-06T11:29:40Z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A00E83B74B944481A755678BF237ABCB</vt:lpwstr>
  </property>
</Properties>
</file>