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宋体" w:hAnsi="宋体" w:eastAsia="宋体" w:cs="宋体"/>
          <w:b/>
          <w:color w:val="auto"/>
          <w:sz w:val="48"/>
          <w:szCs w:val="48"/>
          <w:highlight w:val="none"/>
        </w:rPr>
      </w:pP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杭州市上城区综合行政执法局</w:t>
      </w: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lang w:eastAsia="zh-CN"/>
        </w:rPr>
        <w:t>2023年上城区九堡北片区市政设施长效养护服务项目</w:t>
      </w:r>
      <w:r>
        <w:rPr>
          <w:rFonts w:hint="eastAsia" w:ascii="宋体" w:hAnsi="宋体" w:eastAsia="宋体" w:cs="宋体"/>
          <w:color w:val="auto"/>
          <w:sz w:val="48"/>
          <w:szCs w:val="48"/>
          <w:highlight w:val="none"/>
        </w:rPr>
        <w:t>招标文件</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上城政采分-2022-01140</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color w:val="auto"/>
          <w:sz w:val="24"/>
          <w:highlight w:val="none"/>
        </w:rPr>
      </w:pPr>
    </w:p>
    <w:p>
      <w:pPr>
        <w:pStyle w:val="8"/>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pStyle w:val="8"/>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pStyle w:val="8"/>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pStyle w:val="8"/>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sz w:val="24"/>
          <w:highlight w:val="none"/>
        </w:rPr>
      </w:pPr>
    </w:p>
    <w:p>
      <w:pPr>
        <w:pStyle w:val="8"/>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sz w:val="32"/>
          <w:szCs w:val="32"/>
          <w:highlight w:val="none"/>
        </w:rPr>
      </w:pPr>
    </w:p>
    <w:p>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（采购人）杭州市上城区综合行政执法局</w:t>
      </w:r>
    </w:p>
    <w:p>
      <w:pPr>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（采购代理机构）</w:t>
      </w:r>
      <w:r>
        <w:rPr>
          <w:rFonts w:hint="eastAsia" w:ascii="宋体" w:hAnsi="宋体" w:eastAsia="宋体" w:cs="宋体"/>
          <w:bCs/>
          <w:color w:val="auto"/>
          <w:sz w:val="32"/>
          <w:szCs w:val="32"/>
          <w:highlight w:val="none"/>
          <w:lang w:val="en-US" w:eastAsia="zh-CN"/>
        </w:rPr>
        <w:t xml:space="preserve">浙江科佳工程咨询有限公司   </w:t>
      </w:r>
    </w:p>
    <w:p>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eastAsia="宋体" w:cs="宋体"/>
          <w:bCs/>
          <w:color w:val="auto"/>
          <w:sz w:val="32"/>
          <w:szCs w:val="32"/>
          <w:highlight w:val="none"/>
          <w:lang w:val="en-US" w:eastAsia="zh-CN"/>
        </w:rPr>
        <w:t>二</w:t>
      </w:r>
      <w:r>
        <w:rPr>
          <w:rFonts w:hint="eastAsia" w:ascii="宋体" w:hAnsi="宋体" w:eastAsia="宋体" w:cs="宋体"/>
          <w:bCs/>
          <w:color w:val="auto"/>
          <w:sz w:val="32"/>
          <w:szCs w:val="32"/>
          <w:highlight w:val="none"/>
        </w:rPr>
        <w:t>年</w:t>
      </w:r>
      <w:r>
        <w:rPr>
          <w:rFonts w:hint="eastAsia" w:ascii="宋体" w:hAnsi="宋体" w:eastAsia="宋体" w:cs="宋体"/>
          <w:bCs/>
          <w:color w:val="auto"/>
          <w:sz w:val="32"/>
          <w:szCs w:val="32"/>
          <w:highlight w:val="none"/>
          <w:lang w:eastAsia="zh-CN"/>
        </w:rPr>
        <w:t>十一</w:t>
      </w:r>
      <w:r>
        <w:rPr>
          <w:rFonts w:hint="eastAsia" w:ascii="宋体" w:hAnsi="宋体" w:eastAsia="宋体" w:cs="宋体"/>
          <w:bCs/>
          <w:color w:val="auto"/>
          <w:sz w:val="32"/>
          <w:szCs w:val="32"/>
          <w:highlight w:val="none"/>
        </w:rPr>
        <w:t>月</w:t>
      </w:r>
      <w:r>
        <w:rPr>
          <w:rFonts w:hint="eastAsia" w:ascii="宋体" w:hAnsi="宋体" w:eastAsia="宋体" w:cs="宋体"/>
          <w:bCs/>
          <w:color w:val="auto"/>
          <w:sz w:val="32"/>
          <w:szCs w:val="32"/>
          <w:highlight w:val="none"/>
          <w:lang w:val="en-US" w:eastAsia="zh-CN"/>
        </w:rPr>
        <w:t>八</w:t>
      </w:r>
      <w:r>
        <w:rPr>
          <w:rFonts w:hint="eastAsia" w:ascii="宋体" w:hAnsi="宋体" w:eastAsia="宋体" w:cs="宋体"/>
          <w:bCs/>
          <w:color w:val="auto"/>
          <w:sz w:val="32"/>
          <w:szCs w:val="32"/>
          <w:highlight w:val="none"/>
        </w:rPr>
        <w:t>日</w:t>
      </w:r>
    </w:p>
    <w:p>
      <w:pPr>
        <w:spacing w:line="360" w:lineRule="auto"/>
        <w:jc w:val="center"/>
        <w:rPr>
          <w:rFonts w:hint="eastAsia" w:ascii="宋体" w:hAnsi="宋体" w:eastAsia="宋体" w:cs="宋体"/>
          <w:color w:val="auto"/>
          <w:sz w:val="24"/>
          <w:highlight w:val="none"/>
        </w:rPr>
        <w:sectPr>
          <w:headerReference r:id="rId4" w:type="first"/>
          <w:headerReference r:id="rId3" w:type="default"/>
          <w:footerReference r:id="rId5" w:type="even"/>
          <w:pgSz w:w="11906" w:h="16838"/>
          <w:pgMar w:top="680" w:right="1418" w:bottom="468" w:left="1418" w:header="851" w:footer="992" w:gutter="0"/>
          <w:cols w:space="720" w:num="1"/>
          <w:titlePg/>
          <w:docGrid w:linePitch="312" w:charSpace="0"/>
        </w:sectPr>
      </w:pPr>
    </w:p>
    <w:p>
      <w:pPr>
        <w:pStyle w:val="79"/>
        <w:spacing w:line="360" w:lineRule="auto"/>
        <w:rPr>
          <w:rFonts w:hint="eastAsia" w:ascii="宋体" w:hAnsi="宋体" w:eastAsia="宋体" w:cs="宋体"/>
          <w:color w:val="auto"/>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hint="eastAsia" w:ascii="宋体" w:hAnsi="宋体" w:eastAsia="宋体" w:cs="宋体"/>
          <w:color w:val="auto"/>
          <w:sz w:val="24"/>
          <w:highlight w:val="none"/>
        </w:rPr>
      </w:pPr>
      <w:bookmarkStart w:id="0" w:name="_Hlt91233176"/>
      <w:bookmarkEnd w:id="0"/>
      <w:bookmarkStart w:id="1"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bookmarkStart w:id="2" w:name="第一部分"/>
      <w:r>
        <w:rPr>
          <w:rFonts w:hint="eastAsia" w:ascii="宋体" w:hAnsi="宋体" w:eastAsia="宋体" w:cs="宋体"/>
          <w:b/>
          <w:color w:val="auto"/>
          <w:sz w:val="36"/>
          <w:szCs w:val="36"/>
          <w:highlight w:val="none"/>
        </w:rPr>
        <w:br w:type="page"/>
      </w:r>
      <w:bookmarkEnd w:id="1"/>
      <w:bookmarkEnd w:id="2"/>
      <w:bookmarkStart w:id="3" w:name="_Hlt74728647"/>
      <w:bookmarkEnd w:id="3"/>
      <w:bookmarkStart w:id="4" w:name="_Hlt74649545"/>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宋体" w:hAnsi="宋体" w:eastAsia="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val="en-US" w:eastAsia="zh-CN"/>
        </w:rPr>
        <w:t>2023年上城区九堡北片区市政设施长效养护服务项目</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"https://www.zcygov.cn/）获取（下载）招标文件，并于2021年" </w:instrText>
      </w:r>
      <w:r>
        <w:rPr>
          <w:rFonts w:hint="eastAsia" w:ascii="宋体" w:hAnsi="宋体" w:eastAsia="宋体" w:cs="宋体"/>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2</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12</w:t>
      </w:r>
      <w:r>
        <w:rPr>
          <w:rFonts w:hint="eastAsia" w:ascii="宋体" w:hAnsi="宋体" w:eastAsia="宋体" w:cs="宋体"/>
          <w:color w:val="auto"/>
          <w:sz w:val="24"/>
          <w:highlight w:val="none"/>
          <w:u w:val="single"/>
        </w:rPr>
        <w:t>月</w:t>
      </w:r>
      <w:r>
        <w:rPr>
          <w:rFonts w:hint="eastAsia" w:ascii="宋体" w:hAnsi="宋体" w:eastAsia="宋体" w:cs="宋体"/>
          <w:color w:val="auto"/>
          <w:sz w:val="24"/>
          <w:highlight w:val="none"/>
          <w:u w:val="single"/>
          <w:lang w:val="en-US" w:eastAsia="zh-CN"/>
        </w:rPr>
        <w:t>6</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u w:val="single"/>
          <w:lang w:val="en-US" w:eastAsia="zh-CN"/>
        </w:rPr>
        <w:t>13</w:t>
      </w:r>
      <w:r>
        <w:rPr>
          <w:rFonts w:hint="eastAsia" w:ascii="宋体" w:hAnsi="宋体" w:eastAsia="宋体" w:cs="宋体"/>
          <w:color w:val="auto"/>
          <w:sz w:val="24"/>
          <w:highlight w:val="none"/>
          <w:u w:val="single"/>
        </w:rPr>
        <w:t>点</w:t>
      </w:r>
      <w:r>
        <w:rPr>
          <w:rFonts w:hint="eastAsia" w:ascii="宋体" w:hAnsi="宋体" w:eastAsia="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u w:val="single"/>
        </w:rPr>
        <w:t>00秒</w:t>
      </w:r>
      <w:r>
        <w:rPr>
          <w:rFonts w:hint="eastAsia" w:ascii="宋体" w:hAnsi="宋体" w:eastAsia="宋体" w:cs="宋体"/>
          <w:bCs/>
          <w:color w:val="auto"/>
          <w:sz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上城政采分-2022-01140</w:t>
      </w: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项目名称：</w:t>
      </w:r>
      <w:r>
        <w:rPr>
          <w:rFonts w:hint="eastAsia" w:ascii="宋体" w:hAnsi="宋体" w:eastAsia="宋体" w:cs="宋体"/>
          <w:color w:val="auto"/>
          <w:sz w:val="24"/>
          <w:highlight w:val="none"/>
          <w:lang w:eastAsia="zh-CN"/>
        </w:rPr>
        <w:t>2023年上城区九堡北片区市政设施长效养护服务项目</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eastAsia="宋体" w:cs="宋体"/>
          <w:b w:val="0"/>
          <w:bCs/>
          <w:color w:val="auto"/>
          <w:sz w:val="24"/>
          <w:highlight w:val="none"/>
          <w:lang w:eastAsia="zh-CN"/>
        </w:rPr>
        <w:t>9570573.08</w:t>
      </w:r>
      <w:r>
        <w:rPr>
          <w:rFonts w:hint="eastAsia" w:ascii="宋体" w:hAnsi="宋体" w:eastAsia="宋体" w:cs="宋体"/>
          <w:b w:val="0"/>
          <w:bCs/>
          <w:color w:val="auto"/>
          <w:sz w:val="24"/>
          <w:highlight w:val="none"/>
          <w:lang w:val="en-US" w:eastAsia="zh-CN"/>
        </w:rPr>
        <w:t>元</w:t>
      </w:r>
      <w:r>
        <w:rPr>
          <w:rFonts w:hint="eastAsia" w:ascii="宋体" w:hAnsi="宋体" w:eastAsia="宋体" w:cs="宋体"/>
          <w:color w:val="auto"/>
          <w:sz w:val="24"/>
          <w:highlight w:val="none"/>
        </w:rPr>
        <w:t xml:space="preserve"> </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最高限价（元）：</w:t>
      </w:r>
      <w:r>
        <w:rPr>
          <w:rFonts w:hint="eastAsia" w:ascii="宋体" w:hAnsi="宋体" w:eastAsia="宋体" w:cs="宋体"/>
          <w:color w:val="auto"/>
          <w:sz w:val="24"/>
          <w:highlight w:val="none"/>
          <w:lang w:eastAsia="zh-CN"/>
        </w:rPr>
        <w:t>9570573.08元</w:t>
      </w:r>
    </w:p>
    <w:p>
      <w:pPr>
        <w:pStyle w:val="8"/>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采购需求：</w:t>
      </w:r>
      <w:r>
        <w:rPr>
          <w:rFonts w:hint="eastAsia" w:ascii="宋体" w:hAnsi="宋体" w:eastAsia="宋体" w:cs="宋体"/>
          <w:color w:val="auto"/>
          <w:sz w:val="24"/>
          <w:highlight w:val="none"/>
          <w:lang w:eastAsia="zh-CN"/>
        </w:rPr>
        <w:t>2023年上城区九堡北片区市政设施长效养护服务项目，</w:t>
      </w:r>
      <w:r>
        <w:rPr>
          <w:rFonts w:hint="eastAsia" w:ascii="宋体" w:hAnsi="宋体" w:eastAsia="宋体" w:cs="宋体"/>
          <w:bCs/>
          <w:snapToGrid/>
          <w:color w:val="auto"/>
          <w:kern w:val="2"/>
          <w:sz w:val="24"/>
          <w:szCs w:val="24"/>
          <w:highlight w:val="none"/>
        </w:rPr>
        <w:t>主要内容：</w:t>
      </w:r>
      <w:r>
        <w:rPr>
          <w:rFonts w:hint="eastAsia" w:ascii="宋体" w:hAnsi="宋体" w:eastAsia="宋体" w:cs="宋体"/>
          <w:color w:val="auto"/>
          <w:sz w:val="24"/>
          <w:highlight w:val="none"/>
          <w:lang w:eastAsia="zh-CN"/>
        </w:rPr>
        <w:t>九堡北片区市政设施长效养护服务</w:t>
      </w:r>
      <w:r>
        <w:rPr>
          <w:rFonts w:hint="eastAsia" w:ascii="宋体" w:hAnsi="宋体" w:eastAsia="宋体" w:cs="宋体"/>
          <w:bCs/>
          <w:snapToGrid/>
          <w:color w:val="auto"/>
          <w:kern w:val="2"/>
          <w:sz w:val="24"/>
          <w:szCs w:val="24"/>
          <w:highlight w:val="none"/>
        </w:rPr>
        <w:t>，服务期：1</w:t>
      </w:r>
      <w:r>
        <w:rPr>
          <w:rFonts w:hint="eastAsia" w:ascii="宋体" w:hAnsi="宋体" w:eastAsia="宋体" w:cs="宋体"/>
          <w:bCs/>
          <w:snapToGrid/>
          <w:color w:val="auto"/>
          <w:kern w:val="2"/>
          <w:sz w:val="24"/>
          <w:szCs w:val="24"/>
          <w:highlight w:val="none"/>
          <w:lang w:val="en-US" w:eastAsia="zh-CN"/>
        </w:rPr>
        <w:t>2</w:t>
      </w:r>
      <w:r>
        <w:rPr>
          <w:rFonts w:hint="eastAsia" w:ascii="宋体" w:hAnsi="宋体" w:eastAsia="宋体" w:cs="宋体"/>
          <w:bCs/>
          <w:snapToGrid/>
          <w:color w:val="auto"/>
          <w:kern w:val="2"/>
          <w:sz w:val="24"/>
          <w:szCs w:val="24"/>
          <w:highlight w:val="none"/>
        </w:rPr>
        <w:t>个月。详见招标文件第三部分采购需求。</w:t>
      </w:r>
    </w:p>
    <w:p>
      <w:pPr>
        <w:pStyle w:val="129"/>
        <w:spacing w:line="360" w:lineRule="auto"/>
        <w:ind w:firstLine="482"/>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w:t>
      </w:r>
      <w:r>
        <w:rPr>
          <w:rFonts w:hint="eastAsia" w:ascii="宋体" w:hAnsi="宋体" w:eastAsia="宋体" w:cs="宋体"/>
          <w:bCs/>
          <w:snapToGrid/>
          <w:color w:val="auto"/>
          <w:kern w:val="2"/>
          <w:sz w:val="24"/>
          <w:szCs w:val="24"/>
          <w:highlight w:val="none"/>
          <w:lang w:val="en-US" w:eastAsia="zh-CN" w:bidi="ar-SA"/>
        </w:rPr>
        <w:t>按招标文件规定。</w:t>
      </w:r>
    </w:p>
    <w:p>
      <w:pPr>
        <w:pStyle w:val="8"/>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203545383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ascii="宋体" w:hAnsi="宋体" w:eastAsia="宋体" w:cs="宋体"/>
          <w:b/>
          <w:color w:val="auto"/>
          <w:sz w:val="24"/>
          <w:highlight w:val="none"/>
        </w:rPr>
        <w:t>是，</w:t>
      </w:r>
      <w:sdt>
        <w:sdtPr>
          <w:rPr>
            <w:rFonts w:hint="eastAsia" w:ascii="宋体" w:hAnsi="宋体" w:eastAsia="宋体" w:cs="宋体"/>
            <w:color w:val="auto"/>
            <w:kern w:val="0"/>
            <w:sz w:val="24"/>
            <w:highlight w:val="none"/>
          </w:rPr>
          <w:id w:val="-176552672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snapToGrid w:val="0"/>
              <w:color w:val="auto"/>
              <w:kern w:val="0"/>
              <w:sz w:val="24"/>
              <w:szCs w:val="20"/>
              <w:highlight w:val="none"/>
              <w:lang w:val="en-US" w:eastAsia="zh-CN" w:bidi="ar-SA"/>
            </w:rPr>
            <w:t>☐</w:t>
          </w:r>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2.落实政府采购政策需满足的资格要求：</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无；</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pPr>
        <w:spacing w:line="360" w:lineRule="auto"/>
        <w:ind w:firstLine="897" w:firstLineChars="374"/>
        <w:rPr>
          <w:rFonts w:hint="eastAsia" w:ascii="宋体" w:hAnsi="宋体" w:eastAsia="宋体" w:cs="宋体"/>
          <w:color w:val="auto"/>
          <w:sz w:val="24"/>
          <w:highlight w:val="none"/>
          <w:u w:val="single"/>
        </w:rPr>
      </w:pPr>
      <w:sdt>
        <w:sdtPr>
          <w:rPr>
            <w:rFonts w:hint="eastAsia" w:ascii="宋体" w:hAnsi="宋体" w:eastAsia="宋体" w:cs="宋体"/>
            <w:color w:val="auto"/>
            <w:kern w:val="0"/>
            <w:sz w:val="24"/>
            <w:highlight w:val="none"/>
          </w:rPr>
          <w:id w:val="-9247305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货物全部由符合政策要求的中小企业制造，提供中小企业声明函；</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货物全部由符合政策要求的小微企业制造，提供中小企业声明函；</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服务全部由符合政策要求的中小企业承接，提供中小企业声明函；</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服务全部由符合政策要求的小微企业承接，提供中小企业声明函；</w:t>
      </w:r>
    </w:p>
    <w:p>
      <w:pPr>
        <w:spacing w:line="360" w:lineRule="auto"/>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%，小微企业合同金额应当达到</w:t>
      </w:r>
      <w:r>
        <w:rPr>
          <w:rFonts w:hint="eastAsia" w:ascii="宋体" w:hAnsi="宋体" w:eastAsia="宋体" w:cs="宋体"/>
          <w:color w:val="auto"/>
          <w:sz w:val="24"/>
          <w:highlight w:val="none"/>
          <w:u w:val="single"/>
          <w:lang w:val="en-US"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宋体" w:hAnsi="宋体" w:eastAsia="宋体" w:cs="宋体"/>
          <w:color w:val="auto"/>
          <w:sz w:val="24"/>
          <w:highlight w:val="none"/>
        </w:rPr>
        <w:t>；</w:t>
      </w:r>
    </w:p>
    <w:p>
      <w:pPr>
        <w:numPr>
          <w:ilvl w:val="0"/>
          <w:numId w:val="1"/>
        </w:num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本项目的特定资格要求：（1）具有市政公用工程施工总承包企业资质三级（含）以上；（2）具有有效期内的安全生产许可证；（3）联合体投标的，联合体成员均应满足资格要求，成员数量不多于 2 个，合同份额占比大的作为牵头人,项目负责人由牵头人派遣。</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2</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12</w:t>
      </w:r>
      <w:r>
        <w:rPr>
          <w:rFonts w:hint="eastAsia" w:ascii="宋体" w:hAnsi="宋体" w:eastAsia="宋体" w:cs="宋体"/>
          <w:color w:val="auto"/>
          <w:sz w:val="24"/>
          <w:highlight w:val="none"/>
          <w:u w:val="single"/>
        </w:rPr>
        <w:t>月</w:t>
      </w:r>
      <w:r>
        <w:rPr>
          <w:rFonts w:hint="eastAsia" w:ascii="宋体" w:hAnsi="宋体" w:eastAsia="宋体" w:cs="宋体"/>
          <w:color w:val="auto"/>
          <w:sz w:val="24"/>
          <w:highlight w:val="none"/>
          <w:u w:val="single"/>
          <w:lang w:val="en-US" w:eastAsia="zh-CN"/>
        </w:rPr>
        <w:t>6</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202</w:t>
      </w:r>
      <w:r>
        <w:rPr>
          <w:rFonts w:hint="eastAsia" w:ascii="宋体" w:hAnsi="宋体" w:eastAsia="宋体" w:cs="宋体"/>
          <w:color w:val="auto"/>
          <w:sz w:val="24"/>
          <w:highlight w:val="none"/>
          <w:u w:val="single"/>
          <w:lang w:val="en-US" w:eastAsia="zh-CN"/>
        </w:rPr>
        <w:t>2</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12</w:t>
      </w:r>
      <w:r>
        <w:rPr>
          <w:rFonts w:hint="eastAsia" w:ascii="宋体" w:hAnsi="宋体" w:eastAsia="宋体" w:cs="宋体"/>
          <w:color w:val="auto"/>
          <w:sz w:val="24"/>
          <w:highlight w:val="none"/>
          <w:u w:val="single"/>
        </w:rPr>
        <w:t>月</w:t>
      </w:r>
      <w:r>
        <w:rPr>
          <w:rFonts w:hint="eastAsia" w:ascii="宋体" w:hAnsi="宋体" w:eastAsia="宋体" w:cs="宋体"/>
          <w:color w:val="auto"/>
          <w:sz w:val="24"/>
          <w:highlight w:val="none"/>
          <w:u w:val="single"/>
          <w:lang w:val="en-US" w:eastAsia="zh-CN"/>
        </w:rPr>
        <w:t>6</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u w:val="single"/>
          <w:lang w:val="en-US" w:eastAsia="zh-CN"/>
        </w:rPr>
        <w:t>13</w:t>
      </w:r>
      <w:r>
        <w:rPr>
          <w:rFonts w:hint="eastAsia" w:ascii="宋体" w:hAnsi="宋体" w:eastAsia="宋体" w:cs="宋体"/>
          <w:color w:val="auto"/>
          <w:sz w:val="24"/>
          <w:highlight w:val="none"/>
          <w:u w:val="single"/>
        </w:rPr>
        <w:t>点</w:t>
      </w:r>
      <w:r>
        <w:rPr>
          <w:rFonts w:hint="eastAsia" w:ascii="宋体" w:hAnsi="宋体" w:eastAsia="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（北京时间）</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2</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12</w:t>
      </w:r>
      <w:r>
        <w:rPr>
          <w:rFonts w:hint="eastAsia" w:ascii="宋体" w:hAnsi="宋体" w:eastAsia="宋体" w:cs="宋体"/>
          <w:color w:val="auto"/>
          <w:sz w:val="24"/>
          <w:highlight w:val="none"/>
          <w:u w:val="single"/>
        </w:rPr>
        <w:t>月</w:t>
      </w:r>
      <w:r>
        <w:rPr>
          <w:rFonts w:hint="eastAsia" w:ascii="宋体" w:hAnsi="宋体" w:eastAsia="宋体" w:cs="宋体"/>
          <w:color w:val="auto"/>
          <w:sz w:val="24"/>
          <w:highlight w:val="none"/>
          <w:u w:val="single"/>
          <w:lang w:val="en-US" w:eastAsia="zh-CN"/>
        </w:rPr>
        <w:t>6</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u w:val="single"/>
          <w:lang w:val="en-US" w:eastAsia="zh-CN"/>
        </w:rPr>
        <w:t>13</w:t>
      </w:r>
      <w:r>
        <w:rPr>
          <w:rFonts w:hint="eastAsia" w:ascii="宋体" w:hAnsi="宋体" w:eastAsia="宋体" w:cs="宋体"/>
          <w:color w:val="auto"/>
          <w:sz w:val="24"/>
          <w:highlight w:val="none"/>
          <w:u w:val="single"/>
        </w:rPr>
        <w:t>点</w:t>
      </w:r>
      <w:r>
        <w:rPr>
          <w:rFonts w:hint="eastAsia" w:ascii="宋体" w:hAnsi="宋体" w:eastAsia="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u w:val="single"/>
        </w:rPr>
        <w:t xml:space="preserve">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称：杭州市上城区综合行政执法局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址：杭州市上城区码头路8号</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项目联系人（询问）：周颖</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项目联系方式（询问）：0571-56560060</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质疑联系人：叶峰</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质疑联系方式：0571-56560060</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2.采购代理机构信息            </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浙江科佳工程咨询有限公司</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杭州市上城区环站东路99号</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w:t>
      </w:r>
      <w:r>
        <w:rPr>
          <w:rFonts w:hint="eastAsia" w:ascii="宋体" w:hAnsi="宋体" w:eastAsia="宋体" w:cs="宋体"/>
          <w:color w:val="auto"/>
          <w:sz w:val="24"/>
          <w:highlight w:val="none"/>
          <w:lang w:eastAsia="zh-CN"/>
        </w:rPr>
        <w:t>18458898685</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项目联系人（询问）：</w:t>
      </w:r>
      <w:r>
        <w:rPr>
          <w:rFonts w:hint="eastAsia" w:ascii="宋体" w:hAnsi="宋体" w:eastAsia="宋体" w:cs="宋体"/>
          <w:color w:val="auto"/>
          <w:sz w:val="24"/>
          <w:highlight w:val="none"/>
          <w:lang w:eastAsia="zh-CN"/>
        </w:rPr>
        <w:t>费龙生</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w:t>
      </w:r>
      <w:r>
        <w:rPr>
          <w:rFonts w:hint="eastAsia" w:ascii="宋体" w:hAnsi="宋体" w:eastAsia="宋体" w:cs="宋体"/>
          <w:color w:val="auto"/>
          <w:sz w:val="24"/>
          <w:highlight w:val="none"/>
          <w:lang w:eastAsia="zh-CN"/>
        </w:rPr>
        <w:t>18458898685</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w:t>
      </w:r>
      <w:r>
        <w:rPr>
          <w:rFonts w:hint="eastAsia" w:ascii="宋体" w:hAnsi="宋体" w:eastAsia="宋体" w:cs="宋体"/>
          <w:color w:val="auto"/>
          <w:sz w:val="24"/>
          <w:highlight w:val="none"/>
          <w:lang w:eastAsia="zh-CN"/>
        </w:rPr>
        <w:t>季晓瑾</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质疑联系方式： </w:t>
      </w:r>
      <w:r>
        <w:rPr>
          <w:rFonts w:hint="eastAsia" w:ascii="宋体" w:hAnsi="宋体" w:eastAsia="宋体" w:cs="宋体"/>
          <w:color w:val="auto"/>
          <w:sz w:val="24"/>
          <w:highlight w:val="none"/>
          <w:lang w:eastAsia="zh-CN"/>
        </w:rPr>
        <w:t>15395828515</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3.同级政府采购监督管理部门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称：杭州市上城区财政局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址：杭州市望潮路77号</w:t>
      </w:r>
    </w:p>
    <w:p>
      <w:pPr>
        <w:spacing w:line="360" w:lineRule="auto"/>
        <w:ind w:firstLine="240" w:firstLineChars="1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传    真：</w:t>
      </w:r>
      <w:r>
        <w:rPr>
          <w:rFonts w:hint="eastAsia" w:ascii="宋体" w:hAnsi="宋体" w:eastAsia="宋体" w:cs="宋体"/>
          <w:color w:val="auto"/>
          <w:sz w:val="24"/>
          <w:highlight w:val="none"/>
          <w:lang w:val="en-US" w:eastAsia="zh-CN"/>
        </w:rPr>
        <w:t>/</w:t>
      </w:r>
      <w:bookmarkStart w:id="407" w:name="_GoBack"/>
      <w:bookmarkEnd w:id="407"/>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w:t>
      </w:r>
      <w:r>
        <w:rPr>
          <w:rFonts w:hint="eastAsia" w:ascii="宋体" w:hAnsi="宋体" w:eastAsia="宋体" w:cs="宋体"/>
          <w:color w:val="auto"/>
          <w:sz w:val="24"/>
          <w:highlight w:val="none"/>
          <w:lang w:eastAsia="zh-CN"/>
        </w:rPr>
        <w:t>徐工</w:t>
      </w: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监督投诉电话：0571-89500860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 xml:space="preserve">                              </w:t>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7"/>
      <w:r>
        <w:rPr>
          <w:rFonts w:hint="eastAsia" w:ascii="宋体" w:hAnsi="宋体" w:eastAsia="宋体" w:cs="宋体"/>
          <w:b/>
          <w:color w:val="auto"/>
          <w:sz w:val="36"/>
          <w:szCs w:val="20"/>
          <w:highlight w:val="none"/>
        </w:rPr>
        <w:t xml:space="preserve"> 投标人须知</w:t>
      </w:r>
      <w:bookmarkEnd w:id="8"/>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2"/>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6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60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52"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60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宋体" w:hAnsi="宋体" w:eastAsia="宋体" w:cs="宋体"/>
                <w:b w:val="0"/>
                <w:bCs/>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color w:val="auto"/>
                <w:sz w:val="24"/>
                <w:highlight w:val="none"/>
              </w:rPr>
              <w:t>开标一览表（报价表）是报价的唯一载体</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w:t>
            </w:r>
            <w:r>
              <w:rPr>
                <w:rFonts w:hint="eastAsia" w:ascii="宋体" w:hAnsi="宋体" w:eastAsia="宋体" w:cs="宋体"/>
                <w:b/>
                <w:color w:val="auto"/>
                <w:kern w:val="0"/>
                <w:sz w:val="24"/>
                <w:highlight w:val="none"/>
                <w:lang w:val="zh-CN"/>
              </w:rPr>
              <w:sym w:font="Wingdings" w:char="00A8"/>
            </w:r>
            <w:r>
              <w:rPr>
                <w:rFonts w:hint="eastAsia" w:ascii="宋体" w:hAnsi="宋体" w:eastAsia="宋体" w:cs="宋体"/>
                <w:b w:val="0"/>
                <w:bCs/>
                <w:color w:val="auto"/>
                <w:kern w:val="0"/>
                <w:sz w:val="24"/>
                <w:highlight w:val="none"/>
                <w:lang w:val="zh-CN"/>
              </w:rPr>
              <w:t>本项目履约验收时委托第三方检测，验收时检测费用由采购人承担，不包含在投标总价中。</w:t>
            </w:r>
            <w:r>
              <w:rPr>
                <w:rFonts w:hint="eastAsia" w:ascii="宋体" w:hAnsi="宋体" w:eastAsia="宋体" w:cs="宋体"/>
                <w:b/>
                <w:color w:val="auto"/>
                <w:kern w:val="0"/>
                <w:sz w:val="24"/>
                <w:highlight w:val="none"/>
                <w:lang w:val="zh-CN"/>
              </w:rPr>
              <w:sym w:font="Wingdings" w:char="00FE"/>
            </w:r>
            <w:r>
              <w:rPr>
                <w:rFonts w:hint="eastAsia" w:ascii="宋体" w:hAnsi="宋体" w:eastAsia="宋体" w:cs="宋体"/>
                <w:b w:val="0"/>
                <w:bCs/>
                <w:color w:val="auto"/>
                <w:kern w:val="0"/>
                <w:sz w:val="24"/>
                <w:highlight w:val="none"/>
                <w:lang w:val="zh-CN"/>
              </w:rPr>
              <w:t>本项目履约验收时不委托第三方检测。</w:t>
            </w:r>
          </w:p>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2"/>
                <w:sz w:val="24"/>
                <w:highlight w:val="none"/>
              </w:rPr>
              <w:t>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lang w:val="en-US" w:eastAsia="zh-CN"/>
              </w:rPr>
              <w:t>栏杆维修和</w:t>
            </w:r>
            <w:r>
              <w:rPr>
                <w:rFonts w:hint="eastAsia" w:ascii="宋体" w:hAnsi="宋体" w:eastAsia="宋体" w:cs="宋体"/>
                <w:color w:val="auto"/>
                <w:kern w:val="2"/>
                <w:sz w:val="24"/>
                <w:szCs w:val="24"/>
                <w:highlight w:val="none"/>
                <w:lang w:val="zh-CN" w:eastAsia="zh-CN" w:bidi="ar-SA"/>
              </w:rPr>
              <w:t>道路、桥梁结构性检测</w:t>
            </w:r>
            <w:r>
              <w:rPr>
                <w:rFonts w:hint="eastAsia" w:ascii="宋体" w:hAnsi="宋体" w:eastAsia="宋体" w:cs="宋体"/>
                <w:color w:val="auto"/>
                <w:sz w:val="24"/>
                <w:highlight w:val="none"/>
              </w:rPr>
              <w:t>工作分包。</w:t>
            </w:r>
          </w:p>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600"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4"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600"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B要求提供，</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，讲解演示所用电脑等设备由投标人自备。现场讲解演示人员进场时提供讲解人员名单（加盖公章）及身份证明，否则不得讲解演示。</w:t>
            </w:r>
          </w:p>
          <w:p>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本项目不允许采购进口产品。</w:t>
            </w:r>
          </w:p>
          <w:p>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1872786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47488555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采购标的对应的中小企业划分标准所属行业</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（1）标的：</w:t>
            </w:r>
            <w:r>
              <w:rPr>
                <w:rFonts w:hint="eastAsia" w:ascii="宋体" w:hAnsi="宋体" w:eastAsia="宋体" w:cs="宋体"/>
                <w:color w:val="auto"/>
                <w:kern w:val="0"/>
                <w:sz w:val="24"/>
                <w:highlight w:val="none"/>
                <w:lang w:val="en-US" w:eastAsia="zh-CN"/>
              </w:rPr>
              <w:t>2023年上城区九堡北片区市政设施长效养护服务项目</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其他未列明</w:t>
            </w:r>
            <w:r>
              <w:rPr>
                <w:rFonts w:hint="eastAsia" w:ascii="宋体" w:hAnsi="宋体" w:eastAsia="宋体" w:cs="宋体"/>
                <w:color w:val="auto"/>
                <w:kern w:val="0"/>
                <w:sz w:val="24"/>
                <w:highlight w:val="none"/>
                <w:u w:val="single"/>
              </w:rPr>
              <w:t>行业</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highlight w:val="none"/>
                <w:lang w:val="en-US"/>
              </w:rPr>
            </w:pPr>
            <w:r>
              <w:rPr>
                <w:rFonts w:hint="eastAsia" w:ascii="宋体" w:hAnsi="宋体" w:eastAsia="宋体" w:cs="宋体"/>
                <w:color w:val="auto"/>
                <w:kern w:val="0"/>
                <w:sz w:val="24"/>
                <w:highlight w:val="none"/>
                <w:lang w:val="en-US"/>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60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rFonts w:hint="eastAsia" w:ascii="宋体" w:hAnsi="宋体" w:eastAsia="宋体" w:cs="宋体"/>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hint="eastAsia" w:ascii="宋体" w:hAnsi="宋体" w:eastAsia="宋体" w:cs="宋体"/>
                <w:color w:val="auto"/>
                <w:highlight w:val="none"/>
              </w:rPr>
            </w:pPr>
          </w:p>
        </w:tc>
        <w:tc>
          <w:tcPr>
            <w:tcW w:w="6600"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600"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sz w:val="24"/>
                <w:highlight w:val="none"/>
                <w:u w:val="none"/>
                <w:lang w:eastAsia="zh-CN"/>
              </w:rPr>
              <w:t>杭州市上城区环站东路99号</w:t>
            </w:r>
            <w:r>
              <w:rPr>
                <w:rFonts w:hint="eastAsia" w:ascii="宋体" w:hAnsi="宋体" w:eastAsia="宋体" w:cs="宋体"/>
                <w:color w:val="auto"/>
                <w:sz w:val="24"/>
                <w:highlight w:val="none"/>
                <w:u w:val="none"/>
                <w:lang w:val="en-US" w:eastAsia="zh-CN"/>
              </w:rPr>
              <w:t>1号楼702</w:t>
            </w:r>
            <w:r>
              <w:rPr>
                <w:rFonts w:hint="eastAsia" w:ascii="宋体" w:hAnsi="宋体" w:eastAsia="宋体" w:cs="宋体"/>
                <w:color w:val="auto"/>
                <w:kern w:val="28"/>
                <w:sz w:val="24"/>
                <w:szCs w:val="24"/>
                <w:highlight w:val="none"/>
                <w:u w:val="none"/>
              </w:rPr>
              <w:t>；备份投标文件签收人员联系电话：</w:t>
            </w:r>
            <w:r>
              <w:rPr>
                <w:rFonts w:hint="eastAsia" w:ascii="宋体" w:hAnsi="宋体" w:eastAsia="宋体" w:cs="宋体"/>
                <w:color w:val="auto"/>
                <w:sz w:val="24"/>
                <w:highlight w:val="none"/>
                <w:u w:val="none"/>
                <w:lang w:val="en-US" w:eastAsia="zh-CN"/>
              </w:rPr>
              <w:t>费龙生18458898685</w:t>
            </w:r>
            <w:r>
              <w:rPr>
                <w:rFonts w:hint="eastAsia" w:ascii="宋体" w:hAnsi="宋体" w:eastAsia="宋体" w:cs="宋体"/>
                <w:color w:val="auto"/>
                <w:sz w:val="24"/>
                <w:szCs w:val="24"/>
                <w:highlight w:val="none"/>
                <w:u w:val="none"/>
              </w:rPr>
              <w:t>。</w:t>
            </w:r>
            <w:r>
              <w:rPr>
                <w:rFonts w:hint="eastAsia" w:ascii="宋体" w:hAnsi="宋体" w:eastAsia="宋体" w:cs="宋体"/>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特别说明</w:t>
            </w:r>
          </w:p>
        </w:tc>
        <w:tc>
          <w:tcPr>
            <w:tcW w:w="6600" w:type="dxa"/>
            <w:tcBorders>
              <w:top w:val="single" w:color="000000" w:sz="8" w:space="0"/>
              <w:left w:val="single" w:color="000000" w:sz="2" w:space="0"/>
              <w:bottom w:val="single" w:color="000000" w:sz="8" w:space="0"/>
              <w:right w:val="single" w:color="000000" w:sz="8" w:space="0"/>
            </w:tcBorders>
            <w:vAlign w:val="center"/>
          </w:tcPr>
          <w:p>
            <w:pPr>
              <w:pStyle w:val="722"/>
              <w:snapToGrid w:val="0"/>
              <w:spacing w:line="360" w:lineRule="auto"/>
              <w:ind w:firstLine="0" w:firstLineChars="0"/>
              <w:rPr>
                <w:rFonts w:hint="eastAsia" w:ascii="宋体" w:hAnsi="宋体" w:eastAsia="宋体" w:cs="宋体"/>
                <w:snapToGrid w:val="0"/>
                <w:color w:val="auto"/>
                <w:kern w:val="28"/>
                <w:sz w:val="24"/>
                <w:szCs w:val="24"/>
                <w:highlight w:val="none"/>
                <w:lang w:val="en-US" w:eastAsia="zh-CN" w:bidi="ar-SA"/>
              </w:rPr>
            </w:pPr>
            <w:r>
              <w:rPr>
                <w:rFonts w:hint="eastAsia" w:ascii="宋体" w:hAnsi="宋体" w:eastAsia="宋体" w:cs="宋体"/>
                <w:snapToGrid w:val="0"/>
                <w:color w:val="auto"/>
                <w:kern w:val="28"/>
                <w:sz w:val="24"/>
                <w:szCs w:val="24"/>
                <w:highlight w:val="none"/>
                <w:lang w:val="en-US" w:eastAsia="zh-CN" w:bidi="ar-SA"/>
              </w:rPr>
              <w:t>采购代理服务费金额：经与采购人签订合同，约定本项目采购代理服务费由中标人支付给采购代理机构。采购代理服务费按浙价服1980号文服务的69%进行收取。采购代理服务费交纳形式：汇票/支票/电汇。</w:t>
            </w:r>
          </w:p>
          <w:p>
            <w:pPr>
              <w:pStyle w:val="722"/>
              <w:snapToGrid w:val="0"/>
              <w:spacing w:line="360" w:lineRule="auto"/>
              <w:ind w:firstLine="0" w:firstLineChars="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szCs w:val="24"/>
                <w:highlight w:val="none"/>
                <w:lang w:val="en-US" w:eastAsia="zh-CN" w:bidi="ar-SA"/>
              </w:rPr>
              <w:t>采购代理服务费由中标人在领取中标通知书前时以人民币方式向采购代理机构支付。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特别说明</w:t>
            </w:r>
          </w:p>
        </w:tc>
        <w:tc>
          <w:tcPr>
            <w:tcW w:w="660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根据《关于在政府采购活动中查询及使用信用记录有关问题的通知》财库[2016]125号的规定：</w:t>
            </w: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（1）采购人或采购代理机构将对本项目投标人的信用信息进行查询。</w:t>
            </w: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（2）查询渠道为信用中国网站（www.creditchina.gov.cn）、中国政府采购网（www.ccgp.gov.cn）。</w:t>
            </w: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（3）执行人名单、重大税收违法案件当事人名单、政府采购严重违法失信行为记录名单等投标人信用信息均将用于本项目。</w:t>
            </w: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（4）信用信息查询记录和证据以网页截图等方式留存。</w:t>
            </w:r>
          </w:p>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sz w:val="24"/>
                <w:szCs w:val="24"/>
                <w:highlight w:val="none"/>
              </w:rPr>
              <w:t>（5）投标截止日当日网站显示的信用信息将作为评审和确定中标人的依据。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特别说明</w:t>
            </w:r>
          </w:p>
        </w:tc>
        <w:tc>
          <w:tcPr>
            <w:tcW w:w="660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中标人应提供与电子投标文件内容一致的纸质投标文件一正二副，装订成册，采用胶订或线订，不得采用活页夹等可随时拆换的方式装订。（胶订或线订以外装订形式视为活页装订）</w:t>
            </w:r>
          </w:p>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sz w:val="24"/>
                <w:szCs w:val="24"/>
                <w:highlight w:val="none"/>
              </w:rPr>
              <w:t>中标人在领取中标通知书时提供纸质投标文件。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特别说明</w:t>
            </w:r>
          </w:p>
        </w:tc>
        <w:tc>
          <w:tcPr>
            <w:tcW w:w="6600" w:type="dxa"/>
            <w:tcBorders>
              <w:top w:val="single" w:color="000000" w:sz="8" w:space="0"/>
              <w:left w:val="single" w:color="000000" w:sz="2" w:space="0"/>
              <w:bottom w:val="single" w:color="000000" w:sz="8" w:space="0"/>
              <w:right w:val="single" w:color="000000" w:sz="8" w:space="0"/>
            </w:tcBorders>
            <w:vAlign w:val="center"/>
          </w:tcPr>
          <w:p>
            <w:pPr>
              <w:pStyle w:val="722"/>
              <w:pageBreakBefore w:val="0"/>
              <w:kinsoku/>
              <w:wordWrap/>
              <w:overflowPunct/>
              <w:bidi w:val="0"/>
              <w:adjustRightInd w:val="0"/>
              <w:snapToGrid w:val="0"/>
              <w:spacing w:line="360" w:lineRule="auto"/>
              <w:ind w:firstLine="0" w:firstLineChars="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供应商支付申请和查询</w:t>
            </w:r>
          </w:p>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b w:val="0"/>
                <w:bCs/>
                <w:color w:val="auto"/>
                <w:sz w:val="24"/>
                <w:szCs w:val="24"/>
                <w:highlight w:val="none"/>
              </w:rPr>
              <w:t>供应商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tc>
      </w:tr>
    </w:tbl>
    <w:p>
      <w:pPr>
        <w:snapToGrid w:val="0"/>
        <w:spacing w:line="360" w:lineRule="auto"/>
        <w:jc w:val="center"/>
        <w:rPr>
          <w:rFonts w:hint="eastAsia" w:ascii="宋体" w:hAnsi="宋体" w:eastAsia="宋体" w:cs="宋体"/>
          <w:b/>
          <w:color w:val="auto"/>
          <w:sz w:val="32"/>
          <w:szCs w:val="20"/>
          <w:highlight w:val="none"/>
        </w:rPr>
      </w:pPr>
    </w:p>
    <w:bookmarkEnd w:id="9"/>
    <w:p>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10" w:name="第三部分"/>
      <w:bookmarkStart w:id="11" w:name="_Toc164416483"/>
      <w:r>
        <w:rPr>
          <w:rFonts w:hint="eastAsia" w:ascii="宋体" w:hAnsi="宋体" w:eastAsia="宋体" w:cs="宋体"/>
          <w:b/>
          <w:color w:val="auto"/>
          <w:sz w:val="32"/>
          <w:szCs w:val="20"/>
          <w:highlight w:val="none"/>
        </w:rPr>
        <w:t>一、总则</w:t>
      </w:r>
    </w:p>
    <w:p>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系指实质性要求条款，“★”系产品采购项目中单一产品或核心产品，“</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w:t>
      </w:r>
    </w:p>
    <w:p>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4.1供应商询问</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4.2供应商质疑</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8"/>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4.2.2.1对招标文件提出质疑的，质疑期限为供应商获得招标文件之日或者招标文件公告期限届满之日起计算。</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4.2.2.2对采购过程提出质疑的，质疑期限为各采购程序环节结束之日起计算。对同一采购程序环节的质疑，供应商须一次性提出。</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4.2.2.3对采购结果提出质疑的，质疑期限自采购结果公告期限届满之日起计算。</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w:t>
      </w:r>
      <w:r>
        <w:rPr>
          <w:rFonts w:hint="eastAsia" w:ascii="宋体" w:hAnsi="宋体" w:eastAsia="宋体" w:cs="宋体"/>
          <w:color w:val="auto"/>
          <w:sz w:val="24"/>
          <w:highlight w:val="none"/>
        </w:rPr>
        <w:t>供应商提出质疑应当提交质疑函和必要的证明材料。质疑函应当包括下列内容：</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4.2.3.1供应商的姓名或者名称、地址、邮编、联系人及联系电话；</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4.2.3.2质疑项目的名称、编号；</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4.2.3.3具体、明确的质疑事项和与质疑事项相关的请求；</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4.2.3.4事实依据；</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4.2.3.5必要的法律依据；</w:t>
      </w:r>
    </w:p>
    <w:p>
      <w:pPr>
        <w:pStyle w:val="34"/>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4.2.3.6提出质疑的日期。</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4.2</w:t>
      </w:r>
      <w:r>
        <w:rPr>
          <w:rFonts w:hint="eastAsia" w:ascii="宋体" w:hAnsi="宋体" w:eastAsia="宋体" w:cs="宋体"/>
          <w:color w:val="auto"/>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4.2</w:t>
      </w:r>
      <w:r>
        <w:rPr>
          <w:rFonts w:hint="eastAsia" w:ascii="宋体" w:hAnsi="宋体" w:eastAsia="宋体" w:cs="宋体"/>
          <w:color w:val="auto"/>
          <w:highlight w:val="none"/>
        </w:rPr>
        <w:t>.5询问或者质疑事项可能影响采购结果的，采购人应当暂停签订合同，已经签订合同的，应当中止履行合同。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4.3供应商投诉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4.3.1质疑供应商对采购人、采购机构的答复不满意或者采购人、采购机构未在规定的时间内作出答复的，可以在答复期满后十五个工作日内向同级政府采购监督管理部门提出投诉。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4.3.3供应商投诉应当有明确的请求和必要的证明材料。</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4.3.5 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pPr>
        <w:pStyle w:val="129"/>
        <w:snapToGrid w:val="0"/>
        <w:spacing w:before="0" w:line="360" w:lineRule="auto"/>
        <w:ind w:firstLine="360"/>
        <w:rPr>
          <w:rFonts w:hint="eastAsia" w:ascii="宋体" w:hAnsi="宋体" w:eastAsia="宋体" w:cs="宋体"/>
          <w:color w:val="auto"/>
          <w:sz w:val="18"/>
          <w:szCs w:val="18"/>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spacing w:line="360" w:lineRule="auto"/>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pPr>
        <w:pStyle w:val="8"/>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11.1.2落实政府采购政策需满足的资格要求；</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11.1.3本项目的特定资格要求。</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非联合体的声明函。</w:t>
      </w:r>
    </w:p>
    <w:p>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11.2.3符合性审查资料；</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11.2.4评标标准相应的商务技术资料；</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11.2.5商务技术偏离表；</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11.2.6</w:t>
      </w:r>
      <w:r>
        <w:rPr>
          <w:rFonts w:hint="eastAsia" w:ascii="宋体" w:hAnsi="宋体" w:eastAsia="宋体" w:cs="宋体"/>
          <w:color w:val="auto"/>
          <w:sz w:val="24"/>
          <w:highlight w:val="none"/>
          <w:lang w:val="zh-CN"/>
        </w:rPr>
        <w:t>政府采购供应商廉洁自律承诺书；</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w:t>
      </w:r>
      <w:r>
        <w:rPr>
          <w:rFonts w:hint="eastAsia" w:ascii="宋体" w:hAnsi="宋体" w:eastAsia="宋体" w:cs="宋体"/>
          <w:color w:val="auto"/>
          <w:sz w:val="24"/>
          <w:highlight w:val="none"/>
          <w:lang w:val="zh-CN"/>
        </w:rPr>
        <w:t>其他资信资料；</w:t>
      </w:r>
    </w:p>
    <w:p>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同类业绩表；</w:t>
      </w:r>
    </w:p>
    <w:p>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11.2.9</w:t>
      </w:r>
      <w:r>
        <w:rPr>
          <w:rFonts w:hint="eastAsia" w:ascii="宋体" w:hAnsi="宋体" w:eastAsia="宋体" w:cs="宋体"/>
          <w:color w:val="auto"/>
          <w:sz w:val="24"/>
          <w:highlight w:val="none"/>
          <w:lang w:val="zh-CN"/>
        </w:rPr>
        <w:t>提供针对项目的完整技术解决方案。</w:t>
      </w:r>
    </w:p>
    <w:p>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w:t>
      </w:r>
      <w:r>
        <w:rPr>
          <w:rFonts w:hint="eastAsia" w:ascii="宋体" w:hAnsi="宋体" w:eastAsia="宋体" w:cs="宋体"/>
          <w:color w:val="auto"/>
          <w:sz w:val="24"/>
          <w:highlight w:val="none"/>
          <w:lang w:val="en-US" w:eastAsia="zh-CN"/>
        </w:rPr>
        <w:t>2投标价格组成明细表；</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w:t>
      </w:r>
    </w:p>
    <w:p>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pPr>
        <w:pStyle w:val="129"/>
        <w:snapToGrid w:val="0"/>
        <w:spacing w:before="0" w:line="360" w:lineRule="auto"/>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pPr>
        <w:pStyle w:val="129"/>
        <w:snapToGrid w:val="0"/>
        <w:spacing w:before="0" w:line="360" w:lineRule="auto"/>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line="360" w:lineRule="auto"/>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pPr>
        <w:pStyle w:val="129"/>
        <w:spacing w:before="0" w:line="360" w:lineRule="auto"/>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pPr>
        <w:pStyle w:val="129"/>
        <w:spacing w:line="36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line="36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line="36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pPr>
        <w:pStyle w:val="34"/>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但采购人、采购机构不强制或变相强制投标人提交备份投标文件。</w:t>
      </w:r>
    </w:p>
    <w:p>
      <w:pPr>
        <w:pStyle w:val="34"/>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15.5投标人仅提交备份投标文件，没有在电子交易平台传输递交投标文件的，投标无效。</w:t>
      </w:r>
    </w:p>
    <w:p>
      <w:pPr>
        <w:pStyle w:val="129"/>
        <w:spacing w:before="0" w:line="360" w:lineRule="auto"/>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pPr>
        <w:pStyle w:val="26"/>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第13项规定</w:t>
      </w:r>
      <w:r>
        <w:rPr>
          <w:rFonts w:hint="eastAsia" w:ascii="宋体" w:hAnsi="宋体" w:eastAsia="宋体" w:cs="宋体"/>
          <w:color w:val="auto"/>
          <w:szCs w:val="21"/>
          <w:highlight w:val="none"/>
        </w:rPr>
        <w:t>的情形之一的，投标无效：</w:t>
      </w:r>
    </w:p>
    <w:p>
      <w:pPr>
        <w:pStyle w:val="129"/>
        <w:spacing w:before="0" w:line="360" w:lineRule="auto"/>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pPr>
        <w:pStyle w:val="129"/>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pPr>
        <w:pStyle w:val="129"/>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29"/>
        <w:spacing w:before="0" w:line="360" w:lineRule="auto"/>
        <w:ind w:firstLine="643"/>
        <w:rPr>
          <w:rFonts w:hint="eastAsia" w:ascii="宋体" w:hAnsi="宋体" w:eastAsia="宋体" w:cs="宋体"/>
          <w:b/>
          <w:color w:val="auto"/>
          <w:sz w:val="32"/>
          <w:highlight w:val="none"/>
        </w:rPr>
      </w:pPr>
    </w:p>
    <w:p>
      <w:pPr>
        <w:pStyle w:val="129"/>
        <w:spacing w:before="0" w:line="360" w:lineRule="auto"/>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pPr>
        <w:pStyle w:val="555"/>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pPr>
        <w:pStyle w:val="555"/>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19.1开标后，采购人或采购机构将依法对投标人的资格进行审查。</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采购人或采购机构依据法律法规和招标文件的规定，对投标人的基本资格条件、特定资格条件进行审查。</w:t>
      </w:r>
    </w:p>
    <w:p>
      <w:pPr>
        <w:pStyle w:val="129"/>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pPr>
        <w:pStyle w:val="129"/>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4对未通过资格审查的投标人，采购人或采购机构告知其未通过的原因。</w:t>
      </w:r>
    </w:p>
    <w:p>
      <w:pPr>
        <w:pStyle w:val="129"/>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5合格投标人不足3家的，不再评标。</w:t>
      </w:r>
    </w:p>
    <w:p>
      <w:pPr>
        <w:pStyle w:val="129"/>
        <w:spacing w:before="0" w:line="360" w:lineRule="auto"/>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pPr>
        <w:pStyle w:val="129"/>
        <w:spacing w:before="0" w:line="360" w:lineRule="auto"/>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20.1信用信息查询渠道及截止时间：采购机构将通过“信用中国”网站(www.creditchina.gov.cn)、中国政府采购网(www.ccgp.gov.cn)渠道查询投标人投标截止时间当天的信用记录。</w:t>
      </w:r>
    </w:p>
    <w:p>
      <w:pPr>
        <w:pStyle w:val="129"/>
        <w:spacing w:before="0" w:line="360" w:lineRule="auto"/>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pPr>
        <w:pStyle w:val="129"/>
        <w:spacing w:before="0" w:line="360" w:lineRule="auto"/>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9"/>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pPr>
        <w:pStyle w:val="129"/>
        <w:spacing w:before="0" w:line="360" w:lineRule="auto"/>
        <w:ind w:firstLine="0" w:firstLineChars="0"/>
        <w:rPr>
          <w:rFonts w:hint="eastAsia" w:ascii="宋体" w:hAnsi="宋体" w:eastAsia="宋体" w:cs="宋体"/>
          <w:color w:val="auto"/>
          <w:kern w:val="0"/>
          <w:szCs w:val="24"/>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2"/>
          <w:szCs w:val="32"/>
          <w:highlight w:val="none"/>
        </w:rPr>
        <w:t>五、评标</w:t>
      </w:r>
    </w:p>
    <w:p>
      <w:pPr>
        <w:spacing w:line="360" w:lineRule="auto"/>
        <w:rPr>
          <w:rFonts w:hint="eastAsia" w:ascii="宋体" w:hAnsi="宋体" w:eastAsia="宋体" w:cs="宋体"/>
          <w:b/>
          <w:color w:val="auto"/>
          <w:sz w:val="24"/>
          <w:highlight w:val="none"/>
        </w:rPr>
      </w:pPr>
      <w:bookmarkStart w:id="12"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pPr>
        <w:spacing w:line="360" w:lineRule="auto"/>
        <w:rPr>
          <w:rFonts w:hint="eastAsia" w:ascii="宋体" w:hAnsi="宋体" w:eastAsia="宋体" w:cs="宋体"/>
          <w:b/>
          <w:color w:val="auto"/>
          <w:sz w:val="24"/>
          <w:highlight w:val="none"/>
        </w:rPr>
      </w:pPr>
    </w:p>
    <w:p>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六、定标</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pPr>
        <w:pStyle w:val="129"/>
        <w:snapToGrid w:val="0"/>
        <w:spacing w:before="0" w:line="360" w:lineRule="auto"/>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采购人将自收到评审报告之日起5个工作日内通过电子交易平台在评审报告推荐的中标候选人中按顺序确定中标供应商。</w:t>
      </w:r>
    </w:p>
    <w:p>
      <w:pPr>
        <w:pStyle w:val="129"/>
        <w:snapToGrid w:val="0"/>
        <w:spacing w:before="0" w:line="360" w:lineRule="auto"/>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pPr>
        <w:snapToGrid w:val="0"/>
        <w:spacing w:line="360" w:lineRule="auto"/>
        <w:ind w:left="120" w:leftChars="57" w:firstLine="482" w:firstLineChars="150"/>
        <w:jc w:val="center"/>
        <w:rPr>
          <w:rFonts w:hint="eastAsia" w:ascii="宋体" w:hAnsi="宋体" w:eastAsia="宋体" w:cs="宋体"/>
          <w:b/>
          <w:color w:val="auto"/>
          <w:sz w:val="32"/>
          <w:highlight w:val="none"/>
        </w:rPr>
      </w:pP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pPr>
        <w:pStyle w:val="129"/>
        <w:snapToGrid w:val="0"/>
        <w:spacing w:before="0" w:line="360" w:lineRule="auto"/>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29"/>
        <w:snapToGrid w:val="0"/>
        <w:spacing w:before="0" w:after="12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pPr>
        <w:tabs>
          <w:tab w:val="left" w:pos="0"/>
        </w:tabs>
        <w:spacing w:line="360" w:lineRule="auto"/>
        <w:ind w:firstLine="482"/>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%。鼓励和支持供应商以银行、保险公司出具的保函形式提供履约保证金。</w:t>
      </w:r>
      <w:r>
        <w:rPr>
          <w:rFonts w:hint="eastAsia" w:ascii="宋体" w:hAnsi="宋体" w:eastAsia="宋体" w:cs="宋体"/>
          <w:b/>
          <w:color w:val="auto"/>
          <w:sz w:val="24"/>
          <w:highlight w:val="none"/>
        </w:rPr>
        <w:t>采购人不得拒收履约保函。</w:t>
      </w:r>
    </w:p>
    <w:p>
      <w:pPr>
        <w:tabs>
          <w:tab w:val="left" w:pos="0"/>
        </w:tabs>
        <w:spacing w:line="360" w:lineRule="auto"/>
        <w:ind w:firstLine="482"/>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w:t>
      </w:r>
      <w:r>
        <w:rPr>
          <w:rFonts w:hint="eastAsia" w:ascii="宋体" w:hAnsi="宋体" w:eastAsia="宋体" w:cs="宋体"/>
          <w:color w:val="auto"/>
          <w:sz w:val="24"/>
          <w:szCs w:val="20"/>
          <w:highlight w:val="none"/>
          <w:lang w:val="en-US" w:eastAsia="zh-CN"/>
        </w:rPr>
        <w:t>0.5</w:t>
      </w:r>
      <w:r>
        <w:rPr>
          <w:rFonts w:hint="eastAsia" w:ascii="宋体" w:hAnsi="宋体" w:eastAsia="宋体" w:cs="宋体"/>
          <w:color w:val="auto"/>
          <w:sz w:val="24"/>
          <w:szCs w:val="20"/>
          <w:highlight w:val="none"/>
        </w:rPr>
        <w:t>%；评价总分在90分以下或者暂无评分的，收取履约保证金不得高于合同金额</w:t>
      </w:r>
      <w:r>
        <w:rPr>
          <w:rFonts w:hint="eastAsia" w:ascii="宋体"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w:t>
      </w:r>
    </w:p>
    <w:p>
      <w:pPr>
        <w:pStyle w:val="6"/>
        <w:spacing w:line="360" w:lineRule="auto"/>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宋体" w:hAnsi="宋体" w:eastAsia="宋体" w:cs="宋体"/>
          <w:b/>
          <w:color w:val="auto"/>
          <w:sz w:val="32"/>
          <w:highlight w:val="none"/>
        </w:rPr>
      </w:pPr>
    </w:p>
    <w:p>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129"/>
        <w:snapToGrid w:val="0"/>
        <w:spacing w:before="0" w:line="36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b/>
          <w:color w:val="auto"/>
          <w:szCs w:val="24"/>
          <w:highlight w:val="none"/>
        </w:rPr>
        <w:t>7.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pPr>
        <w:pStyle w:val="12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pPr>
        <w:pStyle w:val="129"/>
        <w:snapToGrid w:val="0"/>
        <w:spacing w:before="0" w:line="36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宋体" w:hAnsi="宋体" w:eastAsia="宋体" w:cs="宋体"/>
          <w:color w:val="auto"/>
          <w:sz w:val="24"/>
          <w:highlight w:val="none"/>
        </w:rPr>
      </w:pP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pStyle w:val="26"/>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29.验收</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hint="eastAsia" w:ascii="宋体" w:hAnsi="宋体" w:eastAsia="宋体" w:cs="宋体"/>
          <w:color w:val="auto"/>
          <w:kern w:val="0"/>
          <w:sz w:val="24"/>
          <w:highlight w:val="none"/>
        </w:rPr>
        <w:sectPr>
          <w:footerReference r:id="rId7" w:type="first"/>
          <w:footerReference r:id="rId6" w:type="default"/>
          <w:pgSz w:w="11906" w:h="16838"/>
          <w:pgMar w:top="680" w:right="1418" w:bottom="468" w:left="1418" w:header="851" w:footer="992" w:gutter="0"/>
          <w:pgNumType w:fmt="decimal" w:start="1"/>
          <w:cols w:space="720" w:num="1"/>
          <w:titlePg/>
          <w:docGrid w:linePitch="312" w:charSpace="0"/>
        </w:sectPr>
      </w:pPr>
      <w:bookmarkStart w:id="13" w:name="_Hlt74714665"/>
      <w:bookmarkEnd w:id="13"/>
      <w:bookmarkStart w:id="14" w:name="_Hlt68073093"/>
      <w:bookmarkEnd w:id="14"/>
      <w:bookmarkStart w:id="15" w:name="_Hlt75236290"/>
      <w:bookmarkEnd w:id="15"/>
      <w:bookmarkStart w:id="16" w:name="_Hlt75236101"/>
      <w:bookmarkEnd w:id="16"/>
      <w:bookmarkStart w:id="17" w:name="_Hlt74729768"/>
      <w:bookmarkEnd w:id="17"/>
      <w:bookmarkStart w:id="18" w:name="_Hlt68072990"/>
      <w:bookmarkEnd w:id="18"/>
      <w:bookmarkStart w:id="19" w:name="_Hlt74707468"/>
      <w:bookmarkEnd w:id="19"/>
      <w:bookmarkStart w:id="20" w:name="_Hlt68057669"/>
      <w:bookmarkEnd w:id="20"/>
      <w:bookmarkStart w:id="21" w:name="_Hlt75236011"/>
      <w:bookmarkEnd w:id="21"/>
      <w:bookmarkStart w:id="22" w:name="_Hlt74730295"/>
      <w:bookmarkEnd w:id="22"/>
      <w:bookmarkStart w:id="23" w:name="_Hlt68403820"/>
      <w:bookmarkEnd w:id="23"/>
      <w:bookmarkStart w:id="24" w:name="_Hlt68072998"/>
      <w:bookmarkEnd w:id="24"/>
    </w:p>
    <w:bookmarkEnd w:id="10"/>
    <w:bookmarkEnd w:id="11"/>
    <w:p>
      <w:pPr>
        <w:spacing w:line="360" w:lineRule="auto"/>
        <w:jc w:val="center"/>
        <w:outlineLvl w:val="0"/>
        <w:rPr>
          <w:rFonts w:hint="eastAsia" w:ascii="宋体" w:hAnsi="宋体" w:eastAsia="宋体" w:cs="宋体"/>
          <w:b/>
          <w:color w:val="auto"/>
          <w:sz w:val="36"/>
          <w:szCs w:val="36"/>
          <w:highlight w:val="none"/>
        </w:rPr>
      </w:pPr>
      <w:bookmarkStart w:id="25" w:name="第四部分"/>
      <w:r>
        <w:rPr>
          <w:rFonts w:hint="eastAsia" w:ascii="宋体" w:hAnsi="宋体" w:eastAsia="宋体" w:cs="宋体"/>
          <w:b/>
          <w:color w:val="auto"/>
          <w:sz w:val="36"/>
          <w:szCs w:val="36"/>
          <w:highlight w:val="none"/>
        </w:rPr>
        <w:t>第三部分   采购需求</w:t>
      </w:r>
    </w:p>
    <w:p>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第一</w:t>
      </w:r>
      <w:r>
        <w:rPr>
          <w:rFonts w:hint="eastAsia" w:ascii="宋体" w:hAnsi="宋体" w:eastAsia="宋体" w:cs="宋体"/>
          <w:b/>
          <w:bCs/>
          <w:color w:val="auto"/>
          <w:sz w:val="24"/>
          <w:szCs w:val="24"/>
          <w:highlight w:val="none"/>
          <w:lang w:val="en-US" w:eastAsia="zh-CN"/>
        </w:rPr>
        <w:t>章</w:t>
      </w:r>
      <w:r>
        <w:rPr>
          <w:rFonts w:hint="eastAsia" w:ascii="宋体" w:hAnsi="宋体" w:eastAsia="宋体" w:cs="宋体"/>
          <w:b/>
          <w:bCs/>
          <w:color w:val="auto"/>
          <w:sz w:val="24"/>
          <w:szCs w:val="24"/>
          <w:highlight w:val="none"/>
        </w:rPr>
        <w:t xml:space="preserve"> 采购内容一览表</w:t>
      </w:r>
    </w:p>
    <w:tbl>
      <w:tblPr>
        <w:tblStyle w:val="62"/>
        <w:tblW w:w="495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602"/>
        <w:gridCol w:w="627"/>
        <w:gridCol w:w="668"/>
        <w:gridCol w:w="1057"/>
        <w:gridCol w:w="1879"/>
        <w:gridCol w:w="2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92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标项名称</w:t>
            </w:r>
          </w:p>
        </w:tc>
        <w:tc>
          <w:tcPr>
            <w:tcW w:w="753"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w:t>
            </w:r>
          </w:p>
        </w:tc>
        <w:tc>
          <w:tcPr>
            <w:tcW w:w="80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单位</w:t>
            </w:r>
          </w:p>
        </w:tc>
        <w:tc>
          <w:tcPr>
            <w:tcW w:w="1268"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预算金额</w:t>
            </w:r>
          </w:p>
        </w:tc>
        <w:tc>
          <w:tcPr>
            <w:tcW w:w="2255"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简要技术</w:t>
            </w:r>
          </w:p>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要求</w:t>
            </w:r>
          </w:p>
        </w:tc>
        <w:tc>
          <w:tcPr>
            <w:tcW w:w="2524"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92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eastAsia="zh-CN"/>
              </w:rPr>
              <w:t>2023年上城区九堡北片区市政设施长效养护服务项目</w:t>
            </w:r>
          </w:p>
        </w:tc>
        <w:tc>
          <w:tcPr>
            <w:tcW w:w="753"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w:t>
            </w:r>
          </w:p>
        </w:tc>
        <w:tc>
          <w:tcPr>
            <w:tcW w:w="80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w:t>
            </w:r>
          </w:p>
        </w:tc>
        <w:tc>
          <w:tcPr>
            <w:tcW w:w="1268"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color w:val="auto"/>
                <w:sz w:val="24"/>
                <w:highlight w:val="none"/>
                <w:lang w:eastAsia="zh-CN"/>
              </w:rPr>
              <w:t xml:space="preserve">9570573.08  </w:t>
            </w:r>
            <w:r>
              <w:rPr>
                <w:rFonts w:hint="eastAsia" w:ascii="宋体" w:hAnsi="宋体" w:eastAsia="宋体" w:cs="宋体"/>
                <w:b w:val="0"/>
                <w:bCs/>
                <w:color w:val="auto"/>
                <w:sz w:val="24"/>
                <w:highlight w:val="none"/>
              </w:rPr>
              <w:t xml:space="preserve"> </w:t>
            </w:r>
            <w:r>
              <w:rPr>
                <w:rFonts w:hint="eastAsia" w:ascii="宋体" w:hAnsi="宋体" w:eastAsia="宋体" w:cs="宋体"/>
                <w:color w:val="auto"/>
                <w:sz w:val="24"/>
                <w:szCs w:val="24"/>
                <w:highlight w:val="none"/>
              </w:rPr>
              <w:t>元</w:t>
            </w:r>
          </w:p>
        </w:tc>
        <w:tc>
          <w:tcPr>
            <w:tcW w:w="2255"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上城区九堡北片区市政设施长效养护服务</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具体内容详见招标文件。</w:t>
            </w:r>
          </w:p>
        </w:tc>
        <w:tc>
          <w:tcPr>
            <w:tcW w:w="2524" w:type="dxa"/>
            <w:vAlign w:val="center"/>
          </w:tcPr>
          <w:p>
            <w:pPr>
              <w:widowControl/>
              <w:snapToGrid w:val="0"/>
              <w:spacing w:line="360" w:lineRule="auto"/>
              <w:jc w:val="center"/>
              <w:rPr>
                <w:rFonts w:hint="eastAsia" w:ascii="宋体" w:hAnsi="宋体" w:eastAsia="宋体" w:cs="宋体"/>
                <w:color w:val="auto"/>
                <w:sz w:val="24"/>
                <w:szCs w:val="24"/>
                <w:highlight w:val="none"/>
              </w:rPr>
            </w:pPr>
          </w:p>
        </w:tc>
      </w:tr>
    </w:tbl>
    <w:p>
      <w:pPr>
        <w:autoSpaceDE w:val="0"/>
        <w:autoSpaceDN w:val="0"/>
        <w:adjustRightIn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w:t>
      </w:r>
      <w:r>
        <w:rPr>
          <w:rFonts w:hint="eastAsia" w:ascii="宋体" w:hAnsi="宋体" w:eastAsia="宋体" w:cs="宋体"/>
          <w:b/>
          <w:bCs/>
          <w:color w:val="auto"/>
          <w:sz w:val="24"/>
          <w:szCs w:val="24"/>
          <w:highlight w:val="none"/>
          <w:lang w:val="en-US" w:eastAsia="zh-CN"/>
        </w:rPr>
        <w:t>章</w:t>
      </w:r>
      <w:r>
        <w:rPr>
          <w:rFonts w:hint="eastAsia" w:ascii="宋体" w:hAnsi="宋体" w:eastAsia="宋体" w:cs="宋体"/>
          <w:b/>
          <w:bCs/>
          <w:color w:val="auto"/>
          <w:sz w:val="24"/>
          <w:szCs w:val="24"/>
          <w:highlight w:val="none"/>
        </w:rPr>
        <w:t xml:space="preserve"> 采购需求</w:t>
      </w:r>
    </w:p>
    <w:p>
      <w:pPr>
        <w:autoSpaceDE w:val="0"/>
        <w:autoSpaceDN w:val="0"/>
        <w:adjustRightIn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rPr>
        <w:t>项目概况</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市政设施长效养护的涵义指的是道路、桥梁及附属设施等市政设施的日常维修、保养、设施巡查、应急保障（如防汛、抗台、抗雪）、临时维护（配套管线、管沟、无产权单位窨井发生下沉、坍塌等），按照道路、桥梁等设施养护的有关规范和技术要求进行道路和桥梁的常规检测及评价、大面积维修、栏杆的维修和保洁、检测等。</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2023年上城区九堡北片区市政设施长效养护服务项目</w:t>
      </w:r>
      <w:r>
        <w:rPr>
          <w:rFonts w:hint="eastAsia" w:ascii="宋体" w:hAnsi="宋体" w:eastAsia="宋体" w:cs="宋体"/>
          <w:color w:val="auto"/>
          <w:sz w:val="24"/>
          <w:szCs w:val="24"/>
          <w:highlight w:val="none"/>
        </w:rPr>
        <w:t>，道路面积约</w:t>
      </w:r>
      <w:r>
        <w:rPr>
          <w:rFonts w:hint="eastAsia" w:ascii="宋体" w:hAnsi="宋体" w:eastAsia="宋体" w:cs="宋体"/>
          <w:color w:val="auto"/>
          <w:sz w:val="24"/>
          <w:szCs w:val="24"/>
          <w:highlight w:val="none"/>
          <w:lang w:eastAsia="zh-CN"/>
        </w:rPr>
        <w:t xml:space="preserve">1271822.22 </w:t>
      </w:r>
      <w:r>
        <w:rPr>
          <w:rFonts w:hint="eastAsia" w:ascii="宋体" w:hAnsi="宋体" w:eastAsia="宋体" w:cs="宋体"/>
          <w:color w:val="auto"/>
          <w:sz w:val="24"/>
          <w:szCs w:val="24"/>
          <w:highlight w:val="none"/>
        </w:rPr>
        <w:t>平方米，养护招标包括道路设施、桥梁设施等养护服务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服务期为12个月（2023年1月1月到2023年12月31日）</w:t>
      </w:r>
      <w:r>
        <w:rPr>
          <w:rFonts w:hint="eastAsia" w:ascii="宋体" w:hAnsi="宋体" w:eastAsia="宋体" w:cs="宋体"/>
          <w:color w:val="auto"/>
          <w:sz w:val="24"/>
          <w:szCs w:val="24"/>
          <w:highlight w:val="none"/>
        </w:rPr>
        <w:t>。</w:t>
      </w:r>
    </w:p>
    <w:p>
      <w:pPr>
        <w:pStyle w:val="8"/>
        <w:spacing w:line="360" w:lineRule="auto"/>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二、承包方式</w:t>
      </w:r>
    </w:p>
    <w:p>
      <w:pPr>
        <w:pStyle w:val="8"/>
        <w:spacing w:line="360" w:lineRule="auto"/>
        <w:ind w:left="0" w:leftChars="0"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1、本次招标项目采用固定单价承包（包括道路（含随路桥梁）设施养护具体养护设施以附后养护设施量清单为准），且结算价不超过合同价。</w:t>
      </w:r>
    </w:p>
    <w:p>
      <w:pPr>
        <w:pStyle w:val="8"/>
        <w:spacing w:line="360" w:lineRule="auto"/>
        <w:ind w:left="0" w:leftChars="0"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2、供应商存在以下情况之一的，一经发现立即取消承包资格，作违约处理，并承担由此引起的法律责任及一切经济损失：</w:t>
      </w:r>
    </w:p>
    <w:p>
      <w:pPr>
        <w:pStyle w:val="8"/>
        <w:spacing w:line="360" w:lineRule="auto"/>
        <w:ind w:left="0" w:leftChars="0"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（1）除允许分包的栏杆维修工作外，其他工作进行分包；</w:t>
      </w:r>
    </w:p>
    <w:p>
      <w:pPr>
        <w:pStyle w:val="8"/>
        <w:spacing w:line="360" w:lineRule="auto"/>
        <w:ind w:left="0" w:leftChars="0"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（2）项目转包、内部经济承包及变相经济转承包。</w:t>
      </w:r>
    </w:p>
    <w:p>
      <w:pPr>
        <w:pStyle w:val="8"/>
        <w:spacing w:line="360" w:lineRule="auto"/>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道路市政养护规范</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1.1《城镇道路养护技术规范》（CJJ36-2016）</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1.2《沥青路面施工及验收规范》（GB50092-96）</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1.3《杭州市城市道路管理养护技术要求(试行)》（杭城管〔2011〕37号）</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1.4《杭州市城市道路市政养护技术规程》（CJS-02-2000）</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1.5《城市桥梁养护标准》（CJJ99-2017）</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1.6《城市桥梁检测和养护维修管理办法》（建设部2003年118号令）</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1.7《杭州市城市桥梁养护技术规程》（CJS-03-2000）</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1.8《杭州市市政设施管理条例》</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1.9《城市道路杆件及标识整合技术规范》（DB3301/T 0232—2018）</w:t>
      </w:r>
    </w:p>
    <w:p>
      <w:pPr>
        <w:pStyle w:val="8"/>
        <w:spacing w:line="360" w:lineRule="auto"/>
        <w:ind w:left="900" w:leftChars="200" w:hanging="480" w:hanging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1.10《关于进一步加强道路、河道养护及环卫保洁作业设备管理的通知》（杭城管委〔2018〕255号）1.11《道路交通指示标识英文译写规范》（DB3301T0170-2016）</w:t>
      </w:r>
    </w:p>
    <w:p>
      <w:pPr>
        <w:pStyle w:val="8"/>
        <w:spacing w:line="360" w:lineRule="auto"/>
        <w:ind w:left="900" w:leftChars="200" w:hanging="480" w:hanging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关于印发2021年度各区县（市）政府（管委会）城市管理考核相关评分细则的通知（杭城管综执联办</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3号）</w:t>
      </w:r>
      <w:r>
        <w:rPr>
          <w:rFonts w:hint="eastAsia" w:ascii="宋体" w:hAnsi="宋体" w:eastAsia="宋体" w:cs="宋体"/>
          <w:color w:val="auto"/>
          <w:sz w:val="24"/>
          <w:szCs w:val="24"/>
          <w:highlight w:val="none"/>
          <w:lang w:eastAsia="zh-CN"/>
        </w:rPr>
        <w:t>》</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1.13关于印发《杭州市区城市道路路面技术状况检测方案》的通知（杭城管委﹝2016﹞292号）</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1.14《城市道路养护规范》（DB3301/T0012-2013）</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1.15关于印发《杭州市城市道路市政检查井提升改造通用图》的通知（杭城管委〔2015〕149号）</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1.16关于进一步加强临时占用挖掘城市道路批后监管的通知（杭城管委〔2015〕207号）</w:t>
      </w:r>
    </w:p>
    <w:p>
      <w:pPr>
        <w:pStyle w:val="8"/>
        <w:spacing w:line="360" w:lineRule="auto"/>
        <w:ind w:left="900" w:leftChars="200" w:hanging="480" w:hanging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1.17关于印发《杭州市市政养护市场诚信信息管理办法》《杭州市市政养护市场诚信评价标准》的通知（杭城管委﹝2018﹞19号）</w:t>
      </w:r>
    </w:p>
    <w:p>
      <w:pPr>
        <w:pStyle w:val="8"/>
        <w:spacing w:line="360" w:lineRule="auto"/>
        <w:ind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注：如市、区相应规范标准有更新，按照最新版本执行。</w:t>
      </w:r>
    </w:p>
    <w:p>
      <w:pPr>
        <w:adjustRightInd w:val="0"/>
        <w:snapToGrid w:val="0"/>
        <w:spacing w:line="360" w:lineRule="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四、养护质量标准和要求</w:t>
      </w:r>
    </w:p>
    <w:p>
      <w:p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zh-CN"/>
        </w:rPr>
        <w:t>（一）养护质量标准：</w:t>
      </w:r>
    </w:p>
    <w:p>
      <w:pPr>
        <w:pStyle w:val="8"/>
        <w:spacing w:line="360" w:lineRule="auto"/>
        <w:ind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根据《城镇道路养护技术规范》(CJJ36—2006)、《城市道路养护规范》（DB 3301/T 0012-2013）、《城市桥梁养护技术规范》（CJJ99-2017）、《城市桥梁检测和养护维修管理办法》（建设部2003年118号令）、等新颁布的相关规程、规范和国家有关强制性标准的规定执行。</w:t>
      </w:r>
    </w:p>
    <w:p>
      <w:pPr>
        <w:adjustRightInd w:val="0"/>
        <w:snapToGrid w:val="0"/>
        <w:spacing w:line="360" w:lineRule="auto"/>
        <w:ind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（二）养护考核：</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按照国家有关规范、技术标准及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关于印发2021年度各区县（市）政府（管委会）城市管理考核相关评分细则的通知（杭城管综执联办</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zh-CN" w:eastAsia="zh-CN" w:bidi="ar-SA"/>
        </w:rPr>
        <w:t>等相关规定执行，如市、区相应规范标准有更新，按照最新版本执行。</w:t>
      </w:r>
    </w:p>
    <w:p>
      <w:pPr>
        <w:adjustRightInd w:val="0"/>
        <w:snapToGrid w:val="0"/>
        <w:spacing w:line="360" w:lineRule="auto"/>
        <w:ind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（三）养护检测评估：</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根据《关于印发&lt;杭州市区城市道路路面技术状况检测方案）&gt;的通知》（杭城管委[2016]292号）和《关于进一步规范城市桥梁检查检测工作的通知》（杭城管委[2017]247号）等相关通知要求，在道路及桥梁设施养护过程中，配备与养护设施量相适应养护技术人员、检查工具和检测设备，进行经常性检查。确保合同范围内所有道路、桥梁在合同期内进行一次常规检测（含桥梁沉降观测），道路、桥梁结构性检测由采购人于合同期始制定检测计划（占总面积三分之一的道路，占总座数六分之一的桥梁），由中标单位负责检测（或委托有检测资质单位实施）。每年11月底前提供相关检测报告。</w:t>
      </w:r>
    </w:p>
    <w:p>
      <w:pPr>
        <w:adjustRightInd w:val="0"/>
        <w:snapToGrid w:val="0"/>
        <w:spacing w:line="360" w:lineRule="auto"/>
        <w:ind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（四）人员、设备配置：</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zh-CN"/>
        </w:rPr>
        <w:t>市政道路养护人员配备1个沥青班组人员（每个班组8人）、3个人行道班组（每个班组4人）。</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道路养护设备：每个沥青班组必须配备</w:t>
      </w:r>
      <w:r>
        <w:rPr>
          <w:rFonts w:hint="eastAsia" w:ascii="宋体" w:hAnsi="宋体" w:eastAsia="宋体" w:cs="宋体"/>
          <w:color w:val="auto"/>
          <w:kern w:val="0"/>
          <w:sz w:val="24"/>
          <w:szCs w:val="24"/>
          <w:highlight w:val="none"/>
          <w:lang w:val="en-US" w:eastAsia="zh-CN"/>
        </w:rPr>
        <w:t>1台</w:t>
      </w:r>
      <w:r>
        <w:rPr>
          <w:rFonts w:hint="eastAsia" w:ascii="宋体" w:hAnsi="宋体" w:eastAsia="宋体" w:cs="宋体"/>
          <w:color w:val="auto"/>
          <w:sz w:val="24"/>
          <w:highlight w:val="none"/>
        </w:rPr>
        <w:t>5t（含）及以上压路机，</w:t>
      </w:r>
      <w:r>
        <w:rPr>
          <w:rFonts w:hint="eastAsia" w:ascii="宋体" w:hAnsi="宋体" w:eastAsia="宋体" w:cs="宋体"/>
          <w:color w:val="auto"/>
          <w:sz w:val="24"/>
          <w:highlight w:val="none"/>
          <w:lang w:val="en-US" w:eastAsia="zh-CN"/>
        </w:rPr>
        <w:t>1台</w:t>
      </w:r>
      <w:r>
        <w:rPr>
          <w:rFonts w:hint="eastAsia" w:ascii="宋体" w:hAnsi="宋体" w:eastAsia="宋体" w:cs="宋体"/>
          <w:color w:val="auto"/>
          <w:sz w:val="24"/>
          <w:highlight w:val="none"/>
        </w:rPr>
        <w:t>铣刨机：铣刨宽度300mm（含）以上，</w:t>
      </w:r>
      <w:r>
        <w:rPr>
          <w:rFonts w:hint="eastAsia" w:ascii="宋体" w:hAnsi="宋体" w:eastAsia="宋体" w:cs="宋体"/>
          <w:color w:val="auto"/>
          <w:sz w:val="24"/>
          <w:highlight w:val="none"/>
          <w:lang w:val="en-US" w:eastAsia="zh-CN"/>
        </w:rPr>
        <w:t>1辆</w:t>
      </w:r>
      <w:r>
        <w:rPr>
          <w:rFonts w:hint="eastAsia" w:ascii="宋体" w:hAnsi="宋体" w:eastAsia="宋体" w:cs="宋体"/>
          <w:color w:val="auto"/>
          <w:sz w:val="24"/>
          <w:szCs w:val="24"/>
          <w:highlight w:val="none"/>
        </w:rPr>
        <w:t>沥青保温车</w:t>
      </w:r>
      <w:r>
        <w:rPr>
          <w:rFonts w:hint="eastAsia" w:ascii="宋体" w:hAnsi="宋体" w:eastAsia="宋体" w:cs="宋体"/>
          <w:color w:val="auto"/>
          <w:sz w:val="24"/>
          <w:highlight w:val="none"/>
        </w:rPr>
        <w:t>：核定载质量6t及以上</w:t>
      </w:r>
      <w:r>
        <w:rPr>
          <w:rFonts w:hint="eastAsia" w:ascii="宋体" w:hAnsi="宋体" w:eastAsia="宋体" w:cs="宋体"/>
          <w:color w:val="auto"/>
          <w:kern w:val="0"/>
          <w:sz w:val="24"/>
          <w:szCs w:val="24"/>
          <w:highlight w:val="none"/>
          <w:lang w:val="zh-CN"/>
        </w:rPr>
        <w:t>、2个装载车（施工班组人员乘坐的车辆）、1套应急设备（大功率排水泵车、多功能滑移装载机）。每个人行道班组必须配备1个装载车（施工班组人员乘坐的车辆）。</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sz w:val="24"/>
          <w:highlight w:val="none"/>
        </w:rPr>
        <w:t>5t（含）及以上压路机，铣刨机：铣刨宽度300mm（含）以上，沥青路面综合养护车：核定载质量6t及以上</w:t>
      </w:r>
      <w:r>
        <w:rPr>
          <w:rFonts w:hint="eastAsia" w:ascii="宋体" w:hAnsi="宋体" w:eastAsia="宋体" w:cs="宋体"/>
          <w:color w:val="auto"/>
          <w:sz w:val="24"/>
          <w:highlight w:val="none"/>
          <w:lang w:eastAsia="zh-CN"/>
        </w:rPr>
        <w:t>；</w:t>
      </w:r>
      <w:r>
        <w:rPr>
          <w:rFonts w:hint="eastAsia" w:ascii="宋体" w:hAnsi="宋体" w:eastAsia="宋体" w:cs="宋体"/>
          <w:color w:val="auto"/>
          <w:kern w:val="0"/>
          <w:sz w:val="24"/>
          <w:szCs w:val="24"/>
          <w:highlight w:val="none"/>
          <w:lang w:val="zh-CN"/>
        </w:rPr>
        <w:t>装载车（施工班组人员乘坐的车辆）需固定为本项目服务。固定用于项目中的机具车辆设备应装GPS</w:t>
      </w:r>
      <w:r>
        <w:rPr>
          <w:rFonts w:hint="eastAsia" w:ascii="宋体" w:hAnsi="宋体" w:eastAsia="宋体" w:cs="宋体"/>
          <w:color w:val="auto"/>
          <w:kern w:val="0"/>
          <w:sz w:val="24"/>
          <w:szCs w:val="24"/>
          <w:highlight w:val="none"/>
          <w:lang w:val="en-US" w:eastAsia="zh-CN"/>
        </w:rPr>
        <w:t>模块</w:t>
      </w:r>
      <w:r>
        <w:rPr>
          <w:rFonts w:hint="eastAsia" w:ascii="宋体" w:hAnsi="宋体" w:eastAsia="宋体" w:cs="宋体"/>
          <w:color w:val="auto"/>
          <w:kern w:val="0"/>
          <w:sz w:val="24"/>
          <w:szCs w:val="24"/>
          <w:highlight w:val="none"/>
          <w:lang w:val="zh-CN"/>
        </w:rPr>
        <w:t>，安装GPS</w:t>
      </w:r>
      <w:r>
        <w:rPr>
          <w:rFonts w:hint="eastAsia" w:ascii="宋体" w:hAnsi="宋体" w:eastAsia="宋体" w:cs="宋体"/>
          <w:color w:val="auto"/>
          <w:kern w:val="0"/>
          <w:sz w:val="24"/>
          <w:szCs w:val="24"/>
          <w:highlight w:val="none"/>
          <w:lang w:val="en-US" w:eastAsia="zh-CN"/>
        </w:rPr>
        <w:t>模块</w:t>
      </w:r>
      <w:r>
        <w:rPr>
          <w:rFonts w:hint="eastAsia" w:ascii="宋体" w:hAnsi="宋体" w:eastAsia="宋体" w:cs="宋体"/>
          <w:color w:val="auto"/>
          <w:kern w:val="0"/>
          <w:sz w:val="24"/>
          <w:szCs w:val="24"/>
          <w:highlight w:val="none"/>
          <w:lang w:val="zh-CN"/>
        </w:rPr>
        <w:t>的设备信息须</w:t>
      </w:r>
      <w:r>
        <w:rPr>
          <w:rFonts w:hint="eastAsia" w:ascii="宋体" w:hAnsi="宋体" w:eastAsia="宋体" w:cs="宋体"/>
          <w:color w:val="auto"/>
          <w:kern w:val="0"/>
          <w:sz w:val="24"/>
          <w:szCs w:val="24"/>
          <w:highlight w:val="none"/>
          <w:lang w:val="en-US" w:eastAsia="zh-CN"/>
        </w:rPr>
        <w:t>满足</w:t>
      </w:r>
      <w:r>
        <w:rPr>
          <w:rFonts w:hint="eastAsia" w:ascii="宋体" w:hAnsi="宋体" w:eastAsia="宋体" w:cs="宋体"/>
          <w:color w:val="auto"/>
          <w:kern w:val="0"/>
          <w:sz w:val="24"/>
          <w:szCs w:val="24"/>
          <w:highlight w:val="none"/>
          <w:lang w:val="zh-CN"/>
        </w:rPr>
        <w:t>接入市城管委智慧城管统一定位系统，若养护单位需调整、更换车辆设备，必须经区级管理部门同意后，方可调整，同时向市级监管部门备案。</w:t>
      </w:r>
    </w:p>
    <w:p>
      <w:p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zh-CN"/>
        </w:rPr>
        <w:t>（五）应急保障措施：</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防汛防台、抗雪防冻、突发事件应急处理及重大活动保障等服务。</w:t>
      </w:r>
    </w:p>
    <w:p>
      <w:p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zh-CN"/>
        </w:rPr>
        <w:t>（六）档案资料：</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以一条路为单位建立道路、桥梁养护档案，健全日常养护作业记录，认真做好台帐的整理和归档工作，尤其是及时将日常养护、维修、检测、技术状况评价等相关数据，及时、准确录入市级监管部门的管理系统；每年11月底将养护档案资料、道路和桥梁的检测报告上报采购人一份。</w:t>
      </w:r>
    </w:p>
    <w:p>
      <w:pPr>
        <w:pStyle w:val="6"/>
        <w:numPr>
          <w:ilvl w:val="0"/>
          <w:numId w:val="0"/>
        </w:numPr>
        <w:spacing w:line="360" w:lineRule="auto"/>
        <w:ind w:leftChars="200"/>
        <w:jc w:val="both"/>
        <w:rPr>
          <w:rFonts w:hint="eastAsia" w:ascii="宋体" w:hAnsi="宋体" w:eastAsia="宋体" w:cs="宋体"/>
          <w:snapToGrid w:val="0"/>
          <w:color w:val="auto"/>
          <w:sz w:val="24"/>
          <w:szCs w:val="24"/>
          <w:highlight w:val="none"/>
        </w:rPr>
      </w:pPr>
      <w:r>
        <w:rPr>
          <w:rFonts w:hint="eastAsia" w:ascii="宋体" w:hAnsi="宋体" w:eastAsia="宋体" w:cs="宋体"/>
          <w:color w:val="auto"/>
          <w:sz w:val="24"/>
          <w:szCs w:val="24"/>
          <w:highlight w:val="none"/>
          <w:lang w:val="en-US" w:eastAsia="zh-CN"/>
        </w:rPr>
        <w:t>（七）</w:t>
      </w:r>
      <w:r>
        <w:rPr>
          <w:rFonts w:hint="eastAsia" w:ascii="宋体" w:hAnsi="宋体" w:eastAsia="宋体" w:cs="宋体"/>
          <w:snapToGrid w:val="0"/>
          <w:color w:val="auto"/>
          <w:sz w:val="24"/>
          <w:szCs w:val="24"/>
          <w:highlight w:val="none"/>
        </w:rPr>
        <w:t>验收方式</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按照《杭州市政府采购履约验收暂行办法》（杭财采监〔2019〕10号）文件规定，做好履约验收相关工作。</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本项目最终以组织专家验收会的形式，对项目成果进行验收，检测成果需达到国家相关验收标准。若一次验收不通过，再次验收产生的费用由供应商承担。</w:t>
      </w:r>
    </w:p>
    <w:p>
      <w:pPr>
        <w:snapToGrid w:val="0"/>
        <w:spacing w:line="360" w:lineRule="auto"/>
        <w:ind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w:t>
      </w:r>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sz w:val="24"/>
          <w:szCs w:val="24"/>
          <w:highlight w:val="none"/>
          <w:lang w:val="zh-CN"/>
        </w:rPr>
        <w:t>）其他：</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1、承担养护范围内的雨水检查井盖的日常管理工作(包括窨井盖补盖工作)。对养护范围内的其他窨井盖，如接到举报或发现窨井盖缺失，应在1小时内用备用井盖覆盖，确保行人、车辆安全，再查找产权单位；</w:t>
      </w:r>
      <w:bookmarkStart w:id="26" w:name="_Hlk117694529"/>
      <w:r>
        <w:rPr>
          <w:rFonts w:hint="eastAsia" w:ascii="宋体" w:hAnsi="宋体" w:eastAsia="宋体" w:cs="宋体"/>
          <w:color w:val="auto"/>
          <w:kern w:val="0"/>
          <w:sz w:val="24"/>
          <w:szCs w:val="24"/>
          <w:highlight w:val="none"/>
          <w:lang w:val="zh-CN"/>
        </w:rPr>
        <w:t>对道路上确认无主认领、存在安全隐患的检查井予以填埋</w:t>
      </w:r>
      <w:bookmarkEnd w:id="26"/>
      <w:r>
        <w:rPr>
          <w:rFonts w:hint="eastAsia" w:ascii="宋体" w:hAnsi="宋体" w:eastAsia="宋体" w:cs="宋体"/>
          <w:color w:val="auto"/>
          <w:kern w:val="0"/>
          <w:sz w:val="24"/>
          <w:szCs w:val="24"/>
          <w:highlight w:val="none"/>
          <w:lang w:val="zh-CN"/>
        </w:rPr>
        <w:t>；其余按《杭州市地下管线盖板管理办法》及有关文件、规定执行。</w:t>
      </w:r>
    </w:p>
    <w:p>
      <w:pPr>
        <w:widowControl/>
        <w:snapToGri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为进一步保障职工合法权益，按照《关于进一步落实好城管一线职工待遇的通知》（杭城管局〔2019〕103号）文件精神，落实职工待遇，在投标文件中须明确对职工工资、福利待遇等到位情况的要求，若出现集体上访事件，对中标单位作出相应处罚。</w:t>
      </w:r>
    </w:p>
    <w:p>
      <w:pPr>
        <w:pStyle w:val="2"/>
        <w:ind w:firstLine="480" w:firstLineChars="200"/>
        <w:rPr>
          <w:rFonts w:hint="eastAsia" w:ascii="宋体" w:hAnsi="宋体" w:eastAsia="宋体" w:cs="宋体"/>
          <w:snapToGrid/>
          <w:color w:val="auto"/>
          <w:kern w:val="0"/>
          <w:sz w:val="24"/>
          <w:szCs w:val="24"/>
          <w:highlight w:val="none"/>
          <w:lang w:val="zh-CN" w:eastAsia="zh-CN" w:bidi="ar-SA"/>
        </w:rPr>
      </w:pPr>
      <w:r>
        <w:rPr>
          <w:rFonts w:hint="eastAsia" w:ascii="宋体" w:hAnsi="宋体" w:eastAsia="宋体" w:cs="宋体"/>
          <w:snapToGrid/>
          <w:color w:val="auto"/>
          <w:kern w:val="0"/>
          <w:sz w:val="24"/>
          <w:szCs w:val="24"/>
          <w:highlight w:val="none"/>
          <w:lang w:val="zh-CN" w:eastAsia="zh-CN" w:bidi="ar-SA"/>
        </w:rPr>
        <w:t>3、城市桥梁护栏升级改造、桥头跳车整治要满足省市标准要求。</w:t>
      </w:r>
    </w:p>
    <w:p>
      <w:pPr>
        <w:snapToGrid w:val="0"/>
        <w:spacing w:line="360" w:lineRule="auto"/>
        <w:ind w:firstLine="482" w:firstLineChars="200"/>
        <w:rPr>
          <w:rFonts w:hint="eastAsia" w:ascii="宋体" w:hAnsi="宋体" w:eastAsia="宋体" w:cs="宋体"/>
          <w:b/>
          <w:bCs/>
          <w:color w:val="auto"/>
          <w:sz w:val="24"/>
          <w:szCs w:val="24"/>
          <w:highlight w:val="none"/>
          <w:u w:val="double"/>
          <w:lang w:val="zh-CN"/>
        </w:rPr>
      </w:pPr>
      <w:r>
        <w:rPr>
          <w:rFonts w:hint="eastAsia" w:ascii="宋体" w:hAnsi="宋体" w:eastAsia="宋体" w:cs="宋体"/>
          <w:b/>
          <w:bCs/>
          <w:color w:val="auto"/>
          <w:sz w:val="24"/>
          <w:szCs w:val="24"/>
          <w:highlight w:val="none"/>
          <w:u w:val="double"/>
          <w:lang w:val="en-US" w:eastAsia="zh-CN"/>
        </w:rPr>
        <w:t>五、</w:t>
      </w:r>
      <w:r>
        <w:rPr>
          <w:rFonts w:hint="eastAsia" w:ascii="宋体" w:hAnsi="宋体" w:eastAsia="宋体" w:cs="宋体"/>
          <w:b/>
          <w:bCs/>
          <w:color w:val="auto"/>
          <w:sz w:val="24"/>
          <w:szCs w:val="24"/>
          <w:highlight w:val="none"/>
          <w:u w:val="double"/>
          <w:lang w:val="zh-CN"/>
        </w:rPr>
        <w:t>养护范围</w:t>
      </w:r>
    </w:p>
    <w:p>
      <w:pPr>
        <w:pStyle w:val="8"/>
        <w:jc w:val="left"/>
        <w:rPr>
          <w:rFonts w:hint="eastAsia" w:ascii="宋体" w:hAnsi="宋体" w:eastAsia="宋体" w:cs="宋体"/>
          <w:b/>
          <w:bCs/>
          <w:color w:val="auto"/>
          <w:sz w:val="24"/>
          <w:szCs w:val="24"/>
          <w:highlight w:val="none"/>
          <w:u w:val="double"/>
          <w:lang w:val="zh-CN"/>
        </w:rPr>
      </w:pPr>
      <w:bookmarkStart w:id="27" w:name="_Toc1531"/>
      <w:bookmarkStart w:id="28" w:name="_Toc15099"/>
      <w:bookmarkStart w:id="29" w:name="_Toc31036"/>
      <w:bookmarkStart w:id="30" w:name="_Toc31099"/>
      <w:r>
        <w:rPr>
          <w:rFonts w:hint="eastAsia" w:ascii="宋体" w:hAnsi="宋体" w:eastAsia="宋体" w:cs="宋体"/>
          <w:b/>
          <w:bCs/>
          <w:color w:val="auto"/>
          <w:sz w:val="24"/>
          <w:szCs w:val="24"/>
          <w:highlight w:val="none"/>
          <w:u w:val="double"/>
          <w:lang w:val="en-US" w:eastAsia="zh-CN"/>
        </w:rPr>
        <w:t>（一）</w:t>
      </w:r>
      <w:r>
        <w:rPr>
          <w:rFonts w:hint="eastAsia" w:ascii="宋体" w:hAnsi="宋体" w:eastAsia="宋体" w:cs="宋体"/>
          <w:b/>
          <w:bCs/>
          <w:color w:val="auto"/>
          <w:sz w:val="24"/>
          <w:szCs w:val="24"/>
          <w:highlight w:val="none"/>
          <w:u w:val="double"/>
          <w:lang w:val="zh-CN"/>
        </w:rPr>
        <w:t>养护范围清单：</w:t>
      </w:r>
      <w:bookmarkEnd w:id="27"/>
      <w:bookmarkEnd w:id="28"/>
      <w:bookmarkEnd w:id="29"/>
      <w:bookmarkEnd w:id="30"/>
    </w:p>
    <w:p>
      <w:pPr>
        <w:pStyle w:val="8"/>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2023年上城区九堡北片区市政设施长效养护服务清单</w:t>
      </w:r>
    </w:p>
    <w:p>
      <w:pPr>
        <w:rPr>
          <w:rFonts w:hint="eastAsia" w:ascii="宋体" w:hAnsi="宋体" w:eastAsia="宋体" w:cs="宋体"/>
          <w:color w:val="auto"/>
          <w:highlight w:val="none"/>
          <w:lang w:val="zh-CN"/>
        </w:rPr>
      </w:pPr>
    </w:p>
    <w:tbl>
      <w:tblPr>
        <w:tblStyle w:val="62"/>
        <w:tblW w:w="9460" w:type="dxa"/>
        <w:tblInd w:w="-61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39"/>
        <w:gridCol w:w="1000"/>
        <w:gridCol w:w="1267"/>
        <w:gridCol w:w="946"/>
        <w:gridCol w:w="840"/>
        <w:gridCol w:w="1214"/>
        <w:gridCol w:w="1306"/>
        <w:gridCol w:w="1174"/>
        <w:gridCol w:w="11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序号</w:t>
            </w:r>
          </w:p>
        </w:tc>
        <w:tc>
          <w:tcPr>
            <w:tcW w:w="100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道路名称</w:t>
            </w:r>
          </w:p>
        </w:tc>
        <w:tc>
          <w:tcPr>
            <w:tcW w:w="126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起止点</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长度（m）</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宽度（m）</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道路总面积（㎡）</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车行道面积（㎡）</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人行道面积（㎡）</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1000"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杭海路</w:t>
            </w:r>
          </w:p>
        </w:tc>
        <w:tc>
          <w:tcPr>
            <w:tcW w:w="126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德胜路-艮山东路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1126</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41554</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36391</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5163</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部分改建中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1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0"/>
                <w:szCs w:val="20"/>
                <w:highlight w:val="none"/>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艮山东路-九田路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378</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17450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14200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3250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1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0"/>
                <w:szCs w:val="20"/>
                <w:highlight w:val="none"/>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德胜路-和睦港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750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27000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21750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5250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1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0"/>
                <w:szCs w:val="20"/>
                <w:highlight w:val="none"/>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和睦港-三卫路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544</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34</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16524</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13786</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2738</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友爱路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九沙大道-民丰路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836</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23070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19350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3720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三卫路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杭海路-九环路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803</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23500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九盛路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红普路-九和路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1470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47430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37490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9940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九福路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九环路-杭海路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780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32</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27640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23310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4330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九环路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三卫路-规划九堡二号河</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1096</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40784</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34574</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6210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10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三胜路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红普路西侧—角佃路西侧</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698</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23607</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19544</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4063</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1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0"/>
                <w:szCs w:val="20"/>
                <w:highlight w:val="none"/>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红普路北侧—江干余杭界以南</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68</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1632</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1088</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544</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东湖南路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德胜东路-九沙大道</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700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25390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21170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4220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东湖南路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九沙大道-之江东路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1727</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44/50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72890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61670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11220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九华路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九盛路-和睦港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972</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27305</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18389</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8916</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九华路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九福路—九恒路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375.563</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12014</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10067</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1947</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预招标，改建中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九华路桥梁及延伸段</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和睦港西侧现状九华路-九福路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189.48</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30/37</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4921</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3810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1111</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九盛路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九源路-艮山东路</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3360</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2280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1080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10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艮山东路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同协路口西侧-杭海路口</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3442</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48-50</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156557.30 </w:t>
            </w:r>
          </w:p>
        </w:tc>
        <w:tc>
          <w:tcPr>
            <w:tcW w:w="1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138166.95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18390.35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w:t>
            </w:r>
          </w:p>
        </w:tc>
        <w:tc>
          <w:tcPr>
            <w:tcW w:w="1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0"/>
                <w:szCs w:val="20"/>
                <w:highlight w:val="none"/>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杭海路-彭埠铁路桥</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5344</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216468.00 </w:t>
            </w:r>
          </w:p>
        </w:tc>
        <w:tc>
          <w:tcPr>
            <w:tcW w:w="1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192566</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23902</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新增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杭州彭埠互通改建工程（东宁路-同协路）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东宁路-同协路</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1747</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78256</w:t>
            </w:r>
          </w:p>
        </w:tc>
        <w:tc>
          <w:tcPr>
            <w:tcW w:w="1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68280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9976</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艮山路（彭埠立交-东湖路）提升改造工程</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杭海路-东湖路</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3605.176</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18-62</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141470.3</w:t>
            </w:r>
          </w:p>
        </w:tc>
        <w:tc>
          <w:tcPr>
            <w:tcW w:w="1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127102.8</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14367.5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部分改建中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沪杭甬高速公路杭州市区段改建工程(乔司收费站-钱塘江新建大桥段)地面道路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乔司收费站-钱塘江新建大桥段</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8734</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241229</w:t>
            </w:r>
          </w:p>
        </w:tc>
        <w:tc>
          <w:tcPr>
            <w:tcW w:w="1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217891</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23338</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东城路（杭海路—和睦港东侧绿化带）道路</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杭海路-九睦路</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413.937</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13659.921</w:t>
            </w:r>
          </w:p>
        </w:tc>
        <w:tc>
          <w:tcPr>
            <w:tcW w:w="1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11590.236</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2069.685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kern w:val="0"/>
                <w:sz w:val="20"/>
                <w:szCs w:val="20"/>
                <w:highlight w:val="none"/>
                <w:u w:val="none"/>
                <w:lang w:val="en-US" w:eastAsia="zh-CN" w:bidi="ar"/>
              </w:rPr>
            </w:pPr>
          </w:p>
        </w:tc>
      </w:tr>
    </w:tbl>
    <w:p>
      <w:pPr>
        <w:numPr>
          <w:ilvl w:val="0"/>
          <w:numId w:val="2"/>
        </w:numPr>
        <w:snapToGrid w:val="0"/>
        <w:spacing w:line="240" w:lineRule="auto"/>
        <w:ind w:firstLine="0" w:firstLineChars="0"/>
        <w:rPr>
          <w:rFonts w:hint="eastAsia" w:ascii="宋体" w:hAnsi="宋体" w:eastAsia="宋体" w:cs="宋体"/>
          <w:b/>
          <w:bCs/>
          <w:color w:val="auto"/>
          <w:sz w:val="24"/>
          <w:szCs w:val="24"/>
          <w:highlight w:val="none"/>
          <w:u w:val="none"/>
          <w:lang w:val="zh-CN"/>
        </w:rPr>
      </w:pPr>
      <w:r>
        <w:rPr>
          <w:rFonts w:hint="eastAsia" w:ascii="宋体" w:hAnsi="宋体" w:eastAsia="宋体" w:cs="宋体"/>
          <w:b/>
          <w:bCs/>
          <w:color w:val="auto"/>
          <w:sz w:val="24"/>
          <w:szCs w:val="24"/>
          <w:highlight w:val="none"/>
          <w:u w:val="none"/>
          <w:lang w:val="zh-CN"/>
        </w:rPr>
        <w:t>养护设施量清单及设施资料卡详见附件</w:t>
      </w:r>
    </w:p>
    <w:p>
      <w:pPr>
        <w:rPr>
          <w:rFonts w:hint="eastAsia" w:ascii="宋体" w:hAnsi="宋体" w:eastAsia="宋体" w:cs="宋体"/>
          <w:b/>
          <w:bCs/>
          <w:color w:val="auto"/>
          <w:sz w:val="24"/>
          <w:szCs w:val="24"/>
          <w:highlight w:val="none"/>
        </w:rPr>
      </w:pPr>
    </w:p>
    <w:p>
      <w:pP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w:t>
      </w:r>
      <w:r>
        <w:rPr>
          <w:rFonts w:hint="eastAsia" w:ascii="宋体" w:hAnsi="宋体" w:eastAsia="宋体" w:cs="宋体"/>
          <w:b/>
          <w:bCs/>
          <w:color w:val="auto"/>
          <w:sz w:val="24"/>
          <w:szCs w:val="24"/>
          <w:highlight w:val="none"/>
          <w:lang w:val="en-US" w:eastAsia="zh-CN"/>
        </w:rPr>
        <w:t>三章</w:t>
      </w:r>
      <w:r>
        <w:rPr>
          <w:rFonts w:hint="eastAsia" w:ascii="宋体" w:hAnsi="宋体" w:eastAsia="宋体" w:cs="宋体"/>
          <w:b/>
          <w:bCs/>
          <w:color w:val="auto"/>
          <w:sz w:val="24"/>
          <w:szCs w:val="24"/>
          <w:highlight w:val="none"/>
        </w:rPr>
        <w:t xml:space="preserve"> 商务要求</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一、报价要求</w:t>
      </w:r>
    </w:p>
    <w:p>
      <w:pPr>
        <w:pStyle w:val="3"/>
        <w:spacing w:line="360" w:lineRule="auto"/>
        <w:rPr>
          <w:rFonts w:hint="eastAsia" w:ascii="宋体" w:hAnsi="宋体" w:eastAsia="宋体" w:cs="宋体"/>
          <w:b/>
          <w:bCs/>
          <w:color w:val="auto"/>
          <w:kern w:val="2"/>
          <w:sz w:val="24"/>
          <w:szCs w:val="24"/>
          <w:highlight w:val="none"/>
          <w:u w:val="single"/>
          <w:lang w:val="en-US" w:eastAsia="zh-CN"/>
        </w:rPr>
      </w:pPr>
      <w:r>
        <w:rPr>
          <w:rFonts w:hint="eastAsia" w:ascii="宋体" w:hAnsi="宋体" w:eastAsia="宋体" w:cs="宋体"/>
          <w:b/>
          <w:bCs/>
          <w:color w:val="auto"/>
          <w:kern w:val="2"/>
          <w:sz w:val="24"/>
          <w:szCs w:val="24"/>
          <w:highlight w:val="none"/>
          <w:u w:val="single"/>
          <w:lang w:val="en-US"/>
        </w:rPr>
        <w:t>▲报价应包括为完成本项目内容可能发生的全部费用及投标人的利润和应交纳的税金等（包括人员工资、各种社会保险费、机械及工具、办公费、设备使用费、后续服务费、售后服务费等等）。</w:t>
      </w:r>
    </w:p>
    <w:p>
      <w:pPr>
        <w:pStyle w:val="3"/>
        <w:spacing w:line="360" w:lineRule="auto"/>
        <w:rPr>
          <w:rFonts w:hint="eastAsia" w:ascii="宋体" w:hAnsi="宋体" w:eastAsia="宋体" w:cs="宋体"/>
          <w:b/>
          <w:bCs/>
          <w:color w:val="auto"/>
          <w:kern w:val="2"/>
          <w:sz w:val="24"/>
          <w:szCs w:val="24"/>
          <w:highlight w:val="none"/>
          <w:u w:val="single"/>
          <w:lang w:val="en-US" w:eastAsia="zh-CN"/>
        </w:rPr>
      </w:pPr>
      <w:r>
        <w:rPr>
          <w:rFonts w:hint="eastAsia" w:ascii="宋体" w:hAnsi="宋体" w:eastAsia="宋体" w:cs="宋体"/>
          <w:b/>
          <w:bCs/>
          <w:color w:val="auto"/>
          <w:kern w:val="2"/>
          <w:sz w:val="24"/>
          <w:szCs w:val="24"/>
          <w:highlight w:val="none"/>
          <w:u w:val="single"/>
          <w:lang w:val="en-US" w:eastAsia="zh-CN"/>
        </w:rPr>
        <w:t>▲人员工资不得低于《杭州市人民政府关于调整市区最低工资标准的通知》杭政函〔2021〕69号的最低工资标准。必须落实职工劳保福利待遇，并按时缴纳社会保险费（养老保险、医疗保险、失业保险、工伤保险和生育保险）；为签订一年以上劳动合同制职工缴纳住房公积金。“五险一金”及意外伤害险等必须缴纳在杭州本地，保障职工休息休假权利。并充分考虑最低工资调整因素。</w:t>
      </w:r>
    </w:p>
    <w:p>
      <w:pPr>
        <w:pStyle w:val="3"/>
        <w:spacing w:line="360" w:lineRule="auto"/>
        <w:rPr>
          <w:rFonts w:hint="eastAsia" w:ascii="宋体" w:hAnsi="宋体" w:eastAsia="宋体" w:cs="宋体"/>
          <w:b/>
          <w:bCs/>
          <w:color w:val="auto"/>
          <w:kern w:val="2"/>
          <w:sz w:val="24"/>
          <w:szCs w:val="24"/>
          <w:highlight w:val="none"/>
          <w:u w:val="single"/>
          <w:lang w:val="en-US"/>
        </w:rPr>
      </w:pPr>
      <w:r>
        <w:rPr>
          <w:rFonts w:hint="eastAsia" w:ascii="宋体" w:hAnsi="宋体" w:eastAsia="宋体" w:cs="宋体"/>
          <w:b/>
          <w:bCs/>
          <w:color w:val="auto"/>
          <w:kern w:val="2"/>
          <w:sz w:val="24"/>
          <w:szCs w:val="24"/>
          <w:highlight w:val="none"/>
          <w:u w:val="single"/>
          <w:lang w:val="en-US"/>
        </w:rPr>
        <w:t>▲本次报价为人民币价。</w:t>
      </w:r>
    </w:p>
    <w:p>
      <w:pPr>
        <w:pStyle w:val="3"/>
        <w:spacing w:line="360" w:lineRule="auto"/>
        <w:rPr>
          <w:rFonts w:hint="eastAsia" w:ascii="宋体" w:hAnsi="宋体" w:eastAsia="宋体" w:cs="宋体"/>
          <w:b/>
          <w:bCs/>
          <w:color w:val="auto"/>
          <w:sz w:val="24"/>
          <w:szCs w:val="24"/>
          <w:highlight w:val="none"/>
          <w:u w:val="single"/>
          <w:lang w:val="en-US"/>
        </w:rPr>
      </w:pPr>
      <w:r>
        <w:rPr>
          <w:rFonts w:hint="eastAsia" w:ascii="宋体" w:hAnsi="宋体" w:eastAsia="宋体" w:cs="宋体"/>
          <w:b/>
          <w:bCs/>
          <w:color w:val="auto"/>
          <w:kern w:val="2"/>
          <w:sz w:val="24"/>
          <w:szCs w:val="24"/>
          <w:highlight w:val="none"/>
          <w:u w:val="single"/>
          <w:lang w:val="en-US"/>
        </w:rPr>
        <w:t xml:space="preserve">▲填报单价及总价。 </w:t>
      </w:r>
    </w:p>
    <w:p>
      <w:pPr>
        <w:pStyle w:val="3"/>
        <w:spacing w:line="360" w:lineRule="auto"/>
        <w:rPr>
          <w:rFonts w:hint="eastAsia" w:ascii="宋体" w:hAnsi="宋体" w:eastAsia="宋体" w:cs="宋体"/>
          <w:b/>
          <w:bCs/>
          <w:color w:val="auto"/>
          <w:kern w:val="2"/>
          <w:sz w:val="24"/>
          <w:szCs w:val="24"/>
          <w:highlight w:val="none"/>
          <w:u w:val="single"/>
          <w:lang w:val="en-US"/>
        </w:rPr>
      </w:pPr>
      <w:r>
        <w:rPr>
          <w:rFonts w:hint="eastAsia" w:ascii="宋体" w:hAnsi="宋体" w:eastAsia="宋体" w:cs="宋体"/>
          <w:b/>
          <w:bCs/>
          <w:color w:val="auto"/>
          <w:kern w:val="2"/>
          <w:sz w:val="24"/>
          <w:szCs w:val="24"/>
          <w:highlight w:val="none"/>
          <w:u w:val="single"/>
          <w:lang w:val="en-US"/>
        </w:rPr>
        <w:t>▲本次项目最高限价为</w:t>
      </w:r>
      <w:r>
        <w:rPr>
          <w:rFonts w:hint="eastAsia" w:ascii="宋体" w:hAnsi="宋体" w:eastAsia="宋体" w:cs="宋体"/>
          <w:b/>
          <w:bCs/>
          <w:color w:val="auto"/>
          <w:kern w:val="2"/>
          <w:sz w:val="24"/>
          <w:szCs w:val="24"/>
          <w:highlight w:val="none"/>
          <w:u w:val="single"/>
          <w:lang w:val="en-US" w:eastAsia="zh-CN"/>
        </w:rPr>
        <w:t>9570573.08  元</w:t>
      </w:r>
      <w:r>
        <w:rPr>
          <w:rFonts w:hint="eastAsia" w:ascii="宋体" w:hAnsi="宋体" w:eastAsia="宋体" w:cs="宋体"/>
          <w:b/>
          <w:bCs/>
          <w:color w:val="auto"/>
          <w:kern w:val="2"/>
          <w:sz w:val="24"/>
          <w:szCs w:val="24"/>
          <w:highlight w:val="none"/>
          <w:u w:val="single"/>
          <w:lang w:val="en-US"/>
        </w:rPr>
        <w:t>。</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二、签订合同</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u w:val="single"/>
        </w:rPr>
        <w:t>▲本项目合同甲方为杭州市上城区综合行政执法局，乙方为中标人，合同款支付给乙方。</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三、履约保证金交纳</w:t>
      </w:r>
    </w:p>
    <w:p>
      <w:pPr>
        <w:spacing w:line="360" w:lineRule="auto"/>
        <w:ind w:firstLine="482" w:firstLineChars="200"/>
        <w:rPr>
          <w:rFonts w:hint="eastAsia"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u w:val="single"/>
        </w:rPr>
        <w:t>▲按《第五部分</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rPr>
        <w:t>拟签订的合同文本》规定。</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四、付款条件</w:t>
      </w:r>
    </w:p>
    <w:p>
      <w:pPr>
        <w:spacing w:line="360" w:lineRule="auto"/>
        <w:ind w:firstLine="482" w:firstLineChars="200"/>
        <w:rPr>
          <w:rFonts w:hint="eastAsia"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u w:val="single"/>
        </w:rPr>
        <w:t>▲按《第五部分</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rPr>
        <w:t>拟签订的合同文本》规定。</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五、其他内容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详见招标文件的</w:t>
      </w:r>
      <w:r>
        <w:rPr>
          <w:rFonts w:hint="eastAsia" w:ascii="宋体" w:hAnsi="宋体" w:eastAsia="宋体" w:cs="宋体"/>
          <w:b/>
          <w:bCs/>
          <w:color w:val="auto"/>
          <w:sz w:val="24"/>
          <w:szCs w:val="24"/>
          <w:highlight w:val="none"/>
          <w:u w:val="single"/>
        </w:rPr>
        <w:t>《第五部分</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rPr>
        <w:t>拟签订的合同文本》</w:t>
      </w:r>
      <w:r>
        <w:rPr>
          <w:rFonts w:hint="eastAsia" w:ascii="宋体" w:hAnsi="宋体" w:eastAsia="宋体" w:cs="宋体"/>
          <w:color w:val="auto"/>
          <w:sz w:val="24"/>
          <w:szCs w:val="24"/>
          <w:highlight w:val="none"/>
        </w:rPr>
        <w:t>，投标人应对合同内容进行审核，如有偏离，请在投标文件的“</w:t>
      </w:r>
      <w:r>
        <w:rPr>
          <w:rFonts w:hint="eastAsia" w:ascii="宋体" w:hAnsi="宋体" w:eastAsia="宋体" w:cs="宋体"/>
          <w:color w:val="auto"/>
          <w:sz w:val="24"/>
          <w:szCs w:val="24"/>
          <w:highlight w:val="none"/>
          <w:lang w:val="en-US" w:eastAsia="zh-CN"/>
        </w:rPr>
        <w:t>商务技术</w:t>
      </w:r>
      <w:r>
        <w:rPr>
          <w:rFonts w:hint="eastAsia" w:ascii="宋体" w:hAnsi="宋体" w:eastAsia="宋体" w:cs="宋体"/>
          <w:color w:val="auto"/>
          <w:sz w:val="24"/>
          <w:szCs w:val="24"/>
          <w:highlight w:val="none"/>
        </w:rPr>
        <w:t>偏离表”中反映。</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本项目是否有属于节能产品品目清单内政府强制采购产品：【</w:t>
      </w:r>
      <w:r>
        <w:rPr>
          <w:rFonts w:hint="eastAsia" w:ascii="宋体" w:hAnsi="宋体" w:eastAsia="宋体" w:cs="宋体"/>
          <w:b/>
          <w:bCs/>
          <w:color w:val="auto"/>
          <w:sz w:val="24"/>
          <w:szCs w:val="24"/>
          <w:highlight w:val="none"/>
          <w:u w:val="single"/>
        </w:rPr>
        <w:t>否</w:t>
      </w:r>
      <w:r>
        <w:rPr>
          <w:rFonts w:hint="eastAsia" w:ascii="宋体" w:hAnsi="宋体" w:eastAsia="宋体" w:cs="宋体"/>
          <w:color w:val="auto"/>
          <w:sz w:val="24"/>
          <w:szCs w:val="24"/>
          <w:highlight w:val="none"/>
        </w:rPr>
        <w:t>】。</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六、分包和转包</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u w:val="single"/>
        </w:rPr>
        <w:t>本项目内容不得转包：供应商不得将本合同标的转包由其他单位承担；</w:t>
      </w:r>
    </w:p>
    <w:p>
      <w:pPr>
        <w:snapToGrid w:val="0"/>
        <w:spacing w:line="360" w:lineRule="auto"/>
        <w:ind w:firstLine="480" w:firstLineChars="200"/>
        <w:rPr>
          <w:rFonts w:hint="eastAsia" w:ascii="宋体" w:hAnsi="宋体" w:eastAsia="宋体" w:cs="宋体"/>
          <w:b/>
          <w:bCs/>
          <w:color w:val="auto"/>
          <w:sz w:val="24"/>
          <w:szCs w:val="24"/>
          <w:highlight w:val="none"/>
          <w:u w:val="single"/>
          <w:lang w:eastAsia="zh-CN"/>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u w:val="single"/>
        </w:rPr>
        <w:t>本项目内容</w:t>
      </w:r>
      <w:r>
        <w:rPr>
          <w:rFonts w:hint="eastAsia" w:ascii="宋体" w:hAnsi="宋体" w:eastAsia="宋体" w:cs="宋体"/>
          <w:b/>
          <w:bCs/>
          <w:color w:val="auto"/>
          <w:sz w:val="24"/>
          <w:szCs w:val="24"/>
          <w:highlight w:val="none"/>
          <w:u w:val="single"/>
          <w:lang w:eastAsia="zh-CN"/>
        </w:rPr>
        <w:t>允许</w:t>
      </w:r>
      <w:r>
        <w:rPr>
          <w:rFonts w:hint="eastAsia" w:ascii="宋体" w:hAnsi="宋体" w:eastAsia="宋体" w:cs="宋体"/>
          <w:b/>
          <w:bCs/>
          <w:color w:val="auto"/>
          <w:sz w:val="24"/>
          <w:szCs w:val="24"/>
          <w:highlight w:val="none"/>
          <w:u w:val="single"/>
        </w:rPr>
        <w:t>分包：</w:t>
      </w:r>
      <w:r>
        <w:rPr>
          <w:rFonts w:hint="eastAsia" w:ascii="宋体" w:hAnsi="宋体" w:eastAsia="宋体" w:cs="宋体"/>
          <w:b/>
          <w:bCs/>
          <w:color w:val="auto"/>
          <w:sz w:val="24"/>
          <w:szCs w:val="24"/>
          <w:highlight w:val="none"/>
          <w:u w:val="single"/>
          <w:lang w:eastAsia="zh-CN"/>
        </w:rPr>
        <w:t>详见采购文件前附表所示。</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u w:val="single"/>
        </w:rPr>
        <w:t>享受《政府采购促进中小企业发展管理办法》的通知（财库〔2020〕46号）的规定扶持政策获得政府采购合同的，小微企业不得将合同分包给大中型企业，中型企业不得将合同分包给大型企业；</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u w:val="single"/>
        </w:rPr>
        <w:t>如有违反以上情形，采购人有权解除合同，并追究中标人的违约责任。</w:t>
      </w:r>
    </w:p>
    <w:p>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w:t>
      </w:r>
      <w:r>
        <w:rPr>
          <w:rFonts w:hint="eastAsia" w:ascii="宋体" w:hAnsi="宋体" w:eastAsia="宋体" w:cs="宋体"/>
          <w:b/>
          <w:bCs/>
          <w:color w:val="auto"/>
          <w:sz w:val="24"/>
          <w:szCs w:val="24"/>
          <w:highlight w:val="none"/>
          <w:lang w:val="en-US" w:eastAsia="zh-CN"/>
        </w:rPr>
        <w:t>四章</w:t>
      </w:r>
      <w:r>
        <w:rPr>
          <w:rFonts w:hint="eastAsia" w:ascii="宋体" w:hAnsi="宋体" w:eastAsia="宋体" w:cs="宋体"/>
          <w:b/>
          <w:bCs/>
          <w:color w:val="auto"/>
          <w:sz w:val="24"/>
          <w:szCs w:val="24"/>
          <w:highlight w:val="none"/>
        </w:rPr>
        <w:t xml:space="preserve"> 实质性要求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中所有带▲的内容是采购人提出的实质性要求，投标文件响应内容若不满足实质性要求，该投标文件将被评标委员会认定为无效。</w:t>
      </w:r>
    </w:p>
    <w:p>
      <w:pPr>
        <w:spacing w:line="360" w:lineRule="auto"/>
        <w:rPr>
          <w:rFonts w:hint="eastAsia" w:ascii="宋体" w:hAnsi="宋体" w:eastAsia="宋体" w:cs="宋体"/>
          <w:snapToGrid w:val="0"/>
          <w:color w:val="auto"/>
          <w:kern w:val="0"/>
          <w:sz w:val="24"/>
          <w:highlight w:val="none"/>
        </w:rPr>
      </w:pPr>
    </w:p>
    <w:p>
      <w:pPr>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36"/>
          <w:szCs w:val="36"/>
          <w:highlight w:val="none"/>
        </w:rPr>
        <w:t xml:space="preserve">第四部分   </w:t>
      </w:r>
      <w:bookmarkStart w:id="31" w:name="_Toc184310280"/>
      <w:bookmarkEnd w:id="31"/>
      <w:bookmarkStart w:id="32" w:name="_Toc184314420"/>
      <w:bookmarkEnd w:id="32"/>
      <w:bookmarkStart w:id="33" w:name="_Toc184313239"/>
      <w:bookmarkEnd w:id="33"/>
      <w:bookmarkStart w:id="34" w:name="_Toc184314417"/>
      <w:bookmarkEnd w:id="34"/>
      <w:bookmarkStart w:id="35" w:name="_Toc184314461"/>
      <w:bookmarkEnd w:id="35"/>
      <w:bookmarkStart w:id="36" w:name="_Toc184312119"/>
      <w:bookmarkEnd w:id="36"/>
      <w:bookmarkStart w:id="37" w:name="_Toc184312068"/>
      <w:bookmarkEnd w:id="37"/>
      <w:bookmarkStart w:id="38" w:name="_Toc184310273"/>
      <w:bookmarkEnd w:id="38"/>
      <w:bookmarkStart w:id="39" w:name="_Toc184313306"/>
      <w:bookmarkEnd w:id="39"/>
      <w:bookmarkStart w:id="40" w:name="_Toc184313265"/>
      <w:bookmarkEnd w:id="40"/>
      <w:bookmarkStart w:id="41" w:name="_Toc184308062"/>
      <w:bookmarkEnd w:id="41"/>
      <w:bookmarkStart w:id="42" w:name="_Toc184310340"/>
      <w:bookmarkEnd w:id="42"/>
      <w:bookmarkStart w:id="43" w:name="_Toc184312139"/>
      <w:bookmarkEnd w:id="43"/>
      <w:bookmarkStart w:id="44" w:name="_Toc184308050"/>
      <w:bookmarkEnd w:id="44"/>
      <w:bookmarkStart w:id="45" w:name="_Toc184313261"/>
      <w:bookmarkEnd w:id="45"/>
      <w:bookmarkStart w:id="46" w:name="_Toc184312134"/>
      <w:bookmarkEnd w:id="46"/>
      <w:bookmarkStart w:id="47" w:name="_Toc184312082"/>
      <w:bookmarkEnd w:id="47"/>
      <w:bookmarkStart w:id="48" w:name="_Toc184308099"/>
      <w:bookmarkEnd w:id="48"/>
      <w:bookmarkStart w:id="49" w:name="_Toc184314412"/>
      <w:bookmarkEnd w:id="49"/>
      <w:bookmarkStart w:id="50" w:name="_Toc184308071"/>
      <w:bookmarkEnd w:id="50"/>
      <w:bookmarkStart w:id="51" w:name="_Toc184310278"/>
      <w:bookmarkEnd w:id="51"/>
      <w:bookmarkStart w:id="52" w:name="_Toc184314470"/>
      <w:bookmarkEnd w:id="52"/>
      <w:bookmarkStart w:id="53" w:name="_Toc184308059"/>
      <w:bookmarkEnd w:id="53"/>
      <w:bookmarkStart w:id="54" w:name="_Toc184313309"/>
      <w:bookmarkEnd w:id="54"/>
      <w:bookmarkStart w:id="55" w:name="_Toc184313244"/>
      <w:bookmarkEnd w:id="55"/>
      <w:bookmarkStart w:id="56" w:name="_Toc184312076"/>
      <w:bookmarkEnd w:id="56"/>
      <w:bookmarkStart w:id="57" w:name="_Toc184314474"/>
      <w:bookmarkEnd w:id="57"/>
      <w:bookmarkStart w:id="58" w:name="_Toc184310279"/>
      <w:bookmarkEnd w:id="58"/>
      <w:bookmarkStart w:id="59" w:name="_Toc184313285"/>
      <w:bookmarkEnd w:id="59"/>
      <w:bookmarkStart w:id="60" w:name="_Toc184310272"/>
      <w:bookmarkEnd w:id="60"/>
      <w:bookmarkStart w:id="61" w:name="_Toc184308037"/>
      <w:bookmarkEnd w:id="61"/>
      <w:bookmarkStart w:id="62" w:name="_Toc184314471"/>
      <w:bookmarkEnd w:id="62"/>
      <w:bookmarkStart w:id="63" w:name="_Toc184310342"/>
      <w:bookmarkEnd w:id="63"/>
      <w:bookmarkStart w:id="64" w:name="_Toc184314448"/>
      <w:bookmarkEnd w:id="64"/>
      <w:bookmarkStart w:id="65" w:name="_Toc184308093"/>
      <w:bookmarkEnd w:id="65"/>
      <w:bookmarkStart w:id="66" w:name="_Toc184308084"/>
      <w:bookmarkEnd w:id="66"/>
      <w:bookmarkStart w:id="67" w:name="_Toc184314440"/>
      <w:bookmarkEnd w:id="67"/>
      <w:bookmarkStart w:id="68" w:name="_Toc184310276"/>
      <w:bookmarkEnd w:id="68"/>
      <w:bookmarkStart w:id="69" w:name="_Toc184312080"/>
      <w:bookmarkEnd w:id="69"/>
      <w:bookmarkStart w:id="70" w:name="_Toc184312123"/>
      <w:bookmarkEnd w:id="70"/>
      <w:bookmarkStart w:id="71" w:name="_Toc184314452"/>
      <w:bookmarkEnd w:id="71"/>
      <w:bookmarkStart w:id="72" w:name="_Toc184310300"/>
      <w:bookmarkEnd w:id="72"/>
      <w:bookmarkStart w:id="73" w:name="_Toc184308044"/>
      <w:bookmarkEnd w:id="73"/>
      <w:bookmarkStart w:id="74" w:name="_Toc184313241"/>
      <w:bookmarkEnd w:id="74"/>
      <w:bookmarkStart w:id="75" w:name="_Toc184310302"/>
      <w:bookmarkEnd w:id="75"/>
      <w:bookmarkStart w:id="76" w:name="_Toc184308060"/>
      <w:bookmarkEnd w:id="76"/>
      <w:bookmarkStart w:id="77" w:name="_Toc184310287"/>
      <w:bookmarkEnd w:id="77"/>
      <w:bookmarkStart w:id="78" w:name="_Toc184312114"/>
      <w:bookmarkEnd w:id="78"/>
      <w:bookmarkStart w:id="79" w:name="_Toc184312073"/>
      <w:bookmarkEnd w:id="79"/>
      <w:bookmarkStart w:id="80" w:name="_Toc184313304"/>
      <w:bookmarkEnd w:id="80"/>
      <w:bookmarkStart w:id="81" w:name="_Toc184313310"/>
      <w:bookmarkEnd w:id="81"/>
      <w:bookmarkStart w:id="82" w:name="_Toc184314463"/>
      <w:bookmarkEnd w:id="82"/>
      <w:bookmarkStart w:id="83" w:name="_Toc184314468"/>
      <w:bookmarkEnd w:id="83"/>
      <w:bookmarkStart w:id="84" w:name="_Toc184308074"/>
      <w:bookmarkEnd w:id="84"/>
      <w:bookmarkStart w:id="85" w:name="_Toc184312138"/>
      <w:bookmarkEnd w:id="85"/>
      <w:bookmarkStart w:id="86" w:name="_Toc184308098"/>
      <w:bookmarkEnd w:id="86"/>
      <w:bookmarkStart w:id="87" w:name="_Toc184314437"/>
      <w:bookmarkEnd w:id="87"/>
      <w:bookmarkStart w:id="88" w:name="_Toc184314457"/>
      <w:bookmarkEnd w:id="88"/>
      <w:bookmarkStart w:id="89" w:name="_Toc184313243"/>
      <w:bookmarkEnd w:id="89"/>
      <w:bookmarkStart w:id="90" w:name="_Toc184314444"/>
      <w:bookmarkEnd w:id="90"/>
      <w:bookmarkStart w:id="91" w:name="_Toc184310324"/>
      <w:bookmarkEnd w:id="91"/>
      <w:bookmarkStart w:id="92" w:name="_Toc184312071"/>
      <w:bookmarkEnd w:id="92"/>
      <w:bookmarkStart w:id="93" w:name="_Toc184312098"/>
      <w:bookmarkEnd w:id="93"/>
      <w:bookmarkStart w:id="94" w:name="_Toc184314454"/>
      <w:bookmarkEnd w:id="94"/>
      <w:bookmarkStart w:id="95" w:name="_Toc184308092"/>
      <w:bookmarkEnd w:id="95"/>
      <w:bookmarkStart w:id="96" w:name="_Toc184312104"/>
      <w:bookmarkEnd w:id="96"/>
      <w:bookmarkStart w:id="97" w:name="_Toc184314445"/>
      <w:bookmarkEnd w:id="97"/>
      <w:bookmarkStart w:id="98" w:name="_Toc184314467"/>
      <w:bookmarkEnd w:id="98"/>
      <w:bookmarkStart w:id="99" w:name="_Toc184314455"/>
      <w:bookmarkEnd w:id="99"/>
      <w:bookmarkStart w:id="100" w:name="_Toc184314469"/>
      <w:bookmarkEnd w:id="100"/>
      <w:bookmarkStart w:id="101" w:name="_Toc184313296"/>
      <w:bookmarkEnd w:id="101"/>
      <w:bookmarkStart w:id="102" w:name="_Toc184312137"/>
      <w:bookmarkEnd w:id="102"/>
      <w:bookmarkStart w:id="103" w:name="_Toc184308094"/>
      <w:bookmarkEnd w:id="103"/>
      <w:bookmarkStart w:id="104" w:name="_Toc184310307"/>
      <w:bookmarkEnd w:id="104"/>
      <w:bookmarkStart w:id="105" w:name="_Toc184308090"/>
      <w:bookmarkEnd w:id="105"/>
      <w:bookmarkStart w:id="106" w:name="_Toc184310337"/>
      <w:bookmarkEnd w:id="106"/>
      <w:bookmarkStart w:id="107" w:name="_Toc184313281"/>
      <w:bookmarkEnd w:id="107"/>
      <w:bookmarkStart w:id="108" w:name="_Toc184313263"/>
      <w:bookmarkEnd w:id="108"/>
      <w:bookmarkStart w:id="109" w:name="_Toc184314479"/>
      <w:bookmarkEnd w:id="109"/>
      <w:bookmarkStart w:id="110" w:name="_Toc184310328"/>
      <w:bookmarkEnd w:id="110"/>
      <w:bookmarkStart w:id="111" w:name="_Toc184312124"/>
      <w:bookmarkEnd w:id="111"/>
      <w:bookmarkStart w:id="112" w:name="_Toc184312079"/>
      <w:bookmarkEnd w:id="112"/>
      <w:bookmarkStart w:id="113" w:name="_Toc184312081"/>
      <w:bookmarkEnd w:id="113"/>
      <w:bookmarkStart w:id="114" w:name="_Toc184308083"/>
      <w:bookmarkEnd w:id="114"/>
      <w:bookmarkStart w:id="115" w:name="_Toc184310315"/>
      <w:bookmarkEnd w:id="115"/>
      <w:bookmarkStart w:id="116" w:name="_Toc184312102"/>
      <w:bookmarkEnd w:id="116"/>
      <w:bookmarkStart w:id="117" w:name="_Toc184312097"/>
      <w:bookmarkEnd w:id="117"/>
      <w:bookmarkStart w:id="118" w:name="_Toc184310283"/>
      <w:bookmarkEnd w:id="118"/>
      <w:bookmarkStart w:id="119" w:name="_Toc184308040"/>
      <w:bookmarkEnd w:id="119"/>
      <w:bookmarkStart w:id="120" w:name="_Toc184314426"/>
      <w:bookmarkEnd w:id="120"/>
      <w:bookmarkStart w:id="121" w:name="_Toc184312100"/>
      <w:bookmarkEnd w:id="121"/>
      <w:bookmarkStart w:id="122" w:name="_Toc184310317"/>
      <w:bookmarkEnd w:id="122"/>
      <w:bookmarkStart w:id="123" w:name="_Toc184313264"/>
      <w:bookmarkEnd w:id="123"/>
      <w:bookmarkStart w:id="124" w:name="_Toc184312099"/>
      <w:bookmarkEnd w:id="124"/>
      <w:bookmarkStart w:id="125" w:name="_Toc184314434"/>
      <w:bookmarkEnd w:id="125"/>
      <w:bookmarkStart w:id="126" w:name="_Toc184312088"/>
      <w:bookmarkEnd w:id="126"/>
      <w:bookmarkStart w:id="127" w:name="_Toc184310288"/>
      <w:bookmarkEnd w:id="127"/>
      <w:bookmarkStart w:id="128" w:name="_Toc184310327"/>
      <w:bookmarkEnd w:id="128"/>
      <w:bookmarkStart w:id="129" w:name="_Toc184313291"/>
      <w:bookmarkEnd w:id="129"/>
      <w:bookmarkStart w:id="130" w:name="_Toc184313259"/>
      <w:bookmarkEnd w:id="130"/>
      <w:bookmarkStart w:id="131" w:name="_Toc184308073"/>
      <w:bookmarkEnd w:id="131"/>
      <w:bookmarkStart w:id="132" w:name="_Toc184312118"/>
      <w:bookmarkEnd w:id="132"/>
      <w:bookmarkStart w:id="133" w:name="_Toc184313303"/>
      <w:bookmarkEnd w:id="133"/>
      <w:bookmarkStart w:id="134" w:name="_Toc184310282"/>
      <w:bookmarkEnd w:id="134"/>
      <w:bookmarkStart w:id="135" w:name="_Toc184308078"/>
      <w:bookmarkEnd w:id="135"/>
      <w:bookmarkStart w:id="136" w:name="_Toc184310275"/>
      <w:bookmarkEnd w:id="136"/>
      <w:bookmarkStart w:id="137" w:name="_Toc184308108"/>
      <w:bookmarkEnd w:id="137"/>
      <w:bookmarkStart w:id="138" w:name="_Toc184313302"/>
      <w:bookmarkEnd w:id="138"/>
      <w:bookmarkStart w:id="139" w:name="_Toc184314431"/>
      <w:bookmarkEnd w:id="139"/>
      <w:bookmarkStart w:id="140" w:name="_Toc184310338"/>
      <w:bookmarkEnd w:id="140"/>
      <w:bookmarkStart w:id="141" w:name="_Toc184313287"/>
      <w:bookmarkEnd w:id="141"/>
      <w:bookmarkStart w:id="142" w:name="_Toc184310289"/>
      <w:bookmarkEnd w:id="142"/>
      <w:bookmarkStart w:id="143" w:name="_Toc184308067"/>
      <w:bookmarkEnd w:id="143"/>
      <w:bookmarkStart w:id="144" w:name="_Toc184310322"/>
      <w:bookmarkEnd w:id="144"/>
      <w:bookmarkStart w:id="145" w:name="_Toc184314422"/>
      <w:bookmarkEnd w:id="145"/>
      <w:bookmarkStart w:id="146" w:name="_Toc184310306"/>
      <w:bookmarkEnd w:id="146"/>
      <w:bookmarkStart w:id="147" w:name="_Toc184313270"/>
      <w:bookmarkEnd w:id="147"/>
      <w:bookmarkStart w:id="148" w:name="_Toc184308070"/>
      <w:bookmarkEnd w:id="148"/>
      <w:bookmarkStart w:id="149" w:name="_Toc184310301"/>
      <w:bookmarkEnd w:id="149"/>
      <w:bookmarkStart w:id="150" w:name="_Toc184313268"/>
      <w:bookmarkEnd w:id="150"/>
      <w:bookmarkStart w:id="151" w:name="_Toc184308058"/>
      <w:bookmarkEnd w:id="151"/>
      <w:bookmarkStart w:id="152" w:name="_Toc184314413"/>
      <w:bookmarkEnd w:id="152"/>
      <w:bookmarkStart w:id="153" w:name="_Toc184312083"/>
      <w:bookmarkEnd w:id="153"/>
      <w:bookmarkStart w:id="154" w:name="_Toc184308069"/>
      <w:bookmarkEnd w:id="154"/>
      <w:bookmarkStart w:id="155" w:name="_Toc184313253"/>
      <w:bookmarkEnd w:id="155"/>
      <w:bookmarkStart w:id="156" w:name="_Toc184313266"/>
      <w:bookmarkEnd w:id="156"/>
      <w:bookmarkStart w:id="157" w:name="_Toc184308054"/>
      <w:bookmarkEnd w:id="157"/>
      <w:bookmarkStart w:id="158" w:name="_Toc184312117"/>
      <w:bookmarkEnd w:id="158"/>
      <w:bookmarkStart w:id="159" w:name="_Toc184308057"/>
      <w:bookmarkEnd w:id="159"/>
      <w:bookmarkStart w:id="160" w:name="_Toc184310281"/>
      <w:bookmarkEnd w:id="160"/>
      <w:bookmarkStart w:id="161" w:name="_Toc184314447"/>
      <w:bookmarkEnd w:id="161"/>
      <w:bookmarkStart w:id="162" w:name="_Toc184308066"/>
      <w:bookmarkEnd w:id="162"/>
      <w:bookmarkStart w:id="163" w:name="_Toc184313277"/>
      <w:bookmarkEnd w:id="163"/>
      <w:bookmarkStart w:id="164" w:name="_Toc184310311"/>
      <w:bookmarkEnd w:id="164"/>
      <w:bookmarkStart w:id="165" w:name="_Toc184314478"/>
      <w:bookmarkEnd w:id="165"/>
      <w:bookmarkStart w:id="166" w:name="_Toc184314443"/>
      <w:bookmarkEnd w:id="166"/>
      <w:bookmarkStart w:id="167" w:name="_Toc184312085"/>
      <w:bookmarkEnd w:id="167"/>
      <w:bookmarkStart w:id="168" w:name="_Toc184313275"/>
      <w:bookmarkEnd w:id="168"/>
      <w:bookmarkStart w:id="169" w:name="_Toc184312084"/>
      <w:bookmarkEnd w:id="169"/>
      <w:bookmarkStart w:id="170" w:name="_Toc184312116"/>
      <w:bookmarkEnd w:id="170"/>
      <w:bookmarkStart w:id="171" w:name="_Toc184314410"/>
      <w:bookmarkEnd w:id="171"/>
      <w:bookmarkStart w:id="172" w:name="_Toc184308047"/>
      <w:bookmarkEnd w:id="172"/>
      <w:bookmarkStart w:id="173" w:name="_Toc184312106"/>
      <w:bookmarkEnd w:id="173"/>
      <w:bookmarkStart w:id="174" w:name="_Toc184314446"/>
      <w:bookmarkEnd w:id="174"/>
      <w:bookmarkStart w:id="175" w:name="_Toc184310319"/>
      <w:bookmarkEnd w:id="175"/>
      <w:bookmarkStart w:id="176" w:name="_Toc184308104"/>
      <w:bookmarkEnd w:id="176"/>
      <w:bookmarkStart w:id="177" w:name="_Toc184314428"/>
      <w:bookmarkEnd w:id="177"/>
      <w:bookmarkStart w:id="178" w:name="_Toc184314441"/>
      <w:bookmarkEnd w:id="178"/>
      <w:bookmarkStart w:id="179" w:name="_Toc184310314"/>
      <w:bookmarkEnd w:id="179"/>
      <w:bookmarkStart w:id="180" w:name="_Toc184314475"/>
      <w:bookmarkEnd w:id="180"/>
      <w:bookmarkStart w:id="181" w:name="_Toc184313256"/>
      <w:bookmarkEnd w:id="181"/>
      <w:bookmarkStart w:id="182" w:name="_Toc184312069"/>
      <w:bookmarkEnd w:id="182"/>
      <w:bookmarkStart w:id="183" w:name="_Toc184312095"/>
      <w:bookmarkEnd w:id="183"/>
      <w:bookmarkStart w:id="184" w:name="_Toc184312135"/>
      <w:bookmarkEnd w:id="184"/>
      <w:bookmarkStart w:id="185" w:name="_Toc184308049"/>
      <w:bookmarkEnd w:id="185"/>
      <w:bookmarkStart w:id="186" w:name="_Toc184308056"/>
      <w:bookmarkEnd w:id="186"/>
      <w:bookmarkStart w:id="187" w:name="_Toc184313284"/>
      <w:bookmarkEnd w:id="187"/>
      <w:bookmarkStart w:id="188" w:name="_Toc184308065"/>
      <w:bookmarkEnd w:id="188"/>
      <w:bookmarkStart w:id="189" w:name="_Toc184312125"/>
      <w:bookmarkEnd w:id="189"/>
      <w:bookmarkStart w:id="190" w:name="_Toc184308101"/>
      <w:bookmarkEnd w:id="190"/>
      <w:bookmarkStart w:id="191" w:name="_Toc184313262"/>
      <w:bookmarkEnd w:id="191"/>
      <w:bookmarkStart w:id="192" w:name="_Toc184312101"/>
      <w:bookmarkEnd w:id="192"/>
      <w:bookmarkStart w:id="193" w:name="_Toc184312086"/>
      <w:bookmarkEnd w:id="193"/>
      <w:bookmarkStart w:id="194" w:name="_Toc184314439"/>
      <w:bookmarkEnd w:id="194"/>
      <w:bookmarkStart w:id="195" w:name="_Toc184310341"/>
      <w:bookmarkEnd w:id="195"/>
      <w:bookmarkStart w:id="196" w:name="_Toc184312070"/>
      <w:bookmarkEnd w:id="196"/>
      <w:bookmarkStart w:id="197" w:name="_Toc184314449"/>
      <w:bookmarkEnd w:id="197"/>
      <w:bookmarkStart w:id="198" w:name="_Toc184313307"/>
      <w:bookmarkEnd w:id="198"/>
      <w:bookmarkStart w:id="199" w:name="_Toc184308055"/>
      <w:bookmarkEnd w:id="199"/>
      <w:bookmarkStart w:id="200" w:name="_Toc184310292"/>
      <w:bookmarkEnd w:id="200"/>
      <w:bookmarkStart w:id="201" w:name="_Toc184314442"/>
      <w:bookmarkEnd w:id="201"/>
      <w:bookmarkStart w:id="202" w:name="_Toc184313283"/>
      <w:bookmarkEnd w:id="202"/>
      <w:bookmarkStart w:id="203" w:name="_Toc184312112"/>
      <w:bookmarkEnd w:id="203"/>
      <w:bookmarkStart w:id="204" w:name="_Toc184314438"/>
      <w:bookmarkEnd w:id="204"/>
      <w:bookmarkStart w:id="205" w:name="_Toc184312110"/>
      <w:bookmarkEnd w:id="205"/>
      <w:bookmarkStart w:id="206" w:name="_Toc184308064"/>
      <w:bookmarkEnd w:id="206"/>
      <w:bookmarkStart w:id="207" w:name="_Toc184313290"/>
      <w:bookmarkEnd w:id="207"/>
      <w:bookmarkStart w:id="208" w:name="_Toc184313251"/>
      <w:bookmarkEnd w:id="208"/>
      <w:bookmarkStart w:id="209" w:name="_Toc184312087"/>
      <w:bookmarkEnd w:id="209"/>
      <w:bookmarkStart w:id="210" w:name="_Toc184312129"/>
      <w:bookmarkEnd w:id="210"/>
      <w:bookmarkStart w:id="211" w:name="_Toc184310312"/>
      <w:bookmarkEnd w:id="211"/>
      <w:bookmarkStart w:id="212" w:name="_Toc184310296"/>
      <w:bookmarkEnd w:id="212"/>
      <w:bookmarkStart w:id="213" w:name="_Toc184314433"/>
      <w:bookmarkEnd w:id="213"/>
      <w:bookmarkStart w:id="214" w:name="_Toc184308053"/>
      <w:bookmarkEnd w:id="214"/>
      <w:bookmarkStart w:id="215" w:name="_Toc184314460"/>
      <w:bookmarkEnd w:id="215"/>
      <w:bookmarkStart w:id="216" w:name="_Toc184314429"/>
      <w:bookmarkEnd w:id="216"/>
      <w:bookmarkStart w:id="217" w:name="_Toc184313288"/>
      <w:bookmarkEnd w:id="217"/>
      <w:bookmarkStart w:id="218" w:name="_Toc184312077"/>
      <w:bookmarkEnd w:id="218"/>
      <w:bookmarkStart w:id="219" w:name="_Toc184314427"/>
      <w:bookmarkEnd w:id="219"/>
      <w:bookmarkStart w:id="220" w:name="_Toc184313245"/>
      <w:bookmarkEnd w:id="220"/>
      <w:bookmarkStart w:id="221" w:name="_Toc184308089"/>
      <w:bookmarkEnd w:id="221"/>
      <w:bookmarkStart w:id="222" w:name="_Toc184310277"/>
      <w:bookmarkEnd w:id="222"/>
      <w:bookmarkStart w:id="223" w:name="_Toc184313305"/>
      <w:bookmarkEnd w:id="223"/>
      <w:bookmarkStart w:id="224" w:name="_Toc184313293"/>
      <w:bookmarkEnd w:id="224"/>
      <w:bookmarkStart w:id="225" w:name="_Toc184308086"/>
      <w:bookmarkEnd w:id="225"/>
      <w:bookmarkStart w:id="226" w:name="_Toc184314435"/>
      <w:bookmarkEnd w:id="226"/>
      <w:bookmarkStart w:id="227" w:name="_Toc184308043"/>
      <w:bookmarkEnd w:id="227"/>
      <w:bookmarkStart w:id="228" w:name="_Toc184312072"/>
      <w:bookmarkEnd w:id="228"/>
      <w:bookmarkStart w:id="229" w:name="_Toc184312136"/>
      <w:bookmarkEnd w:id="229"/>
      <w:bookmarkStart w:id="230" w:name="_Toc184312122"/>
      <w:bookmarkEnd w:id="230"/>
      <w:bookmarkStart w:id="231" w:name="_Toc184310323"/>
      <w:bookmarkEnd w:id="231"/>
      <w:bookmarkStart w:id="232" w:name="_Toc184308087"/>
      <w:bookmarkEnd w:id="232"/>
      <w:bookmarkStart w:id="233" w:name="_Toc184308042"/>
      <w:bookmarkEnd w:id="233"/>
      <w:bookmarkStart w:id="234" w:name="_Toc184312078"/>
      <w:bookmarkEnd w:id="234"/>
      <w:bookmarkStart w:id="235" w:name="_Toc184313267"/>
      <w:bookmarkEnd w:id="235"/>
      <w:bookmarkStart w:id="236" w:name="_Toc184308041"/>
      <w:bookmarkEnd w:id="236"/>
      <w:bookmarkStart w:id="237" w:name="_Toc184314423"/>
      <w:bookmarkEnd w:id="237"/>
      <w:bookmarkStart w:id="238" w:name="_Toc184312131"/>
      <w:bookmarkEnd w:id="238"/>
      <w:bookmarkStart w:id="239" w:name="_Toc184310297"/>
      <w:bookmarkEnd w:id="239"/>
      <w:bookmarkStart w:id="240" w:name="_Toc184310333"/>
      <w:bookmarkEnd w:id="240"/>
      <w:bookmarkStart w:id="241" w:name="_Toc184313249"/>
      <w:bookmarkEnd w:id="241"/>
      <w:bookmarkStart w:id="242" w:name="_Toc184312103"/>
      <w:bookmarkEnd w:id="242"/>
      <w:bookmarkStart w:id="243" w:name="_Toc184308100"/>
      <w:bookmarkEnd w:id="243"/>
      <w:bookmarkStart w:id="244" w:name="_Toc184308075"/>
      <w:bookmarkEnd w:id="244"/>
      <w:bookmarkStart w:id="245" w:name="_Toc184313282"/>
      <w:bookmarkEnd w:id="245"/>
      <w:bookmarkStart w:id="246" w:name="_Toc184308063"/>
      <w:bookmarkEnd w:id="246"/>
      <w:bookmarkStart w:id="247" w:name="_Toc184308072"/>
      <w:bookmarkEnd w:id="247"/>
      <w:bookmarkStart w:id="248" w:name="_Toc184308102"/>
      <w:bookmarkEnd w:id="248"/>
      <w:bookmarkStart w:id="249" w:name="_Toc184310309"/>
      <w:bookmarkEnd w:id="249"/>
      <w:bookmarkStart w:id="250" w:name="_Toc184314476"/>
      <w:bookmarkEnd w:id="250"/>
      <w:bookmarkStart w:id="251" w:name="_Toc184313250"/>
      <w:bookmarkEnd w:id="251"/>
      <w:bookmarkStart w:id="252" w:name="_Toc184308079"/>
      <w:bookmarkEnd w:id="252"/>
      <w:bookmarkStart w:id="253" w:name="_Toc184310318"/>
      <w:bookmarkEnd w:id="253"/>
      <w:bookmarkStart w:id="254" w:name="_Toc184308091"/>
      <w:bookmarkEnd w:id="254"/>
      <w:bookmarkStart w:id="255" w:name="_Toc184312089"/>
      <w:bookmarkEnd w:id="255"/>
      <w:bookmarkStart w:id="256" w:name="_Toc184312107"/>
      <w:bookmarkEnd w:id="256"/>
      <w:bookmarkStart w:id="257" w:name="_Toc184312130"/>
      <w:bookmarkEnd w:id="257"/>
      <w:bookmarkStart w:id="258" w:name="_Toc184308051"/>
      <w:bookmarkEnd w:id="258"/>
      <w:bookmarkStart w:id="259" w:name="_Toc184313248"/>
      <w:bookmarkEnd w:id="259"/>
      <w:bookmarkStart w:id="260" w:name="_Toc184313297"/>
      <w:bookmarkEnd w:id="260"/>
      <w:bookmarkStart w:id="261" w:name="_Toc184314472"/>
      <w:bookmarkEnd w:id="261"/>
      <w:bookmarkStart w:id="262" w:name="_Toc184308045"/>
      <w:bookmarkEnd w:id="262"/>
      <w:bookmarkStart w:id="263" w:name="_Toc184314430"/>
      <w:bookmarkEnd w:id="263"/>
      <w:bookmarkStart w:id="264" w:name="_Toc184308082"/>
      <w:bookmarkEnd w:id="264"/>
      <w:bookmarkStart w:id="265" w:name="_Toc184312111"/>
      <w:bookmarkEnd w:id="265"/>
      <w:bookmarkStart w:id="266" w:name="_Toc184310274"/>
      <w:bookmarkEnd w:id="266"/>
      <w:bookmarkStart w:id="267" w:name="_Toc184313272"/>
      <w:bookmarkEnd w:id="267"/>
      <w:bookmarkStart w:id="268" w:name="_Toc184314462"/>
      <w:bookmarkEnd w:id="268"/>
      <w:bookmarkStart w:id="269" w:name="_Toc184310303"/>
      <w:bookmarkEnd w:id="269"/>
      <w:bookmarkStart w:id="270" w:name="_Toc184308077"/>
      <w:bookmarkEnd w:id="270"/>
      <w:bookmarkStart w:id="271" w:name="_Toc184312121"/>
      <w:bookmarkEnd w:id="271"/>
      <w:bookmarkStart w:id="272" w:name="_Toc184312115"/>
      <w:bookmarkEnd w:id="272"/>
      <w:bookmarkStart w:id="273" w:name="_Toc184313280"/>
      <w:bookmarkEnd w:id="273"/>
      <w:bookmarkStart w:id="274" w:name="_Toc184310291"/>
      <w:bookmarkEnd w:id="274"/>
      <w:bookmarkStart w:id="275" w:name="_Toc184314451"/>
      <w:bookmarkEnd w:id="275"/>
      <w:bookmarkStart w:id="276" w:name="_Toc184308096"/>
      <w:bookmarkEnd w:id="276"/>
      <w:bookmarkStart w:id="277" w:name="_Toc184314424"/>
      <w:bookmarkEnd w:id="277"/>
      <w:bookmarkStart w:id="278" w:name="_Toc184310313"/>
      <w:bookmarkEnd w:id="278"/>
      <w:bookmarkStart w:id="279" w:name="_Toc184313269"/>
      <w:bookmarkEnd w:id="279"/>
      <w:bookmarkStart w:id="280" w:name="_Toc184314421"/>
      <w:bookmarkEnd w:id="280"/>
      <w:bookmarkStart w:id="281" w:name="_Toc184314411"/>
      <w:bookmarkEnd w:id="281"/>
      <w:bookmarkStart w:id="282" w:name="_Toc184310330"/>
      <w:bookmarkEnd w:id="282"/>
      <w:bookmarkStart w:id="283" w:name="_Toc184313246"/>
      <w:bookmarkEnd w:id="283"/>
      <w:bookmarkStart w:id="284" w:name="_Toc184310326"/>
      <w:bookmarkEnd w:id="284"/>
      <w:bookmarkStart w:id="285" w:name="_Toc184310329"/>
      <w:bookmarkEnd w:id="285"/>
      <w:bookmarkStart w:id="286" w:name="_Toc184313294"/>
      <w:bookmarkEnd w:id="286"/>
      <w:bookmarkStart w:id="287" w:name="_Toc184312074"/>
      <w:bookmarkEnd w:id="287"/>
      <w:bookmarkStart w:id="288" w:name="_Toc184313308"/>
      <w:bookmarkEnd w:id="288"/>
      <w:bookmarkStart w:id="289" w:name="_Toc184314414"/>
      <w:bookmarkEnd w:id="289"/>
      <w:bookmarkStart w:id="290" w:name="_Toc184314416"/>
      <w:bookmarkEnd w:id="290"/>
      <w:bookmarkStart w:id="291" w:name="_Toc184314432"/>
      <w:bookmarkEnd w:id="291"/>
      <w:bookmarkStart w:id="292" w:name="_Toc184308039"/>
      <w:bookmarkEnd w:id="292"/>
      <w:bookmarkStart w:id="293" w:name="_Toc184314466"/>
      <w:bookmarkEnd w:id="293"/>
      <w:bookmarkStart w:id="294" w:name="_Toc184312105"/>
      <w:bookmarkEnd w:id="294"/>
      <w:bookmarkStart w:id="295" w:name="_Toc184313257"/>
      <w:bookmarkEnd w:id="295"/>
      <w:bookmarkStart w:id="296" w:name="_Toc184308088"/>
      <w:bookmarkEnd w:id="296"/>
      <w:bookmarkStart w:id="297" w:name="_Toc184313289"/>
      <w:bookmarkEnd w:id="297"/>
      <w:bookmarkStart w:id="298" w:name="_Toc184312108"/>
      <w:bookmarkEnd w:id="298"/>
      <w:bookmarkStart w:id="299" w:name="_Toc184312090"/>
      <w:bookmarkEnd w:id="299"/>
      <w:bookmarkStart w:id="300" w:name="_Toc184314480"/>
      <w:bookmarkEnd w:id="300"/>
      <w:bookmarkStart w:id="301" w:name="_Toc184312133"/>
      <w:bookmarkEnd w:id="301"/>
      <w:bookmarkStart w:id="302" w:name="_Toc184313278"/>
      <w:bookmarkEnd w:id="302"/>
      <w:bookmarkStart w:id="303" w:name="_Toc184310295"/>
      <w:bookmarkEnd w:id="303"/>
      <w:bookmarkStart w:id="304" w:name="_Toc184308085"/>
      <w:bookmarkEnd w:id="304"/>
      <w:bookmarkStart w:id="305" w:name="_Toc184310325"/>
      <w:bookmarkEnd w:id="305"/>
      <w:bookmarkStart w:id="306" w:name="_Toc184313301"/>
      <w:bookmarkEnd w:id="306"/>
      <w:bookmarkStart w:id="307" w:name="_Toc184314464"/>
      <w:bookmarkEnd w:id="307"/>
      <w:bookmarkStart w:id="308" w:name="_Toc184313247"/>
      <w:bookmarkEnd w:id="308"/>
      <w:bookmarkStart w:id="309" w:name="_Toc184313299"/>
      <w:bookmarkEnd w:id="309"/>
      <w:bookmarkStart w:id="310" w:name="_Toc184314425"/>
      <w:bookmarkEnd w:id="310"/>
      <w:bookmarkStart w:id="311" w:name="_Toc184308068"/>
      <w:bookmarkEnd w:id="311"/>
      <w:bookmarkStart w:id="312" w:name="_Toc184313238"/>
      <w:bookmarkEnd w:id="312"/>
      <w:bookmarkStart w:id="313" w:name="_Toc184312120"/>
      <w:bookmarkEnd w:id="313"/>
      <w:bookmarkStart w:id="314" w:name="_Toc184310286"/>
      <w:bookmarkEnd w:id="314"/>
      <w:bookmarkStart w:id="315" w:name="_Toc184308046"/>
      <w:bookmarkEnd w:id="315"/>
      <w:bookmarkStart w:id="316" w:name="_Toc184310343"/>
      <w:bookmarkEnd w:id="316"/>
      <w:bookmarkStart w:id="317" w:name="_Toc184314456"/>
      <w:bookmarkEnd w:id="317"/>
      <w:bookmarkStart w:id="318" w:name="_Toc184313279"/>
      <w:bookmarkEnd w:id="318"/>
      <w:bookmarkStart w:id="319" w:name="_Toc184312132"/>
      <w:bookmarkEnd w:id="319"/>
      <w:bookmarkStart w:id="320" w:name="_Toc184312127"/>
      <w:bookmarkEnd w:id="320"/>
      <w:bookmarkStart w:id="321" w:name="_Toc184308097"/>
      <w:bookmarkEnd w:id="321"/>
      <w:bookmarkStart w:id="322" w:name="_Toc184314419"/>
      <w:bookmarkEnd w:id="322"/>
      <w:bookmarkStart w:id="323" w:name="_Toc184314453"/>
      <w:bookmarkEnd w:id="323"/>
      <w:bookmarkStart w:id="324" w:name="_Toc184313274"/>
      <w:bookmarkEnd w:id="324"/>
      <w:bookmarkStart w:id="325" w:name="_Toc184310304"/>
      <w:bookmarkEnd w:id="325"/>
      <w:bookmarkStart w:id="326" w:name="_Toc184312126"/>
      <w:bookmarkEnd w:id="326"/>
      <w:bookmarkStart w:id="327" w:name="_Toc184310331"/>
      <w:bookmarkEnd w:id="327"/>
      <w:bookmarkStart w:id="328" w:name="_Toc184310334"/>
      <w:bookmarkEnd w:id="328"/>
      <w:bookmarkStart w:id="329" w:name="_Toc184310332"/>
      <w:bookmarkEnd w:id="329"/>
      <w:bookmarkStart w:id="330" w:name="_Toc184308080"/>
      <w:bookmarkEnd w:id="330"/>
      <w:bookmarkStart w:id="331" w:name="_Toc184310320"/>
      <w:bookmarkEnd w:id="331"/>
      <w:bookmarkStart w:id="332" w:name="_Toc184312075"/>
      <w:bookmarkEnd w:id="332"/>
      <w:bookmarkStart w:id="333" w:name="_Toc184313255"/>
      <w:bookmarkEnd w:id="333"/>
      <w:bookmarkStart w:id="334" w:name="_Toc184312109"/>
      <w:bookmarkEnd w:id="334"/>
      <w:bookmarkStart w:id="335" w:name="_Toc184308038"/>
      <w:bookmarkEnd w:id="335"/>
      <w:bookmarkStart w:id="336" w:name="_Toc184310339"/>
      <w:bookmarkEnd w:id="336"/>
      <w:bookmarkStart w:id="337" w:name="_Toc184308036"/>
      <w:bookmarkEnd w:id="337"/>
      <w:bookmarkStart w:id="338" w:name="_Toc184314481"/>
      <w:bookmarkEnd w:id="338"/>
      <w:bookmarkStart w:id="339" w:name="_Toc184314418"/>
      <w:bookmarkEnd w:id="339"/>
      <w:bookmarkStart w:id="340" w:name="_Toc184314415"/>
      <w:bookmarkEnd w:id="340"/>
      <w:bookmarkStart w:id="341" w:name="_Toc184312092"/>
      <w:bookmarkEnd w:id="341"/>
      <w:bookmarkStart w:id="342" w:name="_Toc184314477"/>
      <w:bookmarkEnd w:id="342"/>
      <w:bookmarkStart w:id="343" w:name="_Toc184313300"/>
      <w:bookmarkEnd w:id="343"/>
      <w:bookmarkStart w:id="344" w:name="_Toc184310294"/>
      <w:bookmarkEnd w:id="344"/>
      <w:bookmarkStart w:id="345" w:name="_Toc184313252"/>
      <w:bookmarkEnd w:id="345"/>
      <w:bookmarkStart w:id="346" w:name="_Toc184308076"/>
      <w:bookmarkEnd w:id="346"/>
      <w:bookmarkStart w:id="347" w:name="_Toc184310308"/>
      <w:bookmarkEnd w:id="347"/>
      <w:bookmarkStart w:id="348" w:name="_Toc184310290"/>
      <w:bookmarkEnd w:id="348"/>
      <w:bookmarkStart w:id="349" w:name="_Toc184310335"/>
      <w:bookmarkEnd w:id="349"/>
      <w:bookmarkStart w:id="350" w:name="_Toc184312113"/>
      <w:bookmarkEnd w:id="350"/>
      <w:bookmarkStart w:id="351" w:name="_Toc184313286"/>
      <w:bookmarkEnd w:id="351"/>
      <w:bookmarkStart w:id="352" w:name="_Toc184308106"/>
      <w:bookmarkEnd w:id="352"/>
      <w:bookmarkStart w:id="353" w:name="_Toc184310316"/>
      <w:bookmarkEnd w:id="353"/>
      <w:bookmarkStart w:id="354" w:name="_Toc184313260"/>
      <w:bookmarkEnd w:id="354"/>
      <w:bookmarkStart w:id="355" w:name="_Toc184310344"/>
      <w:bookmarkEnd w:id="355"/>
      <w:bookmarkStart w:id="356" w:name="_Toc184314458"/>
      <w:bookmarkEnd w:id="356"/>
      <w:bookmarkStart w:id="357" w:name="_Toc184308095"/>
      <w:bookmarkEnd w:id="357"/>
      <w:bookmarkStart w:id="358" w:name="_Toc184314436"/>
      <w:bookmarkEnd w:id="358"/>
      <w:bookmarkStart w:id="359" w:name="_Toc184314459"/>
      <w:bookmarkEnd w:id="359"/>
      <w:bookmarkStart w:id="360" w:name="_Toc184312128"/>
      <w:bookmarkEnd w:id="360"/>
      <w:bookmarkStart w:id="361" w:name="_Toc184310298"/>
      <w:bookmarkEnd w:id="361"/>
      <w:bookmarkStart w:id="362" w:name="_Toc184310305"/>
      <w:bookmarkEnd w:id="362"/>
      <w:bookmarkStart w:id="363" w:name="_Toc184308105"/>
      <w:bookmarkEnd w:id="363"/>
      <w:bookmarkStart w:id="364" w:name="_Toc184313271"/>
      <w:bookmarkEnd w:id="364"/>
      <w:bookmarkStart w:id="365" w:name="_Toc184308052"/>
      <w:bookmarkEnd w:id="365"/>
      <w:bookmarkStart w:id="366" w:name="_Toc184314450"/>
      <w:bookmarkEnd w:id="366"/>
      <w:bookmarkStart w:id="367" w:name="_Toc184313276"/>
      <w:bookmarkEnd w:id="367"/>
      <w:bookmarkStart w:id="368" w:name="_Toc184313295"/>
      <w:bookmarkEnd w:id="368"/>
      <w:bookmarkStart w:id="369" w:name="_Toc184313242"/>
      <w:bookmarkEnd w:id="369"/>
      <w:bookmarkStart w:id="370" w:name="_Toc184308081"/>
      <w:bookmarkEnd w:id="370"/>
      <w:bookmarkStart w:id="371" w:name="_Toc184313240"/>
      <w:bookmarkEnd w:id="371"/>
      <w:bookmarkStart w:id="372" w:name="_Toc184308048"/>
      <w:bookmarkEnd w:id="372"/>
      <w:bookmarkStart w:id="373" w:name="_Toc184308061"/>
      <w:bookmarkEnd w:id="373"/>
      <w:bookmarkStart w:id="374" w:name="_Toc184313292"/>
      <w:bookmarkEnd w:id="374"/>
      <w:bookmarkStart w:id="375" w:name="_Toc184314465"/>
      <w:bookmarkEnd w:id="375"/>
      <w:bookmarkStart w:id="376" w:name="_Toc184308107"/>
      <w:bookmarkEnd w:id="376"/>
      <w:bookmarkStart w:id="377" w:name="_Toc184313273"/>
      <w:bookmarkEnd w:id="377"/>
      <w:bookmarkStart w:id="378" w:name="_Toc184310284"/>
      <w:bookmarkEnd w:id="378"/>
      <w:bookmarkStart w:id="379" w:name="_Toc184312091"/>
      <w:bookmarkEnd w:id="379"/>
      <w:bookmarkStart w:id="380" w:name="_Toc184313254"/>
      <w:bookmarkEnd w:id="380"/>
      <w:bookmarkStart w:id="381" w:name="_Toc184310336"/>
      <w:bookmarkEnd w:id="381"/>
      <w:bookmarkStart w:id="382" w:name="_Toc184310321"/>
      <w:bookmarkEnd w:id="382"/>
      <w:bookmarkStart w:id="383" w:name="_Toc184310293"/>
      <w:bookmarkEnd w:id="383"/>
      <w:bookmarkStart w:id="384" w:name="_Toc184312093"/>
      <w:bookmarkEnd w:id="384"/>
      <w:bookmarkStart w:id="385" w:name="_Toc184313298"/>
      <w:bookmarkEnd w:id="385"/>
      <w:bookmarkStart w:id="386" w:name="_Toc184310310"/>
      <w:bookmarkEnd w:id="386"/>
      <w:bookmarkStart w:id="387" w:name="_Toc184314482"/>
      <w:bookmarkEnd w:id="387"/>
      <w:bookmarkStart w:id="388" w:name="_Toc184308103"/>
      <w:bookmarkEnd w:id="388"/>
      <w:bookmarkStart w:id="389" w:name="_Toc184312096"/>
      <w:bookmarkEnd w:id="389"/>
      <w:bookmarkStart w:id="390" w:name="_Toc184313258"/>
      <w:bookmarkEnd w:id="390"/>
      <w:bookmarkStart w:id="391" w:name="_Toc184314473"/>
      <w:bookmarkEnd w:id="391"/>
      <w:bookmarkStart w:id="392" w:name="_Toc184312067"/>
      <w:bookmarkEnd w:id="392"/>
      <w:bookmarkStart w:id="393" w:name="_Toc184310285"/>
      <w:bookmarkEnd w:id="393"/>
      <w:bookmarkStart w:id="394" w:name="_Toc184312094"/>
      <w:bookmarkEnd w:id="394"/>
      <w:bookmarkStart w:id="395" w:name="_Toc184310299"/>
      <w:bookmarkEnd w:id="395"/>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2"/>
        <w:tblpPr w:leftFromText="180" w:rightFromText="180" w:vertAnchor="text" w:horzAnchor="page" w:tblpX="1031" w:tblpY="126"/>
        <w:tblW w:w="56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5922"/>
        <w:gridCol w:w="1199"/>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431" w:type="pct"/>
            <w:vAlign w:val="center"/>
          </w:tcPr>
          <w:p>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3061" w:type="pct"/>
            <w:vAlign w:val="center"/>
          </w:tcPr>
          <w:p>
            <w:pPr>
              <w:spacing w:line="360" w:lineRule="auto"/>
              <w:ind w:firstLine="1560" w:firstLineChars="650"/>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评标标准</w:t>
            </w:r>
          </w:p>
        </w:tc>
        <w:tc>
          <w:tcPr>
            <w:tcW w:w="619" w:type="pct"/>
            <w:vAlign w:val="center"/>
          </w:tcPr>
          <w:p>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权重</w:t>
            </w:r>
          </w:p>
        </w:tc>
        <w:tc>
          <w:tcPr>
            <w:tcW w:w="886" w:type="pct"/>
          </w:tcPr>
          <w:p>
            <w:pPr>
              <w:spacing w:line="360" w:lineRule="auto"/>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r>
              <w:rPr>
                <w:rFonts w:hint="eastAsia" w:ascii="宋体" w:hAnsi="宋体" w:eastAsia="宋体" w:cs="宋体"/>
                <w:color w:val="auto"/>
                <w:sz w:val="24"/>
                <w:szCs w:val="24"/>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431" w:type="pct"/>
            <w:vAlign w:val="center"/>
          </w:tcPr>
          <w:p>
            <w:pPr>
              <w:spacing w:line="360" w:lineRule="auto"/>
              <w:ind w:firstLine="360" w:firstLineChars="150"/>
              <w:jc w:val="both"/>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管理体系认证（1分）</w:t>
            </w:r>
          </w:p>
          <w:p>
            <w:pPr>
              <w:adjustRightInd w:val="0"/>
              <w:snapToGrid w:val="0"/>
              <w:spacing w:line="360" w:lineRule="auto"/>
              <w:jc w:val="left"/>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color w:val="auto"/>
                <w:sz w:val="24"/>
                <w:szCs w:val="24"/>
                <w:highlight w:val="none"/>
              </w:rPr>
              <w:t>◇投标人</w:t>
            </w:r>
            <w:r>
              <w:rPr>
                <w:rFonts w:hint="eastAsia" w:ascii="宋体" w:hAnsi="宋体" w:eastAsia="宋体" w:cs="宋体"/>
                <w:bCs/>
                <w:color w:val="auto"/>
                <w:kern w:val="0"/>
                <w:sz w:val="24"/>
                <w:szCs w:val="24"/>
                <w:highlight w:val="none"/>
              </w:rPr>
              <w:t>具有有效的质量管理体系认证、环境管理体系认证、职业健康管理体系认证证书，三个齐全得1分，否则不得分。</w:t>
            </w:r>
            <w:r>
              <w:rPr>
                <w:rFonts w:hint="eastAsia" w:ascii="宋体" w:hAnsi="宋体" w:eastAsia="宋体" w:cs="宋体"/>
                <w:b/>
                <w:color w:val="auto"/>
                <w:kern w:val="0"/>
                <w:sz w:val="24"/>
                <w:szCs w:val="24"/>
                <w:highlight w:val="none"/>
              </w:rPr>
              <w:t xml:space="preserve">投标文件中应提供证明材料复印件，投标文件中未完整提供证明材料复印件或证书不在有效期内的不得分。 </w:t>
            </w:r>
            <w:r>
              <w:rPr>
                <w:rFonts w:hint="eastAsia" w:ascii="宋体" w:hAnsi="宋体" w:eastAsia="宋体" w:cs="宋体"/>
                <w:b/>
                <w:bCs/>
                <w:color w:val="auto"/>
                <w:sz w:val="24"/>
                <w:szCs w:val="24"/>
                <w:highlight w:val="none"/>
                <w:lang w:val="en-US" w:eastAsia="zh-CN"/>
              </w:rPr>
              <w:t>如投标人为联合体，联合体任一成员具备即可得分。</w:t>
            </w:r>
            <w:r>
              <w:rPr>
                <w:rFonts w:hint="eastAsia" w:ascii="宋体" w:hAnsi="宋体" w:eastAsia="宋体" w:cs="宋体"/>
                <w:b/>
                <w:color w:val="auto"/>
                <w:kern w:val="0"/>
                <w:sz w:val="24"/>
                <w:szCs w:val="24"/>
                <w:highlight w:val="none"/>
              </w:rPr>
              <w:t xml:space="preserve">      </w:t>
            </w:r>
          </w:p>
        </w:tc>
        <w:tc>
          <w:tcPr>
            <w:tcW w:w="619" w:type="pct"/>
            <w:vAlign w:val="center"/>
          </w:tcPr>
          <w:p>
            <w:pPr>
              <w:adjustRightInd w:val="0"/>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31" w:type="pct"/>
            <w:vAlign w:val="center"/>
          </w:tcPr>
          <w:p>
            <w:pPr>
              <w:spacing w:line="360" w:lineRule="auto"/>
              <w:ind w:firstLine="360" w:firstLineChars="150"/>
              <w:jc w:val="both"/>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投标人类似项目业绩情况（</w:t>
            </w:r>
            <w:r>
              <w:rPr>
                <w:rFonts w:hint="eastAsia" w:ascii="宋体" w:hAnsi="宋体" w:eastAsia="宋体" w:cs="宋体"/>
                <w:color w:val="auto"/>
                <w:sz w:val="24"/>
                <w:szCs w:val="24"/>
                <w:highlight w:val="none"/>
                <w:lang w:val="en-US" w:eastAsia="zh-CN"/>
              </w:rPr>
              <w:t>1</w:t>
            </w:r>
            <w:r>
              <w:rPr>
                <w:rFonts w:hint="eastAsia" w:ascii="宋体" w:hAnsi="宋体" w:eastAsia="宋体" w:cs="宋体"/>
                <w:b/>
                <w:bCs/>
                <w:color w:val="auto"/>
                <w:sz w:val="24"/>
                <w:szCs w:val="24"/>
                <w:highlight w:val="none"/>
              </w:rPr>
              <w:t>分）</w:t>
            </w:r>
          </w:p>
          <w:p>
            <w:pPr>
              <w:snapToGrid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◇投标人提供承接类似市政设施养护项目的业绩，合同签订时间为201</w:t>
            </w:r>
            <w:r>
              <w:rPr>
                <w:rFonts w:hint="eastAsia" w:ascii="宋体" w:hAnsi="宋体" w:eastAsia="宋体" w:cs="宋体"/>
                <w:color w:val="auto"/>
                <w:sz w:val="24"/>
                <w:szCs w:val="24"/>
                <w:highlight w:val="none"/>
                <w:lang w:val="en-US" w:eastAsia="zh-CN"/>
              </w:rPr>
              <w:t xml:space="preserve">8 </w:t>
            </w:r>
            <w:r>
              <w:rPr>
                <w:rFonts w:hint="eastAsia" w:ascii="宋体" w:hAnsi="宋体" w:eastAsia="宋体" w:cs="宋体"/>
                <w:color w:val="auto"/>
                <w:sz w:val="24"/>
                <w:szCs w:val="24"/>
                <w:highlight w:val="none"/>
              </w:rPr>
              <w:t>年1月1日起至今，一个项目合同得</w:t>
            </w:r>
            <w:r>
              <w:rPr>
                <w:rFonts w:hint="eastAsia" w:ascii="宋体" w:hAnsi="宋体" w:eastAsia="宋体" w:cs="宋体"/>
                <w:color w:val="auto"/>
                <w:sz w:val="24"/>
                <w:szCs w:val="24"/>
                <w:highlight w:val="none"/>
                <w:lang w:val="en-US" w:eastAsia="zh-CN"/>
              </w:rPr>
              <w:t>0.2</w:t>
            </w:r>
            <w:r>
              <w:rPr>
                <w:rFonts w:hint="eastAsia" w:ascii="宋体" w:hAnsi="宋体" w:eastAsia="宋体" w:cs="宋体"/>
                <w:color w:val="auto"/>
                <w:sz w:val="24"/>
                <w:szCs w:val="24"/>
                <w:highlight w:val="none"/>
              </w:rPr>
              <w:t>分，最高得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b/>
                <w:bCs/>
                <w:color w:val="auto"/>
                <w:sz w:val="24"/>
                <w:szCs w:val="24"/>
                <w:highlight w:val="none"/>
              </w:rPr>
              <w:t>投标文件中应提供证明材料复印件，投标文件中未提供证明材料复印件不给分。</w:t>
            </w:r>
            <w:r>
              <w:rPr>
                <w:rFonts w:hint="eastAsia" w:ascii="宋体" w:hAnsi="宋体" w:eastAsia="宋体" w:cs="宋体"/>
                <w:b/>
                <w:bCs/>
                <w:color w:val="auto"/>
                <w:sz w:val="24"/>
                <w:szCs w:val="24"/>
                <w:highlight w:val="none"/>
                <w:lang w:val="en-US" w:eastAsia="zh-CN"/>
              </w:rPr>
              <w:t>如投标人为联合体，联合体任一成员具备即可得分。</w:t>
            </w:r>
          </w:p>
        </w:tc>
        <w:tc>
          <w:tcPr>
            <w:tcW w:w="619" w:type="pct"/>
            <w:vAlign w:val="center"/>
          </w:tcPr>
          <w:p>
            <w:pPr>
              <w:adjustRightInd w:val="0"/>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431" w:type="pct"/>
            <w:vAlign w:val="center"/>
          </w:tcPr>
          <w:p>
            <w:pPr>
              <w:spacing w:line="360" w:lineRule="auto"/>
              <w:ind w:firstLine="360" w:firstLineChars="150"/>
              <w:jc w:val="both"/>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项目负责人、管理人员情况（12分）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◇项目总负责人（联合体投标的由牵头人派遣</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：拟担任本项专职目负责人的专业素质、技术能力、经验、资质等情况，项目负责人具备工程师及以上职称，并有本科或以上学历</w:t>
            </w:r>
            <w:r>
              <w:rPr>
                <w:rFonts w:hint="eastAsia" w:ascii="宋体" w:hAnsi="宋体" w:eastAsia="宋体" w:cs="宋体"/>
                <w:b/>
                <w:bCs/>
                <w:color w:val="auto"/>
                <w:sz w:val="24"/>
                <w:szCs w:val="24"/>
                <w:highlight w:val="none"/>
              </w:rPr>
              <w:t>(提供相关毕业证书、劳动合同、职称证书复印件、近一个月社保证明，未能提供</w:t>
            </w:r>
            <w:r>
              <w:rPr>
                <w:rFonts w:hint="eastAsia" w:ascii="宋体" w:hAnsi="宋体" w:eastAsia="宋体" w:cs="宋体"/>
                <w:b/>
                <w:bCs/>
                <w:color w:val="auto"/>
                <w:sz w:val="24"/>
                <w:szCs w:val="24"/>
                <w:highlight w:val="none"/>
                <w:lang w:eastAsia="zh-CN"/>
              </w:rPr>
              <w:t>或提供不完整的</w:t>
            </w:r>
            <w:r>
              <w:rPr>
                <w:rFonts w:hint="eastAsia" w:ascii="宋体" w:hAnsi="宋体" w:eastAsia="宋体" w:cs="宋体"/>
                <w:b/>
                <w:bCs/>
                <w:color w:val="auto"/>
                <w:sz w:val="24"/>
                <w:szCs w:val="24"/>
                <w:highlight w:val="none"/>
              </w:rPr>
              <w:t xml:space="preserve">不得分) </w:t>
            </w:r>
            <w:r>
              <w:rPr>
                <w:rFonts w:hint="eastAsia" w:ascii="宋体" w:hAnsi="宋体" w:eastAsia="宋体" w:cs="宋体"/>
                <w:color w:val="auto"/>
                <w:sz w:val="24"/>
                <w:szCs w:val="24"/>
                <w:highlight w:val="none"/>
              </w:rPr>
              <w:t>一个职位不可兼任(2分)；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kern w:val="0"/>
                <w:sz w:val="24"/>
                <w:szCs w:val="24"/>
                <w:highlight w:val="none"/>
              </w:rPr>
              <w:t>◇</w:t>
            </w:r>
            <w:r>
              <w:rPr>
                <w:rFonts w:hint="eastAsia" w:ascii="宋体" w:hAnsi="宋体" w:eastAsia="宋体" w:cs="宋体"/>
                <w:color w:val="auto"/>
                <w:sz w:val="24"/>
                <w:szCs w:val="24"/>
                <w:highlight w:val="none"/>
              </w:rPr>
              <w:t>项目技术负责人（联合体投标的由牵头人派遣</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：投入本项目的项目技术负责人是否具有工程师及以上职称，并有本科及以上学历，(提供相关职称证书、毕业证书、劳动合同复印件、近一个月社保证明，未能提供不得分)。</w:t>
            </w:r>
            <w:r>
              <w:rPr>
                <w:rFonts w:hint="eastAsia" w:ascii="宋体" w:hAnsi="宋体" w:eastAsia="宋体" w:cs="宋体"/>
                <w:b/>
                <w:bCs/>
                <w:color w:val="auto"/>
                <w:sz w:val="24"/>
                <w:szCs w:val="24"/>
                <w:highlight w:val="none"/>
              </w:rPr>
              <w:t>(提供相关职称证书、毕业证书、劳动合同复印件、近一个月社保证明，，未能提供</w:t>
            </w:r>
            <w:r>
              <w:rPr>
                <w:rFonts w:hint="eastAsia" w:ascii="宋体" w:hAnsi="宋体" w:eastAsia="宋体" w:cs="宋体"/>
                <w:b/>
                <w:bCs/>
                <w:color w:val="auto"/>
                <w:sz w:val="24"/>
                <w:szCs w:val="24"/>
                <w:highlight w:val="none"/>
                <w:lang w:eastAsia="zh-CN"/>
              </w:rPr>
              <w:t>或提供不完整的</w:t>
            </w:r>
            <w:r>
              <w:rPr>
                <w:rFonts w:hint="eastAsia" w:ascii="宋体" w:hAnsi="宋体" w:eastAsia="宋体" w:cs="宋体"/>
                <w:b/>
                <w:bCs/>
                <w:color w:val="auto"/>
                <w:sz w:val="24"/>
                <w:szCs w:val="24"/>
                <w:highlight w:val="none"/>
              </w:rPr>
              <w:t>不得分)</w:t>
            </w:r>
            <w:r>
              <w:rPr>
                <w:rFonts w:hint="eastAsia" w:ascii="宋体" w:hAnsi="宋体" w:eastAsia="宋体" w:cs="宋体"/>
                <w:color w:val="auto"/>
                <w:sz w:val="24"/>
                <w:szCs w:val="24"/>
                <w:highlight w:val="none"/>
              </w:rPr>
              <w:t>。一个职位不可兼任 ；(2分)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kern w:val="0"/>
                <w:sz w:val="24"/>
                <w:szCs w:val="24"/>
                <w:highlight w:val="none"/>
              </w:rPr>
              <w:t>◇</w:t>
            </w:r>
            <w:r>
              <w:rPr>
                <w:rFonts w:hint="eastAsia" w:ascii="宋体" w:hAnsi="宋体" w:eastAsia="宋体" w:cs="宋体"/>
                <w:color w:val="auto"/>
                <w:sz w:val="24"/>
                <w:szCs w:val="24"/>
                <w:highlight w:val="none"/>
              </w:rPr>
              <w:t>项目组实施管理人员：养护管理人员安排，技术负责人、质量负责人、机械设备负责人、财务主管、道路养护项目主管、桥梁养护主管、桥梁巡查负责人等管理人员（≥10人）配备明确（2分）；道路养护项目主管具有中级职称（1分）；桥梁养护项目主管具有中级职称（1分）；项目组管理人员要有较高的文化的素质（大专及以上学历）、技术能力（4分，至少4人有中级职称证书，每少一人扣0.5分，扣完为止）(提供相关职称证书、毕业证书、劳动合同复印件、近一月社保证明，</w:t>
            </w:r>
            <w:r>
              <w:rPr>
                <w:rFonts w:hint="eastAsia" w:ascii="宋体" w:hAnsi="宋体" w:eastAsia="宋体" w:cs="宋体"/>
                <w:b/>
                <w:bCs/>
                <w:color w:val="auto"/>
                <w:sz w:val="24"/>
                <w:szCs w:val="24"/>
                <w:highlight w:val="none"/>
              </w:rPr>
              <w:t>未能提供</w:t>
            </w:r>
            <w:r>
              <w:rPr>
                <w:rFonts w:hint="eastAsia" w:ascii="宋体" w:hAnsi="宋体" w:eastAsia="宋体" w:cs="宋体"/>
                <w:b/>
                <w:bCs/>
                <w:color w:val="auto"/>
                <w:sz w:val="24"/>
                <w:szCs w:val="24"/>
                <w:highlight w:val="none"/>
                <w:lang w:eastAsia="zh-CN"/>
              </w:rPr>
              <w:t>或提供不完整的</w:t>
            </w:r>
            <w:r>
              <w:rPr>
                <w:rFonts w:hint="eastAsia" w:ascii="宋体" w:hAnsi="宋体" w:eastAsia="宋体" w:cs="宋体"/>
                <w:b/>
                <w:bCs/>
                <w:color w:val="auto"/>
                <w:sz w:val="24"/>
                <w:szCs w:val="24"/>
                <w:highlight w:val="none"/>
              </w:rPr>
              <w:t>不得分</w:t>
            </w:r>
            <w:r>
              <w:rPr>
                <w:rFonts w:hint="eastAsia" w:ascii="宋体" w:hAnsi="宋体" w:eastAsia="宋体" w:cs="宋体"/>
                <w:color w:val="auto"/>
                <w:sz w:val="24"/>
                <w:szCs w:val="24"/>
                <w:highlight w:val="none"/>
              </w:rPr>
              <w:t>)（8分）</w:t>
            </w:r>
          </w:p>
          <w:p>
            <w:pPr>
              <w:snapToGrid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rPr>
              <w:t>（需提供相关人员的职称证书等证明材料原件的电子扫描件和投标单位为其缴纳的社保证明清单，否则无效。</w:t>
            </w:r>
            <w:r>
              <w:rPr>
                <w:rFonts w:hint="eastAsia" w:ascii="宋体" w:hAnsi="宋体" w:eastAsia="宋体" w:cs="宋体"/>
                <w:b/>
                <w:bCs/>
                <w:color w:val="auto"/>
                <w:sz w:val="24"/>
                <w:szCs w:val="24"/>
                <w:highlight w:val="none"/>
                <w:lang w:val="en-US" w:eastAsia="zh-CN"/>
              </w:rPr>
              <w:t>如投标人为联合体，联合体任一成员具备即可得分。</w:t>
            </w:r>
            <w:r>
              <w:rPr>
                <w:rFonts w:hint="eastAsia" w:ascii="宋体" w:hAnsi="宋体" w:eastAsia="宋体" w:cs="宋体"/>
                <w:b/>
                <w:bCs/>
                <w:color w:val="auto"/>
                <w:sz w:val="24"/>
                <w:szCs w:val="24"/>
                <w:highlight w:val="none"/>
              </w:rPr>
              <w:t>）</w:t>
            </w:r>
          </w:p>
        </w:tc>
        <w:tc>
          <w:tcPr>
            <w:tcW w:w="619" w:type="pct"/>
            <w:vAlign w:val="center"/>
          </w:tcPr>
          <w:p>
            <w:pPr>
              <w:adjustRightInd w:val="0"/>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431" w:type="pct"/>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项目作业人员情况（2分）</w:t>
            </w:r>
          </w:p>
          <w:p>
            <w:pPr>
              <w:adjustRightInd w:val="0"/>
              <w:snapToGrid w:val="0"/>
              <w:spacing w:line="360" w:lineRule="auto"/>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rPr>
              <w:t>◇作业人员：数量充足，配置合理，投入本项目的班组人员需固定，且不能与本年度其他标段的人员重复。至少配备1个沥青班组人员（每个班组8人）、3个人行道班组（每个班组4人）。</w:t>
            </w:r>
            <w:r>
              <w:rPr>
                <w:rFonts w:hint="eastAsia" w:ascii="宋体" w:hAnsi="宋体" w:eastAsia="宋体" w:cs="宋体"/>
                <w:b/>
                <w:bCs/>
                <w:color w:val="auto"/>
                <w:sz w:val="24"/>
                <w:szCs w:val="24"/>
                <w:highlight w:val="none"/>
              </w:rPr>
              <w:t>（需提供劳动合同复印件、近一个月社保证明，社保由劳务公司缴纳的劳务派遣员工，需提供用人单位与劳务公司签订的劳务派遣协议，未能提供</w:t>
            </w:r>
            <w:r>
              <w:rPr>
                <w:rFonts w:hint="eastAsia" w:ascii="宋体" w:hAnsi="宋体" w:eastAsia="宋体" w:cs="宋体"/>
                <w:b/>
                <w:bCs/>
                <w:color w:val="auto"/>
                <w:sz w:val="24"/>
                <w:szCs w:val="24"/>
                <w:highlight w:val="none"/>
                <w:lang w:eastAsia="zh-CN"/>
              </w:rPr>
              <w:t>或提供不完整的</w:t>
            </w:r>
            <w:r>
              <w:rPr>
                <w:rFonts w:hint="eastAsia" w:ascii="宋体" w:hAnsi="宋体" w:eastAsia="宋体" w:cs="宋体"/>
                <w:b/>
                <w:bCs/>
                <w:color w:val="auto"/>
                <w:sz w:val="24"/>
                <w:szCs w:val="24"/>
                <w:highlight w:val="none"/>
              </w:rPr>
              <w:t>不得分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如投标人为联合体，联合体任一成员具备即可得分。</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w:t>
            </w:r>
          </w:p>
        </w:tc>
        <w:tc>
          <w:tcPr>
            <w:tcW w:w="619" w:type="pct"/>
            <w:vAlign w:val="center"/>
          </w:tcPr>
          <w:p>
            <w:pPr>
              <w:adjustRightInd w:val="0"/>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w:t>
            </w:r>
          </w:p>
        </w:tc>
        <w:tc>
          <w:tcPr>
            <w:tcW w:w="886" w:type="pct"/>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trPr>
        <w:tc>
          <w:tcPr>
            <w:tcW w:w="431" w:type="pct"/>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投标人获得的表彰（3分）</w:t>
            </w:r>
          </w:p>
          <w:p>
            <w:pPr>
              <w:adjustRightInd w:val="0"/>
              <w:snapToGrid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自2018年起（以颁发时间为准），投标人或投标人养护的设施获得市政养护类市级表彰的，每有1个得0.2分，最高得0.6分；获得市政养护类省级表彰的，每有1个得0.5分，最高得1.5分；获得市政养护类国家级表彰的，每有1个得1分，最高得3分。本项最高3分，不同级别的荣誉不累计得分。</w:t>
            </w:r>
            <w:r>
              <w:rPr>
                <w:rFonts w:hint="eastAsia" w:ascii="宋体" w:hAnsi="宋体" w:eastAsia="宋体" w:cs="宋体"/>
                <w:b/>
                <w:bCs/>
                <w:color w:val="auto"/>
                <w:sz w:val="24"/>
                <w:szCs w:val="24"/>
                <w:highlight w:val="none"/>
              </w:rPr>
              <w:t>（需提供奖状或网站公示截图等证明材料复印件</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如投标人为联合体，联合体任一成员具备即可得分。</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w:t>
            </w:r>
          </w:p>
        </w:tc>
        <w:tc>
          <w:tcPr>
            <w:tcW w:w="619" w:type="pct"/>
            <w:vAlign w:val="center"/>
          </w:tcPr>
          <w:p>
            <w:pPr>
              <w:adjustRightInd w:val="0"/>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3061" w:type="pct"/>
            <w:vAlign w:val="center"/>
          </w:tcPr>
          <w:p>
            <w:pPr>
              <w:pStyle w:val="34"/>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针对项目的重点、难点分析</w:t>
            </w:r>
            <w:r>
              <w:rPr>
                <w:rFonts w:hint="eastAsia" w:ascii="宋体" w:hAnsi="宋体" w:eastAsia="宋体" w:cs="宋体"/>
                <w:b/>
                <w:bCs/>
                <w:color w:val="auto"/>
                <w:sz w:val="24"/>
                <w:szCs w:val="24"/>
                <w:highlight w:val="none"/>
                <w:shd w:val="clear" w:color="auto" w:fill="FFFFFF"/>
              </w:rPr>
              <w:t>（</w:t>
            </w:r>
            <w:r>
              <w:rPr>
                <w:rFonts w:hint="eastAsia" w:ascii="宋体" w:hAnsi="宋体" w:eastAsia="宋体" w:cs="宋体"/>
                <w:b/>
                <w:bCs/>
                <w:color w:val="auto"/>
                <w:sz w:val="24"/>
                <w:szCs w:val="24"/>
                <w:highlight w:val="none"/>
                <w:shd w:val="clear" w:color="auto" w:fill="FFFFFF"/>
                <w:lang w:val="en-US" w:eastAsia="zh-CN"/>
              </w:rPr>
              <w:t>0-</w:t>
            </w:r>
            <w:r>
              <w:rPr>
                <w:rFonts w:hint="eastAsia" w:ascii="宋体" w:hAnsi="宋体" w:eastAsia="宋体" w:cs="宋体"/>
                <w:b/>
                <w:bCs/>
                <w:color w:val="auto"/>
                <w:sz w:val="24"/>
                <w:szCs w:val="24"/>
                <w:highlight w:val="none"/>
                <w:shd w:val="clear" w:color="auto" w:fill="FFFFFF"/>
              </w:rPr>
              <w:t>2分）</w:t>
            </w:r>
          </w:p>
          <w:p>
            <w:pPr>
              <w:pStyle w:val="34"/>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◇根据投标人对本项目的重点、难点的分析的全面性，是否到位等。（</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1分）</w:t>
            </w:r>
          </w:p>
          <w:p>
            <w:pPr>
              <w:pStyle w:val="3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◇根据解决方案的全面性，是否符合招标文件采购内容的要求等。（</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项目养护管理方案（17分）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◇市政道路养护方案（沥青路面、人行道平侧石、桥梁及附属设施、检查井、雨水管网、路牌等市政道路设施养护方案。）（</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a.针对各类养护问题采用不同的养护维修工艺或处理方法；</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b.有完善的项目班子成员的专业结构；</w:t>
            </w:r>
          </w:p>
          <w:p>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新技术、新工艺（4分）</w:t>
            </w:r>
          </w:p>
          <w:p>
            <w:pPr>
              <w:widowControl/>
              <w:adjustRightInd/>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具有城市道路或桥梁或排水</w:t>
            </w:r>
            <w:r>
              <w:rPr>
                <w:rFonts w:hint="eastAsia" w:ascii="宋体" w:hAnsi="宋体" w:eastAsia="宋体" w:cs="宋体"/>
                <w:color w:val="auto"/>
                <w:sz w:val="24"/>
                <w:szCs w:val="24"/>
                <w:highlight w:val="none"/>
                <w:lang w:val="zh-CN"/>
              </w:rPr>
              <w:t>修复方面的创新工艺或工法</w:t>
            </w:r>
            <w:r>
              <w:rPr>
                <w:rFonts w:hint="eastAsia" w:ascii="宋体" w:hAnsi="宋体" w:eastAsia="宋体" w:cs="宋体"/>
                <w:color w:val="auto"/>
                <w:sz w:val="24"/>
                <w:szCs w:val="24"/>
                <w:highlight w:val="none"/>
                <w:lang w:val="en-US" w:eastAsia="zh-CN"/>
              </w:rPr>
              <w:t>或科研项目相关专利等</w:t>
            </w:r>
            <w:r>
              <w:rPr>
                <w:rFonts w:hint="eastAsia" w:ascii="宋体" w:hAnsi="宋体" w:eastAsia="宋体" w:cs="宋体"/>
                <w:color w:val="auto"/>
                <w:sz w:val="24"/>
                <w:szCs w:val="24"/>
                <w:highlight w:val="none"/>
                <w:lang w:val="zh-CN"/>
              </w:rPr>
              <w:t>，并通过</w:t>
            </w:r>
            <w:r>
              <w:rPr>
                <w:rFonts w:hint="eastAsia" w:ascii="宋体" w:hAnsi="宋体" w:eastAsia="宋体" w:cs="宋体"/>
                <w:strike w:val="0"/>
                <w:dstrike w:val="0"/>
                <w:color w:val="auto"/>
                <w:sz w:val="24"/>
                <w:szCs w:val="24"/>
                <w:highlight w:val="none"/>
                <w:lang w:val="zh-CN"/>
              </w:rPr>
              <w:t>相关</w:t>
            </w:r>
            <w:r>
              <w:rPr>
                <w:rFonts w:hint="eastAsia" w:ascii="宋体" w:hAnsi="宋体" w:eastAsia="宋体" w:cs="宋体"/>
                <w:color w:val="auto"/>
                <w:sz w:val="24"/>
                <w:szCs w:val="24"/>
                <w:highlight w:val="none"/>
                <w:lang w:val="zh-CN"/>
              </w:rPr>
              <w:t>行业主管部门认证</w:t>
            </w:r>
            <w:r>
              <w:rPr>
                <w:rFonts w:hint="eastAsia" w:ascii="宋体" w:hAnsi="宋体" w:eastAsia="宋体" w:cs="宋体"/>
                <w:color w:val="auto"/>
                <w:sz w:val="24"/>
                <w:szCs w:val="24"/>
                <w:highlight w:val="none"/>
                <w:lang w:val="en-US" w:eastAsia="zh-CN"/>
              </w:rPr>
              <w:t>或验收的得4分。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◇承诺在项目服务期间自有开发或采购使用市政数字化系统平台投入本标项市政养护管理的得2分。（2分）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◇养护方案组织和技术措施（</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a.劳动力投入计划。</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b.养护保障机械配置方案；</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◇安全文明养护（</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3分）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 道路市政养护安全保证体系和安全管理制度；</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 文明养护管理措施；</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 环境保护措施；</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◇道路市政养护考核方案（</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内部管理制度、考核监督制度等，是否科学合理、具有针对性及可操作性。科学合理、具有针对性及可操作性；</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◇道路市政养护资料管理方案（</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日常养护、设备维修、检测、技术状况评价等资料的整理归档方案是否符合相关规范要求。达到项目预定要求，科学合理、具有针对性及可操作性的；</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根据是否符合规范要求，且方案具有科学合理、具有针对性及可操作性进行评分。以上未提供相关内容得0分。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养护移交平稳过渡计划实施方案（</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◇根据实施方案的可操作性进行评分，能确保养护移交平稳过渡，未提供不得分。（2分）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应急保障措施（</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◇应急保障措施（防汛防台、突发事件应急处理及重大活动保障的人员配备、应急处置方案，落实专职人员等内容），根据方案是否覆盖全面、是否科学合理、具有针对性和可操作性打分。（</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投入本项目的设备（</w:t>
            </w:r>
            <w:r>
              <w:rPr>
                <w:rFonts w:hint="eastAsia" w:ascii="宋体" w:hAnsi="宋体" w:eastAsia="宋体" w:cs="宋体"/>
                <w:b/>
                <w:bCs/>
                <w:color w:val="auto"/>
                <w:sz w:val="24"/>
                <w:szCs w:val="24"/>
                <w:highlight w:val="none"/>
                <w:lang w:val="en-US"/>
              </w:rPr>
              <w:t>24</w:t>
            </w:r>
            <w:r>
              <w:rPr>
                <w:rFonts w:hint="eastAsia" w:ascii="宋体" w:hAnsi="宋体" w:eastAsia="宋体" w:cs="宋体"/>
                <w:b/>
                <w:bCs/>
                <w:color w:val="auto"/>
                <w:sz w:val="24"/>
                <w:szCs w:val="24"/>
                <w:highlight w:val="none"/>
              </w:rPr>
              <w:t>分）</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道路养护需有“压路机（5t及以上）≥1台”、“摊铺机（摊铺宽度3米及以上）≥1台”、“铣刨机（铣刨宽度300mm及以上）≥1台”、“沥青保温车（核定载质量6t及以上）≥1辆”、“装载车（货车）≥4辆的”，每提供1种类型设备得1分，最高得5分。（</w:t>
            </w:r>
            <w:r>
              <w:rPr>
                <w:rFonts w:hint="eastAsia" w:ascii="宋体" w:hAnsi="宋体" w:eastAsia="宋体" w:cs="宋体"/>
                <w:color w:val="auto"/>
                <w:sz w:val="24"/>
                <w:szCs w:val="24"/>
                <w:highlight w:val="none"/>
                <w:lang w:val="en-US" w:eastAsia="zh-CN"/>
              </w:rPr>
              <w:t>须提供以下两种材料中任意一种：1.自有的须提供购置发票、设备外观照片、车辆还须提供车辆行驶证；2.政府划拨的须提供资产划拨单、原采购单位的购置发票、设备外观照片、车辆还须提供车辆行驶证。</w:t>
            </w:r>
            <w:r>
              <w:rPr>
                <w:rFonts w:hint="eastAsia" w:ascii="宋体" w:hAnsi="宋体" w:eastAsia="宋体" w:cs="宋体"/>
                <w:color w:val="auto"/>
                <w:sz w:val="24"/>
                <w:szCs w:val="24"/>
                <w:highlight w:val="none"/>
              </w:rPr>
              <w:t>）。</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◇投标人除要求的压路机、摊铺机、铣刨机、沥青保温车外，是否自有灌缝机、吸泥车、车载式三维探地雷达（须含配套检测车）、登高作业车（园林吊）、</w:t>
            </w:r>
            <w:r>
              <w:rPr>
                <w:rFonts w:hint="eastAsia" w:ascii="宋体" w:hAnsi="宋体" w:eastAsia="宋体" w:cs="宋体"/>
                <w:color w:val="auto"/>
                <w:sz w:val="24"/>
                <w:szCs w:val="24"/>
                <w:highlight w:val="none"/>
                <w:lang w:eastAsia="zh-CN"/>
              </w:rPr>
              <w:t>沥青</w:t>
            </w:r>
            <w:r>
              <w:rPr>
                <w:rFonts w:hint="eastAsia" w:ascii="宋体" w:hAnsi="宋体" w:eastAsia="宋体" w:cs="宋体"/>
                <w:color w:val="auto"/>
                <w:sz w:val="24"/>
                <w:szCs w:val="24"/>
                <w:highlight w:val="none"/>
              </w:rPr>
              <w:t>热再生设备、病害</w:t>
            </w:r>
            <w:r>
              <w:rPr>
                <w:rFonts w:hint="eastAsia" w:ascii="宋体" w:hAnsi="宋体" w:eastAsia="宋体" w:cs="宋体"/>
                <w:color w:val="auto"/>
                <w:sz w:val="24"/>
                <w:szCs w:val="24"/>
                <w:highlight w:val="none"/>
                <w:lang w:eastAsia="zh-CN"/>
              </w:rPr>
              <w:t>智能</w:t>
            </w:r>
            <w:r>
              <w:rPr>
                <w:rFonts w:hint="eastAsia" w:ascii="宋体" w:hAnsi="宋体" w:eastAsia="宋体" w:cs="宋体"/>
                <w:color w:val="auto"/>
                <w:sz w:val="24"/>
                <w:szCs w:val="24"/>
                <w:highlight w:val="none"/>
              </w:rPr>
              <w:t>采集</w:t>
            </w:r>
            <w:r>
              <w:rPr>
                <w:rFonts w:hint="eastAsia" w:ascii="宋体" w:hAnsi="宋体" w:eastAsia="宋体" w:cs="宋体"/>
                <w:color w:val="auto"/>
                <w:sz w:val="24"/>
                <w:szCs w:val="24"/>
                <w:highlight w:val="none"/>
                <w:lang w:eastAsia="zh-CN"/>
              </w:rPr>
              <w:t>设备、沥青洒布车，切割机等</w:t>
            </w:r>
            <w:r>
              <w:rPr>
                <w:rFonts w:hint="eastAsia" w:ascii="宋体" w:hAnsi="宋体" w:eastAsia="宋体" w:cs="宋体"/>
                <w:color w:val="auto"/>
                <w:sz w:val="24"/>
                <w:szCs w:val="24"/>
                <w:highlight w:val="none"/>
              </w:rPr>
              <w:t>，每提供一种类型的设备、车辆得1分（</w:t>
            </w:r>
            <w:r>
              <w:rPr>
                <w:rFonts w:hint="eastAsia" w:ascii="宋体" w:hAnsi="宋体" w:eastAsia="宋体" w:cs="宋体"/>
                <w:color w:val="auto"/>
                <w:sz w:val="24"/>
                <w:szCs w:val="24"/>
                <w:highlight w:val="none"/>
                <w:lang w:val="en-US" w:eastAsia="zh-CN"/>
              </w:rPr>
              <w:t>须提供以下两种材料中任意一种：1.自有的须提供购置发票、设备外观照片、车辆还须提供车辆行驶证；2.政府划拨的须提供资产划拨单、原采购单位的购置发票、设备外观照片、车辆还须提供车辆行驶证。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6</w:t>
            </w:r>
            <w:r>
              <w:rPr>
                <w:rFonts w:hint="eastAsia" w:ascii="宋体" w:hAnsi="宋体" w:eastAsia="宋体" w:cs="宋体"/>
                <w:color w:val="auto"/>
                <w:sz w:val="24"/>
                <w:szCs w:val="24"/>
                <w:highlight w:val="none"/>
              </w:rPr>
              <w:t>分）</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◇投标人自有应急抢险的排水泵功率≥150m³/h，每提供一台得0.5分，最高得3分；自有桥梁检测车得2分；自有大功率排水泵车，总排水量≥1500m³/h，得4分。（</w:t>
            </w:r>
            <w:r>
              <w:rPr>
                <w:rFonts w:hint="eastAsia" w:ascii="宋体" w:hAnsi="宋体" w:eastAsia="宋体" w:cs="宋体"/>
                <w:color w:val="auto"/>
                <w:sz w:val="24"/>
                <w:szCs w:val="24"/>
                <w:highlight w:val="none"/>
                <w:lang w:val="en-US" w:eastAsia="zh-CN"/>
              </w:rPr>
              <w:t>须提供以下两种材料中任意一种：1.自有的须提供购置发票、设备外观照片、车辆还须提供车辆行驶证；2.政府划拨的须提供资产划拨单、原采购单位的购置发票、设备外观照片、车辆还须提供车辆行驶证。</w:t>
            </w:r>
            <w:r>
              <w:rPr>
                <w:rFonts w:hint="eastAsia" w:ascii="宋体" w:hAnsi="宋体" w:eastAsia="宋体" w:cs="宋体"/>
                <w:color w:val="auto"/>
                <w:sz w:val="24"/>
                <w:szCs w:val="24"/>
                <w:highlight w:val="none"/>
              </w:rPr>
              <w:t>）。（9分）</w:t>
            </w:r>
          </w:p>
          <w:p>
            <w:pPr>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为确保汛期及冬季应急保障的快速反应需求，要求自有并用于应急保障的工程救险的车辆（机动车行驶证上的使用性质为工程救（抢）险）达到10辆（含）以上的得1分，20辆（含）以上得2分，30辆（含）以上的得3分，40辆（含）以上的得4分，未达到不得分。（</w:t>
            </w:r>
            <w:r>
              <w:rPr>
                <w:rFonts w:hint="eastAsia" w:ascii="宋体" w:hAnsi="宋体" w:eastAsia="宋体" w:cs="宋体"/>
                <w:color w:val="auto"/>
                <w:sz w:val="24"/>
                <w:szCs w:val="24"/>
                <w:highlight w:val="none"/>
                <w:lang w:val="en-US" w:eastAsia="zh-CN"/>
              </w:rPr>
              <w:t>须提供以下两种材料中任意一种：1.自有的须提供购置发票、设备外观照片、车辆还须提供车辆行驶证；2.政府划拨的须提供资产划拨单、原采购单位的购置发票、设备外观照片、车辆还须提供车辆行驶证。</w:t>
            </w:r>
            <w:r>
              <w:rPr>
                <w:rFonts w:hint="eastAsia" w:ascii="宋体" w:hAnsi="宋体" w:eastAsia="宋体" w:cs="宋体"/>
                <w:color w:val="auto"/>
                <w:sz w:val="24"/>
                <w:szCs w:val="24"/>
                <w:highlight w:val="none"/>
              </w:rPr>
              <w:t>）。</w:t>
            </w:r>
          </w:p>
          <w:p>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rPr>
              <w:t>以上所有设备（排水泵除外）均需承诺安装GPS模块，提供能接入智慧城管系统的承诺书；不提供不得分。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20</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项目城区养护基地情况（8分）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承诺在中标后一周内落实以下规模的养护基地的：具有养护基地2000㎡≥总面积＞500㎡，并距离项目服务范围不超过20KM，的得2分；3000㎡≥总面积＞2000㎡，并距离项目服务范围不超过20KM，的得4分；5000㎡≥总面积＞3000㎡，并距离项目服务范围不超过20KM，的得6分；总面积＞5000㎡，并距离项目服务范围不超过20KM，的得8分。（提供承诺函，不提供不得分，如中标后未能在承诺时效内提供的视作提供不实资料骗取中标，取消中标资格并上报主管部门）。（8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沥青混凝土供应情况（8分）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投标人或全资子公司自有保障本项目沥青供应的沥青砼生产企业的得8分；投标人共同经营的得4分；投标人与沥青砼生产企业签订长期供货协议的得2分。（自有的提供营业执照复印件、沥青混凝土生产项目的环境保护部门出具的项目环评批复或项目竣工环境保护验收结果证明或政府部门出具的允许沥青混凝土生产的许可批复证明；共同经营的提供营业执照及出具经市场监督管理局备案的相关证明文件；签订协议的提供协议复印件、沥青生产厂家营业执照复印件）（8分）</w:t>
            </w:r>
          </w:p>
        </w:tc>
        <w:tc>
          <w:tcPr>
            <w:tcW w:w="619" w:type="pct"/>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投标人内部管理情况（</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◇财务管理（</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制定财务管理制度的得1分，未制定的该项不得分。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◇员工管理（</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员工管理制度、考核制度健全，员工劳动合同签订率和社会保险费缴费率均达100%的，提供员工社保缴纳清单，未达到的该项不得分。</w:t>
            </w:r>
          </w:p>
        </w:tc>
        <w:tc>
          <w:tcPr>
            <w:tcW w:w="619" w:type="pct"/>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3061" w:type="pct"/>
            <w:vAlign w:val="center"/>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安全生产管理（</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4分）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◇制订安全生产制度的，得</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2分，未制订的，该项不得分。</w:t>
            </w:r>
          </w:p>
          <w:p>
            <w:pPr>
              <w:snapToGrid w:val="0"/>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◇有专职安全员，定期开展安全生产培训，记录完整的，得</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2分，未定期开展培训或无记录的，或无专职安全员的，该项不得分，须提供证书复印件及近一个月社保证明，不提供不得分。</w:t>
            </w:r>
          </w:p>
        </w:tc>
        <w:tc>
          <w:tcPr>
            <w:tcW w:w="619" w:type="pct"/>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3061" w:type="pct"/>
            <w:vAlign w:val="top"/>
          </w:tcPr>
          <w:p>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投标人对此项目年度养护承诺（2分）</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投标人对此项目年度养护成绩，承诺中标后项目在区对养护单位年度考核成绩达到优胜的得2分。该承诺将与年度养护经费挂钩，无承诺不得分。（2分）</w:t>
            </w:r>
          </w:p>
        </w:tc>
        <w:tc>
          <w:tcPr>
            <w:tcW w:w="619" w:type="pct"/>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86" w:type="pct"/>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31" w:type="pct"/>
            <w:vAlign w:val="center"/>
          </w:tcPr>
          <w:p>
            <w:pPr>
              <w:spacing w:line="360" w:lineRule="auto"/>
              <w:ind w:firstLine="240" w:firstLineChars="100"/>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3061" w:type="pct"/>
            <w:vAlign w:val="top"/>
          </w:tcPr>
          <w:p>
            <w:pPr>
              <w:keepNext w:val="0"/>
              <w:keepLines w:val="0"/>
              <w:suppressLineNumbers w:val="0"/>
              <w:snapToGrid w:val="0"/>
              <w:spacing w:before="0" w:beforeAutospacing="0" w:after="0" w:afterAutospacing="0" w:line="360" w:lineRule="auto"/>
              <w:ind w:left="0" w:leftChars="0"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有效投标报价的最低价作为评标基准价，其最低报价为满分；按［投标报价得分=（评标基准价/投标报价）*10］的计算公式计算。</w:t>
            </w:r>
          </w:p>
          <w:p>
            <w:pPr>
              <w:keepNext w:val="0"/>
              <w:keepLines w:val="0"/>
              <w:suppressLineNumbers w:val="0"/>
              <w:snapToGrid w:val="0"/>
              <w:spacing w:before="0" w:beforeAutospacing="0" w:after="0" w:afterAutospacing="0" w:line="360" w:lineRule="auto"/>
              <w:ind w:left="0" w:leftChars="0"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评标过程中，不得去掉报价中的最高报价和最低报价。</w:t>
            </w:r>
          </w:p>
          <w:p>
            <w:pPr>
              <w:keepNext w:val="0"/>
              <w:keepLines w:val="0"/>
              <w:suppressLineNumbers w:val="0"/>
              <w:snapToGrid w:val="0"/>
              <w:spacing w:before="0" w:beforeAutospacing="0" w:after="0" w:afterAutospacing="0" w:line="360" w:lineRule="auto"/>
              <w:ind w:left="0" w:leftChars="0"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因落实政府采购政策需要进行价格调整的，以调整后的价格计算评标基准价和投标报价。</w:t>
            </w:r>
          </w:p>
        </w:tc>
        <w:tc>
          <w:tcPr>
            <w:tcW w:w="619" w:type="pct"/>
            <w:vAlign w:val="center"/>
          </w:tcPr>
          <w:p>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0</w:t>
            </w:r>
          </w:p>
        </w:tc>
        <w:tc>
          <w:tcPr>
            <w:tcW w:w="886" w:type="pct"/>
            <w:vAlign w:val="center"/>
          </w:tcPr>
          <w:p>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w:t>
            </w:r>
          </w:p>
        </w:tc>
      </w:tr>
    </w:tbl>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w:t>
      </w:r>
    </w:p>
    <w:p>
      <w:pPr>
        <w:snapToGrid w:val="0"/>
        <w:spacing w:line="360" w:lineRule="auto"/>
        <w:rPr>
          <w:rFonts w:hint="eastAsia" w:ascii="宋体" w:hAnsi="宋体" w:eastAsia="宋体" w:cs="宋体"/>
          <w:b/>
          <w:color w:val="auto"/>
          <w:sz w:val="32"/>
          <w:highlight w:val="none"/>
        </w:rPr>
      </w:pPr>
    </w:p>
    <w:p>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129"/>
        <w:spacing w:before="0" w:line="360" w:lineRule="auto"/>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9"/>
        <w:spacing w:before="0" w:line="360" w:lineRule="auto"/>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kern w:val="0"/>
          <w:szCs w:val="24"/>
          <w:highlight w:val="none"/>
          <w:lang w:val="en-US" w:eastAsia="zh-CN"/>
        </w:rPr>
        <w:t>6</w:t>
      </w:r>
      <w:r>
        <w:rPr>
          <w:rFonts w:hint="eastAsia" w:ascii="宋体" w:hAnsi="宋体" w:eastAsia="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60" w:lineRule="auto"/>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pPr>
        <w:pStyle w:val="129"/>
        <w:spacing w:before="0" w:line="360" w:lineRule="auto"/>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有下列情况之一的，投标无效：</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4.2.12投标人仅提交备份投标文件，没有在电子交易平台传输递交投标文件的，投标无效；</w:t>
      </w:r>
    </w:p>
    <w:p>
      <w:pPr>
        <w:pStyle w:val="6"/>
        <w:spacing w:line="360" w:lineRule="auto"/>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pPr>
        <w:pStyle w:val="26"/>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pPr>
        <w:pStyle w:val="26"/>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6"/>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pPr>
        <w:pStyle w:val="26"/>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7.1未确定中标或者中标人的，终止本次政府采购活动，重新开展政府采购活动。</w:t>
      </w:r>
    </w:p>
    <w:p>
      <w:pPr>
        <w:pStyle w:val="26"/>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6"/>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的行为，经改正后仍然影响或者可能影响中标、成交结果或者依法被认定为中标、成交无效的，依照7.1-7.4规定处理。</w:t>
      </w:r>
    </w:p>
    <w:bookmarkEnd w:id="25"/>
    <w:p>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96" w:name="第五部分"/>
      <w:bookmarkStart w:id="397" w:name="_Toc86217003"/>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pStyle w:val="2"/>
        <w:rPr>
          <w:rFonts w:hint="eastAsia" w:ascii="宋体" w:hAnsi="宋体" w:eastAsia="宋体" w:cs="宋体"/>
          <w:b/>
          <w:color w:val="auto"/>
          <w:sz w:val="36"/>
          <w:szCs w:val="36"/>
          <w:highlight w:val="none"/>
        </w:rPr>
      </w:pPr>
    </w:p>
    <w:p>
      <w:pPr>
        <w:pStyle w:val="3"/>
        <w:rPr>
          <w:rFonts w:hint="eastAsia" w:ascii="宋体" w:hAnsi="宋体" w:eastAsia="宋体" w:cs="宋体"/>
          <w:color w:val="auto"/>
          <w:highlight w:val="none"/>
        </w:rPr>
      </w:pPr>
    </w:p>
    <w:p>
      <w:pPr>
        <w:pStyle w:val="4"/>
        <w:rPr>
          <w:rFonts w:hint="eastAsia" w:ascii="宋体" w:hAnsi="宋体" w:eastAsia="宋体" w:cs="宋体"/>
          <w:color w:val="auto"/>
          <w:highlight w:val="none"/>
        </w:rPr>
      </w:pPr>
    </w:p>
    <w:p>
      <w:pPr>
        <w:spacing w:line="360" w:lineRule="auto"/>
        <w:ind w:left="0" w:leftChars="0" w:firstLine="0" w:firstLineChars="0"/>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pPr>
        <w:spacing w:line="360" w:lineRule="auto"/>
        <w:jc w:val="center"/>
        <w:rPr>
          <w:rFonts w:hint="eastAsia" w:ascii="宋体" w:hAnsi="宋体" w:eastAsia="宋体" w:cs="宋体"/>
          <w:b/>
          <w:color w:val="auto"/>
          <w:sz w:val="28"/>
          <w:szCs w:val="28"/>
          <w:highlight w:val="none"/>
        </w:rPr>
      </w:pP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w:t>
      </w:r>
    </w:p>
    <w:p>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w:t>
      </w:r>
      <w:r>
        <w:rPr>
          <w:rFonts w:hint="eastAsia" w:ascii="宋体" w:hAnsi="宋体" w:eastAsia="宋体" w:cs="宋体"/>
          <w:b/>
          <w:color w:val="auto"/>
          <w:sz w:val="36"/>
          <w:szCs w:val="36"/>
          <w:highlight w:val="none"/>
          <w:lang w:val="en-US" w:eastAsia="zh-CN"/>
        </w:rPr>
        <w:t>服务</w:t>
      </w:r>
      <w:r>
        <w:rPr>
          <w:rFonts w:hint="eastAsia" w:ascii="宋体" w:hAnsi="宋体" w:eastAsia="宋体" w:cs="宋体"/>
          <w:b/>
          <w:color w:val="auto"/>
          <w:sz w:val="36"/>
          <w:szCs w:val="36"/>
          <w:highlight w:val="none"/>
        </w:rPr>
        <w:t>类）</w:t>
      </w:r>
    </w:p>
    <w:p>
      <w:pPr>
        <w:pStyle w:val="700"/>
        <w:spacing w:line="360" w:lineRule="auto"/>
        <w:rPr>
          <w:rFonts w:hint="eastAsia" w:ascii="宋体" w:hAnsi="宋体" w:eastAsia="宋体" w:cs="宋体"/>
          <w:color w:val="auto"/>
          <w:szCs w:val="24"/>
          <w:highlight w:val="none"/>
        </w:rPr>
      </w:pPr>
    </w:p>
    <w:p>
      <w:pPr>
        <w:pStyle w:val="700"/>
        <w:spacing w:line="360" w:lineRule="auto"/>
        <w:rPr>
          <w:rFonts w:hint="eastAsia" w:ascii="宋体" w:hAnsi="宋体" w:eastAsia="宋体" w:cs="宋体"/>
          <w:color w:val="auto"/>
          <w:szCs w:val="24"/>
          <w:highlight w:val="none"/>
        </w:rPr>
      </w:pPr>
    </w:p>
    <w:p>
      <w:pPr>
        <w:pStyle w:val="700"/>
        <w:spacing w:line="360" w:lineRule="auto"/>
        <w:jc w:val="center"/>
        <w:rPr>
          <w:rFonts w:hint="eastAsia" w:ascii="宋体" w:hAnsi="宋体" w:eastAsia="宋体" w:cs="宋体"/>
          <w:color w:val="auto"/>
          <w:szCs w:val="24"/>
          <w:highlight w:val="none"/>
        </w:rPr>
      </w:pPr>
    </w:p>
    <w:p>
      <w:pPr>
        <w:pStyle w:val="700"/>
        <w:spacing w:line="360" w:lineRule="auto"/>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pPr>
        <w:pStyle w:val="700"/>
        <w:spacing w:line="360" w:lineRule="auto"/>
        <w:rPr>
          <w:rFonts w:hint="eastAsia" w:ascii="宋体" w:hAnsi="宋体" w:eastAsia="宋体" w:cs="宋体"/>
          <w:color w:val="auto"/>
          <w:szCs w:val="24"/>
          <w:highlight w:val="none"/>
        </w:rPr>
      </w:pPr>
    </w:p>
    <w:p>
      <w:pPr>
        <w:pStyle w:val="700"/>
        <w:spacing w:line="360" w:lineRule="auto"/>
        <w:rPr>
          <w:rFonts w:hint="eastAsia" w:ascii="宋体" w:hAnsi="宋体" w:eastAsia="宋体" w:cs="宋体"/>
          <w:color w:val="auto"/>
          <w:szCs w:val="24"/>
          <w:highlight w:val="none"/>
        </w:rPr>
      </w:pPr>
    </w:p>
    <w:p>
      <w:pPr>
        <w:spacing w:before="120" w:line="360" w:lineRule="auto"/>
        <w:rPr>
          <w:rFonts w:hint="eastAsia" w:ascii="宋体" w:hAnsi="宋体" w:eastAsia="宋体" w:cs="宋体"/>
          <w:color w:val="auto"/>
          <w:sz w:val="24"/>
          <w:highlight w:val="none"/>
        </w:rPr>
      </w:pPr>
    </w:p>
    <w:p>
      <w:pPr>
        <w:spacing w:before="120" w:line="360" w:lineRule="auto"/>
        <w:ind w:left="220" w:leftChars="0" w:firstLine="0" w:firstLineChars="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lang w:eastAsia="zh-CN"/>
        </w:rPr>
        <w:t>2023年上城区九堡北片区市政设施长效养护服务项目</w:t>
      </w:r>
    </w:p>
    <w:p>
      <w:pPr>
        <w:pStyle w:val="597"/>
        <w:spacing w:before="120" w:line="360" w:lineRule="auto"/>
        <w:rPr>
          <w:rFonts w:hint="eastAsia" w:ascii="宋体" w:hAnsi="宋体" w:eastAsia="宋体" w:cs="宋体"/>
          <w:color w:val="auto"/>
          <w:szCs w:val="24"/>
          <w:highlight w:val="none"/>
        </w:rPr>
      </w:pPr>
    </w:p>
    <w:p>
      <w:pPr>
        <w:spacing w:line="360" w:lineRule="auto"/>
        <w:rPr>
          <w:rFonts w:hint="eastAsia" w:ascii="宋体" w:hAnsi="宋体" w:eastAsia="宋体" w:cs="宋体"/>
          <w:color w:val="auto"/>
          <w:sz w:val="24"/>
          <w:highlight w:val="none"/>
        </w:rPr>
      </w:pPr>
    </w:p>
    <w:p>
      <w:pP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杭州市上城区综合行政执法局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pPr>
        <w:spacing w:before="120" w:line="360" w:lineRule="auto"/>
        <w:rPr>
          <w:rFonts w:hint="eastAsia" w:ascii="宋体" w:hAnsi="宋体" w:eastAsia="宋体" w:cs="宋体"/>
          <w:color w:val="auto"/>
          <w:sz w:val="24"/>
          <w:highlight w:val="none"/>
        </w:rPr>
      </w:pPr>
    </w:p>
    <w:p>
      <w:pP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pPr>
        <w:spacing w:before="120" w:line="360" w:lineRule="auto"/>
        <w:rPr>
          <w:rFonts w:hint="eastAsia" w:ascii="宋体" w:hAnsi="宋体" w:eastAsia="宋体" w:cs="宋体"/>
          <w:color w:val="auto"/>
          <w:sz w:val="24"/>
          <w:highlight w:val="none"/>
        </w:rPr>
      </w:pPr>
    </w:p>
    <w:p>
      <w:pPr>
        <w:spacing w:before="120" w:line="360" w:lineRule="auto"/>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pPr>
        <w:spacing w:before="120" w:line="360" w:lineRule="auto"/>
        <w:rPr>
          <w:rFonts w:hint="eastAsia" w:ascii="宋体" w:hAnsi="宋体" w:eastAsia="宋体" w:cs="宋体"/>
          <w:color w:val="auto"/>
          <w:sz w:val="24"/>
          <w:highlight w:val="none"/>
        </w:rPr>
      </w:pPr>
    </w:p>
    <w:p>
      <w:pPr>
        <w:spacing w:before="120" w:line="360" w:lineRule="auto"/>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pPr>
        <w:widowControl/>
        <w:spacing w:line="360" w:lineRule="auto"/>
        <w:jc w:val="left"/>
        <w:rPr>
          <w:rFonts w:hint="eastAsia" w:ascii="宋体" w:hAnsi="宋体" w:eastAsia="宋体" w:cs="宋体"/>
          <w:color w:val="auto"/>
          <w:kern w:val="0"/>
          <w:sz w:val="24"/>
          <w:highlight w:val="none"/>
        </w:rPr>
        <w:sectPr>
          <w:footerReference r:id="rId8" w:type="default"/>
          <w:pgSz w:w="11907" w:h="16840"/>
          <w:pgMar w:top="1474" w:right="1814" w:bottom="1474" w:left="1814" w:header="851" w:footer="851" w:gutter="0"/>
          <w:pgNumType w:fmt="decimal"/>
          <w:cols w:space="720" w:num="1"/>
        </w:sectPr>
      </w:pP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了加强杭州市区道路设施的养护、维修，确保市政设施完好、整洁，甲乙双方按照《中华人民共和国合同法》及其他有关规定，遵循平等、自愿、公平和诚实信用的原则，就市区道路等设施养护运行及临时应急任务等事项协商一致，订立本合同。</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一、养护范围</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养护设施范围（包括养护道路清单、设施量、资料卡、明细等）见合同附件。</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val="en-US" w:eastAsia="zh-CN"/>
        </w:rPr>
        <w:t>签订时</w:t>
      </w:r>
      <w:r>
        <w:rPr>
          <w:rFonts w:hint="eastAsia" w:ascii="宋体" w:hAnsi="宋体" w:eastAsia="宋体" w:cs="宋体"/>
          <w:color w:val="auto"/>
          <w:sz w:val="24"/>
          <w:szCs w:val="24"/>
          <w:highlight w:val="none"/>
        </w:rPr>
        <w:t>附</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二、养护的内容</w:t>
      </w:r>
    </w:p>
    <w:p>
      <w:pPr>
        <w:pStyle w:val="38"/>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(按清单及甲方要求)</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三、养护承包方式</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(一)乙方在确定的范围内以包工包料的方式实施固定单价承包且</w:t>
      </w:r>
      <w:r>
        <w:rPr>
          <w:rFonts w:hint="eastAsia" w:ascii="宋体" w:hAnsi="宋体" w:eastAsia="宋体" w:cs="宋体"/>
          <w:color w:val="auto"/>
          <w:sz w:val="24"/>
          <w:szCs w:val="24"/>
          <w:highlight w:val="none"/>
          <w:lang w:eastAsia="zh-CN"/>
        </w:rPr>
        <w:t>结算价</w:t>
      </w:r>
      <w:r>
        <w:rPr>
          <w:rFonts w:hint="eastAsia" w:ascii="宋体" w:hAnsi="宋体" w:eastAsia="宋体" w:cs="宋体"/>
          <w:color w:val="auto"/>
          <w:sz w:val="24"/>
          <w:szCs w:val="24"/>
          <w:highlight w:val="none"/>
        </w:rPr>
        <w:t>不超过</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rPr>
        <w:t>价。</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(二)除特殊材料及新工艺、新材料需报甲方认可外，养护所需一般材料、成品、设备等，均由乙方自行解决，但必须符合有关养护及施工技术规程、规范要求。</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四、养护费用</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12个月</w:t>
      </w:r>
      <w:r>
        <w:rPr>
          <w:rFonts w:hint="eastAsia" w:ascii="宋体" w:hAnsi="宋体" w:eastAsia="宋体" w:cs="宋体"/>
          <w:color w:val="auto"/>
          <w:sz w:val="24"/>
          <w:szCs w:val="24"/>
          <w:highlight w:val="none"/>
        </w:rPr>
        <w:t>养护金额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(若遇设施量发生变化等，则相应调整合同养护费用)</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五、养护期限</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本次养护期限暂签订</w:t>
      </w:r>
      <w:r>
        <w:rPr>
          <w:rFonts w:hint="eastAsia" w:ascii="宋体" w:hAnsi="宋体" w:eastAsia="宋体" w:cs="宋体"/>
          <w:b/>
          <w:color w:val="auto"/>
          <w:sz w:val="24"/>
          <w:szCs w:val="24"/>
          <w:highlight w:val="none"/>
          <w:lang w:val="en-US" w:eastAsia="zh-CN"/>
        </w:rPr>
        <w:t>12个月</w:t>
      </w:r>
      <w:r>
        <w:rPr>
          <w:rFonts w:hint="eastAsia" w:ascii="宋体" w:hAnsi="宋体" w:eastAsia="宋体" w:cs="宋体"/>
          <w:b/>
          <w:color w:val="auto"/>
          <w:sz w:val="24"/>
          <w:szCs w:val="24"/>
          <w:highlight w:val="none"/>
        </w:rPr>
        <w:t>，从</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月</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起至</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月</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日止；合同经双方签字盖章后生效。</w:t>
      </w:r>
    </w:p>
    <w:p>
      <w:pPr>
        <w:spacing w:line="360" w:lineRule="auto"/>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六、甲方的权利、职责与义务</w:t>
      </w:r>
    </w:p>
    <w:p>
      <w:pPr>
        <w:numPr>
          <w:ilvl w:val="0"/>
          <w:numId w:val="3"/>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甲方的权利：</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1、对合同范围内的所有市政设施及其附属设施进行管理，对占用或利用市政设施及其附属设施设置广告、管线、标志等以及在道路保护区域范围内进行施工等进行审批。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2、审定年度和月度养护计划、大面积维修计划，检查养护计划执行情况，审定乙方上报的养护工作量报表。</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3、对乙方日常养护的质量、安全和巡查工作及资料台帐进行定期或不定期的检查，并对设施完好和运行安全情况进行月度、半年度、年度考核。</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4、在有必要的情况下，可要求乙方对设施进行特殊养护。</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5、甲方以及其委派的任何人，在一切合理的时间内均可对乙方养护范围内的设施养护状况进行检查。</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(二)甲方的职责与义务：</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1、向乙方提供有关市政设施养护所需的设施竣工资料和规范性文件，以及相关的技术规程和考核办法，下发各类报表样式，指导乙方健全内业资料。</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b/>
          <w:color w:val="auto"/>
          <w:sz w:val="24"/>
          <w:szCs w:val="24"/>
          <w:highlight w:val="none"/>
          <w:u w:val="single"/>
        </w:rPr>
        <w:t>严格按照考核办法进行月度检查考核，</w:t>
      </w:r>
      <w:r>
        <w:rPr>
          <w:rFonts w:hint="eastAsia" w:ascii="宋体" w:hAnsi="宋体" w:eastAsia="宋体" w:cs="宋体"/>
          <w:color w:val="auto"/>
          <w:sz w:val="24"/>
          <w:szCs w:val="24"/>
          <w:highlight w:val="none"/>
        </w:rPr>
        <w:t>协助处理养护工作中与相关单位的协调工作。</w:t>
      </w:r>
      <w:r>
        <w:rPr>
          <w:rFonts w:hint="eastAsia" w:ascii="宋体" w:hAnsi="宋体" w:eastAsia="宋体" w:cs="宋体"/>
          <w:b/>
          <w:color w:val="auto"/>
          <w:sz w:val="24"/>
          <w:szCs w:val="24"/>
          <w:highlight w:val="none"/>
          <w:u w:val="single"/>
        </w:rPr>
        <w:t>例如确认乙方需要更换项目负责人或项目技术负责人、各类专业技术人员和道路养护工等事项，并及时报市级监管部门备案等。</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3、及时审核、下达乙方上报的月度、年度、大面积维修计划，并组织对大面积维修项目进行验收。</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4、对乙方承包养护的养护工作进行检查、督促，对设施完好状况进行跟踪检测；发现乙方未按规范要求进行养护时，应按合同约定进行处理；发现设施处于危急状况时立即限期要求乙方采取应急措施。</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5、对养护工作中采用新工艺、新材料、新方法的适用性、安全性进行审查。</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6、负责处理或协调因人为因素、自然因素造成的设施损坏和侵害事件。</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七、乙方的权利、职责与义务</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(一)乙方的权利</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1、按照本合同确定的养护设施范围，根据考核情况取得相应确定的养护经费。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2、编制年度、月度养护计划和大面积维修计划，经甲方审定后安排日常养护工作，实施大面积维修工程。</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3、按甲方要求进行临时养护的项目，</w:t>
      </w:r>
      <w:r>
        <w:rPr>
          <w:rFonts w:hint="eastAsia" w:ascii="宋体" w:hAnsi="宋体" w:eastAsia="宋体" w:cs="宋体"/>
          <w:color w:val="auto"/>
          <w:sz w:val="24"/>
          <w:szCs w:val="24"/>
          <w:highlight w:val="none"/>
          <w:lang w:val="en-US" w:eastAsia="zh-CN"/>
        </w:rPr>
        <w:t>不得新增加养护费用</w:t>
      </w:r>
      <w:r>
        <w:rPr>
          <w:rFonts w:hint="eastAsia" w:ascii="宋体" w:hAnsi="宋体" w:eastAsia="宋体" w:cs="宋体"/>
          <w:color w:val="auto"/>
          <w:sz w:val="24"/>
          <w:szCs w:val="24"/>
          <w:highlight w:val="none"/>
        </w:rPr>
        <w:t>。</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(二)乙方的职责与义务</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1、按照现行的有关规范要求并根据合同的各项规定，精心组织养护。</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2、掌握合同范围内设施动态，及时发现、防止和处理设施缺陷，确保市政设施完好和安全运行。</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在实施和完成本合同的养护作业过程中，应该遵守国家、省、市颁布的法律、法令、条例以及有关规定，遵守有关部门的规章细则等，养护操作中涉及的有关审批及协调手续由乙方办理，由于乙方违反上述有关规定而导致各种罚款和责任，则由乙方自行负责。</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4、对合同范围内的所有市政设施和附属设施按有关规定进行巡查，在重大活动期间和节假日应加大巡查频率，必要时采取监护措施。</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5、对全部现场作业和施工方法的适应、稳妥和安全性承担全部责任。在养护工作中，力求采用成熟的工艺、材料和方法。</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根据养护计划编制养护方案，并应在每月月底前报送当月完成的工作量和下月的计划。乙方在接到甲方下达的大面积维修项目计划一个月内，应编制详细的施工方案和预算，经甲方批复后组织施工；项目完成后提交完整的竣工资料。</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按合同附表配备技术熟练、经验丰富的项目负责人、项目技术负责人、各类专业技术人员和技工，并保持其岗位的相对稳定，如果需要更换项目负责人或项目技术负责人，应事先报请甲方同意；甲方有权要求乙方撤换那些工作不能胜任或玩忽职守、工作不负责的人员；养护期间应保证一定的机具设备，不得另作他用。</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8、配合甲方做好合同范围内设施量及设施现状调查工作，并为甲方的检测和检查等提供协助。</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9、配合做好大型公共活动的服务及安全保障工作。</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10、在合同期间内，乙方有责任发现并及时制止合同范围内的所有设施免遭人为等因素导致的损坏和侵害，并做好赔偿、修复的调查工作。</w:t>
      </w:r>
    </w:p>
    <w:p>
      <w:pPr>
        <w:pStyle w:val="26"/>
        <w:spacing w:line="360" w:lineRule="auto"/>
        <w:ind w:firstLine="48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八、养护质量标准和要求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(一)养护质量标准：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根据《城镇道路养护技术规范》(CJJ36—2006)、《杭州市城市道路管理养护技术要求(试行)》杭城管〔2011〕37号以及新颁布的相关规程、规范和国家有关强制性标准的规定执行。</w:t>
      </w:r>
    </w:p>
    <w:p>
      <w:pPr>
        <w:spacing w:line="360" w:lineRule="auto"/>
        <w:ind w:left="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(二)养护考核：</w:t>
      </w:r>
    </w:p>
    <w:p>
      <w:pPr>
        <w:spacing w:line="360" w:lineRule="auto"/>
        <w:ind w:firstLine="408" w:firstLineChars="1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按照杭州市人民政府《关于杭州市区城市道路设施完好度检查考核试行办法》及国家强制性标准等</w:t>
      </w:r>
      <w:r>
        <w:rPr>
          <w:rFonts w:hint="eastAsia" w:ascii="宋体" w:hAnsi="宋体" w:eastAsia="宋体" w:cs="宋体"/>
          <w:color w:val="auto"/>
          <w:sz w:val="24"/>
          <w:szCs w:val="24"/>
          <w:highlight w:val="none"/>
          <w:lang w:val="en-US" w:eastAsia="zh-CN"/>
        </w:rPr>
        <w:t>最新</w:t>
      </w:r>
      <w:r>
        <w:rPr>
          <w:rFonts w:hint="eastAsia" w:ascii="宋体" w:hAnsi="宋体" w:eastAsia="宋体" w:cs="宋体"/>
          <w:color w:val="auto"/>
          <w:sz w:val="24"/>
          <w:szCs w:val="24"/>
          <w:highlight w:val="none"/>
        </w:rPr>
        <w:t>相关规定。</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(三)养护检测评估：</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在道路及附属设施养护过程中，乙方应配备与养护设施量相适应养护技术人员、检查工具和检测设备，进行经常性检查的定期检测。</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(四)养护工程：</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在日常巡检、经常性检查和常规的定期检测、定期维护中，发现设施有明显破损、设备有隐患，应及时进行保养或大面积维修报甲方审核后实施。对道路因不适应现有交通量、载重量增长的需要及结构严重损坏，需恢复或提高技术等级，从而提高其运行能力的加固、改扩建工程，乙方应专题上报，并经甲方审定后申请立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(五)档案资料：</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乙方应以一条路为单位建立养护档案，健全日常养护作业记录，认真做好台帐的整理和归档工作；应每年将养护档案资料移交甲方一份。</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九、突发事件处理及防汛、抗台、抗雪</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应成立突发事件应急处理领导小组和应急抢险突击队，切实按照《杭州市突发事件应急抢险预案》、《杭州市防汛抗台应急抢险预案》、《杭州市抗雪应急抢险预案》制定相关预案并组织实施。认真做好防汛、抗台、抗雪防冻及突发事件应急抢险工作，确保人员、设备、材料“三落实”，并做好数据、图片和台帐的记录、存档，及时反映情况，严格服从甲方的统一指挥和安排。</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若发生非养护原因引起的意外事故或人为破坏造成的设施损坏，乙方应立即采取相关措施或临时应急措施，并通知甲方和相关部门。</w:t>
      </w:r>
    </w:p>
    <w:p>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十、考核及支付</w:t>
      </w:r>
    </w:p>
    <w:p>
      <w:pPr>
        <w:pStyle w:val="34"/>
        <w:spacing w:line="360" w:lineRule="auto"/>
        <w:ind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(一)考核</w:t>
      </w:r>
    </w:p>
    <w:p>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考核办法：管理考核采取日常巡查</w:t>
      </w:r>
      <w:r>
        <w:rPr>
          <w:rFonts w:hint="eastAsia" w:ascii="宋体" w:hAnsi="宋体" w:eastAsia="宋体" w:cs="宋体"/>
          <w:color w:val="auto"/>
          <w:sz w:val="24"/>
          <w:szCs w:val="24"/>
          <w:highlight w:val="none"/>
          <w:lang w:eastAsia="zh-CN"/>
        </w:rPr>
        <w:t>考核</w:t>
      </w:r>
      <w:r>
        <w:rPr>
          <w:rFonts w:hint="eastAsia" w:ascii="宋体" w:hAnsi="宋体" w:eastAsia="宋体" w:cs="宋体"/>
          <w:color w:val="auto"/>
          <w:sz w:val="24"/>
          <w:szCs w:val="24"/>
          <w:highlight w:val="none"/>
        </w:rPr>
        <w:t>和检查考核相结合</w:t>
      </w:r>
      <w:r>
        <w:rPr>
          <w:rFonts w:hint="eastAsia" w:ascii="宋体" w:hAnsi="宋体" w:eastAsia="宋体" w:cs="宋体"/>
          <w:color w:val="auto"/>
          <w:sz w:val="24"/>
          <w:szCs w:val="24"/>
          <w:highlight w:val="none"/>
          <w:lang w:eastAsia="zh-CN"/>
        </w:rPr>
        <w:t>（参照</w:t>
      </w:r>
      <w:r>
        <w:rPr>
          <w:rFonts w:hint="eastAsia" w:ascii="宋体" w:hAnsi="宋体" w:eastAsia="宋体" w:cs="宋体"/>
          <w:color w:val="auto"/>
          <w:sz w:val="24"/>
          <w:szCs w:val="24"/>
          <w:highlight w:val="none"/>
        </w:rPr>
        <w:t>上综法〔202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号关于印发《</w:t>
      </w:r>
      <w:r>
        <w:rPr>
          <w:rFonts w:hint="eastAsia" w:ascii="宋体" w:hAnsi="宋体" w:eastAsia="宋体" w:cs="宋体"/>
          <w:color w:val="auto"/>
          <w:sz w:val="24"/>
          <w:szCs w:val="24"/>
          <w:highlight w:val="none"/>
          <w:lang w:val="en-US" w:eastAsia="zh-CN"/>
        </w:rPr>
        <w:t>上城区综合行政执法局</w:t>
      </w:r>
      <w:r>
        <w:rPr>
          <w:rFonts w:hint="eastAsia" w:ascii="宋体" w:hAnsi="宋体" w:eastAsia="宋体" w:cs="宋体"/>
          <w:color w:val="auto"/>
          <w:sz w:val="24"/>
          <w:szCs w:val="24"/>
          <w:highlight w:val="none"/>
        </w:rPr>
        <w:t>市政设施监管考核实施细则(</w:t>
      </w:r>
      <w:r>
        <w:rPr>
          <w:rFonts w:hint="eastAsia" w:ascii="宋体" w:hAnsi="宋体" w:eastAsia="宋体" w:cs="宋体"/>
          <w:color w:val="auto"/>
          <w:sz w:val="24"/>
          <w:szCs w:val="24"/>
          <w:highlight w:val="none"/>
          <w:lang w:val="en-US" w:eastAsia="zh-CN"/>
        </w:rPr>
        <w:t>指引</w:t>
      </w:r>
      <w:r>
        <w:rPr>
          <w:rFonts w:hint="eastAsia" w:ascii="宋体" w:hAnsi="宋体" w:eastAsia="宋体" w:cs="宋体"/>
          <w:color w:val="auto"/>
          <w:sz w:val="24"/>
          <w:szCs w:val="24"/>
          <w:highlight w:val="none"/>
        </w:rPr>
        <w:t>)》的通知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合同期内市区相关主管部门出台的最新考核办法等相关规定的，按最新规定执行考核。</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2、警告退出办法</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2.1.在养护作业合同期间，有下列情景之一的给予1次警告:</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(1)防汛防台、抗雪防冻、突发事件应急处理及重大活动保障处置不力的；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(2)管理混乱，发生管养人员集体上访的；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(3)不遵守交通法规，未按照规程操作发生有责交通事故的。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(4)月度合同标段(非市场化招标的按照养护范围)数字 城管问题及时整改率未达到100%的；</w:t>
      </w:r>
    </w:p>
    <w:p>
      <w:pPr>
        <w:pStyle w:val="34"/>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(5)乙方因职工工资、福利待遇、员工权益保障不到位等相关情况引发的群体上访事件。</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2.2.在养护作业期间，存在以下之一的甲方有权提前终止养护合同：</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(1)组织管理机构、人员素质、养护人数与投标承诺不符, 无法完成市政设施管养任务的；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(2)同一养护标段一年内累计被警告2次的；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(3)月度考核连续2次低于90分或一年内累计4次低于 90分的；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(4)上级有关部门发出整改通知书且不整改或整改不力的, 合同期一年内累计达到2次的，予以解除合同，履约保证金不予归还；</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(5)重大违反国家有关法律法规的行为及发生严重伤亡安全事故的；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(6)养护人员工资低于杭州市劳动保障部门有关规定，未 落实职工劳保福利待遇，职工未缴纳社会保险费（养老保险、医 疗保险、失业保险、工伤保险和生育保险）与住房公积金，职工 休息休假权利没有保障，未足额支付加班费的；</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(7)乙方除招标文件前附表允许的分包项目以外向他人转包或分包养护项目。一经发现，甲方有权全额扣除履约保证金，由此产生的法律责任和经济损失由乙方承担；</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(8)乙方在综合养护服务过程中达不到甲方的要求和标准, 甲方有权按规定进行经济处罚，直至终止合同。</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（二）考核扣款</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1、由区级及以上管理部门发出的考核通报及行业专报中点名批评的问题，月度考核中每个问题按类别扣除相应标段两倍分数。</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2、针对市、区级管理部门检查抄告的问题，扣除相应标段 的养护资金200元/件，未及时整改或整改不到位的，扣款400 元/件；被市、区级管理部门书面通报为养护质量差的道路，每次每条路扣款1万元。</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3、月度考核成绩累计三次低于90分或者年度成绩低于90 分，且年度新闻媒体曝光两次以上造成负面影响的，加扣养护单位年市政养护经费10%；道路检测全年覆盖率不足100%的，桥梁常规检测覆盖率不足100%的，分别扣除养护单位年市政养护经费5%;因养护责任不落实发生死亡1人及以上，重伤2人及以上事故的养护单位，加扣养护单位年养护经费15%,并报送市城管局备案。</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4、如遇省级及以上部门临时抽检，检查发现辖区内一处有责问题，扣除相应标段养护单位年度经费10万元，以此类推。</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5、每个月在全区范围内综合评出红、橙、黄色预警道路。“红橙黄”预警道路一经发布，被预警道路的养护单位要迅速制 定整改措施，并于3个工作日报发展中心市政科备案。“红橙黄” 预警期限为2个月，到期前完成问题整改，达标后解除“红橙黄”预警。被评判为红色预警道路的，每次单条道路扣款5万元；被 评判为橙色预警道路的，每次单条道路扣款3万元；被评判为黄色预警道路的，每次单条道路扣款1万元。</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、乙方在投标文件中承诺的城区年度考核成绩，满足承诺的不扣款。未满足承诺的年度考核成绩扣除全年中标养护的5%。</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(三)养护经费支付</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1、日常养护经费按</w:t>
      </w:r>
      <w:r>
        <w:rPr>
          <w:rFonts w:hint="eastAsia" w:ascii="宋体" w:hAnsi="宋体" w:eastAsia="宋体" w:cs="宋体"/>
          <w:color w:val="auto"/>
          <w:sz w:val="24"/>
          <w:szCs w:val="24"/>
          <w:highlight w:val="none"/>
          <w:lang w:eastAsia="zh-CN"/>
        </w:rPr>
        <w:t>季</w:t>
      </w:r>
      <w:r>
        <w:rPr>
          <w:rFonts w:hint="eastAsia" w:ascii="宋体" w:hAnsi="宋体" w:eastAsia="宋体" w:cs="宋体"/>
          <w:color w:val="auto"/>
          <w:sz w:val="24"/>
          <w:szCs w:val="24"/>
          <w:highlight w:val="none"/>
        </w:rPr>
        <w:t>支付：</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①前三季度：季度养护费用=年度养护经费*100%/4。季度考核分数≥90分时，全额拨付当季养护费用；季度考核分数&lt;90分时，当季实得养护费用=(当季分数/90)*季度均养护费用。</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②第四季度：如全年维修量达到85%(含)以上，按前三季度拨付方式拨付经费；如维修量未达到85%，则按实际维修量结合考核分进行结算，且前三季度养护经费同比例扣除相应费用。</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2、甲方每季将考核结果及季度养护费用通知财政并要求支付。</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3、乙方按被告知的应得养护费用向甲方结算，并出具有效收据。</w:t>
      </w:r>
    </w:p>
    <w:p>
      <w:pPr>
        <w:pStyle w:val="34"/>
        <w:spacing w:line="360" w:lineRule="auto"/>
        <w:ind w:firstLine="53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4、如合同期内涉及道路整治等项目而不需要乙方进行养护，相应的养护费用需扣除。</w:t>
      </w:r>
    </w:p>
    <w:p>
      <w:pPr>
        <w:pStyle w:val="26"/>
        <w:spacing w:line="360" w:lineRule="auto"/>
        <w:ind w:firstLine="482"/>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十一、</w:t>
      </w:r>
      <w:r>
        <w:rPr>
          <w:rFonts w:hint="eastAsia" w:ascii="宋体" w:hAnsi="宋体" w:eastAsia="宋体" w:cs="宋体"/>
          <w:b/>
          <w:color w:val="auto"/>
          <w:sz w:val="24"/>
          <w:szCs w:val="24"/>
          <w:highlight w:val="none"/>
          <w:lang w:val="en-US" w:eastAsia="zh-CN"/>
        </w:rPr>
        <w:t>验收</w:t>
      </w:r>
    </w:p>
    <w:p>
      <w:pPr>
        <w:pStyle w:val="34"/>
        <w:spacing w:line="360" w:lineRule="auto"/>
        <w:ind w:firstLine="53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1.由甲方负责进行验收考核，乙方协助。</w:t>
      </w:r>
    </w:p>
    <w:p>
      <w:pPr>
        <w:pStyle w:val="34"/>
        <w:spacing w:line="360" w:lineRule="auto"/>
        <w:ind w:firstLine="53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2.甲方在乙方提供相关服务的过程中，不定期对服务内容和质量进行考核。不达要求者，乙方承担一切损失和费用，验收考核详见本合同第十点“考核及支付”。</w:t>
      </w:r>
    </w:p>
    <w:p>
      <w:pPr>
        <w:pStyle w:val="34"/>
        <w:spacing w:line="360" w:lineRule="auto"/>
        <w:ind w:firstLine="53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3.本项目最终以验收小组的形式，对项目成果进行验收，检测成果需达到国家相关验收标准。若一次验收不通过，再次验收产生的费用由乙方承担。</w:t>
      </w:r>
    </w:p>
    <w:p>
      <w:pPr>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十二、</w:t>
      </w:r>
      <w:r>
        <w:rPr>
          <w:rFonts w:hint="eastAsia" w:ascii="宋体" w:hAnsi="宋体" w:eastAsia="宋体" w:cs="宋体"/>
          <w:b/>
          <w:bCs/>
          <w:color w:val="auto"/>
          <w:sz w:val="24"/>
          <w:szCs w:val="24"/>
          <w:highlight w:val="none"/>
          <w:lang w:val="en-US" w:eastAsia="zh-CN"/>
        </w:rPr>
        <w:t>争议处理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在合同履约过程中，双方如发生争议，应当协商解决，协商不成的，提请杭州市仲裁委员会仲裁。</w:t>
      </w:r>
    </w:p>
    <w:p>
      <w:pPr>
        <w:pStyle w:val="26"/>
        <w:spacing w:line="360" w:lineRule="auto"/>
        <w:ind w:firstLine="48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w:t>
      </w:r>
      <w:r>
        <w:rPr>
          <w:rFonts w:hint="eastAsia" w:ascii="宋体" w:hAnsi="宋体" w:eastAsia="宋体" w:cs="宋体"/>
          <w:b/>
          <w:color w:val="auto"/>
          <w:sz w:val="24"/>
          <w:szCs w:val="24"/>
          <w:highlight w:val="none"/>
        </w:rPr>
        <w:t>安全、文明施工</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为确保安全、文明施工，应该本着“安全第一，预防为主”的原则，建立安全管理组织体系；严格贯彻国家、省、市和劳动保护、安全生产部门颁发的有关安全生产、消防工作的方针、政策、法规、条例、规定等执行。</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(二)合同期间，甲乙方应签订《养护项目安全责任协议书》(详见附件)。由于</w:t>
      </w:r>
      <w:r>
        <w:rPr>
          <w:rFonts w:hint="eastAsia" w:ascii="宋体" w:hAnsi="宋体" w:eastAsia="宋体" w:cs="宋体"/>
          <w:color w:val="auto"/>
          <w:sz w:val="24"/>
          <w:szCs w:val="24"/>
          <w:highlight w:val="none"/>
        </w:rPr>
        <w:t>乙方安全措施不力、养护工作不到位、违反安全操作规程而导致责任事故或伤害，所发生的费用均由乙方自负，甲方保留追究责任的权利。</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十四、</w:t>
      </w:r>
      <w:r>
        <w:rPr>
          <w:rFonts w:hint="eastAsia" w:ascii="宋体" w:hAnsi="宋体" w:eastAsia="宋体" w:cs="宋体"/>
          <w:b/>
          <w:bCs/>
          <w:color w:val="auto"/>
          <w:sz w:val="24"/>
          <w:szCs w:val="24"/>
          <w:highlight w:val="none"/>
        </w:rPr>
        <w:t>其他</w:t>
      </w:r>
    </w:p>
    <w:p>
      <w:pPr>
        <w:adjustRightInd w:val="0"/>
        <w:snapToGrid w:val="0"/>
        <w:spacing w:line="360" w:lineRule="auto"/>
        <w:ind w:firstLine="470" w:firstLineChars="196"/>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(一)履约保证金</w:t>
      </w:r>
    </w:p>
    <w:p>
      <w:pPr>
        <w:pStyle w:val="34"/>
        <w:adjustRightInd w:val="0"/>
        <w:snapToGrid w:val="0"/>
        <w:spacing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1、签订合同后3个工作日内，中标人须向采购人交纳相当于年养护经费</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zh-CN"/>
        </w:rPr>
        <w:t>％的履约保证金</w:t>
      </w:r>
      <w:r>
        <w:rPr>
          <w:rFonts w:hint="eastAsia" w:ascii="宋体" w:hAnsi="宋体" w:eastAsia="宋体" w:cs="宋体"/>
          <w:color w:val="auto"/>
          <w:sz w:val="24"/>
          <w:szCs w:val="24"/>
          <w:highlight w:val="none"/>
        </w:rPr>
        <w:t>。</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2、中标人如未按时交纳履约保证金，采购机构有权撤销其中标资格，并根据谈判小组确定的中标候选人名单与下一顺序单位商谈合同，或报请批准后另行采购。</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3、履约保证金可以用支票、银行汇票、银行保函等形式交纳。</w:t>
      </w:r>
    </w:p>
    <w:p>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4、服务合同履约中止且所有义务已履行完毕后</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个工作日内退还。</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(二)窨井盖管理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乙方受甲方委托，承担养护范围内的雨水检查井盖的日常管理工作(包括窨井盖补盖工作)。对养护范围内的其他窨井盖，如接到举报或发现窨井盖缺失，应在1小时内用备用井盖覆盖，再查找产权单位</w:t>
      </w:r>
      <w:r>
        <w:rPr>
          <w:rFonts w:hint="eastAsia" w:ascii="宋体" w:hAnsi="宋体" w:eastAsia="宋体" w:cs="宋体"/>
          <w:color w:val="auto"/>
          <w:sz w:val="24"/>
          <w:szCs w:val="24"/>
          <w:highlight w:val="none"/>
          <w:lang w:val="en-US" w:eastAsia="zh-CN"/>
        </w:rPr>
        <w:t>,对道路上确认无主认领、存在安全隐患的检查井予以填埋</w:t>
      </w:r>
      <w:r>
        <w:rPr>
          <w:rFonts w:hint="eastAsia" w:ascii="宋体" w:hAnsi="宋体" w:eastAsia="宋体" w:cs="宋体"/>
          <w:color w:val="auto"/>
          <w:sz w:val="24"/>
          <w:szCs w:val="24"/>
          <w:highlight w:val="none"/>
        </w:rPr>
        <w:t>；其余按《杭州市地下管线盖板管理办法》及有关文件、规定执行。</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(三)三来件处理及12345回复</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乙方应建立24小时值班制度，及时处理三来件及12345交办事项，保证办结率和回复率达到100%，满意率98%以上。</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(四)下列内容不包括在本合同养护经费内</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1、不可抗力或非乙方人为因素造成设施损坏需抢修或维修，经甲方核实同意发生的抢修费用。</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2、经上级审批立项的道路专项工程费用。</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3、按甲方要求进行临时养护项目。</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4、配合甲方完成本合同约定养护内容以外的工作所发生的费用。</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(五)本合同在履行过程中如有未尽事宜或需变更合同内容，双方可另行签定补充协议，与合同具有相同的法律效力。</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(六)乙方应当按照本合同约定完成养护任务，不得向他人转包或分包</w:t>
      </w:r>
      <w:r>
        <w:rPr>
          <w:rFonts w:hint="eastAsia" w:ascii="宋体" w:hAnsi="宋体" w:eastAsia="宋体" w:cs="宋体"/>
          <w:color w:val="auto"/>
          <w:sz w:val="24"/>
          <w:szCs w:val="24"/>
          <w:highlight w:val="none"/>
          <w:lang w:eastAsia="zh-CN"/>
        </w:rPr>
        <w:t>（除招标文件前附表允许的分包项目）</w:t>
      </w:r>
      <w:r>
        <w:rPr>
          <w:rFonts w:hint="eastAsia" w:ascii="宋体" w:hAnsi="宋体" w:eastAsia="宋体" w:cs="宋体"/>
          <w:color w:val="auto"/>
          <w:sz w:val="24"/>
          <w:szCs w:val="24"/>
          <w:highlight w:val="none"/>
        </w:rPr>
        <w:t>。一经发现，甲方有权立即终止本合同。由此产生的法律责任和经济损失由乙方承担。对于乙方因设备或技术等原因无法实施的部分工作，在报请甲方同意后，委托他人实施的，乙方对分报人的所有行为负全责。</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)本合同自双方法定代表人签字、加盖单位公章后生效，合同期满后失效。</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)本合同一式九份，其中正本两份，双方各执一份；副本六份，双方各执三份，采购代理机构执一份。</w:t>
      </w:r>
    </w:p>
    <w:p>
      <w:pPr>
        <w:autoSpaceDE w:val="0"/>
        <w:autoSpaceDN w:val="0"/>
        <w:spacing w:line="360" w:lineRule="auto"/>
        <w:rPr>
          <w:rFonts w:hint="eastAsia" w:ascii="宋体" w:hAnsi="宋体" w:eastAsia="宋体" w:cs="宋体"/>
          <w:color w:val="auto"/>
          <w:sz w:val="24"/>
          <w:highlight w:val="none"/>
          <w:lang w:val="zh-CN"/>
        </w:rPr>
      </w:pP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或授权代表（签字）: </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pPr>
        <w:widowControl/>
        <w:spacing w:line="360" w:lineRule="auto"/>
        <w:jc w:val="left"/>
        <w:rPr>
          <w:rFonts w:hint="eastAsia" w:ascii="宋体" w:hAnsi="宋体" w:eastAsia="宋体" w:cs="宋体"/>
          <w:b/>
          <w:color w:val="auto"/>
          <w:sz w:val="24"/>
          <w:highlight w:val="none"/>
        </w:rPr>
      </w:pPr>
      <w:bookmarkStart w:id="398" w:name="_Toc331685783"/>
    </w:p>
    <w:bookmarkEnd w:id="398"/>
    <w:p>
      <w:pPr>
        <w:spacing w:line="360" w:lineRule="auto"/>
        <w:ind w:left="-420" w:leftChars="-200" w:right="-420" w:rightChars="-200" w:firstLine="480" w:firstLineChars="200"/>
        <w:jc w:val="center"/>
        <w:outlineLvl w:val="0"/>
        <w:rPr>
          <w:rFonts w:hint="eastAsia" w:ascii="宋体" w:hAnsi="宋体" w:eastAsia="宋体" w:cs="宋体"/>
          <w:color w:val="auto"/>
          <w:sz w:val="24"/>
          <w:highlight w:val="none"/>
        </w:rPr>
      </w:pPr>
    </w:p>
    <w:p>
      <w:pPr>
        <w:spacing w:line="360" w:lineRule="auto"/>
        <w:ind w:left="-420" w:leftChars="-200" w:right="-420" w:rightChars="-200" w:firstLine="480" w:firstLineChars="200"/>
        <w:jc w:val="center"/>
        <w:outlineLvl w:val="0"/>
        <w:rPr>
          <w:rFonts w:hint="eastAsia" w:ascii="宋体" w:hAnsi="宋体" w:eastAsia="宋体" w:cs="宋体"/>
          <w:color w:val="auto"/>
          <w:sz w:val="24"/>
          <w:highlight w:val="none"/>
        </w:rPr>
      </w:pPr>
    </w:p>
    <w:p>
      <w:pPr>
        <w:spacing w:line="360" w:lineRule="auto"/>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pPr>
        <w:spacing w:line="360" w:lineRule="auto"/>
        <w:ind w:left="720" w:firstLine="723" w:firstLineChars="2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6"/>
      <w:r>
        <w:rPr>
          <w:rFonts w:hint="eastAsia" w:ascii="宋体" w:hAnsi="宋体" w:eastAsia="宋体" w:cs="宋体"/>
          <w:b/>
          <w:color w:val="auto"/>
          <w:sz w:val="36"/>
          <w:szCs w:val="20"/>
          <w:highlight w:val="none"/>
        </w:rPr>
        <w:t xml:space="preserve"> </w:t>
      </w:r>
      <w:bookmarkEnd w:id="397"/>
      <w:r>
        <w:rPr>
          <w:rFonts w:hint="eastAsia" w:ascii="宋体" w:hAnsi="宋体" w:eastAsia="宋体" w:cs="宋体"/>
          <w:b/>
          <w:color w:val="auto"/>
          <w:sz w:val="36"/>
          <w:szCs w:val="20"/>
          <w:highlight w:val="none"/>
        </w:rPr>
        <w:t>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（2）落实政府采购政策需满足的资格要求………………………………（页码）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（3）本项目的特定资格要求………………………………………………（页码）</w:t>
      </w: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杭州市上城区综合行政执法局、</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lang w:eastAsia="zh-CN"/>
        </w:rPr>
        <w:t>2023年上城区九堡北片区市政设施长效养护服务项目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上城政采分-2022-01140</w:t>
      </w:r>
      <w:r>
        <w:rPr>
          <w:rFonts w:hint="eastAsia" w:ascii="宋体" w:hAnsi="宋体" w:eastAsia="宋体" w:cs="宋体"/>
          <w:color w:val="auto"/>
          <w:sz w:val="24"/>
          <w:highlight w:val="none"/>
        </w:rPr>
        <w:t>】政府采购活动，郑重承诺：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二、落实政府采购政策需满足的资格要求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pPr>
        <w:widowControl/>
        <w:numPr>
          <w:ilvl w:val="0"/>
          <w:numId w:val="4"/>
        </w:numPr>
        <w:spacing w:line="360" w:lineRule="auto"/>
        <w:ind w:left="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pPr>
        <w:widowControl/>
        <w:spacing w:line="360" w:lineRule="auto"/>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z w:val="24"/>
          <w:highlight w:val="none"/>
        </w:rPr>
        <w:t xml:space="preserve">    </w:t>
      </w:r>
      <w:r>
        <w:rPr>
          <w:rFonts w:hint="eastAsia" w:ascii="宋体" w:hAnsi="宋体" w:eastAsia="宋体" w:cs="宋体"/>
          <w:b/>
          <w:color w:val="auto"/>
          <w:kern w:val="0"/>
          <w:sz w:val="32"/>
          <w:szCs w:val="32"/>
          <w:highlight w:val="none"/>
          <w:lang w:val="zh-CN"/>
        </w:rPr>
        <w:t>联合协议</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6"/>
        <w:ind w:left="664" w:leftChars="316" w:firstLine="229" w:firstLineChars="95"/>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二、分包工作履行期限、地点、方式</w:t>
      </w:r>
    </w:p>
    <w:p>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三、质量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四、价款或者报酬</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五、违约责任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六、争议解决的办法</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七、其他</w:t>
      </w: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pPr>
        <w:snapToGrid w:val="0"/>
        <w:spacing w:line="360" w:lineRule="auto"/>
        <w:ind w:firstLine="5640" w:firstLineChars="23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widowControl/>
        <w:numPr>
          <w:ilvl w:val="0"/>
          <w:numId w:val="0"/>
        </w:numPr>
        <w:spacing w:line="360" w:lineRule="auto"/>
        <w:jc w:val="left"/>
        <w:rPr>
          <w:rFonts w:hint="eastAsia" w:ascii="宋体" w:hAnsi="宋体" w:eastAsia="宋体" w:cs="宋体"/>
          <w:color w:val="auto"/>
          <w:sz w:val="24"/>
          <w:highlight w:val="none"/>
        </w:rPr>
      </w:pPr>
    </w:p>
    <w:p>
      <w:pPr>
        <w:pStyle w:val="79"/>
        <w:spacing w:line="360" w:lineRule="auto"/>
        <w:rPr>
          <w:rFonts w:hint="eastAsia" w:ascii="宋体" w:hAnsi="宋体" w:eastAsia="宋体" w:cs="宋体"/>
          <w:color w:val="auto"/>
          <w:highlight w:val="none"/>
          <w:lang w:val="en-US" w:eastAsia="zh-CN"/>
        </w:rPr>
      </w:pP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b/>
          <w:bCs w:val="0"/>
          <w:snapToGrid w:val="0"/>
          <w:color w:val="auto"/>
          <w:kern w:val="0"/>
          <w:sz w:val="28"/>
          <w:szCs w:val="28"/>
          <w:highlight w:val="none"/>
          <w:lang w:val="en-US" w:eastAsia="zh-CN" w:bidi="ar-SA"/>
        </w:rPr>
      </w:pPr>
      <w:r>
        <w:rPr>
          <w:rFonts w:hint="eastAsia" w:ascii="宋体" w:hAnsi="宋体" w:eastAsia="宋体" w:cs="宋体"/>
          <w:b/>
          <w:bCs w:val="0"/>
          <w:snapToGrid w:val="0"/>
          <w:color w:val="auto"/>
          <w:kern w:val="0"/>
          <w:sz w:val="28"/>
          <w:szCs w:val="28"/>
          <w:highlight w:val="none"/>
          <w:lang w:val="en-US" w:eastAsia="zh-CN" w:bidi="ar-SA"/>
        </w:rPr>
        <w:t>（1）具有市政公用工程施工总承包企业资质三级（含）及以上。</w:t>
      </w:r>
    </w:p>
    <w:p>
      <w:pPr>
        <w:spacing w:line="360" w:lineRule="auto"/>
        <w:rPr>
          <w:rFonts w:hint="eastAsia" w:ascii="宋体" w:hAnsi="宋体" w:eastAsia="宋体" w:cs="宋体"/>
          <w:b/>
          <w:bCs w:val="0"/>
          <w:snapToGrid w:val="0"/>
          <w:color w:val="auto"/>
          <w:kern w:val="0"/>
          <w:sz w:val="28"/>
          <w:szCs w:val="28"/>
          <w:highlight w:val="none"/>
          <w:lang w:val="en-US" w:eastAsia="zh-CN" w:bidi="ar-SA"/>
        </w:rPr>
      </w:pPr>
    </w:p>
    <w:p>
      <w:pPr>
        <w:spacing w:line="360" w:lineRule="auto"/>
        <w:rPr>
          <w:rFonts w:hint="eastAsia" w:ascii="宋体" w:hAnsi="宋体" w:eastAsia="宋体" w:cs="宋体"/>
          <w:b/>
          <w:bCs w:val="0"/>
          <w:snapToGrid w:val="0"/>
          <w:color w:val="auto"/>
          <w:kern w:val="0"/>
          <w:sz w:val="28"/>
          <w:szCs w:val="28"/>
          <w:highlight w:val="none"/>
          <w:lang w:val="en-US" w:eastAsia="zh-CN" w:bidi="ar-SA"/>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4"/>
          <w:highlight w:val="none"/>
        </w:rPr>
      </w:pP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（3）联合协议</w:t>
      </w:r>
      <w:r>
        <w:rPr>
          <w:rFonts w:hint="eastAsia" w:ascii="宋体" w:hAnsi="宋体" w:eastAsia="宋体" w:cs="宋体"/>
          <w:color w:val="auto"/>
          <w:highlight w:val="none"/>
        </w:rPr>
        <w:t>………………………………………………………………………………（页码）</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）分包意向协议</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）符合性审查资料</w:t>
      </w:r>
      <w:r>
        <w:rPr>
          <w:rFonts w:hint="eastAsia" w:ascii="宋体" w:hAnsi="宋体" w:eastAsia="宋体" w:cs="宋体"/>
          <w:color w:val="auto"/>
          <w:highlight w:val="none"/>
        </w:rPr>
        <w:t>………………………………………………………………………（页码）</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）评标标准相应的商务技术资料</w:t>
      </w:r>
      <w:r>
        <w:rPr>
          <w:rFonts w:hint="eastAsia" w:ascii="宋体" w:hAnsi="宋体" w:eastAsia="宋体" w:cs="宋体"/>
          <w:color w:val="auto"/>
          <w:highlight w:val="none"/>
        </w:rPr>
        <w:t>……………………………………………………（页码）</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）商务技术偏离表</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）其他资信资料</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lang w:val="zh-CN"/>
        </w:rPr>
        <w:t>）同类业绩表</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lang w:val="zh-CN"/>
        </w:rPr>
        <w:t>）提供针对项目的完整技术解决方案</w:t>
      </w:r>
      <w:r>
        <w:rPr>
          <w:rFonts w:hint="eastAsia" w:ascii="宋体" w:hAnsi="宋体" w:eastAsia="宋体" w:cs="宋体"/>
          <w:color w:val="auto"/>
          <w:highlight w:val="none"/>
        </w:rPr>
        <w:t>……………………………………………（页码）</w:t>
      </w:r>
    </w:p>
    <w:p>
      <w:pPr>
        <w:pStyle w:val="79"/>
        <w:spacing w:line="360" w:lineRule="auto"/>
        <w:rPr>
          <w:rFonts w:hint="eastAsia" w:ascii="宋体" w:hAnsi="宋体" w:eastAsia="宋体" w:cs="宋体"/>
          <w:color w:val="auto"/>
          <w:highlight w:val="none"/>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pacing w:line="360" w:lineRule="auto"/>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杭州市上城区综合行政执法局、（采购代理机构）</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lang w:eastAsia="zh-CN"/>
        </w:rPr>
        <w:t>2023年上城区九堡北片区市政设施长效养护服务项目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上城政采分-2022-01140</w:t>
      </w:r>
      <w:r>
        <w:rPr>
          <w:rFonts w:hint="eastAsia" w:ascii="宋体" w:hAnsi="宋体" w:eastAsia="宋体" w:cs="宋体"/>
          <w:color w:val="auto"/>
          <w:sz w:val="24"/>
          <w:highlight w:val="none"/>
        </w:rPr>
        <w:t>】招标的有关活动，并对此项目进行投标。为此：</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120</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2.1.2落实政府采购政策需满足的资格要求（如果有）；</w:t>
      </w:r>
    </w:p>
    <w:p>
      <w:pP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2.1.3本项目的特定资格要求（如果有）</w:t>
      </w:r>
      <w:r>
        <w:rPr>
          <w:rFonts w:hint="eastAsia" w:ascii="宋体" w:hAnsi="宋体" w:eastAsia="宋体" w:cs="宋体"/>
          <w:color w:val="auto"/>
          <w:sz w:val="24"/>
          <w:highlight w:val="none"/>
          <w:lang w:eastAsia="zh-CN"/>
        </w:rPr>
        <w:t>；</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2.1.4</w:t>
      </w:r>
      <w:r>
        <w:rPr>
          <w:rFonts w:hint="eastAsia" w:ascii="宋体" w:hAnsi="宋体" w:eastAsia="宋体" w:cs="宋体"/>
          <w:color w:val="auto"/>
          <w:sz w:val="24"/>
          <w:highlight w:val="none"/>
        </w:rPr>
        <w:t>非联合体的声明函。</w:t>
      </w:r>
    </w:p>
    <w:p>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2.2.9</w:t>
      </w:r>
      <w:r>
        <w:rPr>
          <w:rFonts w:hint="eastAsia" w:ascii="宋体" w:hAnsi="宋体" w:eastAsia="宋体" w:cs="宋体"/>
          <w:color w:val="auto"/>
          <w:sz w:val="24"/>
          <w:highlight w:val="none"/>
          <w:lang w:val="zh-CN"/>
        </w:rPr>
        <w:t>其他资信资料；</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2.2.10</w:t>
      </w:r>
      <w:r>
        <w:rPr>
          <w:rFonts w:hint="eastAsia" w:ascii="宋体" w:hAnsi="宋体" w:eastAsia="宋体" w:cs="宋体"/>
          <w:color w:val="auto"/>
          <w:sz w:val="24"/>
          <w:highlight w:val="none"/>
          <w:lang w:val="zh-CN"/>
        </w:rPr>
        <w:t>同类业绩表；</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2.2.11</w:t>
      </w:r>
      <w:r>
        <w:rPr>
          <w:rFonts w:hint="eastAsia" w:ascii="宋体" w:hAnsi="宋体" w:eastAsia="宋体" w:cs="宋体"/>
          <w:color w:val="auto"/>
          <w:sz w:val="24"/>
          <w:highlight w:val="none"/>
          <w:lang w:val="zh-CN"/>
        </w:rPr>
        <w:t>提供针对项目的完整技术解决方案。</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pP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2.3.2投标价格组成明细表；</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中小企业声明函（如果有）。</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napToGrid w:val="0"/>
        <w:spacing w:line="360" w:lineRule="auto"/>
        <w:ind w:left="420" w:leftChars="200" w:firstLine="4200" w:firstLineChars="1750"/>
        <w:rPr>
          <w:rFonts w:hint="eastAsia" w:ascii="宋体" w:hAnsi="宋体" w:eastAsia="宋体" w:cs="宋体"/>
          <w:color w:val="auto"/>
          <w:kern w:val="0"/>
          <w:sz w:val="24"/>
          <w:highlight w:val="none"/>
          <w:u w:val="singl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napToGrid w:val="0"/>
        <w:spacing w:line="360" w:lineRule="auto"/>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杭州市上城区综合行政执法局、</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lang w:eastAsia="zh-CN"/>
        </w:rPr>
        <w:t>2023年上城区九堡北片区市政设施长效养护服务项目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上城政采分-2022-01140</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147"/>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47"/>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147"/>
              <w:adjustRightInd w:val="0"/>
              <w:spacing w:line="360" w:lineRule="auto"/>
              <w:rPr>
                <w:rFonts w:hint="eastAsia" w:ascii="宋体" w:hAnsi="宋体" w:eastAsia="宋体" w:cs="宋体"/>
                <w:bCs/>
                <w:color w:val="auto"/>
                <w:sz w:val="24"/>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rPr>
        <w:t>三、</w:t>
      </w:r>
      <w:r>
        <w:rPr>
          <w:rFonts w:hint="eastAsia" w:ascii="宋体" w:hAnsi="宋体" w:eastAsia="宋体" w:cs="宋体"/>
          <w:b/>
          <w:color w:val="auto"/>
          <w:kern w:val="0"/>
          <w:sz w:val="32"/>
          <w:szCs w:val="32"/>
          <w:highlight w:val="none"/>
          <w:lang w:val="zh-CN"/>
        </w:rPr>
        <w:t>联合协议</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rPr>
        <w:t>提供的全部货物由小微企业制造，其合同份额占到合同总金额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（未预留份额专门面向中小企业采购的采购项目，以及预留份额中的非预留部分采购包，接受联合体投标的，联合体其中一方提供的货物全部由小微企业制造，且其合同份额占到合同总金额 30%以上，对联合体报价给予</w:t>
      </w:r>
      <w:r>
        <w:rPr>
          <w:rFonts w:hint="eastAsia" w:ascii="宋体" w:hAnsi="宋体" w:eastAsia="宋体" w:cs="宋体"/>
          <w:b/>
          <w:color w:val="auto"/>
          <w:kern w:val="0"/>
          <w:sz w:val="24"/>
          <w:highlight w:val="none"/>
          <w:lang w:val="en-US" w:eastAsia="zh-CN"/>
        </w:rPr>
        <w:t>6</w:t>
      </w:r>
      <w:r>
        <w:rPr>
          <w:rFonts w:hint="eastAsia" w:ascii="宋体" w:hAnsi="宋体" w:eastAsia="宋体" w:cs="宋体"/>
          <w:b/>
          <w:color w:val="auto"/>
          <w:kern w:val="0"/>
          <w:sz w:val="24"/>
          <w:highlight w:val="none"/>
          <w:lang w:val="zh-CN"/>
        </w:rPr>
        <w:t>%的扣除）</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napToGrid w:val="0"/>
        <w:spacing w:line="360" w:lineRule="auto"/>
        <w:ind w:right="480"/>
        <w:rPr>
          <w:rFonts w:hint="eastAsia" w:ascii="宋体" w:hAnsi="宋体" w:eastAsia="宋体" w:cs="宋体"/>
          <w:b/>
          <w:color w:val="auto"/>
          <w:kern w:val="0"/>
          <w:sz w:val="32"/>
          <w:szCs w:val="32"/>
          <w:highlight w:val="none"/>
          <w:lang w:val="zh-CN"/>
        </w:rPr>
        <w:sectPr>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四、分包意向协议</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6"/>
        <w:spacing w:line="360" w:lineRule="auto"/>
        <w:ind w:left="664" w:leftChars="316" w:firstLine="229" w:firstLineChars="95"/>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二、分包工作履行期限、地点、方式</w:t>
      </w:r>
    </w:p>
    <w:p>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三、质量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四、价款或者报酬</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五、违约责任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六、争议解决的办法</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七、其他</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u w:val="single"/>
        </w:rPr>
        <w:t>（分包供应商名称）提供的货物全部由小微企业制造，</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（未预留份额专门面向中小企业采购的采购项目，以及预留份额中的非预留部分采购包，允许分包的，分包供应商提供的货物全部由小微企业制造，且其合同份额占到合同总金额 30%以上的，对大中型企业的报价给予</w:t>
      </w:r>
      <w:r>
        <w:rPr>
          <w:rFonts w:hint="eastAsia" w:ascii="宋体" w:hAnsi="宋体" w:eastAsia="宋体" w:cs="宋体"/>
          <w:b/>
          <w:color w:val="auto"/>
          <w:kern w:val="0"/>
          <w:sz w:val="24"/>
          <w:highlight w:val="none"/>
          <w:lang w:val="en-US" w:eastAsia="zh-CN"/>
        </w:rPr>
        <w:t>6</w:t>
      </w:r>
      <w:r>
        <w:rPr>
          <w:rFonts w:hint="eastAsia" w:ascii="宋体" w:hAnsi="宋体" w:eastAsia="宋体" w:cs="宋体"/>
          <w:b/>
          <w:color w:val="auto"/>
          <w:kern w:val="0"/>
          <w:sz w:val="24"/>
          <w:highlight w:val="none"/>
          <w:lang w:val="zh-CN"/>
        </w:rPr>
        <w:t>%的扣除）</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ind w:firstLine="5640" w:firstLineChars="23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五</w:t>
      </w:r>
      <w:r>
        <w:rPr>
          <w:rFonts w:hint="eastAsia" w:ascii="宋体" w:hAnsi="宋体" w:eastAsia="宋体" w:cs="宋体"/>
          <w:b/>
          <w:color w:val="auto"/>
          <w:kern w:val="0"/>
          <w:sz w:val="32"/>
          <w:szCs w:val="32"/>
          <w:highlight w:val="none"/>
        </w:rPr>
        <w:t>、符合性审查资料</w:t>
      </w:r>
    </w:p>
    <w:p>
      <w:pPr>
        <w:spacing w:line="360" w:lineRule="auto"/>
        <w:jc w:val="center"/>
        <w:rPr>
          <w:rFonts w:hint="eastAsia" w:ascii="宋体" w:hAnsi="宋体" w:eastAsia="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节能产品认证证书（本项目拟采购的产品不属于政府强制采购的节能产品品目清单范围的，无需提供）</w:t>
            </w:r>
          </w:p>
        </w:tc>
        <w:tc>
          <w:tcPr>
            <w:tcW w:w="1418" w:type="dxa"/>
          </w:tcPr>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pStyle w:val="6"/>
              <w:spacing w:line="360" w:lineRule="auto"/>
              <w:rPr>
                <w:rFonts w:hint="eastAsia" w:ascii="宋体" w:hAnsi="宋体" w:eastAsia="宋体" w:cs="宋体"/>
                <w:color w:val="auto"/>
                <w:highlight w:val="none"/>
                <w:lang w:val="en-US"/>
              </w:rPr>
            </w:pPr>
            <w:r>
              <w:rPr>
                <w:rFonts w:hint="eastAsia" w:ascii="宋体" w:hAnsi="宋体" w:eastAsia="宋体" w:cs="宋体"/>
                <w:b w:val="0"/>
                <w:bCs w:val="0"/>
                <w:color w:val="auto"/>
                <w:sz w:val="24"/>
                <w:szCs w:val="24"/>
                <w:highlight w:val="none"/>
                <w:lang w:val="en-US"/>
              </w:rPr>
              <w:t>第</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pPr>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pPr>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en-US" w:eastAsia="zh-CN"/>
        </w:rPr>
        <w:t>六</w:t>
      </w:r>
      <w:r>
        <w:rPr>
          <w:rFonts w:hint="eastAsia" w:ascii="宋体" w:hAnsi="宋体" w:eastAsia="宋体" w:cs="宋体"/>
          <w:b/>
          <w:color w:val="auto"/>
          <w:kern w:val="0"/>
          <w:sz w:val="32"/>
          <w:szCs w:val="32"/>
          <w:highlight w:val="none"/>
        </w:rPr>
        <w:t>、评标标准相应的商务技术资料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七</w:t>
      </w:r>
      <w:r>
        <w:rPr>
          <w:rFonts w:hint="eastAsia" w:ascii="宋体" w:hAnsi="宋体" w:eastAsia="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pPr>
              <w:spacing w:line="360" w:lineRule="auto"/>
              <w:jc w:val="center"/>
              <w:rPr>
                <w:rFonts w:hint="eastAsia" w:ascii="宋体" w:hAnsi="宋体" w:eastAsia="宋体" w:cs="宋体"/>
                <w:b/>
                <w:color w:val="auto"/>
                <w:kern w:val="0"/>
                <w:sz w:val="32"/>
                <w:szCs w:val="32"/>
                <w:highlight w:val="none"/>
              </w:rPr>
            </w:pPr>
          </w:p>
        </w:tc>
        <w:tc>
          <w:tcPr>
            <w:tcW w:w="3546" w:type="dxa"/>
          </w:tcPr>
          <w:p>
            <w:pPr>
              <w:spacing w:line="360" w:lineRule="auto"/>
              <w:jc w:val="center"/>
              <w:rPr>
                <w:rFonts w:hint="eastAsia" w:ascii="宋体" w:hAnsi="宋体" w:eastAsia="宋体" w:cs="宋体"/>
                <w:b/>
                <w:color w:val="auto"/>
                <w:kern w:val="0"/>
                <w:sz w:val="32"/>
                <w:szCs w:val="32"/>
                <w:highlight w:val="none"/>
              </w:rPr>
            </w:pPr>
          </w:p>
        </w:tc>
        <w:tc>
          <w:tcPr>
            <w:tcW w:w="1276" w:type="dxa"/>
          </w:tcPr>
          <w:p>
            <w:pPr>
              <w:spacing w:line="360" w:lineRule="auto"/>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pPr>
              <w:spacing w:line="360" w:lineRule="auto"/>
              <w:jc w:val="center"/>
              <w:rPr>
                <w:rFonts w:hint="eastAsia" w:ascii="宋体" w:hAnsi="宋体" w:eastAsia="宋体" w:cs="宋体"/>
                <w:b/>
                <w:color w:val="auto"/>
                <w:kern w:val="0"/>
                <w:sz w:val="32"/>
                <w:szCs w:val="32"/>
                <w:highlight w:val="none"/>
              </w:rPr>
            </w:pPr>
          </w:p>
        </w:tc>
        <w:tc>
          <w:tcPr>
            <w:tcW w:w="3546" w:type="dxa"/>
          </w:tcPr>
          <w:p>
            <w:pPr>
              <w:spacing w:line="360" w:lineRule="auto"/>
              <w:jc w:val="center"/>
              <w:rPr>
                <w:rFonts w:hint="eastAsia" w:ascii="宋体" w:hAnsi="宋体" w:eastAsia="宋体" w:cs="宋体"/>
                <w:b/>
                <w:color w:val="auto"/>
                <w:kern w:val="0"/>
                <w:sz w:val="32"/>
                <w:szCs w:val="32"/>
                <w:highlight w:val="none"/>
              </w:rPr>
            </w:pPr>
          </w:p>
        </w:tc>
        <w:tc>
          <w:tcPr>
            <w:tcW w:w="1276" w:type="dxa"/>
          </w:tcPr>
          <w:p>
            <w:pPr>
              <w:spacing w:line="360" w:lineRule="auto"/>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pPr>
              <w:spacing w:line="360" w:lineRule="auto"/>
              <w:jc w:val="center"/>
              <w:rPr>
                <w:rFonts w:hint="eastAsia" w:ascii="宋体" w:hAnsi="宋体" w:eastAsia="宋体" w:cs="宋体"/>
                <w:b/>
                <w:color w:val="auto"/>
                <w:kern w:val="0"/>
                <w:sz w:val="32"/>
                <w:szCs w:val="32"/>
                <w:highlight w:val="none"/>
              </w:rPr>
            </w:pPr>
          </w:p>
        </w:tc>
        <w:tc>
          <w:tcPr>
            <w:tcW w:w="3546" w:type="dxa"/>
          </w:tcPr>
          <w:p>
            <w:pPr>
              <w:spacing w:line="360" w:lineRule="auto"/>
              <w:jc w:val="center"/>
              <w:rPr>
                <w:rFonts w:hint="eastAsia" w:ascii="宋体" w:hAnsi="宋体" w:eastAsia="宋体" w:cs="宋体"/>
                <w:b/>
                <w:color w:val="auto"/>
                <w:kern w:val="0"/>
                <w:sz w:val="32"/>
                <w:szCs w:val="32"/>
                <w:highlight w:val="none"/>
              </w:rPr>
            </w:pPr>
          </w:p>
        </w:tc>
        <w:tc>
          <w:tcPr>
            <w:tcW w:w="1276" w:type="dxa"/>
          </w:tcPr>
          <w:p>
            <w:pPr>
              <w:spacing w:line="360" w:lineRule="auto"/>
              <w:jc w:val="center"/>
              <w:rPr>
                <w:rFonts w:hint="eastAsia" w:ascii="宋体" w:hAnsi="宋体" w:eastAsia="宋体" w:cs="宋体"/>
                <w:b/>
                <w:color w:val="auto"/>
                <w:kern w:val="0"/>
                <w:sz w:val="32"/>
                <w:szCs w:val="32"/>
                <w:highlight w:val="none"/>
              </w:rPr>
            </w:pPr>
          </w:p>
        </w:tc>
      </w:tr>
    </w:tbl>
    <w:p>
      <w:pP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color w:val="auto"/>
          <w:kern w:val="0"/>
          <w:sz w:val="32"/>
          <w:szCs w:val="32"/>
          <w:highlight w:val="none"/>
        </w:rPr>
      </w:pPr>
    </w:p>
    <w:p>
      <w:pPr>
        <w:spacing w:line="360" w:lineRule="auto"/>
        <w:ind w:firstLine="2891" w:firstLineChars="900"/>
        <w:rPr>
          <w:rFonts w:hint="eastAsia" w:ascii="宋体" w:hAnsi="宋体" w:eastAsia="宋体" w:cs="宋体"/>
          <w:b/>
          <w:bCs/>
          <w:color w:val="auto"/>
          <w:sz w:val="32"/>
          <w:szCs w:val="32"/>
          <w:highlight w:val="none"/>
        </w:rPr>
      </w:pPr>
    </w:p>
    <w:p>
      <w:pPr>
        <w:spacing w:line="360" w:lineRule="auto"/>
        <w:ind w:firstLine="2891" w:firstLineChars="900"/>
        <w:rPr>
          <w:rFonts w:hint="eastAsia" w:ascii="宋体" w:hAnsi="宋体" w:eastAsia="宋体" w:cs="宋体"/>
          <w:b/>
          <w:bCs/>
          <w:color w:val="auto"/>
          <w:sz w:val="32"/>
          <w:szCs w:val="32"/>
          <w:highlight w:val="none"/>
        </w:rPr>
      </w:pPr>
    </w:p>
    <w:p>
      <w:pPr>
        <w:spacing w:line="360" w:lineRule="auto"/>
        <w:ind w:firstLine="2891" w:firstLineChars="900"/>
        <w:rPr>
          <w:rFonts w:hint="eastAsia" w:ascii="宋体" w:hAnsi="宋体" w:eastAsia="宋体" w:cs="宋体"/>
          <w:b/>
          <w:bCs/>
          <w:color w:val="auto"/>
          <w:sz w:val="32"/>
          <w:szCs w:val="32"/>
          <w:highlight w:val="none"/>
        </w:rPr>
      </w:pPr>
    </w:p>
    <w:p>
      <w:pPr>
        <w:spacing w:line="360" w:lineRule="auto"/>
        <w:ind w:firstLine="2891" w:firstLineChars="900"/>
        <w:rPr>
          <w:rFonts w:hint="eastAsia" w:ascii="宋体" w:hAnsi="宋体" w:eastAsia="宋体" w:cs="宋体"/>
          <w:b/>
          <w:bCs/>
          <w:color w:val="auto"/>
          <w:sz w:val="32"/>
          <w:szCs w:val="32"/>
          <w:highlight w:val="none"/>
        </w:rPr>
      </w:pPr>
    </w:p>
    <w:p>
      <w:pPr>
        <w:spacing w:line="360" w:lineRule="auto"/>
        <w:ind w:firstLine="2891" w:firstLineChars="900"/>
        <w:rPr>
          <w:rFonts w:hint="eastAsia" w:ascii="宋体" w:hAnsi="宋体" w:eastAsia="宋体" w:cs="宋体"/>
          <w:b/>
          <w:bCs/>
          <w:color w:val="auto"/>
          <w:sz w:val="32"/>
          <w:szCs w:val="32"/>
          <w:highlight w:val="none"/>
        </w:rPr>
      </w:pPr>
    </w:p>
    <w:p>
      <w:pPr>
        <w:spacing w:line="360" w:lineRule="auto"/>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杭州市上城区综合行政执法局、（采购代理机构）</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jc w:val="center"/>
        <w:rPr>
          <w:rFonts w:hint="eastAsia" w:ascii="宋体" w:hAnsi="宋体" w:eastAsia="宋体" w:cs="宋体"/>
          <w:b/>
          <w:bCs/>
          <w:color w:val="auto"/>
          <w:sz w:val="24"/>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pgNumType w:fmt="decimal"/>
          <w:cols w:space="720" w:num="1"/>
          <w:titlePg/>
          <w:docGrid w:linePitch="312" w:charSpace="0"/>
        </w:sectPr>
      </w:pPr>
    </w:p>
    <w:p>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九、</w:t>
      </w:r>
      <w:r>
        <w:rPr>
          <w:rFonts w:hint="eastAsia" w:ascii="宋体" w:hAnsi="宋体" w:eastAsia="宋体" w:cs="宋体"/>
          <w:b/>
          <w:color w:val="auto"/>
          <w:kern w:val="0"/>
          <w:sz w:val="32"/>
          <w:szCs w:val="32"/>
          <w:highlight w:val="none"/>
        </w:rPr>
        <w:t>其他资信资料</w:t>
      </w:r>
    </w:p>
    <w:p>
      <w:pPr>
        <w:pStyle w:val="44"/>
        <w:spacing w:line="360" w:lineRule="auto"/>
        <w:rPr>
          <w:rFonts w:hint="eastAsia" w:ascii="宋体" w:hAnsi="宋体" w:eastAsia="宋体" w:cs="宋体"/>
          <w:color w:val="auto"/>
          <w:highlight w:val="none"/>
          <w:lang w:val="en-US" w:eastAsia="zh-CN"/>
        </w:rPr>
      </w:pPr>
    </w:p>
    <w:tbl>
      <w:tblPr>
        <w:tblStyle w:val="62"/>
        <w:tblW w:w="91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74"/>
        <w:gridCol w:w="1066"/>
        <w:gridCol w:w="113"/>
        <w:gridCol w:w="772"/>
        <w:gridCol w:w="2022"/>
        <w:gridCol w:w="681"/>
        <w:gridCol w:w="666"/>
        <w:gridCol w:w="686"/>
        <w:gridCol w:w="654"/>
        <w:gridCol w:w="649"/>
        <w:gridCol w:w="587"/>
        <w:gridCol w:w="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3" w:hRule="atLeast"/>
        </w:trPr>
        <w:tc>
          <w:tcPr>
            <w:tcW w:w="674"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w:t>
            </w:r>
          </w:p>
        </w:tc>
        <w:tc>
          <w:tcPr>
            <w:tcW w:w="1066"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885"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c>
          <w:tcPr>
            <w:tcW w:w="2022"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主管部门</w:t>
            </w:r>
          </w:p>
        </w:tc>
        <w:tc>
          <w:tcPr>
            <w:tcW w:w="666"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340"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单位法人</w:t>
            </w:r>
          </w:p>
        </w:tc>
        <w:tc>
          <w:tcPr>
            <w:tcW w:w="649"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58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565"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3" w:hRule="atLeast"/>
        </w:trPr>
        <w:tc>
          <w:tcPr>
            <w:tcW w:w="674"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tc>
        <w:tc>
          <w:tcPr>
            <w:tcW w:w="1066"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885"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tc>
        <w:tc>
          <w:tcPr>
            <w:tcW w:w="2022"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p>
        </w:tc>
        <w:tc>
          <w:tcPr>
            <w:tcW w:w="666"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340"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w:t>
            </w:r>
          </w:p>
        </w:tc>
        <w:tc>
          <w:tcPr>
            <w:tcW w:w="649"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58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565"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3" w:hRule="atLeast"/>
        </w:trPr>
        <w:tc>
          <w:tcPr>
            <w:tcW w:w="674" w:type="dxa"/>
            <w:vMerge w:val="restart"/>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单位概况</w:t>
            </w:r>
          </w:p>
        </w:tc>
        <w:tc>
          <w:tcPr>
            <w:tcW w:w="1179"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营业执照经营范围</w:t>
            </w:r>
          </w:p>
        </w:tc>
        <w:tc>
          <w:tcPr>
            <w:tcW w:w="2794" w:type="dxa"/>
            <w:gridSpan w:val="2"/>
            <w:vAlign w:val="center"/>
          </w:tcPr>
          <w:p>
            <w:pPr>
              <w:snapToGrid w:val="0"/>
              <w:spacing w:line="360" w:lineRule="auto"/>
              <w:jc w:val="left"/>
              <w:rPr>
                <w:rFonts w:hint="eastAsia" w:ascii="宋体" w:hAnsi="宋体" w:eastAsia="宋体" w:cs="宋体"/>
                <w:color w:val="auto"/>
                <w:sz w:val="24"/>
                <w:szCs w:val="24"/>
                <w:highlight w:val="none"/>
              </w:rPr>
            </w:pPr>
          </w:p>
        </w:tc>
        <w:tc>
          <w:tcPr>
            <w:tcW w:w="681" w:type="dxa"/>
            <w:vMerge w:val="restart"/>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上一年主要经济指标</w:t>
            </w:r>
          </w:p>
        </w:tc>
        <w:tc>
          <w:tcPr>
            <w:tcW w:w="1352" w:type="dxa"/>
            <w:gridSpan w:val="2"/>
            <w:tcBorders>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年营业收入</w:t>
            </w:r>
          </w:p>
        </w:tc>
        <w:tc>
          <w:tcPr>
            <w:tcW w:w="2455" w:type="dxa"/>
            <w:gridSpan w:val="4"/>
            <w:tcBorders>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3"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统一社会信用代码</w:t>
            </w:r>
          </w:p>
        </w:tc>
        <w:tc>
          <w:tcPr>
            <w:tcW w:w="2794" w:type="dxa"/>
            <w:gridSpan w:val="2"/>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资产总额</w:t>
            </w:r>
          </w:p>
        </w:tc>
        <w:tc>
          <w:tcPr>
            <w:tcW w:w="2455" w:type="dxa"/>
            <w:gridSpan w:val="4"/>
            <w:tcBorders>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6"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资质情况</w:t>
            </w:r>
          </w:p>
        </w:tc>
        <w:tc>
          <w:tcPr>
            <w:tcW w:w="2794" w:type="dxa"/>
            <w:gridSpan w:val="2"/>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left w:val="single" w:color="auto" w:sz="4" w:space="0"/>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6"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信用情况</w:t>
            </w:r>
          </w:p>
        </w:tc>
        <w:tc>
          <w:tcPr>
            <w:tcW w:w="2794" w:type="dxa"/>
            <w:gridSpan w:val="2"/>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top w:val="single" w:color="auto" w:sz="4" w:space="0"/>
              <w:left w:val="single" w:color="auto" w:sz="4" w:space="0"/>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6"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荣誉情况</w:t>
            </w:r>
          </w:p>
        </w:tc>
        <w:tc>
          <w:tcPr>
            <w:tcW w:w="2794"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top w:val="single" w:color="auto" w:sz="4" w:space="0"/>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6"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体系认证</w:t>
            </w:r>
          </w:p>
        </w:tc>
        <w:tc>
          <w:tcPr>
            <w:tcW w:w="2794"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top w:val="single" w:color="auto" w:sz="4" w:space="0"/>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6"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c>
          <w:tcPr>
            <w:tcW w:w="2794"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top w:val="single" w:color="auto" w:sz="4" w:space="0"/>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6" w:hRule="atLeast"/>
        </w:trPr>
        <w:tc>
          <w:tcPr>
            <w:tcW w:w="674"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w:t>
            </w:r>
          </w:p>
        </w:tc>
        <w:tc>
          <w:tcPr>
            <w:tcW w:w="2794"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681" w:type="dxa"/>
            <w:vMerge w:val="continue"/>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top w:val="single" w:color="auto" w:sz="4" w:space="0"/>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3" w:hRule="atLeast"/>
        </w:trPr>
        <w:tc>
          <w:tcPr>
            <w:tcW w:w="674" w:type="dxa"/>
            <w:vMerge w:val="continue"/>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1179" w:type="dxa"/>
            <w:gridSpan w:val="2"/>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职工总数</w:t>
            </w:r>
          </w:p>
        </w:tc>
        <w:tc>
          <w:tcPr>
            <w:tcW w:w="2794" w:type="dxa"/>
            <w:gridSpan w:val="2"/>
            <w:tcBorders>
              <w:bottom w:val="single" w:color="auto" w:sz="4" w:space="0"/>
            </w:tcBorders>
            <w:vAlign w:val="center"/>
          </w:tcPr>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共  人</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其中：</w:t>
            </w:r>
          </w:p>
        </w:tc>
        <w:tc>
          <w:tcPr>
            <w:tcW w:w="681" w:type="dxa"/>
            <w:vMerge w:val="continue"/>
            <w:tcBorders>
              <w:bottom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1352" w:type="dxa"/>
            <w:gridSpan w:val="2"/>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c>
          <w:tcPr>
            <w:tcW w:w="2455" w:type="dxa"/>
            <w:gridSpan w:val="4"/>
            <w:tcBorders>
              <w:top w:val="single" w:color="auto" w:sz="4" w:space="0"/>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4" w:hRule="atLeast"/>
        </w:trPr>
        <w:tc>
          <w:tcPr>
            <w:tcW w:w="674"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其他说明</w:t>
            </w:r>
          </w:p>
        </w:tc>
        <w:tc>
          <w:tcPr>
            <w:tcW w:w="8461" w:type="dxa"/>
            <w:gridSpan w:val="11"/>
            <w:vAlign w:val="center"/>
          </w:tcPr>
          <w:p>
            <w:pPr>
              <w:snapToGrid w:val="0"/>
              <w:spacing w:line="360" w:lineRule="auto"/>
              <w:jc w:val="center"/>
              <w:rPr>
                <w:rFonts w:hint="eastAsia" w:ascii="宋体" w:hAnsi="宋体" w:eastAsia="宋体" w:cs="宋体"/>
                <w:color w:val="auto"/>
                <w:sz w:val="24"/>
                <w:szCs w:val="24"/>
                <w:highlight w:val="none"/>
                <w:u w:val="single"/>
              </w:rPr>
            </w:pPr>
          </w:p>
        </w:tc>
      </w:tr>
    </w:tbl>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【说明】：相关证明材料附后。</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投标人名称(电子签名)：                              </w:t>
      </w:r>
    </w:p>
    <w:p>
      <w:pPr>
        <w:spacing w:line="360" w:lineRule="auto"/>
        <w:rPr>
          <w:rFonts w:hint="eastAsia" w:ascii="宋体" w:hAnsi="宋体" w:eastAsia="宋体" w:cs="宋体"/>
          <w:b/>
          <w:color w:val="auto"/>
          <w:kern w:val="0"/>
          <w:sz w:val="32"/>
          <w:szCs w:val="32"/>
          <w:highlight w:val="none"/>
        </w:rPr>
      </w:pPr>
      <w:r>
        <w:rPr>
          <w:rFonts w:hint="eastAsia" w:ascii="宋体" w:hAnsi="宋体" w:eastAsia="宋体" w:cs="宋体"/>
          <w:color w:val="auto"/>
          <w:sz w:val="24"/>
          <w:szCs w:val="24"/>
          <w:highlight w:val="none"/>
        </w:rPr>
        <w:t>日期：  年  月  日</w:t>
      </w:r>
      <w:r>
        <w:rPr>
          <w:rFonts w:hint="eastAsia" w:ascii="宋体" w:hAnsi="宋体" w:eastAsia="宋体" w:cs="宋体"/>
          <w:b/>
          <w:color w:val="auto"/>
          <w:kern w:val="0"/>
          <w:sz w:val="32"/>
          <w:szCs w:val="32"/>
          <w:highlight w:val="none"/>
        </w:rPr>
        <w:br w:type="page"/>
      </w:r>
    </w:p>
    <w:p>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十、同类</w:t>
      </w:r>
      <w:r>
        <w:rPr>
          <w:rFonts w:hint="eastAsia" w:ascii="宋体" w:hAnsi="宋体" w:eastAsia="宋体" w:cs="宋体"/>
          <w:b/>
          <w:color w:val="auto"/>
          <w:kern w:val="0"/>
          <w:sz w:val="32"/>
          <w:szCs w:val="32"/>
          <w:highlight w:val="none"/>
        </w:rPr>
        <w:t>业绩表</w:t>
      </w:r>
    </w:p>
    <w:p>
      <w:pPr>
        <w:snapToGrid w:val="0"/>
        <w:spacing w:line="360" w:lineRule="auto"/>
        <w:rPr>
          <w:rFonts w:hint="eastAsia" w:ascii="宋体" w:hAnsi="宋体" w:eastAsia="宋体" w:cs="宋体"/>
          <w:color w:val="auto"/>
          <w:sz w:val="24"/>
          <w:szCs w:val="24"/>
          <w:highlight w:val="none"/>
          <w:lang w:val="en-US" w:eastAsia="zh-CN"/>
        </w:rPr>
      </w:pPr>
    </w:p>
    <w:p>
      <w:pPr>
        <w:snapToGrid w:val="0"/>
        <w:spacing w:line="360" w:lineRule="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项目名称：2023年上城区东站周边区域市政设施长效养护服务项目</w:t>
      </w:r>
    </w:p>
    <w:p>
      <w:pPr>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项目编号：（采购编号）</w:t>
      </w:r>
    </w:p>
    <w:p>
      <w:pPr>
        <w:pStyle w:val="638"/>
        <w:spacing w:line="360" w:lineRule="auto"/>
        <w:ind w:left="0" w:leftChars="0" w:firstLine="0" w:firstLineChars="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标项</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2023年上城区东站周边区域市政设施长效养护服务</w:t>
      </w:r>
    </w:p>
    <w:tbl>
      <w:tblPr>
        <w:tblStyle w:val="62"/>
        <w:tblW w:w="94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080"/>
        <w:gridCol w:w="1440"/>
        <w:gridCol w:w="1390"/>
        <w:gridCol w:w="1310"/>
        <w:gridCol w:w="1080"/>
        <w:gridCol w:w="900"/>
        <w:gridCol w:w="900"/>
        <w:gridCol w:w="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080" w:type="dxa"/>
            <w:vAlign w:val="center"/>
          </w:tcPr>
          <w:p>
            <w:pPr>
              <w:snapToGrid w:val="0"/>
              <w:spacing w:line="360" w:lineRule="auto"/>
              <w:jc w:val="center"/>
              <w:rPr>
                <w:rFonts w:hint="eastAsia" w:ascii="宋体" w:hAnsi="宋体" w:eastAsia="宋体" w:cs="宋体"/>
                <w:caps/>
                <w:color w:val="auto"/>
                <w:sz w:val="24"/>
                <w:szCs w:val="24"/>
                <w:highlight w:val="none"/>
              </w:rPr>
            </w:pPr>
            <w:r>
              <w:rPr>
                <w:rFonts w:hint="eastAsia" w:ascii="宋体" w:hAnsi="宋体" w:eastAsia="宋体" w:cs="宋体"/>
                <w:color w:val="auto"/>
                <w:sz w:val="24"/>
                <w:szCs w:val="24"/>
                <w:highlight w:val="none"/>
              </w:rPr>
              <w:t>合同编号</w:t>
            </w:r>
          </w:p>
        </w:tc>
        <w:tc>
          <w:tcPr>
            <w:tcW w:w="1440" w:type="dxa"/>
            <w:vAlign w:val="center"/>
          </w:tcPr>
          <w:p>
            <w:pPr>
              <w:snapToGrid w:val="0"/>
              <w:spacing w:line="360" w:lineRule="auto"/>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用户名称</w:t>
            </w:r>
          </w:p>
        </w:tc>
        <w:tc>
          <w:tcPr>
            <w:tcW w:w="1390" w:type="dxa"/>
            <w:vAlign w:val="center"/>
          </w:tcPr>
          <w:p>
            <w:pPr>
              <w:snapToGrid w:val="0"/>
              <w:spacing w:line="360" w:lineRule="auto"/>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合同内容描述</w:t>
            </w:r>
          </w:p>
        </w:tc>
        <w:tc>
          <w:tcPr>
            <w:tcW w:w="1310" w:type="dxa"/>
            <w:vAlign w:val="center"/>
          </w:tcPr>
          <w:p>
            <w:pPr>
              <w:snapToGrid w:val="0"/>
              <w:spacing w:line="360" w:lineRule="auto"/>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合同金额</w:t>
            </w:r>
          </w:p>
        </w:tc>
        <w:tc>
          <w:tcPr>
            <w:tcW w:w="1080" w:type="dxa"/>
            <w:vAlign w:val="center"/>
          </w:tcPr>
          <w:p>
            <w:pPr>
              <w:snapToGrid w:val="0"/>
              <w:spacing w:line="360" w:lineRule="auto"/>
              <w:jc w:val="center"/>
              <w:rPr>
                <w:rFonts w:hint="eastAsia" w:ascii="宋体" w:hAnsi="宋体" w:eastAsia="宋体" w:cs="宋体"/>
                <w:caps/>
                <w:color w:val="auto"/>
                <w:sz w:val="24"/>
                <w:szCs w:val="24"/>
                <w:highlight w:val="none"/>
              </w:rPr>
            </w:pPr>
            <w:r>
              <w:rPr>
                <w:rFonts w:hint="eastAsia" w:ascii="宋体" w:hAnsi="宋体" w:eastAsia="宋体" w:cs="宋体"/>
                <w:color w:val="auto"/>
                <w:sz w:val="24"/>
                <w:szCs w:val="24"/>
                <w:highlight w:val="none"/>
              </w:rPr>
              <w:t>签约及完成日期</w:t>
            </w:r>
          </w:p>
        </w:tc>
        <w:tc>
          <w:tcPr>
            <w:tcW w:w="90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tc>
        <w:tc>
          <w:tcPr>
            <w:tcW w:w="90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c>
          <w:tcPr>
            <w:tcW w:w="719"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8"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44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9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31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108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900"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c>
          <w:tcPr>
            <w:tcW w:w="719" w:type="dxa"/>
            <w:vAlign w:val="center"/>
          </w:tcPr>
          <w:p>
            <w:pPr>
              <w:snapToGrid w:val="0"/>
              <w:spacing w:line="360" w:lineRule="auto"/>
              <w:jc w:val="center"/>
              <w:rPr>
                <w:rFonts w:hint="eastAsia" w:ascii="宋体" w:hAnsi="宋体" w:eastAsia="宋体" w:cs="宋体"/>
                <w:color w:val="auto"/>
                <w:spacing w:val="20"/>
                <w:sz w:val="24"/>
                <w:szCs w:val="24"/>
                <w:highlight w:val="none"/>
              </w:rPr>
            </w:pPr>
          </w:p>
        </w:tc>
      </w:tr>
    </w:tbl>
    <w:p>
      <w:pPr>
        <w:adjustRightInd w:val="0"/>
        <w:snapToGrid w:val="0"/>
        <w:spacing w:line="360" w:lineRule="auto"/>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投标人名称(电子签名)：</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pPr>
        <w:pStyle w:val="7"/>
        <w:tabs>
          <w:tab w:val="left" w:pos="720"/>
          <w:tab w:val="clear" w:pos="900"/>
        </w:tabs>
        <w:spacing w:line="360" w:lineRule="auto"/>
        <w:ind w:firstLine="502"/>
        <w:rPr>
          <w:rFonts w:hint="eastAsia" w:ascii="宋体" w:hAnsi="宋体" w:eastAsia="宋体" w:cs="宋体"/>
          <w:color w:val="auto"/>
          <w:spacing w:val="20"/>
          <w:sz w:val="24"/>
          <w:szCs w:val="24"/>
          <w:highlight w:val="none"/>
        </w:rPr>
      </w:pP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填表说明：</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（1）此表不提供，可视为无业绩。</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（2）此表仅提供了格式，表格不够可自行增加。</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（3）表后附合同等相关证明材料。</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（4）评标办法所要求资料请务必提供。</w:t>
      </w:r>
    </w:p>
    <w:p>
      <w:pPr>
        <w:spacing w:line="360" w:lineRule="auto"/>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pPr>
        <w:snapToGrid w:val="0"/>
        <w:spacing w:line="360" w:lineRule="auto"/>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十一、提供针对项目的完整技术解决方案</w:t>
      </w:r>
    </w:p>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提供针对本项目的完整技术解决方案</w:t>
      </w:r>
    </w:p>
    <w:p>
      <w:pPr>
        <w:keepNext/>
        <w:keepLines/>
        <w:tabs>
          <w:tab w:val="left" w:pos="720"/>
        </w:tabs>
        <w:adjustRightInd w:val="0"/>
        <w:spacing w:before="120" w:line="360" w:lineRule="auto"/>
        <w:ind w:firstLine="482" w:firstLineChars="200"/>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（一）项目需求分析</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根据投标人的调查情况，结合招标文件内容，阐述项目的现状，以及项目实施的重点、难点。</w:t>
      </w:r>
    </w:p>
    <w:p>
      <w:pPr>
        <w:keepNext/>
        <w:keepLines/>
        <w:tabs>
          <w:tab w:val="left" w:pos="720"/>
        </w:tabs>
        <w:adjustRightInd w:val="0"/>
        <w:spacing w:before="120" w:line="360" w:lineRule="auto"/>
        <w:ind w:firstLine="482" w:firstLineChars="200"/>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（二）采购需求响应说明</w:t>
      </w:r>
    </w:p>
    <w:tbl>
      <w:tblPr>
        <w:tblStyle w:val="62"/>
        <w:tblW w:w="989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1"/>
        <w:gridCol w:w="2770"/>
        <w:gridCol w:w="2551"/>
        <w:gridCol w:w="1700"/>
        <w:gridCol w:w="213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62" w:type="dxa"/>
            <w:gridSpan w:val="3"/>
            <w:tcBorders>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采购文件要求</w:t>
            </w:r>
          </w:p>
        </w:tc>
        <w:tc>
          <w:tcPr>
            <w:tcW w:w="1700" w:type="dxa"/>
            <w:vMerge w:val="restart"/>
            <w:tcBorders>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承诺内容</w:t>
            </w:r>
          </w:p>
        </w:tc>
        <w:tc>
          <w:tcPr>
            <w:tcW w:w="2132" w:type="dxa"/>
            <w:vMerge w:val="restart"/>
            <w:tcBorders>
              <w:lef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是否满足</w:t>
            </w:r>
          </w:p>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1" w:type="dxa"/>
            <w:tcBorders>
              <w:righ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序号</w:t>
            </w:r>
          </w:p>
        </w:tc>
        <w:tc>
          <w:tcPr>
            <w:tcW w:w="2770" w:type="dxa"/>
            <w:tcBorders>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内容名称</w:t>
            </w:r>
          </w:p>
        </w:tc>
        <w:tc>
          <w:tcPr>
            <w:tcW w:w="2551" w:type="dxa"/>
            <w:tcBorders>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具体要求</w:t>
            </w:r>
          </w:p>
        </w:tc>
        <w:tc>
          <w:tcPr>
            <w:tcW w:w="1700" w:type="dxa"/>
            <w:vMerge w:val="continue"/>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c>
          <w:tcPr>
            <w:tcW w:w="2132" w:type="dxa"/>
            <w:vMerge w:val="continue"/>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894" w:type="dxa"/>
            <w:gridSpan w:val="5"/>
            <w:vAlign w:val="center"/>
          </w:tcPr>
          <w:p>
            <w:pPr>
              <w:widowControl/>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0"/>
                <w:sz w:val="24"/>
                <w:szCs w:val="24"/>
                <w:highlight w:val="none"/>
                <w:lang w:bidi="ar"/>
              </w:rPr>
              <w:t>“第三部分</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采购需求”内容（要求点对点逐项列明）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1" w:type="dxa"/>
            <w:tcBorders>
              <w:right w:val="single" w:color="auto" w:sz="4" w:space="0"/>
            </w:tcBorders>
            <w:vAlign w:val="center"/>
          </w:tcPr>
          <w:p>
            <w:pPr>
              <w:adjustRightInd w:val="0"/>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sz w:val="24"/>
                <w:szCs w:val="24"/>
                <w:highlight w:val="none"/>
              </w:rPr>
              <w:t>1</w:t>
            </w:r>
          </w:p>
        </w:tc>
        <w:tc>
          <w:tcPr>
            <w:tcW w:w="2770" w:type="dxa"/>
            <w:tcBorders>
              <w:left w:val="single" w:color="auto" w:sz="4" w:space="0"/>
              <w:right w:val="single" w:color="auto" w:sz="4" w:space="0"/>
            </w:tcBorders>
            <w:vAlign w:val="center"/>
          </w:tcPr>
          <w:p>
            <w:pPr>
              <w:adjustRightInd w:val="0"/>
              <w:snapToGrid w:val="0"/>
              <w:spacing w:line="360" w:lineRule="auto"/>
              <w:jc w:val="left"/>
              <w:rPr>
                <w:rFonts w:hint="eastAsia" w:ascii="宋体" w:hAnsi="宋体" w:eastAsia="宋体" w:cs="宋体"/>
                <w:color w:val="auto"/>
                <w:kern w:val="40"/>
                <w:sz w:val="24"/>
                <w:szCs w:val="24"/>
                <w:highlight w:val="none"/>
              </w:rPr>
            </w:pPr>
          </w:p>
        </w:tc>
        <w:tc>
          <w:tcPr>
            <w:tcW w:w="2551" w:type="dxa"/>
            <w:tcBorders>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c>
          <w:tcPr>
            <w:tcW w:w="1700" w:type="dxa"/>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c>
          <w:tcPr>
            <w:tcW w:w="2132" w:type="dxa"/>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1" w:type="dxa"/>
            <w:tcBorders>
              <w:right w:val="single" w:color="auto" w:sz="4" w:space="0"/>
            </w:tcBorders>
            <w:vAlign w:val="center"/>
          </w:tcPr>
          <w:p>
            <w:pPr>
              <w:adjustRightInd w:val="0"/>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sz w:val="24"/>
                <w:szCs w:val="24"/>
                <w:highlight w:val="none"/>
              </w:rPr>
              <w:t>2</w:t>
            </w:r>
          </w:p>
        </w:tc>
        <w:tc>
          <w:tcPr>
            <w:tcW w:w="2770" w:type="dxa"/>
            <w:tcBorders>
              <w:left w:val="single" w:color="auto" w:sz="4" w:space="0"/>
              <w:right w:val="single" w:color="auto" w:sz="4" w:space="0"/>
            </w:tcBorders>
            <w:vAlign w:val="center"/>
          </w:tcPr>
          <w:p>
            <w:pPr>
              <w:adjustRightInd w:val="0"/>
              <w:snapToGrid w:val="0"/>
              <w:spacing w:line="360" w:lineRule="auto"/>
              <w:jc w:val="left"/>
              <w:rPr>
                <w:rFonts w:hint="eastAsia" w:ascii="宋体" w:hAnsi="宋体" w:eastAsia="宋体" w:cs="宋体"/>
                <w:color w:val="auto"/>
                <w:kern w:val="40"/>
                <w:sz w:val="24"/>
                <w:szCs w:val="24"/>
                <w:highlight w:val="none"/>
              </w:rPr>
            </w:pPr>
          </w:p>
        </w:tc>
        <w:tc>
          <w:tcPr>
            <w:tcW w:w="2551" w:type="dxa"/>
            <w:tcBorders>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c>
          <w:tcPr>
            <w:tcW w:w="1700" w:type="dxa"/>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c>
          <w:tcPr>
            <w:tcW w:w="2132" w:type="dxa"/>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5" w:hRule="atLeast"/>
        </w:trPr>
        <w:tc>
          <w:tcPr>
            <w:tcW w:w="741" w:type="dxa"/>
            <w:tcBorders>
              <w:right w:val="single" w:color="auto" w:sz="4" w:space="0"/>
            </w:tcBorders>
            <w:vAlign w:val="center"/>
          </w:tcPr>
          <w:p>
            <w:pPr>
              <w:adjustRightInd w:val="0"/>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sz w:val="24"/>
                <w:szCs w:val="24"/>
                <w:highlight w:val="none"/>
              </w:rPr>
              <w:t>....</w:t>
            </w:r>
          </w:p>
        </w:tc>
        <w:tc>
          <w:tcPr>
            <w:tcW w:w="2770" w:type="dxa"/>
            <w:tcBorders>
              <w:left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sz w:val="24"/>
                <w:szCs w:val="24"/>
                <w:highlight w:val="none"/>
              </w:rPr>
              <w:t>......</w:t>
            </w:r>
          </w:p>
        </w:tc>
        <w:tc>
          <w:tcPr>
            <w:tcW w:w="2551" w:type="dxa"/>
            <w:tcBorders>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sz w:val="24"/>
                <w:szCs w:val="24"/>
                <w:highlight w:val="none"/>
              </w:rPr>
              <w:t>......</w:t>
            </w:r>
          </w:p>
        </w:tc>
        <w:tc>
          <w:tcPr>
            <w:tcW w:w="1700" w:type="dxa"/>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c>
          <w:tcPr>
            <w:tcW w:w="2132" w:type="dxa"/>
            <w:tcBorders>
              <w:left w:val="single" w:color="auto" w:sz="4" w:space="0"/>
            </w:tcBorders>
            <w:vAlign w:val="center"/>
          </w:tcPr>
          <w:p>
            <w:pPr>
              <w:snapToGrid w:val="0"/>
              <w:spacing w:line="360" w:lineRule="auto"/>
              <w:jc w:val="center"/>
              <w:rPr>
                <w:rFonts w:hint="eastAsia" w:ascii="宋体" w:hAnsi="宋体" w:eastAsia="宋体" w:cs="宋体"/>
                <w:color w:val="auto"/>
                <w:kern w:val="4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894" w:type="dxa"/>
            <w:gridSpan w:val="5"/>
            <w:vAlign w:val="center"/>
          </w:tcPr>
          <w:p>
            <w:pPr>
              <w:widowControl/>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0"/>
                <w:sz w:val="24"/>
                <w:szCs w:val="24"/>
                <w:highlight w:val="none"/>
                <w:lang w:bidi="ar"/>
              </w:rPr>
              <w:t>“第</w:t>
            </w:r>
            <w:r>
              <w:rPr>
                <w:rFonts w:hint="eastAsia" w:ascii="宋体" w:hAnsi="宋体" w:eastAsia="宋体" w:cs="宋体"/>
                <w:color w:val="auto"/>
                <w:kern w:val="0"/>
                <w:sz w:val="24"/>
                <w:szCs w:val="24"/>
                <w:highlight w:val="none"/>
                <w:lang w:val="en-US" w:eastAsia="zh-CN" w:bidi="ar"/>
              </w:rPr>
              <w:t>五部分</w:t>
            </w:r>
            <w:r>
              <w:rPr>
                <w:rFonts w:hint="eastAsia" w:ascii="宋体" w:hAnsi="宋体" w:eastAsia="宋体" w:cs="宋体"/>
                <w:color w:val="auto"/>
                <w:kern w:val="0"/>
                <w:sz w:val="24"/>
                <w:szCs w:val="24"/>
                <w:highlight w:val="none"/>
                <w:lang w:bidi="ar"/>
              </w:rPr>
              <w:t xml:space="preserve"> 拟签订的合同文本”内容（直接注明不能符合内容即可，未注明视为全部满足）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1" w:type="dxa"/>
            <w:tcBorders>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1</w:t>
            </w:r>
          </w:p>
        </w:tc>
        <w:tc>
          <w:tcPr>
            <w:tcW w:w="2770"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2551"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1700"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2132" w:type="dxa"/>
            <w:tcBorders>
              <w:lef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1" w:type="dxa"/>
            <w:tcBorders>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w:t>
            </w:r>
          </w:p>
        </w:tc>
        <w:tc>
          <w:tcPr>
            <w:tcW w:w="2770"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2551"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1700"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2132" w:type="dxa"/>
            <w:tcBorders>
              <w:lef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1" w:type="dxa"/>
            <w:tcBorders>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w:t>
            </w:r>
          </w:p>
        </w:tc>
        <w:tc>
          <w:tcPr>
            <w:tcW w:w="2770"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w:t>
            </w:r>
          </w:p>
        </w:tc>
        <w:tc>
          <w:tcPr>
            <w:tcW w:w="2551"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w:t>
            </w:r>
          </w:p>
        </w:tc>
        <w:tc>
          <w:tcPr>
            <w:tcW w:w="1700" w:type="dxa"/>
            <w:tcBorders>
              <w:left w:val="single" w:color="auto" w:sz="4" w:space="0"/>
              <w:righ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c>
          <w:tcPr>
            <w:tcW w:w="2132" w:type="dxa"/>
            <w:tcBorders>
              <w:left w:val="single" w:color="auto" w:sz="4" w:space="0"/>
            </w:tcBorders>
            <w:vAlign w:val="center"/>
          </w:tcPr>
          <w:p>
            <w:pPr>
              <w:widowControl/>
              <w:spacing w:line="360" w:lineRule="auto"/>
              <w:jc w:val="center"/>
              <w:rPr>
                <w:rFonts w:hint="eastAsia" w:ascii="宋体" w:hAnsi="宋体" w:eastAsia="宋体" w:cs="宋体"/>
                <w:color w:val="auto"/>
                <w:kern w:val="0"/>
                <w:sz w:val="24"/>
                <w:szCs w:val="24"/>
                <w:highlight w:val="none"/>
                <w:lang w:bidi="ar"/>
              </w:rPr>
            </w:pPr>
          </w:p>
        </w:tc>
      </w:tr>
    </w:tbl>
    <w:p>
      <w:pPr>
        <w:adjustRightInd w:val="0"/>
        <w:snapToGrid w:val="0"/>
        <w:spacing w:line="360" w:lineRule="auto"/>
        <w:ind w:firstLine="480" w:firstLineChars="200"/>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投标人名称(电子签名)：</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1）投标人应对招标文件要求进行逐条响应，并说明具体响应内容。</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2）投标人不得提供与本项目采购无关的其他商品、服务。</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3）不限于表格形式，可采用其他形式表述。</w:t>
      </w:r>
    </w:p>
    <w:p>
      <w:pPr>
        <w:widowControl/>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bidi="ar"/>
        </w:rPr>
        <w:t xml:space="preserve">（三）针对本项目的实施方案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1.重点难点问题分析及应对措施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2.针对本项目熟悉理解情况</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3.项目掌握程度及技术方案情况</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4.项目成果要求掌握情况</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5.质量保证措施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6.安全保证措施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7.项目管理制度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8.数据保密措施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9.售后服务情况 </w:t>
      </w:r>
    </w:p>
    <w:p>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投标人自身经验拟定的验收方案齐备性、可操作性、科学性，应从有利于项目实施角度制订方案。 </w:t>
      </w:r>
    </w:p>
    <w:p>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10.其他需要说明的内容</w:t>
      </w:r>
    </w:p>
    <w:p>
      <w:pPr>
        <w:widowControl/>
        <w:spacing w:line="360" w:lineRule="auto"/>
        <w:jc w:val="left"/>
        <w:rPr>
          <w:rFonts w:hint="eastAsia" w:ascii="宋体" w:hAnsi="宋体" w:eastAsia="宋体" w:cs="宋体"/>
          <w:b/>
          <w:bCs/>
          <w:color w:val="auto"/>
          <w:sz w:val="24"/>
          <w:szCs w:val="24"/>
          <w:highlight w:val="none"/>
        </w:rPr>
      </w:pPr>
    </w:p>
    <w:p>
      <w:pPr>
        <w:widowControl/>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（四）</w:t>
      </w:r>
      <w:r>
        <w:rPr>
          <w:rFonts w:hint="eastAsia" w:ascii="宋体" w:hAnsi="宋体" w:eastAsia="宋体" w:cs="宋体"/>
          <w:b/>
          <w:bCs/>
          <w:color w:val="auto"/>
          <w:kern w:val="0"/>
          <w:sz w:val="24"/>
          <w:szCs w:val="24"/>
          <w:highlight w:val="none"/>
          <w:lang w:bidi="ar"/>
        </w:rPr>
        <w:t>本项目拟投入的主要设施表</w:t>
      </w:r>
    </w:p>
    <w:tbl>
      <w:tblPr>
        <w:tblStyle w:val="63"/>
        <w:tblW w:w="91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814"/>
        <w:gridCol w:w="814"/>
        <w:gridCol w:w="814"/>
        <w:gridCol w:w="814"/>
        <w:gridCol w:w="814"/>
        <w:gridCol w:w="814"/>
        <w:gridCol w:w="1010"/>
        <w:gridCol w:w="814"/>
        <w:gridCol w:w="815"/>
        <w:gridCol w:w="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序号</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设备名称</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型号</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规格</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数量</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国别</w:t>
            </w:r>
          </w:p>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产地</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制造</w:t>
            </w:r>
          </w:p>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年份</w:t>
            </w:r>
          </w:p>
        </w:tc>
        <w:tc>
          <w:tcPr>
            <w:tcW w:w="1010"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额定功率（kW）</w:t>
            </w:r>
          </w:p>
        </w:tc>
        <w:tc>
          <w:tcPr>
            <w:tcW w:w="814"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生产</w:t>
            </w:r>
          </w:p>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能力</w:t>
            </w:r>
          </w:p>
        </w:tc>
        <w:tc>
          <w:tcPr>
            <w:tcW w:w="815"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用途</w:t>
            </w:r>
          </w:p>
        </w:tc>
        <w:tc>
          <w:tcPr>
            <w:tcW w:w="815" w:type="dxa"/>
            <w:vAlign w:val="center"/>
          </w:tcPr>
          <w:p>
            <w:pPr>
              <w:snapToGrid w:val="0"/>
              <w:spacing w:line="360" w:lineRule="auto"/>
              <w:jc w:val="center"/>
              <w:rPr>
                <w:rFonts w:hint="eastAsia" w:ascii="宋体" w:hAnsi="宋体" w:eastAsia="宋体" w:cs="宋体"/>
                <w:color w:val="auto"/>
                <w:kern w:val="40"/>
                <w:sz w:val="24"/>
                <w:szCs w:val="24"/>
                <w:highlight w:val="none"/>
              </w:rPr>
            </w:pPr>
            <w:r>
              <w:rPr>
                <w:rFonts w:hint="eastAsia" w:ascii="宋体" w:hAnsi="宋体" w:eastAsia="宋体" w:cs="宋体"/>
                <w:color w:val="auto"/>
                <w:kern w:val="4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1010"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1010"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1010"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1010"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1010"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4"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c>
          <w:tcPr>
            <w:tcW w:w="815" w:type="dxa"/>
            <w:vAlign w:val="center"/>
          </w:tcPr>
          <w:p>
            <w:pPr>
              <w:keepNext/>
              <w:keepLines/>
              <w:tabs>
                <w:tab w:val="left" w:pos="720"/>
              </w:tabs>
              <w:adjustRightInd w:val="0"/>
              <w:spacing w:before="120" w:line="360" w:lineRule="auto"/>
              <w:jc w:val="center"/>
              <w:rPr>
                <w:rFonts w:hint="eastAsia" w:ascii="宋体" w:hAnsi="宋体" w:eastAsia="宋体" w:cs="宋体"/>
                <w:b/>
                <w:bCs/>
                <w:color w:val="auto"/>
                <w:sz w:val="24"/>
                <w:szCs w:val="24"/>
                <w:highlight w:val="none"/>
              </w:rPr>
            </w:pPr>
          </w:p>
        </w:tc>
      </w:tr>
    </w:tbl>
    <w:p>
      <w:pPr>
        <w:widowControl/>
        <w:spacing w:line="360" w:lineRule="auto"/>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 </w:t>
      </w:r>
    </w:p>
    <w:p>
      <w:pPr>
        <w:widowControl/>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 </w:t>
      </w:r>
      <w:r>
        <w:rPr>
          <w:rFonts w:hint="eastAsia" w:ascii="宋体" w:hAnsi="宋体" w:eastAsia="宋体" w:cs="宋体"/>
          <w:b/>
          <w:bCs/>
          <w:color w:val="auto"/>
          <w:sz w:val="24"/>
          <w:szCs w:val="24"/>
          <w:highlight w:val="none"/>
        </w:rPr>
        <w:t>（五）</w:t>
      </w:r>
      <w:r>
        <w:rPr>
          <w:rFonts w:hint="eastAsia" w:ascii="宋体" w:hAnsi="宋体" w:eastAsia="宋体" w:cs="宋体"/>
          <w:b/>
          <w:bCs/>
          <w:color w:val="auto"/>
          <w:kern w:val="0"/>
          <w:sz w:val="24"/>
          <w:szCs w:val="24"/>
          <w:highlight w:val="none"/>
          <w:lang w:bidi="ar"/>
        </w:rPr>
        <w:t xml:space="preserve">投标人为完成本项目组建的项目组人员名单 </w:t>
      </w:r>
    </w:p>
    <w:p>
      <w:pPr>
        <w:widowControl/>
        <w:spacing w:line="360" w:lineRule="auto"/>
        <w:ind w:right="-733" w:rightChars="-349"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每个专业人员的情况应该明确表示，明确各阶段投入人数，在提交的标书中安排的人员，须为单位的固定职员；每个参加项目人员的履历表应随标书一并提交，主要内容包括学历（学院、大学和其他职业教育，列出大学的名称，就学日期以及所取得的学位）、工作特长（特长领域、能力取向等）、 经验与业绩（主要是类似项目的经验，该人员参与的时间以及在项目中的责任）等、资质情况等； </w:t>
      </w:r>
    </w:p>
    <w:p>
      <w:pPr>
        <w:widowControl/>
        <w:spacing w:line="360" w:lineRule="auto"/>
        <w:ind w:firstLine="480" w:firstLineChars="200"/>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不限于表格形式，可采用其他形式表述。 </w:t>
      </w:r>
    </w:p>
    <w:p>
      <w:pPr>
        <w:widowControl/>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1）项目组人员表 </w:t>
      </w:r>
    </w:p>
    <w:tbl>
      <w:tblPr>
        <w:tblStyle w:val="63"/>
        <w:tblW w:w="9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1013"/>
        <w:gridCol w:w="1013"/>
        <w:gridCol w:w="1137"/>
        <w:gridCol w:w="889"/>
        <w:gridCol w:w="1013"/>
        <w:gridCol w:w="1013"/>
        <w:gridCol w:w="1197"/>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012" w:type="dxa"/>
            <w:vMerge w:val="restart"/>
            <w:vAlign w:val="center"/>
          </w:tcPr>
          <w:p>
            <w:pPr>
              <w:widowControl/>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项目组职务</w:t>
            </w:r>
          </w:p>
        </w:tc>
        <w:tc>
          <w:tcPr>
            <w:tcW w:w="1013" w:type="dxa"/>
            <w:vMerge w:val="restart"/>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姓名</w:t>
            </w:r>
          </w:p>
        </w:tc>
        <w:tc>
          <w:tcPr>
            <w:tcW w:w="1013" w:type="dxa"/>
            <w:vMerge w:val="restart"/>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职称</w:t>
            </w:r>
          </w:p>
        </w:tc>
        <w:tc>
          <w:tcPr>
            <w:tcW w:w="5249" w:type="dxa"/>
            <w:gridSpan w:val="5"/>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人员所具有的执业或职业资格证明</w:t>
            </w:r>
          </w:p>
        </w:tc>
        <w:tc>
          <w:tcPr>
            <w:tcW w:w="1213" w:type="dxa"/>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012" w:type="dxa"/>
            <w:vMerge w:val="continue"/>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Merge w:val="continue"/>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Merge w:val="continue"/>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37" w:type="dxa"/>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证书名称</w:t>
            </w:r>
          </w:p>
        </w:tc>
        <w:tc>
          <w:tcPr>
            <w:tcW w:w="889" w:type="dxa"/>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级别</w:t>
            </w:r>
          </w:p>
        </w:tc>
        <w:tc>
          <w:tcPr>
            <w:tcW w:w="1013" w:type="dxa"/>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证号</w:t>
            </w:r>
          </w:p>
        </w:tc>
        <w:tc>
          <w:tcPr>
            <w:tcW w:w="1013" w:type="dxa"/>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专业</w:t>
            </w:r>
          </w:p>
        </w:tc>
        <w:tc>
          <w:tcPr>
            <w:tcW w:w="1197" w:type="dxa"/>
            <w:vAlign w:val="center"/>
          </w:tcPr>
          <w:p>
            <w:pPr>
              <w:pStyle w:val="638"/>
              <w:widowControl w:val="0"/>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社保缴纳</w:t>
            </w:r>
          </w:p>
        </w:tc>
        <w:tc>
          <w:tcPr>
            <w:tcW w:w="1213" w:type="dxa"/>
            <w:vAlign w:val="center"/>
          </w:tcPr>
          <w:p>
            <w:pPr>
              <w:widowControl/>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人员能力及实施经验说明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012"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37"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889"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97"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2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012"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37"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889"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97"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2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012"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37"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889"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0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197"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c>
          <w:tcPr>
            <w:tcW w:w="1213" w:type="dxa"/>
            <w:vAlign w:val="center"/>
          </w:tcPr>
          <w:p>
            <w:pPr>
              <w:pStyle w:val="638"/>
              <w:widowControl w:val="0"/>
              <w:spacing w:line="360" w:lineRule="auto"/>
              <w:ind w:firstLine="420"/>
              <w:jc w:val="center"/>
              <w:rPr>
                <w:rFonts w:hint="eastAsia" w:ascii="宋体" w:hAnsi="宋体" w:eastAsia="宋体" w:cs="宋体"/>
                <w:color w:val="auto"/>
                <w:sz w:val="24"/>
                <w:szCs w:val="24"/>
                <w:highlight w:val="none"/>
              </w:rPr>
            </w:pPr>
          </w:p>
        </w:tc>
      </w:tr>
    </w:tbl>
    <w:p>
      <w:pPr>
        <w:topLinePunct/>
        <w:snapToGrid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附：相关人员的社保机构出具的社保缴纳证明材料。</w:t>
      </w:r>
    </w:p>
    <w:p>
      <w:pPr>
        <w:widowControl/>
        <w:spacing w:line="360" w:lineRule="auto"/>
        <w:ind w:right="-733" w:rightChars="-349"/>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br w:type="page"/>
      </w:r>
    </w:p>
    <w:p>
      <w:pPr>
        <w:widowControl/>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2）项目负责人简历表 </w:t>
      </w:r>
    </w:p>
    <w:tbl>
      <w:tblPr>
        <w:tblStyle w:val="62"/>
        <w:tblW w:w="94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2"/>
        <w:gridCol w:w="1584"/>
        <w:gridCol w:w="1583"/>
        <w:gridCol w:w="1583"/>
        <w:gridCol w:w="1583"/>
        <w:gridCol w:w="1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582"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1584"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1504"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582"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1584"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1504"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3166"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参加工作时间</w:t>
            </w:r>
          </w:p>
        </w:tc>
        <w:tc>
          <w:tcPr>
            <w:tcW w:w="6253" w:type="dxa"/>
            <w:gridSpan w:val="4"/>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419" w:type="dxa"/>
            <w:gridSpan w:val="6"/>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承担过项目情况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582"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采购单位</w:t>
            </w:r>
          </w:p>
        </w:tc>
        <w:tc>
          <w:tcPr>
            <w:tcW w:w="1584"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1583"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主要内容</w:t>
            </w:r>
          </w:p>
        </w:tc>
        <w:tc>
          <w:tcPr>
            <w:tcW w:w="3166" w:type="dxa"/>
            <w:gridSpan w:val="2"/>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采购单位联系人</w:t>
            </w:r>
          </w:p>
        </w:tc>
        <w:tc>
          <w:tcPr>
            <w:tcW w:w="1504"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582" w:type="dxa"/>
            <w:vAlign w:val="center"/>
          </w:tcPr>
          <w:p>
            <w:pPr>
              <w:snapToGrid w:val="0"/>
              <w:spacing w:line="360" w:lineRule="auto"/>
              <w:jc w:val="left"/>
              <w:rPr>
                <w:rFonts w:hint="eastAsia" w:ascii="宋体" w:hAnsi="宋体" w:eastAsia="宋体" w:cs="宋体"/>
                <w:color w:val="auto"/>
                <w:sz w:val="24"/>
                <w:szCs w:val="24"/>
                <w:highlight w:val="none"/>
              </w:rPr>
            </w:pPr>
          </w:p>
        </w:tc>
        <w:tc>
          <w:tcPr>
            <w:tcW w:w="1584" w:type="dxa"/>
            <w:vAlign w:val="center"/>
          </w:tcPr>
          <w:p>
            <w:pPr>
              <w:snapToGrid w:val="0"/>
              <w:spacing w:line="360" w:lineRule="auto"/>
              <w:jc w:val="left"/>
              <w:rPr>
                <w:rFonts w:hint="eastAsia" w:ascii="宋体" w:hAnsi="宋体" w:eastAsia="宋体" w:cs="宋体"/>
                <w:color w:val="auto"/>
                <w:sz w:val="24"/>
                <w:szCs w:val="24"/>
                <w:highlight w:val="none"/>
              </w:rPr>
            </w:pPr>
          </w:p>
        </w:tc>
        <w:tc>
          <w:tcPr>
            <w:tcW w:w="1583" w:type="dxa"/>
            <w:vAlign w:val="center"/>
          </w:tcPr>
          <w:p>
            <w:pPr>
              <w:snapToGrid w:val="0"/>
              <w:spacing w:line="360" w:lineRule="auto"/>
              <w:jc w:val="left"/>
              <w:rPr>
                <w:rFonts w:hint="eastAsia" w:ascii="宋体" w:hAnsi="宋体" w:eastAsia="宋体" w:cs="宋体"/>
                <w:color w:val="auto"/>
                <w:sz w:val="24"/>
                <w:szCs w:val="24"/>
                <w:highlight w:val="none"/>
              </w:rPr>
            </w:pPr>
          </w:p>
        </w:tc>
        <w:tc>
          <w:tcPr>
            <w:tcW w:w="3166" w:type="dxa"/>
            <w:gridSpan w:val="2"/>
            <w:vAlign w:val="center"/>
          </w:tcPr>
          <w:p>
            <w:pPr>
              <w:snapToGrid w:val="0"/>
              <w:spacing w:line="360" w:lineRule="auto"/>
              <w:jc w:val="left"/>
              <w:rPr>
                <w:rFonts w:hint="eastAsia" w:ascii="宋体" w:hAnsi="宋体" w:eastAsia="宋体" w:cs="宋体"/>
                <w:color w:val="auto"/>
                <w:sz w:val="24"/>
                <w:szCs w:val="24"/>
                <w:highlight w:val="none"/>
              </w:rPr>
            </w:pPr>
          </w:p>
        </w:tc>
        <w:tc>
          <w:tcPr>
            <w:tcW w:w="1504" w:type="dxa"/>
            <w:vAlign w:val="center"/>
          </w:tcPr>
          <w:p>
            <w:pPr>
              <w:snapToGrid w:val="0"/>
              <w:spacing w:line="360" w:lineRule="auto"/>
              <w:jc w:val="left"/>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582" w:type="dxa"/>
            <w:vAlign w:val="center"/>
          </w:tcPr>
          <w:p>
            <w:pPr>
              <w:snapToGrid w:val="0"/>
              <w:spacing w:line="360" w:lineRule="auto"/>
              <w:jc w:val="left"/>
              <w:rPr>
                <w:rFonts w:hint="eastAsia" w:ascii="宋体" w:hAnsi="宋体" w:eastAsia="宋体" w:cs="宋体"/>
                <w:color w:val="auto"/>
                <w:sz w:val="24"/>
                <w:szCs w:val="24"/>
                <w:highlight w:val="none"/>
              </w:rPr>
            </w:pPr>
          </w:p>
        </w:tc>
        <w:tc>
          <w:tcPr>
            <w:tcW w:w="1584" w:type="dxa"/>
            <w:vAlign w:val="center"/>
          </w:tcPr>
          <w:p>
            <w:pPr>
              <w:snapToGrid w:val="0"/>
              <w:spacing w:line="360" w:lineRule="auto"/>
              <w:jc w:val="left"/>
              <w:rPr>
                <w:rFonts w:hint="eastAsia" w:ascii="宋体" w:hAnsi="宋体" w:eastAsia="宋体" w:cs="宋体"/>
                <w:color w:val="auto"/>
                <w:sz w:val="24"/>
                <w:szCs w:val="24"/>
                <w:highlight w:val="none"/>
              </w:rPr>
            </w:pPr>
          </w:p>
        </w:tc>
        <w:tc>
          <w:tcPr>
            <w:tcW w:w="1583" w:type="dxa"/>
            <w:vAlign w:val="center"/>
          </w:tcPr>
          <w:p>
            <w:pPr>
              <w:snapToGrid w:val="0"/>
              <w:spacing w:line="360" w:lineRule="auto"/>
              <w:jc w:val="left"/>
              <w:rPr>
                <w:rFonts w:hint="eastAsia" w:ascii="宋体" w:hAnsi="宋体" w:eastAsia="宋体" w:cs="宋体"/>
                <w:color w:val="auto"/>
                <w:sz w:val="24"/>
                <w:szCs w:val="24"/>
                <w:highlight w:val="none"/>
              </w:rPr>
            </w:pPr>
          </w:p>
        </w:tc>
        <w:tc>
          <w:tcPr>
            <w:tcW w:w="3166" w:type="dxa"/>
            <w:gridSpan w:val="2"/>
            <w:vAlign w:val="center"/>
          </w:tcPr>
          <w:p>
            <w:pPr>
              <w:snapToGrid w:val="0"/>
              <w:spacing w:line="360" w:lineRule="auto"/>
              <w:jc w:val="left"/>
              <w:rPr>
                <w:rFonts w:hint="eastAsia" w:ascii="宋体" w:hAnsi="宋体" w:eastAsia="宋体" w:cs="宋体"/>
                <w:color w:val="auto"/>
                <w:sz w:val="24"/>
                <w:szCs w:val="24"/>
                <w:highlight w:val="none"/>
              </w:rPr>
            </w:pPr>
          </w:p>
        </w:tc>
        <w:tc>
          <w:tcPr>
            <w:tcW w:w="1504" w:type="dxa"/>
            <w:vAlign w:val="center"/>
          </w:tcPr>
          <w:p>
            <w:pPr>
              <w:snapToGrid w:val="0"/>
              <w:spacing w:line="360" w:lineRule="auto"/>
              <w:jc w:val="left"/>
              <w:rPr>
                <w:rFonts w:hint="eastAsia" w:ascii="宋体" w:hAnsi="宋体" w:eastAsia="宋体" w:cs="宋体"/>
                <w:color w:val="auto"/>
                <w:sz w:val="24"/>
                <w:szCs w:val="24"/>
                <w:highlight w:val="none"/>
              </w:rPr>
            </w:pPr>
          </w:p>
        </w:tc>
      </w:tr>
    </w:tbl>
    <w:p>
      <w:pPr>
        <w:pStyle w:val="722"/>
        <w:snapToGrid w:val="0"/>
        <w:spacing w:line="360" w:lineRule="auto"/>
        <w:ind w:firstLine="48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应附身份证、学历证等复印件，管理过的项目业绩附相关证明材料。</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（2）投标价格组成明细表…………………………………………………………（页码）</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691"/>
        <w:keepNext w:val="0"/>
        <w:pageBreakBefore w:val="0"/>
        <w:tabs>
          <w:tab w:val="clear" w:pos="720"/>
        </w:tabs>
        <w:snapToGrid w:val="0"/>
        <w:spacing w:before="120" w:after="120" w:line="360" w:lineRule="auto"/>
        <w:ind w:firstLine="643"/>
        <w:outlineLvl w:val="9"/>
        <w:rPr>
          <w:rFonts w:hint="eastAsia" w:ascii="宋体" w:hAnsi="宋体" w:eastAsia="宋体" w:cs="宋体"/>
          <w:color w:val="auto"/>
          <w:kern w:val="2"/>
          <w:sz w:val="32"/>
          <w:szCs w:val="32"/>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pgNumType w:fmt="decimal"/>
          <w:cols w:space="720" w:num="1"/>
          <w:titlePg/>
          <w:docGrid w:linePitch="312" w:charSpace="0"/>
        </w:sectPr>
      </w:pPr>
    </w:p>
    <w:p>
      <w:pPr>
        <w:pStyle w:val="691"/>
        <w:keepNext w:val="0"/>
        <w:pageBreakBefore w:val="0"/>
        <w:tabs>
          <w:tab w:val="clear" w:pos="720"/>
        </w:tabs>
        <w:snapToGrid w:val="0"/>
        <w:spacing w:before="120" w:after="120" w:line="360" w:lineRule="auto"/>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杭州市上城区综合行政执法局、</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kern w:val="0"/>
          <w:sz w:val="24"/>
          <w:highlight w:val="none"/>
          <w:lang w:val="zh-CN"/>
        </w:rPr>
        <w:t>：</w:t>
      </w:r>
    </w:p>
    <w:p>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按你方招标文件要求，我们，本投标文件签字方，谨此向你方发出要约如下：如你方接受本投标，我方承诺按照如下开标一览表（报价表）的价格完成2023年上城区九堡北片区市政设施长效养护服务项目</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【招标编号：</w:t>
      </w:r>
      <w:r>
        <w:rPr>
          <w:rFonts w:hint="eastAsia" w:ascii="宋体" w:hAnsi="宋体" w:cs="宋体"/>
          <w:color w:val="auto"/>
          <w:sz w:val="24"/>
          <w:highlight w:val="none"/>
          <w:lang w:eastAsia="zh-CN"/>
        </w:rPr>
        <w:t>上城政采分-2022-01140</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pPr w:leftFromText="180" w:rightFromText="180" w:vertAnchor="text" w:horzAnchor="page" w:tblpX="1441" w:tblpY="360"/>
        <w:tblOverlap w:val="never"/>
        <w:tblW w:w="141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5450"/>
        <w:gridCol w:w="1133"/>
        <w:gridCol w:w="1087"/>
        <w:gridCol w:w="3088"/>
        <w:gridCol w:w="2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113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545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标项名称</w:t>
            </w:r>
          </w:p>
        </w:tc>
        <w:tc>
          <w:tcPr>
            <w:tcW w:w="1133"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087"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单位</w:t>
            </w:r>
          </w:p>
        </w:tc>
        <w:tc>
          <w:tcPr>
            <w:tcW w:w="3088"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项目质量目标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13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w:t>
            </w:r>
          </w:p>
        </w:tc>
        <w:tc>
          <w:tcPr>
            <w:tcW w:w="5450" w:type="dxa"/>
            <w:vAlign w:val="center"/>
          </w:tcPr>
          <w:p>
            <w:pPr>
              <w:spacing w:line="360" w:lineRule="auto"/>
              <w:jc w:val="center"/>
              <w:rPr>
                <w:rFonts w:hint="eastAsia" w:ascii="宋体" w:hAnsi="宋体" w:eastAsia="宋体" w:cs="宋体"/>
                <w:b/>
                <w:color w:val="auto"/>
                <w:sz w:val="24"/>
                <w:highlight w:val="none"/>
                <w:lang w:val="en-US"/>
              </w:rPr>
            </w:pPr>
            <w:r>
              <w:rPr>
                <w:rFonts w:hint="eastAsia" w:ascii="宋体" w:hAnsi="宋体" w:eastAsia="宋体" w:cs="宋体"/>
                <w:b/>
                <w:color w:val="auto"/>
                <w:sz w:val="24"/>
                <w:highlight w:val="none"/>
                <w:lang w:eastAsia="zh-CN"/>
              </w:rPr>
              <w:t>2023年上城区九堡北片区市政设施长效养护服务项目</w:t>
            </w:r>
          </w:p>
        </w:tc>
        <w:tc>
          <w:tcPr>
            <w:tcW w:w="1133"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w:t>
            </w:r>
          </w:p>
        </w:tc>
        <w:tc>
          <w:tcPr>
            <w:tcW w:w="1087"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w:t>
            </w:r>
          </w:p>
        </w:tc>
        <w:tc>
          <w:tcPr>
            <w:tcW w:w="3088"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响应招标文件要求</w:t>
            </w:r>
          </w:p>
        </w:tc>
        <w:tc>
          <w:tcPr>
            <w:tcW w:w="226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7718" w:type="dxa"/>
            <w:gridSpan w:val="3"/>
            <w:vAlign w:val="center"/>
          </w:tcPr>
          <w:p>
            <w:pPr>
              <w:spacing w:line="360" w:lineRule="auto"/>
              <w:jc w:val="center"/>
              <w:rPr>
                <w:rFonts w:hint="eastAsia" w:ascii="宋体" w:hAnsi="宋体" w:eastAsia="宋体" w:cs="宋体"/>
                <w:color w:val="auto"/>
                <w:highlight w:val="none"/>
                <w:lang w:val="en-US" w:eastAsia="zh-CN"/>
              </w:rPr>
            </w:pPr>
            <w:r>
              <w:rPr>
                <w:rFonts w:hint="eastAsia" w:ascii="宋体" w:hAnsi="宋体" w:eastAsia="宋体" w:cs="宋体"/>
                <w:b/>
                <w:color w:val="auto"/>
                <w:sz w:val="24"/>
                <w:highlight w:val="none"/>
              </w:rPr>
              <w:t>投标报价（小写）</w:t>
            </w:r>
          </w:p>
        </w:tc>
        <w:tc>
          <w:tcPr>
            <w:tcW w:w="6440" w:type="dxa"/>
            <w:gridSpan w:val="3"/>
            <w:vAlign w:val="center"/>
          </w:tcPr>
          <w:p>
            <w:pPr>
              <w:spacing w:line="360" w:lineRule="auto"/>
              <w:jc w:val="center"/>
              <w:rPr>
                <w:rFonts w:hint="eastAsia" w:ascii="宋体" w:hAnsi="宋体" w:eastAsia="宋体" w:cs="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7718" w:type="dxa"/>
            <w:gridSpan w:val="3"/>
            <w:vAlign w:val="center"/>
          </w:tcPr>
          <w:p>
            <w:pPr>
              <w:spacing w:line="360" w:lineRule="auto"/>
              <w:jc w:val="center"/>
              <w:rPr>
                <w:rFonts w:hint="eastAsia" w:ascii="宋体" w:hAnsi="宋体" w:eastAsia="宋体" w:cs="宋体"/>
                <w:color w:val="auto"/>
                <w:highlight w:val="none"/>
                <w:lang w:val="en-US" w:eastAsia="zh-CN"/>
              </w:rPr>
            </w:pPr>
            <w:r>
              <w:rPr>
                <w:rFonts w:hint="eastAsia" w:ascii="宋体" w:hAnsi="宋体" w:eastAsia="宋体" w:cs="宋体"/>
                <w:b/>
                <w:color w:val="auto"/>
                <w:sz w:val="24"/>
                <w:highlight w:val="none"/>
              </w:rPr>
              <w:t>投标报价（大写）</w:t>
            </w:r>
          </w:p>
        </w:tc>
        <w:tc>
          <w:tcPr>
            <w:tcW w:w="6440" w:type="dxa"/>
            <w:gridSpan w:val="3"/>
            <w:vAlign w:val="center"/>
          </w:tcPr>
          <w:p>
            <w:pPr>
              <w:spacing w:line="360" w:lineRule="auto"/>
              <w:jc w:val="center"/>
              <w:rPr>
                <w:rFonts w:hint="eastAsia" w:ascii="宋体" w:hAnsi="宋体" w:eastAsia="宋体" w:cs="宋体"/>
                <w:color w:val="auto"/>
                <w:highlight w:val="none"/>
              </w:rPr>
            </w:pPr>
          </w:p>
        </w:tc>
      </w:tr>
    </w:tbl>
    <w:p>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1、投标人需按本表格式填写，不得自行更改。</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投标文件含有采购人不能接受的附加条件的，投标无效</w:t>
      </w:r>
      <w:r>
        <w:rPr>
          <w:rFonts w:hint="eastAsia" w:ascii="宋体" w:hAnsi="宋体" w:eastAsia="宋体" w:cs="宋体"/>
          <w:b/>
          <w:color w:val="auto"/>
          <w:kern w:val="0"/>
          <w:sz w:val="24"/>
          <w:highlight w:val="none"/>
          <w:lang w:val="zh-CN"/>
        </w:rPr>
        <w:t>。</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1"/>
        <w:keepNext w:val="0"/>
        <w:pageBreakBefore w:val="0"/>
        <w:tabs>
          <w:tab w:val="clear" w:pos="720"/>
        </w:tabs>
        <w:snapToGrid w:val="0"/>
        <w:spacing w:before="120" w:after="120" w:line="360" w:lineRule="auto"/>
        <w:ind w:firstLine="643"/>
        <w:outlineLvl w:val="9"/>
        <w:rPr>
          <w:rFonts w:hint="eastAsia"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line="360" w:lineRule="auto"/>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pPr>
        <w:pStyle w:val="691"/>
        <w:keepNext w:val="0"/>
        <w:pageBreakBefore w:val="0"/>
        <w:numPr>
          <w:ilvl w:val="0"/>
          <w:numId w:val="5"/>
        </w:numPr>
        <w:tabs>
          <w:tab w:val="clear" w:pos="720"/>
        </w:tabs>
        <w:snapToGrid w:val="0"/>
        <w:spacing w:before="120" w:after="120" w:line="360" w:lineRule="auto"/>
        <w:ind w:firstLine="643"/>
        <w:outlineLvl w:val="9"/>
        <w:rPr>
          <w:rFonts w:hint="eastAsia" w:ascii="宋体" w:hAnsi="宋体" w:eastAsia="宋体" w:cs="宋体"/>
          <w:b/>
          <w:color w:val="auto"/>
          <w:kern w:val="2"/>
          <w:sz w:val="32"/>
          <w:szCs w:val="32"/>
          <w:highlight w:val="none"/>
          <w:lang w:val="en-US" w:eastAsia="zh-CN" w:bidi="ar-SA"/>
        </w:rPr>
      </w:pPr>
      <w:bookmarkStart w:id="399" w:name="_Toc345575540"/>
      <w:bookmarkStart w:id="400" w:name="_Toc336683580"/>
      <w:r>
        <w:rPr>
          <w:rFonts w:hint="eastAsia" w:ascii="宋体" w:hAnsi="宋体" w:eastAsia="宋体" w:cs="宋体"/>
          <w:color w:val="auto"/>
          <w:kern w:val="2"/>
          <w:sz w:val="32"/>
          <w:szCs w:val="32"/>
          <w:highlight w:val="none"/>
          <w:lang w:val="en-US" w:eastAsia="zh-CN"/>
        </w:rPr>
        <w:t>投</w:t>
      </w:r>
      <w:r>
        <w:rPr>
          <w:rFonts w:hint="eastAsia" w:ascii="宋体" w:hAnsi="宋体" w:eastAsia="宋体" w:cs="宋体"/>
          <w:b/>
          <w:color w:val="auto"/>
          <w:kern w:val="2"/>
          <w:sz w:val="32"/>
          <w:szCs w:val="32"/>
          <w:highlight w:val="none"/>
          <w:lang w:val="en-US" w:eastAsia="zh-CN" w:bidi="ar-SA"/>
        </w:rPr>
        <w:t>标价格组成明细表</w:t>
      </w:r>
      <w:bookmarkEnd w:id="399"/>
      <w:bookmarkEnd w:id="400"/>
    </w:p>
    <w:p>
      <w:pPr>
        <w:pStyle w:val="691"/>
        <w:keepNext w:val="0"/>
        <w:pageBreakBefore w:val="0"/>
        <w:widowControl w:val="0"/>
        <w:numPr>
          <w:ilvl w:val="0"/>
          <w:numId w:val="0"/>
        </w:numPr>
        <w:tabs>
          <w:tab w:val="clear" w:pos="720"/>
        </w:tabs>
        <w:adjustRightInd w:val="0"/>
        <w:snapToGrid w:val="0"/>
        <w:spacing w:before="120" w:after="120" w:line="360" w:lineRule="auto"/>
        <w:jc w:val="center"/>
        <w:outlineLvl w:val="9"/>
        <w:rPr>
          <w:rFonts w:hint="eastAsia" w:ascii="宋体" w:hAnsi="宋体" w:eastAsia="宋体" w:cs="宋体"/>
          <w:b/>
          <w:color w:val="auto"/>
          <w:kern w:val="2"/>
          <w:sz w:val="32"/>
          <w:szCs w:val="32"/>
          <w:highlight w:val="none"/>
          <w:lang w:val="en-US" w:eastAsia="zh-CN" w:bidi="ar-SA"/>
        </w:rPr>
      </w:pPr>
    </w:p>
    <w:tbl>
      <w:tblPr>
        <w:tblStyle w:val="62"/>
        <w:tblpPr w:leftFromText="180" w:rightFromText="180" w:vertAnchor="text" w:horzAnchor="page" w:tblpX="1347" w:tblpY="-474"/>
        <w:tblOverlap w:val="never"/>
        <w:tblW w:w="9294" w:type="dxa"/>
        <w:tblInd w:w="0" w:type="dxa"/>
        <w:tblLayout w:type="fixed"/>
        <w:tblCellMar>
          <w:top w:w="15" w:type="dxa"/>
          <w:left w:w="15" w:type="dxa"/>
          <w:bottom w:w="15" w:type="dxa"/>
          <w:right w:w="15" w:type="dxa"/>
        </w:tblCellMar>
      </w:tblPr>
      <w:tblGrid>
        <w:gridCol w:w="560"/>
        <w:gridCol w:w="1298"/>
        <w:gridCol w:w="1785"/>
        <w:gridCol w:w="1503"/>
        <w:gridCol w:w="2205"/>
        <w:gridCol w:w="1943"/>
      </w:tblGrid>
      <w:tr>
        <w:tblPrEx>
          <w:tblCellMar>
            <w:top w:w="15" w:type="dxa"/>
            <w:left w:w="15" w:type="dxa"/>
            <w:bottom w:w="15" w:type="dxa"/>
            <w:right w:w="15" w:type="dxa"/>
          </w:tblCellMar>
        </w:tblPrEx>
        <w:trPr>
          <w:trHeight w:val="555" w:hRule="atLeast"/>
        </w:trPr>
        <w:tc>
          <w:tcPr>
            <w:tcW w:w="9294" w:type="dxa"/>
            <w:gridSpan w:val="6"/>
            <w:vAlign w:val="center"/>
          </w:tcPr>
          <w:p>
            <w:pPr>
              <w:widowControl/>
              <w:spacing w:line="360" w:lineRule="auto"/>
              <w:jc w:val="center"/>
              <w:textAlignment w:val="center"/>
              <w:rPr>
                <w:rFonts w:hint="eastAsia" w:ascii="宋体" w:hAnsi="宋体" w:eastAsia="宋体" w:cs="宋体"/>
                <w:b/>
                <w:color w:val="auto"/>
                <w:sz w:val="36"/>
                <w:szCs w:val="36"/>
                <w:highlight w:val="none"/>
              </w:rPr>
            </w:pPr>
            <w:r>
              <w:rPr>
                <w:rFonts w:hint="eastAsia" w:ascii="宋体" w:hAnsi="宋体" w:eastAsia="宋体" w:cs="宋体"/>
                <w:b/>
                <w:color w:val="auto"/>
                <w:kern w:val="0"/>
                <w:sz w:val="36"/>
                <w:szCs w:val="36"/>
                <w:highlight w:val="none"/>
                <w:lang w:bidi="ar"/>
              </w:rPr>
              <w:t>市政设施长效养护服务报价表</w:t>
            </w:r>
          </w:p>
        </w:tc>
      </w:tr>
      <w:tr>
        <w:tblPrEx>
          <w:tblCellMar>
            <w:top w:w="15" w:type="dxa"/>
            <w:left w:w="15" w:type="dxa"/>
            <w:bottom w:w="15" w:type="dxa"/>
            <w:right w:w="15" w:type="dxa"/>
          </w:tblCellMar>
        </w:tblPrEx>
        <w:trPr>
          <w:trHeight w:val="616"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序号</w:t>
            </w: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道路名称</w:t>
            </w: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起止点</w:t>
            </w: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面积（㎡）</w:t>
            </w: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道路养护合价（元）</w:t>
            </w: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养护期限</w:t>
            </w: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drawing>
                <wp:inline distT="0" distB="0" distL="114300" distR="114300">
                  <wp:extent cx="9525" cy="952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2" r:link="rId23"/>
                          <a:stretch>
                            <a:fillRect/>
                          </a:stretch>
                        </pic:blipFill>
                        <pic:spPr>
                          <a:xfrm>
                            <a:off x="0" y="0"/>
                            <a:ext cx="9525" cy="9525"/>
                          </a:xfrm>
                          <a:prstGeom prst="rect">
                            <a:avLst/>
                          </a:prstGeom>
                          <a:noFill/>
                          <a:ln>
                            <a:noFill/>
                          </a:ln>
                        </pic:spPr>
                      </pic:pic>
                    </a:graphicData>
                  </a:graphic>
                </wp:inline>
              </w:drawing>
            </w:r>
            <w:r>
              <w:rPr>
                <w:rFonts w:hint="eastAsia" w:ascii="宋体" w:hAnsi="宋体" w:eastAsia="宋体" w:cs="宋体"/>
                <w:color w:val="auto"/>
                <w:kern w:val="0"/>
                <w:sz w:val="24"/>
                <w:szCs w:val="24"/>
                <w:highlight w:val="none"/>
                <w:lang w:bidi="ar"/>
              </w:rPr>
              <w:drawing>
                <wp:inline distT="0" distB="0" distL="114300" distR="114300">
                  <wp:extent cx="9525" cy="952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2" r:link="rId23"/>
                          <a:stretch>
                            <a:fillRect/>
                          </a:stretch>
                        </pic:blipFill>
                        <pic:spPr>
                          <a:xfrm>
                            <a:off x="0" y="0"/>
                            <a:ext cx="9525" cy="9525"/>
                          </a:xfrm>
                          <a:prstGeom prst="rect">
                            <a:avLst/>
                          </a:prstGeom>
                          <a:noFill/>
                          <a:ln>
                            <a:noFill/>
                          </a:ln>
                        </pic:spPr>
                      </pic:pic>
                    </a:graphicData>
                  </a:graphic>
                </wp:inline>
              </w:drawing>
            </w:r>
            <w:r>
              <w:rPr>
                <w:rFonts w:hint="eastAsia" w:ascii="宋体" w:hAnsi="宋体" w:eastAsia="宋体" w:cs="宋体"/>
                <w:color w:val="auto"/>
                <w:kern w:val="0"/>
                <w:sz w:val="24"/>
                <w:szCs w:val="24"/>
                <w:highlight w:val="none"/>
                <w:lang w:bidi="ar"/>
              </w:rPr>
              <w:drawing>
                <wp:inline distT="0" distB="0" distL="114300" distR="114300">
                  <wp:extent cx="9525" cy="9525"/>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22" r:link="rId23"/>
                          <a:stretch>
                            <a:fillRect/>
                          </a:stretch>
                        </pic:blipFill>
                        <pic:spPr>
                          <a:xfrm>
                            <a:off x="0" y="0"/>
                            <a:ext cx="9525" cy="9525"/>
                          </a:xfrm>
                          <a:prstGeom prst="rect">
                            <a:avLst/>
                          </a:prstGeom>
                          <a:noFill/>
                          <a:ln>
                            <a:noFill/>
                          </a:ln>
                        </pic:spPr>
                      </pic:pic>
                    </a:graphicData>
                  </a:graphic>
                </wp:inline>
              </w:drawing>
            </w: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4"/>
                <w:szCs w:val="24"/>
                <w:highlight w:val="none"/>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r>
        <w:tblPrEx>
          <w:tblCellMar>
            <w:top w:w="15" w:type="dxa"/>
            <w:left w:w="15" w:type="dxa"/>
            <w:bottom w:w="15" w:type="dxa"/>
            <w:right w:w="15" w:type="dxa"/>
          </w:tblCellMar>
        </w:tblPrEx>
        <w:trPr>
          <w:trHeight w:val="675" w:hRule="atLeast"/>
        </w:trPr>
        <w:tc>
          <w:tcPr>
            <w:tcW w:w="56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1298"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合计</w:t>
            </w:r>
          </w:p>
        </w:tc>
        <w:tc>
          <w:tcPr>
            <w:tcW w:w="178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15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kern w:val="0"/>
                <w:sz w:val="24"/>
                <w:szCs w:val="24"/>
                <w:highlight w:val="none"/>
                <w:lang w:bidi="ar"/>
              </w:rPr>
            </w:pPr>
          </w:p>
        </w:tc>
        <w:tc>
          <w:tcPr>
            <w:tcW w:w="220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kern w:val="0"/>
                <w:sz w:val="20"/>
                <w:szCs w:val="20"/>
                <w:highlight w:val="none"/>
                <w:lang w:bidi="ar"/>
              </w:rPr>
            </w:pPr>
          </w:p>
        </w:tc>
        <w:tc>
          <w:tcPr>
            <w:tcW w:w="194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宋体"/>
                <w:color w:val="auto"/>
                <w:sz w:val="20"/>
                <w:szCs w:val="20"/>
                <w:highlight w:val="none"/>
              </w:rPr>
            </w:pPr>
          </w:p>
        </w:tc>
      </w:tr>
    </w:tbl>
    <w:p>
      <w:pPr>
        <w:pStyle w:val="691"/>
        <w:keepNext w:val="0"/>
        <w:pageBreakBefore w:val="0"/>
        <w:tabs>
          <w:tab w:val="left" w:pos="420"/>
        </w:tabs>
        <w:adjustRightInd w:val="0"/>
        <w:snapToGrid w:val="0"/>
        <w:spacing w:line="360" w:lineRule="auto"/>
        <w:outlineLvl w:val="1"/>
        <w:rPr>
          <w:rFonts w:hint="eastAsia" w:ascii="宋体" w:hAnsi="宋体" w:eastAsia="宋体" w:cs="宋体"/>
          <w:color w:val="auto"/>
          <w:kern w:val="2"/>
          <w:sz w:val="32"/>
          <w:szCs w:val="32"/>
          <w:highlight w:val="none"/>
        </w:rPr>
      </w:pP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（1）本项目的投标应以人民币报价，投标人报价应是包括为完成本工程项目可能发生的全部费用及成交人的利润和应交纳的税金等一切费用，采购项目不出具联系单。</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（2）投标人应承担其参加本招标活动自身所发生的费用。</w:t>
      </w:r>
    </w:p>
    <w:p>
      <w:pPr>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（3）按提供的工程量清单分别报价，报价内容按工程量清单逐一报价，若有漏项，视为已包含在内。</w:t>
      </w:r>
    </w:p>
    <w:p>
      <w:pPr>
        <w:spacing w:line="360" w:lineRule="auto"/>
        <w:ind w:left="6226" w:leftChars="2736" w:hanging="480" w:hangingChars="200"/>
        <w:jc w:val="left"/>
        <w:rPr>
          <w:rFonts w:hint="eastAsia" w:ascii="宋体" w:hAnsi="宋体" w:eastAsia="宋体" w:cs="宋体"/>
          <w:color w:val="auto"/>
          <w:sz w:val="24"/>
          <w:highlight w:val="none"/>
        </w:rPr>
      </w:pPr>
    </w:p>
    <w:p>
      <w:pPr>
        <w:autoSpaceDE w:val="0"/>
        <w:autoSpaceDN w:val="0"/>
        <w:spacing w:line="360" w:lineRule="auto"/>
        <w:ind w:right="112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color w:val="auto"/>
          <w:kern w:val="2"/>
          <w:sz w:val="28"/>
          <w:szCs w:val="28"/>
          <w:highlight w:val="none"/>
          <w:lang w:val="en-US" w:eastAsia="zh-CN" w:bidi="ar-SA"/>
        </w:rPr>
      </w:pPr>
    </w:p>
    <w:p>
      <w:pPr>
        <w:spacing w:line="360" w:lineRule="auto"/>
        <w:jc w:val="center"/>
        <w:rPr>
          <w:rFonts w:hint="eastAsia" w:ascii="宋体" w:hAnsi="宋体" w:eastAsia="宋体" w:cs="宋体"/>
          <w:b/>
          <w:color w:val="auto"/>
          <w:kern w:val="2"/>
          <w:sz w:val="28"/>
          <w:szCs w:val="28"/>
          <w:highlight w:val="none"/>
          <w:lang w:val="en-US" w:eastAsia="zh-CN" w:bidi="ar-SA"/>
        </w:rPr>
      </w:pPr>
    </w:p>
    <w:p>
      <w:pPr>
        <w:spacing w:line="360" w:lineRule="auto"/>
        <w:jc w:val="center"/>
        <w:rPr>
          <w:rFonts w:hint="eastAsia" w:ascii="宋体" w:hAnsi="宋体" w:eastAsia="宋体" w:cs="宋体"/>
          <w:b/>
          <w:color w:val="auto"/>
          <w:kern w:val="2"/>
          <w:sz w:val="28"/>
          <w:szCs w:val="28"/>
          <w:highlight w:val="none"/>
          <w:lang w:val="en-US" w:eastAsia="zh-CN" w:bidi="ar-SA"/>
        </w:rPr>
      </w:pPr>
    </w:p>
    <w:p>
      <w:pPr>
        <w:spacing w:line="360" w:lineRule="auto"/>
        <w:jc w:val="center"/>
        <w:rPr>
          <w:rFonts w:hint="eastAsia" w:ascii="宋体" w:hAnsi="宋体" w:eastAsia="宋体" w:cs="宋体"/>
          <w:b/>
          <w:color w:val="auto"/>
          <w:kern w:val="2"/>
          <w:sz w:val="28"/>
          <w:szCs w:val="28"/>
          <w:highlight w:val="none"/>
          <w:lang w:val="zh-CN" w:eastAsia="zh-CN" w:bidi="ar-SA"/>
        </w:rPr>
      </w:pPr>
      <w:r>
        <w:rPr>
          <w:rFonts w:hint="eastAsia" w:ascii="宋体" w:hAnsi="宋体" w:eastAsia="宋体" w:cs="宋体"/>
          <w:b/>
          <w:color w:val="auto"/>
          <w:kern w:val="2"/>
          <w:sz w:val="28"/>
          <w:szCs w:val="28"/>
          <w:highlight w:val="none"/>
          <w:lang w:val="en-US" w:eastAsia="zh-CN" w:bidi="ar-SA"/>
        </w:rPr>
        <w:t>投标价格组成明细表</w:t>
      </w:r>
      <w:r>
        <w:rPr>
          <w:rFonts w:hint="eastAsia" w:ascii="宋体" w:hAnsi="宋体" w:eastAsia="宋体" w:cs="宋体"/>
          <w:b/>
          <w:color w:val="auto"/>
          <w:kern w:val="2"/>
          <w:sz w:val="28"/>
          <w:szCs w:val="28"/>
          <w:highlight w:val="none"/>
          <w:lang w:val="zh-CN" w:eastAsia="zh-CN" w:bidi="ar-SA"/>
        </w:rPr>
        <w:t>（报价表）(单位均为人民币</w:t>
      </w:r>
      <w:r>
        <w:rPr>
          <w:rFonts w:hint="eastAsia" w:ascii="宋体" w:hAnsi="宋体" w:eastAsia="宋体" w:cs="宋体"/>
          <w:b/>
          <w:color w:val="auto"/>
          <w:kern w:val="2"/>
          <w:sz w:val="28"/>
          <w:szCs w:val="28"/>
          <w:highlight w:val="none"/>
          <w:lang w:val="en-US" w:eastAsia="zh-CN" w:bidi="ar-SA"/>
        </w:rPr>
        <w:t xml:space="preserve"> </w:t>
      </w:r>
      <w:r>
        <w:rPr>
          <w:rFonts w:hint="eastAsia" w:ascii="宋体" w:hAnsi="宋体" w:eastAsia="宋体" w:cs="宋体"/>
          <w:b/>
          <w:color w:val="auto"/>
          <w:kern w:val="2"/>
          <w:sz w:val="28"/>
          <w:szCs w:val="28"/>
          <w:highlight w:val="none"/>
          <w:lang w:val="zh-CN" w:eastAsia="zh-CN" w:bidi="ar-SA"/>
        </w:rPr>
        <w:t>元)</w:t>
      </w:r>
    </w:p>
    <w:p>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杭州市上城区综合行政执法局、</w:t>
      </w:r>
      <w:r>
        <w:rPr>
          <w:rFonts w:hint="eastAsia" w:ascii="宋体" w:hAnsi="宋体" w:eastAsia="宋体" w:cs="宋体"/>
          <w:color w:val="auto"/>
          <w:sz w:val="24"/>
          <w:highlight w:val="none"/>
        </w:rPr>
        <w:t>（采购代理机构）</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kern w:val="0"/>
          <w:sz w:val="24"/>
          <w:szCs w:val="24"/>
          <w:highlight w:val="none"/>
          <w:lang w:val="zh-CN"/>
        </w:rPr>
        <w:t>：</w:t>
      </w: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按你方招标文件要求，我们，本投标文件签字方，谨此向你方发出要约如下：如你方接受本投标，我方承诺按照如下投标价格组成明细表（报价表）的价格完成2023年上城区九堡北片区市政设施长效养护服务项目【招标编号：</w:t>
      </w:r>
      <w:r>
        <w:rPr>
          <w:rFonts w:hint="eastAsia" w:ascii="宋体" w:hAnsi="宋体" w:cs="宋体"/>
          <w:color w:val="auto"/>
          <w:sz w:val="24"/>
          <w:szCs w:val="24"/>
          <w:highlight w:val="none"/>
          <w:lang w:eastAsia="zh-CN"/>
        </w:rPr>
        <w:t>上城政采分-2022-01140</w:t>
      </w:r>
      <w:r>
        <w:rPr>
          <w:rFonts w:hint="eastAsia" w:ascii="宋体" w:hAnsi="宋体" w:eastAsia="宋体" w:cs="宋体"/>
          <w:color w:val="auto"/>
          <w:sz w:val="24"/>
          <w:szCs w:val="24"/>
          <w:highlight w:val="none"/>
        </w:rPr>
        <w:t>】的实施</w:t>
      </w:r>
      <w:r>
        <w:rPr>
          <w:rFonts w:hint="eastAsia" w:ascii="宋体" w:hAnsi="宋体" w:eastAsia="宋体" w:cs="宋体"/>
          <w:color w:val="auto"/>
          <w:kern w:val="0"/>
          <w:sz w:val="24"/>
          <w:szCs w:val="24"/>
          <w:highlight w:val="none"/>
          <w:lang w:val="zh-CN"/>
        </w:rPr>
        <w:t>。</w:t>
      </w:r>
    </w:p>
    <w:tbl>
      <w:tblPr>
        <w:tblStyle w:val="62"/>
        <w:tblW w:w="9040" w:type="dxa"/>
        <w:tblInd w:w="0" w:type="dxa"/>
        <w:tblLayout w:type="fixed"/>
        <w:tblCellMar>
          <w:top w:w="0" w:type="dxa"/>
          <w:left w:w="30" w:type="dxa"/>
          <w:bottom w:w="0" w:type="dxa"/>
          <w:right w:w="30" w:type="dxa"/>
        </w:tblCellMar>
      </w:tblPr>
      <w:tblGrid>
        <w:gridCol w:w="526"/>
        <w:gridCol w:w="2179"/>
        <w:gridCol w:w="634"/>
        <w:gridCol w:w="889"/>
        <w:gridCol w:w="1015"/>
        <w:gridCol w:w="1105"/>
        <w:gridCol w:w="2692"/>
      </w:tblGrid>
      <w:tr>
        <w:tblPrEx>
          <w:tblCellMar>
            <w:top w:w="0" w:type="dxa"/>
            <w:left w:w="30" w:type="dxa"/>
            <w:bottom w:w="0" w:type="dxa"/>
            <w:right w:w="30" w:type="dxa"/>
          </w:tblCellMar>
        </w:tblPrEx>
        <w:trPr>
          <w:trHeight w:val="420" w:hRule="atLeast"/>
        </w:trPr>
        <w:tc>
          <w:tcPr>
            <w:tcW w:w="9040" w:type="dxa"/>
            <w:gridSpan w:val="7"/>
            <w:tcBorders>
              <w:top w:val="single" w:color="000000" w:sz="2" w:space="0"/>
              <w:left w:val="single" w:color="000000" w:sz="2" w:space="0"/>
              <w:bottom w:val="single" w:color="auto" w:sz="6" w:space="0"/>
              <w:right w:val="single" w:color="000000" w:sz="2"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rPr>
              <w:t>道路养护工程量清单报价表</w:t>
            </w:r>
          </w:p>
          <w:p>
            <w:pPr>
              <w:autoSpaceDE w:val="0"/>
              <w:autoSpaceDN w:val="0"/>
              <w:adjustRightInd w:val="0"/>
              <w:spacing w:line="360" w:lineRule="auto"/>
              <w:jc w:val="center"/>
              <w:rPr>
                <w:rFonts w:hint="eastAsia" w:ascii="宋体" w:hAnsi="宋体" w:eastAsia="宋体" w:cs="宋体"/>
                <w:b/>
                <w:bCs/>
                <w:color w:val="auto"/>
                <w:kern w:val="0"/>
                <w:sz w:val="32"/>
                <w:szCs w:val="32"/>
                <w:highlight w:val="none"/>
              </w:rPr>
            </w:pPr>
            <w:r>
              <w:rPr>
                <w:rFonts w:hint="eastAsia" w:ascii="宋体" w:hAnsi="宋体" w:eastAsia="宋体" w:cs="宋体"/>
                <w:color w:val="auto"/>
                <w:kern w:val="0"/>
                <w:sz w:val="28"/>
                <w:szCs w:val="28"/>
                <w:highlight w:val="none"/>
              </w:rPr>
              <w:t>（报价按壹年考虑）</w:t>
            </w: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序列</w:t>
            </w:r>
          </w:p>
        </w:tc>
        <w:tc>
          <w:tcPr>
            <w:tcW w:w="217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项目名称</w:t>
            </w:r>
          </w:p>
        </w:tc>
        <w:tc>
          <w:tcPr>
            <w:tcW w:w="63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单位</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设施量</w:t>
            </w: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综合单价(元)</w:t>
            </w: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合    价</w:t>
            </w:r>
          </w:p>
          <w:p>
            <w:pPr>
              <w:autoSpaceDE w:val="0"/>
              <w:autoSpaceDN w:val="0"/>
              <w:adjustRightInd w:val="0"/>
              <w:spacing w:line="360" w:lineRule="auto"/>
              <w:jc w:val="center"/>
              <w:rPr>
                <w:rFonts w:hint="eastAsia" w:ascii="宋体" w:hAnsi="宋体" w:eastAsia="宋体" w:cs="宋体"/>
                <w:b/>
                <w:bCs/>
                <w:color w:val="auto"/>
                <w:kern w:val="0"/>
                <w:sz w:val="20"/>
                <w:highlight w:val="none"/>
              </w:rPr>
            </w:pPr>
            <w:r>
              <w:rPr>
                <w:rFonts w:hint="eastAsia" w:ascii="宋体" w:hAnsi="宋体" w:eastAsia="宋体" w:cs="宋体"/>
                <w:b/>
                <w:bCs/>
                <w:color w:val="auto"/>
                <w:kern w:val="0"/>
                <w:sz w:val="20"/>
                <w:highlight w:val="none"/>
              </w:rPr>
              <w:t>( 元 )</w:t>
            </w: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维护内容</w:t>
            </w:r>
          </w:p>
        </w:tc>
      </w:tr>
      <w:tr>
        <w:tblPrEx>
          <w:tblCellMar>
            <w:top w:w="0" w:type="dxa"/>
            <w:left w:w="30" w:type="dxa"/>
            <w:bottom w:w="0" w:type="dxa"/>
            <w:right w:w="30" w:type="dxa"/>
          </w:tblCellMar>
        </w:tblPrEx>
        <w:trPr>
          <w:trHeight w:val="420" w:hRule="atLeast"/>
        </w:trPr>
        <w:tc>
          <w:tcPr>
            <w:tcW w:w="2705" w:type="dxa"/>
            <w:gridSpan w:val="2"/>
            <w:tcBorders>
              <w:top w:val="single" w:color="auto" w:sz="6" w:space="0"/>
              <w:left w:val="single" w:color="000000" w:sz="2"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道路名称</w:t>
            </w:r>
          </w:p>
        </w:tc>
        <w:tc>
          <w:tcPr>
            <w:tcW w:w="3643"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建成年：</w:t>
            </w: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highlight w:val="none"/>
              </w:rPr>
              <w:t>有随路桥梁的需标明随路桥梁的名称、跨河位置及跨径</w:t>
            </w: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color w:val="auto"/>
                <w:kern w:val="0"/>
                <w:sz w:val="20"/>
                <w:szCs w:val="20"/>
                <w:highlight w:val="none"/>
                <w:lang w:bidi="ar"/>
              </w:rPr>
            </w:pPr>
            <w:r>
              <w:rPr>
                <w:rFonts w:hint="eastAsia" w:ascii="宋体" w:hAnsi="宋体" w:eastAsia="宋体" w:cs="宋体"/>
                <w:b/>
                <w:color w:val="auto"/>
                <w:kern w:val="0"/>
                <w:sz w:val="20"/>
                <w:szCs w:val="20"/>
                <w:highlight w:val="none"/>
                <w:lang w:bidi="ar"/>
              </w:rPr>
              <w:t>一</w:t>
            </w:r>
          </w:p>
        </w:tc>
        <w:tc>
          <w:tcPr>
            <w:tcW w:w="2179"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color w:val="auto"/>
                <w:kern w:val="0"/>
                <w:sz w:val="20"/>
                <w:szCs w:val="20"/>
                <w:highlight w:val="none"/>
                <w:lang w:bidi="ar"/>
              </w:rPr>
            </w:pPr>
            <w:r>
              <w:rPr>
                <w:rFonts w:hint="eastAsia" w:ascii="宋体" w:hAnsi="宋体" w:eastAsia="宋体" w:cs="宋体"/>
                <w:b/>
                <w:color w:val="auto"/>
                <w:kern w:val="0"/>
                <w:sz w:val="20"/>
                <w:szCs w:val="20"/>
                <w:highlight w:val="none"/>
                <w:lang w:bidi="ar"/>
              </w:rPr>
              <w:t>分项养护费</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沥青混凝土路面</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2</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人行道板</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3</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侧石</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9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4</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平石</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5</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道路巡视</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㎞·次</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6</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升检查井及井筒φ700</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座</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7</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调换检查井φ700井座</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座</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8</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调换检查井φ700井盖</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座</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bookmarkStart w:id="401" w:name="OLE_LINK1" w:colFirst="1" w:colLast="3"/>
            <w:bookmarkStart w:id="402" w:name="OLE_LINK2" w:colFirst="1" w:colLast="3"/>
            <w:bookmarkStart w:id="403" w:name="_Hlk307314353"/>
            <w:r>
              <w:rPr>
                <w:rFonts w:hint="eastAsia" w:ascii="宋体" w:hAnsi="宋体" w:eastAsia="宋体" w:cs="宋体"/>
                <w:color w:val="auto"/>
                <w:kern w:val="0"/>
                <w:highlight w:val="none"/>
              </w:rPr>
              <w:t>9</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升雨水口 510*390</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座</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10</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调换雨水口座 510*390</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座</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bookmarkEnd w:id="401"/>
      <w:bookmarkEnd w:id="402"/>
      <w:bookmarkEnd w:id="403"/>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11</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调换雨水口盖 510*390</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座</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12</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调换路名牌直杆</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根</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13</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调换路名牌面</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块</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14</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桥梁栏杆</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15</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调换伸缩缝及清理</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16</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调换橡胶止水带及清理</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17</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支座保养维修</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只</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18</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桥梁常规定期检测及沉降观测</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项</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19</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人行道路护栏修复</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20</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人行道路护栏清洁</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m</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21</w:t>
            </w: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道路常规检测及评价</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次/年</w:t>
            </w: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hint="eastAsia" w:ascii="宋体" w:hAnsi="宋体" w:eastAsia="宋体" w:cs="宋体"/>
                <w:color w:val="auto"/>
                <w:kern w:val="0"/>
                <w:highlight w:val="none"/>
              </w:rPr>
            </w:pPr>
          </w:p>
        </w:tc>
        <w:tc>
          <w:tcPr>
            <w:tcW w:w="217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r>
              <w:rPr>
                <w:rFonts w:hint="eastAsia" w:ascii="宋体" w:hAnsi="宋体" w:eastAsia="宋体" w:cs="宋体"/>
                <w:b/>
                <w:bCs/>
                <w:color w:val="auto"/>
                <w:highlight w:val="none"/>
              </w:rPr>
              <w:t>小计</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color w:val="auto"/>
                <w:kern w:val="0"/>
                <w:sz w:val="20"/>
                <w:szCs w:val="20"/>
                <w:highlight w:val="none"/>
                <w:lang w:bidi="ar"/>
              </w:rPr>
            </w:pPr>
            <w:r>
              <w:rPr>
                <w:rFonts w:hint="eastAsia" w:ascii="宋体" w:hAnsi="宋体" w:eastAsia="宋体" w:cs="宋体"/>
                <w:b/>
                <w:color w:val="auto"/>
                <w:kern w:val="0"/>
                <w:sz w:val="20"/>
                <w:szCs w:val="20"/>
                <w:highlight w:val="none"/>
                <w:lang w:bidi="ar"/>
              </w:rPr>
              <w:t>二</w:t>
            </w:r>
          </w:p>
        </w:tc>
        <w:tc>
          <w:tcPr>
            <w:tcW w:w="2179"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bCs/>
                <w:color w:val="auto"/>
                <w:highlight w:val="none"/>
              </w:rPr>
            </w:pPr>
            <w:r>
              <w:rPr>
                <w:rFonts w:hint="eastAsia" w:ascii="宋体" w:hAnsi="宋体" w:eastAsia="宋体" w:cs="宋体"/>
                <w:b/>
                <w:color w:val="auto"/>
                <w:kern w:val="0"/>
                <w:sz w:val="20"/>
                <w:szCs w:val="20"/>
                <w:highlight w:val="none"/>
                <w:lang w:bidi="ar"/>
              </w:rPr>
              <w:t>规费</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420" w:hRule="atLeast"/>
        </w:trPr>
        <w:tc>
          <w:tcPr>
            <w:tcW w:w="526"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color w:val="auto"/>
                <w:kern w:val="0"/>
                <w:sz w:val="20"/>
                <w:szCs w:val="20"/>
                <w:highlight w:val="none"/>
                <w:lang w:bidi="ar"/>
              </w:rPr>
            </w:pPr>
            <w:r>
              <w:rPr>
                <w:rFonts w:hint="eastAsia" w:ascii="宋体" w:hAnsi="宋体" w:eastAsia="宋体" w:cs="宋体"/>
                <w:b/>
                <w:color w:val="auto"/>
                <w:kern w:val="0"/>
                <w:sz w:val="20"/>
                <w:szCs w:val="20"/>
                <w:highlight w:val="none"/>
                <w:lang w:bidi="ar"/>
              </w:rPr>
              <w:t>三</w:t>
            </w:r>
          </w:p>
        </w:tc>
        <w:tc>
          <w:tcPr>
            <w:tcW w:w="2179"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bCs/>
                <w:color w:val="auto"/>
                <w:highlight w:val="none"/>
              </w:rPr>
            </w:pPr>
            <w:r>
              <w:rPr>
                <w:rFonts w:hint="eastAsia" w:ascii="宋体" w:hAnsi="宋体" w:eastAsia="宋体" w:cs="宋体"/>
                <w:b/>
                <w:color w:val="auto"/>
                <w:kern w:val="0"/>
                <w:sz w:val="20"/>
                <w:szCs w:val="20"/>
                <w:highlight w:val="none"/>
                <w:lang w:bidi="ar"/>
              </w:rPr>
              <w:t xml:space="preserve">税金                        </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r>
        <w:tblPrEx>
          <w:tblCellMar>
            <w:top w:w="0" w:type="dxa"/>
            <w:left w:w="30" w:type="dxa"/>
            <w:bottom w:w="0" w:type="dxa"/>
            <w:right w:w="30" w:type="dxa"/>
          </w:tblCellMar>
        </w:tblPrEx>
        <w:trPr>
          <w:trHeight w:val="677" w:hRule="atLeast"/>
        </w:trPr>
        <w:tc>
          <w:tcPr>
            <w:tcW w:w="526"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color w:val="auto"/>
                <w:kern w:val="0"/>
                <w:sz w:val="20"/>
                <w:szCs w:val="20"/>
                <w:highlight w:val="none"/>
                <w:lang w:bidi="ar"/>
              </w:rPr>
            </w:pPr>
            <w:r>
              <w:rPr>
                <w:rFonts w:hint="eastAsia" w:ascii="宋体" w:hAnsi="宋体" w:eastAsia="宋体" w:cs="宋体"/>
                <w:b/>
                <w:color w:val="auto"/>
                <w:kern w:val="0"/>
                <w:sz w:val="20"/>
                <w:szCs w:val="20"/>
                <w:highlight w:val="none"/>
                <w:lang w:bidi="ar"/>
              </w:rPr>
              <w:t>四</w:t>
            </w:r>
          </w:p>
        </w:tc>
        <w:tc>
          <w:tcPr>
            <w:tcW w:w="2179" w:type="dxa"/>
            <w:tcBorders>
              <w:top w:val="single" w:color="auto" w:sz="6" w:space="0"/>
              <w:left w:val="single" w:color="auto" w:sz="6" w:space="0"/>
              <w:bottom w:val="single" w:color="auto" w:sz="6" w:space="0"/>
              <w:right w:val="single" w:color="auto" w:sz="6" w:space="0"/>
            </w:tcBorders>
            <w:vAlign w:val="center"/>
          </w:tcPr>
          <w:p>
            <w:pPr>
              <w:widowControl/>
              <w:spacing w:line="360" w:lineRule="auto"/>
              <w:jc w:val="center"/>
              <w:textAlignment w:val="center"/>
              <w:rPr>
                <w:rFonts w:hint="eastAsia" w:ascii="宋体" w:hAnsi="宋体" w:eastAsia="宋体" w:cs="宋体"/>
                <w:b/>
                <w:bCs/>
                <w:color w:val="auto"/>
                <w:highlight w:val="none"/>
              </w:rPr>
            </w:pPr>
            <w:r>
              <w:rPr>
                <w:rFonts w:hint="eastAsia" w:ascii="宋体" w:hAnsi="宋体" w:eastAsia="宋体" w:cs="宋体"/>
                <w:b/>
                <w:color w:val="auto"/>
                <w:kern w:val="0"/>
                <w:sz w:val="20"/>
                <w:szCs w:val="20"/>
                <w:highlight w:val="none"/>
                <w:lang w:bidi="ar"/>
              </w:rPr>
              <w:t xml:space="preserve">养护总价             </w:t>
            </w:r>
          </w:p>
        </w:tc>
        <w:tc>
          <w:tcPr>
            <w:tcW w:w="634"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color w:val="auto"/>
                <w:highlight w:val="none"/>
              </w:rPr>
            </w:pPr>
          </w:p>
        </w:tc>
        <w:tc>
          <w:tcPr>
            <w:tcW w:w="8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01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20"/>
                <w:highlight w:val="none"/>
              </w:rPr>
            </w:pPr>
          </w:p>
        </w:tc>
        <w:tc>
          <w:tcPr>
            <w:tcW w:w="26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rPr>
                <w:rFonts w:hint="eastAsia" w:ascii="宋体" w:hAnsi="宋体" w:eastAsia="宋体" w:cs="宋体"/>
                <w:color w:val="auto"/>
                <w:kern w:val="0"/>
                <w:sz w:val="18"/>
                <w:szCs w:val="18"/>
                <w:highlight w:val="none"/>
              </w:rPr>
            </w:pPr>
          </w:p>
        </w:tc>
      </w:tr>
    </w:tbl>
    <w:p>
      <w:pPr>
        <w:pStyle w:val="34"/>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报价说明：</w:t>
      </w:r>
    </w:p>
    <w:p>
      <w:pPr>
        <w:pStyle w:val="34"/>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（1）除甲方提供招标文件约定的内容外，其他均由乙方完成。</w:t>
      </w:r>
    </w:p>
    <w:p>
      <w:pPr>
        <w:pStyle w:val="34"/>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（2）合计费用结转至开标一览表。</w:t>
      </w:r>
    </w:p>
    <w:p>
      <w:pPr>
        <w:pStyle w:val="34"/>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（3）表中不得有给予采购人的赠品、回扣或者与本项目采购无关的其他商品、服务。</w:t>
      </w:r>
    </w:p>
    <w:p>
      <w:pPr>
        <w:pStyle w:val="34"/>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（4）各分项报价应合理，且不得低于成本。</w:t>
      </w:r>
    </w:p>
    <w:p>
      <w:pPr>
        <w:pStyle w:val="34"/>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（5）投标价格组成明细表是报价的唯一载体。</w:t>
      </w:r>
    </w:p>
    <w:p>
      <w:pPr>
        <w:pStyle w:val="34"/>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（6）备注栏中明确承接单位名称，包括联合体各成员单位和分包内容承接单位。</w:t>
      </w:r>
    </w:p>
    <w:p>
      <w:pPr>
        <w:autoSpaceDE w:val="0"/>
        <w:autoSpaceDN w:val="0"/>
        <w:spacing w:line="360" w:lineRule="auto"/>
        <w:ind w:right="112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pStyle w:val="34"/>
        <w:adjustRightInd w:val="0"/>
        <w:snapToGrid w:val="0"/>
        <w:spacing w:line="360" w:lineRule="auto"/>
        <w:ind w:firstLine="480" w:firstLineChars="200"/>
        <w:rPr>
          <w:rFonts w:hint="eastAsia" w:ascii="宋体" w:hAnsi="宋体" w:eastAsia="宋体" w:cs="宋体"/>
          <w:color w:val="auto"/>
          <w:sz w:val="24"/>
          <w:szCs w:val="24"/>
          <w:highlight w:val="none"/>
          <w:u w:val="single"/>
        </w:rPr>
      </w:pPr>
    </w:p>
    <w:p>
      <w:pPr>
        <w:spacing w:line="360" w:lineRule="auto"/>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br w:type="page"/>
      </w:r>
    </w:p>
    <w:p>
      <w:pPr>
        <w:tabs>
          <w:tab w:val="left" w:pos="8085"/>
        </w:tabs>
        <w:spacing w:line="360" w:lineRule="auto"/>
        <w:ind w:firstLine="1285" w:firstLineChars="400"/>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政府采购支持中小企业信用融资相关事项通知</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一、适用对象</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二、相关信息获取方式</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　政府采购信用融资操作流程：</w:t>
      </w:r>
    </w:p>
    <w:p>
      <w:pPr>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（一）线上融资模式：</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1.供应商根据合作银行提供的方案，自行选择金融产品，并办理开户等手续；</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2.供应商中标后，可通过杭州市政府采购网或“浙里办”测算授信额度；</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3.采购合同签订后，供应商在杭州市政府采购网或“浙里办”向合作银行发出融资申请；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4.审批通过后，在线办理放贷手续。</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（二）线下融资模式：</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1.供应商根据合作银行提供的方案，自行选择金融产品，向合作银行提出信用资格预审，并办理开户等手续；</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2.采购合同签订后，供应商在杭州市政府采购网或“浙里办”向合作银行发出融资申请；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4.审批通过后，合作银行应按照合作备忘录中约定的审批放款期限和优惠利率及时予以放款。</w:t>
      </w:r>
    </w:p>
    <w:p>
      <w:pPr>
        <w:pStyle w:val="6"/>
        <w:numPr>
          <w:ilvl w:val="255"/>
          <w:numId w:val="0"/>
        </w:numPr>
        <w:spacing w:line="360" w:lineRule="auto"/>
        <w:ind w:firstLine="960" w:firstLineChars="4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（三）杭州e融平台申请融资</w:t>
      </w:r>
    </w:p>
    <w:p>
      <w:pPr>
        <w:pStyle w:val="6"/>
        <w:numPr>
          <w:ilvl w:val="255"/>
          <w:numId w:val="0"/>
        </w:numPr>
        <w:spacing w:line="360" w:lineRule="auto"/>
        <w:ind w:firstLine="960" w:firstLineChars="4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供应商通过杭州e融平台政采贷专区，自行选择金融产品，按规定手续办理贷款流程。</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四、注意事项</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宋体" w:hAnsi="宋体" w:eastAsia="宋体" w:cs="宋体"/>
          <w:b/>
          <w:bCs/>
          <w:color w:val="auto"/>
          <w:kern w:val="0"/>
          <w:sz w:val="24"/>
          <w:highlight w:val="none"/>
        </w:rPr>
      </w:pPr>
    </w:p>
    <w:p>
      <w:pPr>
        <w:pStyle w:val="5"/>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bookmarkStart w:id="404" w:name="_Toc465665161"/>
      <w:r>
        <w:rPr>
          <w:rFonts w:hint="eastAsia" w:ascii="宋体" w:hAnsi="宋体" w:eastAsia="宋体" w:cs="宋体"/>
          <w:color w:val="auto"/>
          <w:highlight w:val="none"/>
        </w:rPr>
        <w:t>附件</w:t>
      </w:r>
      <w:bookmarkEnd w:id="404"/>
    </w:p>
    <w:p>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pPr>
        <w:spacing w:line="360" w:lineRule="auto"/>
        <w:jc w:val="center"/>
        <w:rPr>
          <w:rFonts w:hint="eastAsia" w:ascii="宋体" w:hAnsi="宋体" w:eastAsia="宋体" w:cs="宋体"/>
          <w:b/>
          <w:color w:val="auto"/>
          <w:spacing w:val="6"/>
          <w:sz w:val="32"/>
          <w:szCs w:val="32"/>
          <w:highlight w:val="none"/>
        </w:rPr>
      </w:pPr>
      <w:bookmarkStart w:id="405" w:name="OLE_LINK14"/>
      <w:bookmarkStart w:id="406" w:name="OLE_LINK13"/>
      <w:r>
        <w:rPr>
          <w:rFonts w:hint="eastAsia" w:ascii="宋体" w:hAnsi="宋体" w:eastAsia="宋体" w:cs="宋体"/>
          <w:b/>
          <w:color w:val="auto"/>
          <w:spacing w:val="6"/>
          <w:sz w:val="32"/>
          <w:szCs w:val="32"/>
          <w:highlight w:val="none"/>
        </w:rPr>
        <w:t>残疾人福利性单位声明函</w:t>
      </w:r>
    </w:p>
    <w:bookmarkEnd w:id="405"/>
    <w:bookmarkEnd w:id="406"/>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auto"/>
          <w:sz w:val="24"/>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杭州市上城区综合行政执法局、</w:t>
      </w:r>
      <w:r>
        <w:rPr>
          <w:rFonts w:hint="eastAsia" w:ascii="宋体" w:hAnsi="宋体" w:eastAsia="宋体" w:cs="宋体"/>
          <w:color w:val="auto"/>
          <w:sz w:val="24"/>
          <w:highlight w:val="none"/>
          <w:u w:val="single"/>
          <w:lang w:val="en-US" w:eastAsia="zh-CN"/>
        </w:rPr>
        <w:t xml:space="preserve">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eastAsia="宋体" w:cs="宋体"/>
          <w:color w:val="auto"/>
          <w:sz w:val="24"/>
          <w:highlight w:val="none"/>
          <w:lang w:eastAsia="zh-CN"/>
        </w:rPr>
        <w:t>2023年上城区九堡北片区市政设施长效养护服务项目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上城政采分-2022-01140</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pPr>
        <w:spacing w:line="360" w:lineRule="auto"/>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pacing w:line="360" w:lineRule="auto"/>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color w:val="auto"/>
          <w:spacing w:val="6"/>
          <w:sz w:val="32"/>
          <w:szCs w:val="32"/>
          <w:highlight w:val="none"/>
        </w:rPr>
      </w:pPr>
    </w:p>
    <w:p>
      <w:pPr>
        <w:autoSpaceDE w:val="0"/>
        <w:autoSpaceDN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sz w:val="32"/>
          <w:szCs w:val="32"/>
          <w:highlight w:val="none"/>
        </w:rPr>
        <w:t>中小企业声明函</w:t>
      </w:r>
    </w:p>
    <w:p>
      <w:pPr>
        <w:spacing w:line="360" w:lineRule="auto"/>
        <w:jc w:val="center"/>
        <w:rPr>
          <w:rFonts w:hint="eastAsia" w:ascii="宋体" w:hAnsi="宋体" w:eastAsia="宋体" w:cs="宋体"/>
          <w:color w:val="auto"/>
          <w:sz w:val="24"/>
          <w:highlight w:val="none"/>
          <w:u w:val="singl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中小企业声明函（工程、服务）</w:t>
      </w:r>
    </w:p>
    <w:p>
      <w:pPr>
        <w:spacing w:line="360" w:lineRule="auto"/>
        <w:rPr>
          <w:rFonts w:hint="eastAsia" w:ascii="宋体" w:hAnsi="宋体" w:eastAsia="宋体" w:cs="宋体"/>
          <w:color w:val="auto"/>
          <w:highlight w:val="none"/>
        </w:rPr>
      </w:pPr>
    </w:p>
    <w:p>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pPr>
        <w:spacing w:line="360" w:lineRule="auto"/>
        <w:ind w:right="420"/>
        <w:rPr>
          <w:rFonts w:hint="eastAsia" w:ascii="宋体" w:hAnsi="宋体" w:eastAsia="宋体" w:cs="宋体"/>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right="420"/>
        <w:rPr>
          <w:rFonts w:hint="eastAsia" w:ascii="宋体" w:hAnsi="宋体" w:eastAsia="宋体" w:cs="宋体"/>
          <w:color w:val="auto"/>
          <w:highlight w:val="none"/>
        </w:rPr>
      </w:pPr>
    </w:p>
    <w:sectPr>
      <w:headerReference r:id="rId18" w:type="first"/>
      <w:footerReference r:id="rId20" w:type="first"/>
      <w:headerReference r:id="rId17" w:type="default"/>
      <w:footerReference r:id="rId19" w:type="default"/>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MS Gothic">
    <w:panose1 w:val="020B0609070205080204"/>
    <w:charset w:val="80"/>
    <w:family w:val="auto"/>
    <w:pitch w:val="default"/>
    <w:sig w:usb0="E00002FF" w:usb1="6AC7FDFB" w:usb2="00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76</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76</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94</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94</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93</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93</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102</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102</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101</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101</w:t>
                    </w:r>
                    <w:r>
                      <w:fldChar w:fldCharType="end"/>
                    </w:r>
                    <w:r>
                      <w:t xml:space="preserve"> 页 共 </w:t>
                    </w:r>
                    <w:r>
                      <w:fldChar w:fldCharType="begin"/>
                    </w:r>
                    <w:r>
                      <w:instrText xml:space="preserve"> NUMPAGES  \* MERGEFORMAT </w:instrText>
                    </w:r>
                    <w:r>
                      <w:fldChar w:fldCharType="separate"/>
                    </w:r>
                    <w:r>
                      <w:t>113</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A31D35"/>
    <w:multiLevelType w:val="singleLevel"/>
    <w:tmpl w:val="85A31D35"/>
    <w:lvl w:ilvl="0" w:tentative="0">
      <w:start w:val="2"/>
      <w:numFmt w:val="chineseCounting"/>
      <w:suff w:val="nothing"/>
      <w:lvlText w:val="（%1）"/>
      <w:lvlJc w:val="left"/>
      <w:rPr>
        <w:rFonts w:hint="eastAsia"/>
      </w:rPr>
    </w:lvl>
  </w:abstractNum>
  <w:abstractNum w:abstractNumId="1">
    <w:nsid w:val="A902C41D"/>
    <w:multiLevelType w:val="singleLevel"/>
    <w:tmpl w:val="A902C41D"/>
    <w:lvl w:ilvl="0" w:tentative="0">
      <w:start w:val="1"/>
      <w:numFmt w:val="upperLetter"/>
      <w:lvlText w:val="%1."/>
      <w:lvlJc w:val="left"/>
      <w:pPr>
        <w:tabs>
          <w:tab w:val="left" w:pos="312"/>
        </w:tabs>
      </w:pPr>
    </w:lvl>
  </w:abstractNum>
  <w:abstractNum w:abstractNumId="2">
    <w:nsid w:val="387AEA2A"/>
    <w:multiLevelType w:val="singleLevel"/>
    <w:tmpl w:val="387AEA2A"/>
    <w:lvl w:ilvl="0" w:tentative="0">
      <w:start w:val="2"/>
      <w:numFmt w:val="chineseCounting"/>
      <w:suff w:val="nothing"/>
      <w:lvlText w:val="%1、"/>
      <w:lvlJc w:val="left"/>
      <w:rPr>
        <w:rFonts w:hint="eastAsia"/>
      </w:rPr>
    </w:lvl>
  </w:abstractNum>
  <w:abstractNum w:abstractNumId="3">
    <w:nsid w:val="3E91048D"/>
    <w:multiLevelType w:val="multilevel"/>
    <w:tmpl w:val="3E91048D"/>
    <w:lvl w:ilvl="0" w:tentative="0">
      <w:start w:val="1"/>
      <w:numFmt w:val="japaneseCounting"/>
      <w:lvlText w:val="（%1）"/>
      <w:lvlJc w:val="left"/>
      <w:pPr>
        <w:tabs>
          <w:tab w:val="left" w:pos="1200"/>
        </w:tabs>
        <w:ind w:left="1200" w:hanging="72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51264DA9"/>
    <w:multiLevelType w:val="singleLevel"/>
    <w:tmpl w:val="51264DA9"/>
    <w:lvl w:ilvl="0" w:tentative="0">
      <w:start w:val="3"/>
      <w:numFmt w:val="decimal"/>
      <w:lvlText w:val="%1."/>
      <w:lvlJc w:val="left"/>
      <w:pPr>
        <w:tabs>
          <w:tab w:val="left" w:pos="312"/>
        </w:tabs>
      </w:p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yM2Y1NmUxYmRhZTVjNWMxMjdjNjNlOTdhMzJlZT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0534"/>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2F345C"/>
    <w:rsid w:val="01632467"/>
    <w:rsid w:val="019F7441"/>
    <w:rsid w:val="01B37585"/>
    <w:rsid w:val="01D55165"/>
    <w:rsid w:val="01DF6BF8"/>
    <w:rsid w:val="01EC2C57"/>
    <w:rsid w:val="02201D8C"/>
    <w:rsid w:val="024737BC"/>
    <w:rsid w:val="026B2E25"/>
    <w:rsid w:val="02824D4D"/>
    <w:rsid w:val="02DC4B10"/>
    <w:rsid w:val="02DD76CE"/>
    <w:rsid w:val="02F36323"/>
    <w:rsid w:val="02F5619C"/>
    <w:rsid w:val="02F8465F"/>
    <w:rsid w:val="0326446A"/>
    <w:rsid w:val="032D5555"/>
    <w:rsid w:val="036634D2"/>
    <w:rsid w:val="03936CB9"/>
    <w:rsid w:val="03DD35E4"/>
    <w:rsid w:val="04076900"/>
    <w:rsid w:val="041A5A3B"/>
    <w:rsid w:val="042311BA"/>
    <w:rsid w:val="042B157A"/>
    <w:rsid w:val="048F763B"/>
    <w:rsid w:val="049F330E"/>
    <w:rsid w:val="04AA775C"/>
    <w:rsid w:val="04AF1889"/>
    <w:rsid w:val="04C24964"/>
    <w:rsid w:val="04F3493C"/>
    <w:rsid w:val="04F66F48"/>
    <w:rsid w:val="04F82A50"/>
    <w:rsid w:val="05170123"/>
    <w:rsid w:val="05251E14"/>
    <w:rsid w:val="057202F6"/>
    <w:rsid w:val="05A16594"/>
    <w:rsid w:val="05A7762D"/>
    <w:rsid w:val="060E5941"/>
    <w:rsid w:val="06110FAF"/>
    <w:rsid w:val="06493CA7"/>
    <w:rsid w:val="065A6178"/>
    <w:rsid w:val="066F1CF3"/>
    <w:rsid w:val="06930BB8"/>
    <w:rsid w:val="07245D42"/>
    <w:rsid w:val="07264C62"/>
    <w:rsid w:val="0779354C"/>
    <w:rsid w:val="07B54D24"/>
    <w:rsid w:val="07C949D3"/>
    <w:rsid w:val="07E57004"/>
    <w:rsid w:val="08061376"/>
    <w:rsid w:val="08452D77"/>
    <w:rsid w:val="086401F8"/>
    <w:rsid w:val="08751CAA"/>
    <w:rsid w:val="087E4C40"/>
    <w:rsid w:val="08877531"/>
    <w:rsid w:val="08B33581"/>
    <w:rsid w:val="08C95E5B"/>
    <w:rsid w:val="08D66AD6"/>
    <w:rsid w:val="08DA33A3"/>
    <w:rsid w:val="08E80F13"/>
    <w:rsid w:val="09335624"/>
    <w:rsid w:val="0944690F"/>
    <w:rsid w:val="09535675"/>
    <w:rsid w:val="095F057D"/>
    <w:rsid w:val="09642282"/>
    <w:rsid w:val="09733572"/>
    <w:rsid w:val="09772C16"/>
    <w:rsid w:val="098353B5"/>
    <w:rsid w:val="09A92330"/>
    <w:rsid w:val="09B06B87"/>
    <w:rsid w:val="09C13146"/>
    <w:rsid w:val="09D7645E"/>
    <w:rsid w:val="09E04166"/>
    <w:rsid w:val="0A1C0718"/>
    <w:rsid w:val="0A3E7710"/>
    <w:rsid w:val="0A5B7E63"/>
    <w:rsid w:val="0AA374A5"/>
    <w:rsid w:val="0AAB7649"/>
    <w:rsid w:val="0ABC01A5"/>
    <w:rsid w:val="0ABC5606"/>
    <w:rsid w:val="0AD3537F"/>
    <w:rsid w:val="0B30404E"/>
    <w:rsid w:val="0B4C6C14"/>
    <w:rsid w:val="0B631A88"/>
    <w:rsid w:val="0B633CF7"/>
    <w:rsid w:val="0B683D45"/>
    <w:rsid w:val="0B7F3F11"/>
    <w:rsid w:val="0B884417"/>
    <w:rsid w:val="0BF6188C"/>
    <w:rsid w:val="0BF73C91"/>
    <w:rsid w:val="0C170175"/>
    <w:rsid w:val="0C571A41"/>
    <w:rsid w:val="0C5C1171"/>
    <w:rsid w:val="0C5E1CBC"/>
    <w:rsid w:val="0C615B50"/>
    <w:rsid w:val="0C8445DA"/>
    <w:rsid w:val="0C87121B"/>
    <w:rsid w:val="0C9F24F4"/>
    <w:rsid w:val="0CA00642"/>
    <w:rsid w:val="0CC007F7"/>
    <w:rsid w:val="0CFE707A"/>
    <w:rsid w:val="0D063BDA"/>
    <w:rsid w:val="0D08375F"/>
    <w:rsid w:val="0D184CFB"/>
    <w:rsid w:val="0D4A7419"/>
    <w:rsid w:val="0D827401"/>
    <w:rsid w:val="0D84094E"/>
    <w:rsid w:val="0D8A00E9"/>
    <w:rsid w:val="0D8D589E"/>
    <w:rsid w:val="0DA01C73"/>
    <w:rsid w:val="0DA76E31"/>
    <w:rsid w:val="0DD5144B"/>
    <w:rsid w:val="0DD63300"/>
    <w:rsid w:val="0DF50604"/>
    <w:rsid w:val="0DF702FE"/>
    <w:rsid w:val="0E060E51"/>
    <w:rsid w:val="0E5604B2"/>
    <w:rsid w:val="0E6D5D79"/>
    <w:rsid w:val="0E9D0089"/>
    <w:rsid w:val="0EB803EE"/>
    <w:rsid w:val="0ED71D6D"/>
    <w:rsid w:val="0EF94D4B"/>
    <w:rsid w:val="0F4958DC"/>
    <w:rsid w:val="0F515DF7"/>
    <w:rsid w:val="0F596BA8"/>
    <w:rsid w:val="0F6248D2"/>
    <w:rsid w:val="0F693536"/>
    <w:rsid w:val="0F7B0511"/>
    <w:rsid w:val="0F7B76D9"/>
    <w:rsid w:val="0F816ACD"/>
    <w:rsid w:val="0F9832DB"/>
    <w:rsid w:val="0FA311DA"/>
    <w:rsid w:val="0FBF3FD2"/>
    <w:rsid w:val="0FBF7FF3"/>
    <w:rsid w:val="0FF37032"/>
    <w:rsid w:val="10646583"/>
    <w:rsid w:val="106A4437"/>
    <w:rsid w:val="10782D90"/>
    <w:rsid w:val="107D4B15"/>
    <w:rsid w:val="108A3C80"/>
    <w:rsid w:val="10AD3B8F"/>
    <w:rsid w:val="10C26171"/>
    <w:rsid w:val="10F33360"/>
    <w:rsid w:val="10FC16EA"/>
    <w:rsid w:val="110F1D40"/>
    <w:rsid w:val="11266F33"/>
    <w:rsid w:val="118963A1"/>
    <w:rsid w:val="11C6522A"/>
    <w:rsid w:val="11E104CC"/>
    <w:rsid w:val="11E20309"/>
    <w:rsid w:val="12255233"/>
    <w:rsid w:val="12530213"/>
    <w:rsid w:val="12641821"/>
    <w:rsid w:val="127723A9"/>
    <w:rsid w:val="12827F92"/>
    <w:rsid w:val="12862074"/>
    <w:rsid w:val="12883966"/>
    <w:rsid w:val="129E45B4"/>
    <w:rsid w:val="12D81596"/>
    <w:rsid w:val="13072A44"/>
    <w:rsid w:val="135F4BE2"/>
    <w:rsid w:val="139B1A0A"/>
    <w:rsid w:val="139D25C7"/>
    <w:rsid w:val="13BF3CE4"/>
    <w:rsid w:val="141008D8"/>
    <w:rsid w:val="14125FE6"/>
    <w:rsid w:val="143B280D"/>
    <w:rsid w:val="146D271E"/>
    <w:rsid w:val="14982588"/>
    <w:rsid w:val="149A5AD9"/>
    <w:rsid w:val="14A7619D"/>
    <w:rsid w:val="150536C3"/>
    <w:rsid w:val="150C1963"/>
    <w:rsid w:val="151447A0"/>
    <w:rsid w:val="152A7520"/>
    <w:rsid w:val="154A6454"/>
    <w:rsid w:val="15762120"/>
    <w:rsid w:val="15A074FD"/>
    <w:rsid w:val="16A8729C"/>
    <w:rsid w:val="16B33777"/>
    <w:rsid w:val="16BC70A7"/>
    <w:rsid w:val="16C6339E"/>
    <w:rsid w:val="16E11692"/>
    <w:rsid w:val="1725239F"/>
    <w:rsid w:val="172F2D79"/>
    <w:rsid w:val="17557BEF"/>
    <w:rsid w:val="17A671B9"/>
    <w:rsid w:val="17D349C1"/>
    <w:rsid w:val="1830729E"/>
    <w:rsid w:val="1870062C"/>
    <w:rsid w:val="18817102"/>
    <w:rsid w:val="18830A15"/>
    <w:rsid w:val="18852B28"/>
    <w:rsid w:val="188B5321"/>
    <w:rsid w:val="19202945"/>
    <w:rsid w:val="197049C6"/>
    <w:rsid w:val="19850215"/>
    <w:rsid w:val="19932372"/>
    <w:rsid w:val="19A20DD5"/>
    <w:rsid w:val="19AE03F1"/>
    <w:rsid w:val="1A071A03"/>
    <w:rsid w:val="1A1F16AE"/>
    <w:rsid w:val="1A3B5C77"/>
    <w:rsid w:val="1A836A27"/>
    <w:rsid w:val="1A984BAD"/>
    <w:rsid w:val="1AB8220E"/>
    <w:rsid w:val="1AD975D0"/>
    <w:rsid w:val="1AE4166C"/>
    <w:rsid w:val="1AF06CFB"/>
    <w:rsid w:val="1AF11B8D"/>
    <w:rsid w:val="1B11359C"/>
    <w:rsid w:val="1B2A271F"/>
    <w:rsid w:val="1B530544"/>
    <w:rsid w:val="1B713184"/>
    <w:rsid w:val="1BA209CF"/>
    <w:rsid w:val="1BAB3D16"/>
    <w:rsid w:val="1BB4777D"/>
    <w:rsid w:val="1BD75AB8"/>
    <w:rsid w:val="1C0459C2"/>
    <w:rsid w:val="1C1B3B4A"/>
    <w:rsid w:val="1C82531E"/>
    <w:rsid w:val="1C88086E"/>
    <w:rsid w:val="1CA72241"/>
    <w:rsid w:val="1CF85FB1"/>
    <w:rsid w:val="1D266CE1"/>
    <w:rsid w:val="1D3963AF"/>
    <w:rsid w:val="1D6A673C"/>
    <w:rsid w:val="1D815123"/>
    <w:rsid w:val="1D9247AE"/>
    <w:rsid w:val="1DB567EC"/>
    <w:rsid w:val="1DF51A98"/>
    <w:rsid w:val="1E3D060F"/>
    <w:rsid w:val="1E3F7D2E"/>
    <w:rsid w:val="1E4134E4"/>
    <w:rsid w:val="1E5062B3"/>
    <w:rsid w:val="1E523514"/>
    <w:rsid w:val="1E714A66"/>
    <w:rsid w:val="1E73338C"/>
    <w:rsid w:val="1E802593"/>
    <w:rsid w:val="1EA703CC"/>
    <w:rsid w:val="1EB7330C"/>
    <w:rsid w:val="1EE3248D"/>
    <w:rsid w:val="1EFC5576"/>
    <w:rsid w:val="1F0A0FF3"/>
    <w:rsid w:val="1F5771FF"/>
    <w:rsid w:val="1F9B0448"/>
    <w:rsid w:val="1FC3227C"/>
    <w:rsid w:val="1FC77039"/>
    <w:rsid w:val="1FE868A9"/>
    <w:rsid w:val="20034907"/>
    <w:rsid w:val="20173E4B"/>
    <w:rsid w:val="204E48BC"/>
    <w:rsid w:val="208921B3"/>
    <w:rsid w:val="20973DEB"/>
    <w:rsid w:val="20B26522"/>
    <w:rsid w:val="20B44310"/>
    <w:rsid w:val="20EA2E7A"/>
    <w:rsid w:val="211116EB"/>
    <w:rsid w:val="21374CAA"/>
    <w:rsid w:val="213E4B6C"/>
    <w:rsid w:val="216133FC"/>
    <w:rsid w:val="21D56769"/>
    <w:rsid w:val="21E464DA"/>
    <w:rsid w:val="21E52EF3"/>
    <w:rsid w:val="21FB5D7B"/>
    <w:rsid w:val="220B1C3D"/>
    <w:rsid w:val="221D1D20"/>
    <w:rsid w:val="22334A87"/>
    <w:rsid w:val="22BE6801"/>
    <w:rsid w:val="233500BF"/>
    <w:rsid w:val="23377FF7"/>
    <w:rsid w:val="236B425F"/>
    <w:rsid w:val="23735689"/>
    <w:rsid w:val="23832621"/>
    <w:rsid w:val="23836192"/>
    <w:rsid w:val="23901F29"/>
    <w:rsid w:val="239C0061"/>
    <w:rsid w:val="23B908A4"/>
    <w:rsid w:val="23E95BEF"/>
    <w:rsid w:val="23FD0064"/>
    <w:rsid w:val="245375B0"/>
    <w:rsid w:val="24642C0A"/>
    <w:rsid w:val="246942F3"/>
    <w:rsid w:val="24B22173"/>
    <w:rsid w:val="24B95AD9"/>
    <w:rsid w:val="24BE24DA"/>
    <w:rsid w:val="24CF5825"/>
    <w:rsid w:val="24D663E6"/>
    <w:rsid w:val="24D77F2B"/>
    <w:rsid w:val="254D2B17"/>
    <w:rsid w:val="258B00E2"/>
    <w:rsid w:val="25A917A6"/>
    <w:rsid w:val="25BE27CC"/>
    <w:rsid w:val="25F74A5C"/>
    <w:rsid w:val="2628662C"/>
    <w:rsid w:val="262D45DE"/>
    <w:rsid w:val="26467401"/>
    <w:rsid w:val="268B354C"/>
    <w:rsid w:val="26A53EF9"/>
    <w:rsid w:val="26A94201"/>
    <w:rsid w:val="26AB75C6"/>
    <w:rsid w:val="26AC274F"/>
    <w:rsid w:val="26F523CC"/>
    <w:rsid w:val="27044A29"/>
    <w:rsid w:val="271D34C8"/>
    <w:rsid w:val="276142BF"/>
    <w:rsid w:val="27736D76"/>
    <w:rsid w:val="27783712"/>
    <w:rsid w:val="27907362"/>
    <w:rsid w:val="2826423B"/>
    <w:rsid w:val="28333E1D"/>
    <w:rsid w:val="28454BD6"/>
    <w:rsid w:val="28455253"/>
    <w:rsid w:val="28551971"/>
    <w:rsid w:val="285B1C53"/>
    <w:rsid w:val="289F7086"/>
    <w:rsid w:val="28AB039A"/>
    <w:rsid w:val="28C32028"/>
    <w:rsid w:val="28CC490F"/>
    <w:rsid w:val="28DE40AA"/>
    <w:rsid w:val="2905530D"/>
    <w:rsid w:val="29345E77"/>
    <w:rsid w:val="294C65AD"/>
    <w:rsid w:val="2967312E"/>
    <w:rsid w:val="29806583"/>
    <w:rsid w:val="298B3C4C"/>
    <w:rsid w:val="29F26D24"/>
    <w:rsid w:val="2A15033F"/>
    <w:rsid w:val="2A1662C1"/>
    <w:rsid w:val="2A1C7367"/>
    <w:rsid w:val="2A2815FA"/>
    <w:rsid w:val="2A6D6092"/>
    <w:rsid w:val="2A6E1E53"/>
    <w:rsid w:val="2A7D76B4"/>
    <w:rsid w:val="2AA25464"/>
    <w:rsid w:val="2B437463"/>
    <w:rsid w:val="2B7807EE"/>
    <w:rsid w:val="2BBF00EC"/>
    <w:rsid w:val="2BC37CFD"/>
    <w:rsid w:val="2BD5237F"/>
    <w:rsid w:val="2BE536CE"/>
    <w:rsid w:val="2BE758D9"/>
    <w:rsid w:val="2C09049E"/>
    <w:rsid w:val="2C0A653C"/>
    <w:rsid w:val="2C191F85"/>
    <w:rsid w:val="2C324A12"/>
    <w:rsid w:val="2C5A6220"/>
    <w:rsid w:val="2CE82D6F"/>
    <w:rsid w:val="2D093882"/>
    <w:rsid w:val="2D343236"/>
    <w:rsid w:val="2DD15014"/>
    <w:rsid w:val="2DF72DE4"/>
    <w:rsid w:val="2E0220AF"/>
    <w:rsid w:val="2E37727C"/>
    <w:rsid w:val="2E4B082A"/>
    <w:rsid w:val="2E5D4E86"/>
    <w:rsid w:val="2E5D790B"/>
    <w:rsid w:val="2E9A3C18"/>
    <w:rsid w:val="2EBB0FEE"/>
    <w:rsid w:val="2EC63002"/>
    <w:rsid w:val="2EC851B9"/>
    <w:rsid w:val="2F0A6B38"/>
    <w:rsid w:val="2F946CCB"/>
    <w:rsid w:val="2FD25781"/>
    <w:rsid w:val="2FFD7934"/>
    <w:rsid w:val="30733ACD"/>
    <w:rsid w:val="308A443A"/>
    <w:rsid w:val="308C3862"/>
    <w:rsid w:val="309379D8"/>
    <w:rsid w:val="30A270F7"/>
    <w:rsid w:val="30DF1478"/>
    <w:rsid w:val="30EC586F"/>
    <w:rsid w:val="319C6071"/>
    <w:rsid w:val="31AC537E"/>
    <w:rsid w:val="31E3679B"/>
    <w:rsid w:val="31E732FD"/>
    <w:rsid w:val="32517576"/>
    <w:rsid w:val="32BE5C2C"/>
    <w:rsid w:val="32FB6478"/>
    <w:rsid w:val="33263B3F"/>
    <w:rsid w:val="335F4BF1"/>
    <w:rsid w:val="336963EB"/>
    <w:rsid w:val="33816EEB"/>
    <w:rsid w:val="33EB55CD"/>
    <w:rsid w:val="33EC4C02"/>
    <w:rsid w:val="340D2360"/>
    <w:rsid w:val="3410665D"/>
    <w:rsid w:val="34120C85"/>
    <w:rsid w:val="34211214"/>
    <w:rsid w:val="342E63AB"/>
    <w:rsid w:val="34950E68"/>
    <w:rsid w:val="34986E94"/>
    <w:rsid w:val="34AF62C9"/>
    <w:rsid w:val="34CB4388"/>
    <w:rsid w:val="34FA6E12"/>
    <w:rsid w:val="3501631F"/>
    <w:rsid w:val="35155921"/>
    <w:rsid w:val="353F679D"/>
    <w:rsid w:val="358D5588"/>
    <w:rsid w:val="35CB64B0"/>
    <w:rsid w:val="3632572F"/>
    <w:rsid w:val="363A3B40"/>
    <w:rsid w:val="365302AE"/>
    <w:rsid w:val="36607A0A"/>
    <w:rsid w:val="366E227C"/>
    <w:rsid w:val="366F2E0D"/>
    <w:rsid w:val="367B6A5C"/>
    <w:rsid w:val="36A74ADA"/>
    <w:rsid w:val="36AD60D5"/>
    <w:rsid w:val="36B224F9"/>
    <w:rsid w:val="36EC0CC9"/>
    <w:rsid w:val="373F410B"/>
    <w:rsid w:val="37442A19"/>
    <w:rsid w:val="37EE7094"/>
    <w:rsid w:val="38296C89"/>
    <w:rsid w:val="383002EB"/>
    <w:rsid w:val="38586797"/>
    <w:rsid w:val="38BC0149"/>
    <w:rsid w:val="38D87D1C"/>
    <w:rsid w:val="390069D0"/>
    <w:rsid w:val="39113C01"/>
    <w:rsid w:val="39636459"/>
    <w:rsid w:val="396B7F6C"/>
    <w:rsid w:val="39AC23F5"/>
    <w:rsid w:val="39B417A9"/>
    <w:rsid w:val="39FC5695"/>
    <w:rsid w:val="3A006D8E"/>
    <w:rsid w:val="3A3651E5"/>
    <w:rsid w:val="3A744481"/>
    <w:rsid w:val="3A8C7BEF"/>
    <w:rsid w:val="3A906246"/>
    <w:rsid w:val="3AAF6860"/>
    <w:rsid w:val="3B145A0B"/>
    <w:rsid w:val="3B1958DF"/>
    <w:rsid w:val="3B2349B7"/>
    <w:rsid w:val="3B616CFF"/>
    <w:rsid w:val="3B6259F6"/>
    <w:rsid w:val="3B6B11DD"/>
    <w:rsid w:val="3B976654"/>
    <w:rsid w:val="3BC01EFC"/>
    <w:rsid w:val="3BCA786A"/>
    <w:rsid w:val="3BCC65D1"/>
    <w:rsid w:val="3BD31E2F"/>
    <w:rsid w:val="3BF15831"/>
    <w:rsid w:val="3C105946"/>
    <w:rsid w:val="3C471448"/>
    <w:rsid w:val="3C4D31A2"/>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46F69"/>
    <w:rsid w:val="40FF545D"/>
    <w:rsid w:val="410067C8"/>
    <w:rsid w:val="413B45AF"/>
    <w:rsid w:val="418F0D2A"/>
    <w:rsid w:val="41A24A28"/>
    <w:rsid w:val="41D01505"/>
    <w:rsid w:val="422D0069"/>
    <w:rsid w:val="42474939"/>
    <w:rsid w:val="424C3C57"/>
    <w:rsid w:val="42613FF3"/>
    <w:rsid w:val="42660D96"/>
    <w:rsid w:val="428667D2"/>
    <w:rsid w:val="42CD1CE0"/>
    <w:rsid w:val="42E1381E"/>
    <w:rsid w:val="42ED6459"/>
    <w:rsid w:val="42FE58DD"/>
    <w:rsid w:val="431272F0"/>
    <w:rsid w:val="43174B3D"/>
    <w:rsid w:val="434B790E"/>
    <w:rsid w:val="4360274F"/>
    <w:rsid w:val="43977AB6"/>
    <w:rsid w:val="43A3342B"/>
    <w:rsid w:val="43C77C27"/>
    <w:rsid w:val="43D72F83"/>
    <w:rsid w:val="43DE09EE"/>
    <w:rsid w:val="44002FAD"/>
    <w:rsid w:val="449101DD"/>
    <w:rsid w:val="44DE1391"/>
    <w:rsid w:val="451B225C"/>
    <w:rsid w:val="452410C9"/>
    <w:rsid w:val="45317DFB"/>
    <w:rsid w:val="453C7E08"/>
    <w:rsid w:val="456D3CE4"/>
    <w:rsid w:val="4579042C"/>
    <w:rsid w:val="45790696"/>
    <w:rsid w:val="457F0571"/>
    <w:rsid w:val="45851176"/>
    <w:rsid w:val="45C63B94"/>
    <w:rsid w:val="460E7DA5"/>
    <w:rsid w:val="46422483"/>
    <w:rsid w:val="4659254A"/>
    <w:rsid w:val="465B0637"/>
    <w:rsid w:val="465E3F0D"/>
    <w:rsid w:val="466A16E6"/>
    <w:rsid w:val="46893F2B"/>
    <w:rsid w:val="46A2233C"/>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31832"/>
    <w:rsid w:val="4A16615C"/>
    <w:rsid w:val="4A4424D7"/>
    <w:rsid w:val="4A64022A"/>
    <w:rsid w:val="4AB021BC"/>
    <w:rsid w:val="4AB82D0F"/>
    <w:rsid w:val="4AEB7664"/>
    <w:rsid w:val="4AFD7C19"/>
    <w:rsid w:val="4B0567D1"/>
    <w:rsid w:val="4B236AAE"/>
    <w:rsid w:val="4B707271"/>
    <w:rsid w:val="4B8607F4"/>
    <w:rsid w:val="4B9739F7"/>
    <w:rsid w:val="4BEB14BD"/>
    <w:rsid w:val="4BEE2503"/>
    <w:rsid w:val="4C245A30"/>
    <w:rsid w:val="4C915216"/>
    <w:rsid w:val="4CB6685F"/>
    <w:rsid w:val="4CC367FE"/>
    <w:rsid w:val="4D077F3C"/>
    <w:rsid w:val="4D123355"/>
    <w:rsid w:val="4D2A3B31"/>
    <w:rsid w:val="4D312C52"/>
    <w:rsid w:val="4D905305"/>
    <w:rsid w:val="4D964A72"/>
    <w:rsid w:val="4D9C1254"/>
    <w:rsid w:val="4D9E6766"/>
    <w:rsid w:val="4E522680"/>
    <w:rsid w:val="4E793892"/>
    <w:rsid w:val="4E800872"/>
    <w:rsid w:val="4EC569ED"/>
    <w:rsid w:val="4ED50EA1"/>
    <w:rsid w:val="4EEC050C"/>
    <w:rsid w:val="4F104EC3"/>
    <w:rsid w:val="4F207170"/>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1CD590D"/>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813E1"/>
    <w:rsid w:val="54CA0D16"/>
    <w:rsid w:val="54DD4057"/>
    <w:rsid w:val="54E7490F"/>
    <w:rsid w:val="550764A4"/>
    <w:rsid w:val="550B2BF6"/>
    <w:rsid w:val="55214EB5"/>
    <w:rsid w:val="55364EFD"/>
    <w:rsid w:val="555D4828"/>
    <w:rsid w:val="55607602"/>
    <w:rsid w:val="557A4C8B"/>
    <w:rsid w:val="558931E1"/>
    <w:rsid w:val="55923347"/>
    <w:rsid w:val="55925180"/>
    <w:rsid w:val="55983B1B"/>
    <w:rsid w:val="55A8376B"/>
    <w:rsid w:val="55DC29B6"/>
    <w:rsid w:val="55DD4241"/>
    <w:rsid w:val="564C575A"/>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25F75"/>
    <w:rsid w:val="5894085C"/>
    <w:rsid w:val="58AE4F0C"/>
    <w:rsid w:val="58B85899"/>
    <w:rsid w:val="58E363A9"/>
    <w:rsid w:val="595E1678"/>
    <w:rsid w:val="596D5BD4"/>
    <w:rsid w:val="597E3DD8"/>
    <w:rsid w:val="59E03F73"/>
    <w:rsid w:val="59F80043"/>
    <w:rsid w:val="5A09252F"/>
    <w:rsid w:val="5A0B2778"/>
    <w:rsid w:val="5A2A7C7B"/>
    <w:rsid w:val="5A392F01"/>
    <w:rsid w:val="5A3E2560"/>
    <w:rsid w:val="5A557200"/>
    <w:rsid w:val="5A5D3B6E"/>
    <w:rsid w:val="5A637A76"/>
    <w:rsid w:val="5A6D33BA"/>
    <w:rsid w:val="5A792B1F"/>
    <w:rsid w:val="5A874767"/>
    <w:rsid w:val="5AAD6F28"/>
    <w:rsid w:val="5AD63A24"/>
    <w:rsid w:val="5B0B0567"/>
    <w:rsid w:val="5B226B5D"/>
    <w:rsid w:val="5B2E1A1D"/>
    <w:rsid w:val="5B843A1C"/>
    <w:rsid w:val="5B873E3F"/>
    <w:rsid w:val="5BE32549"/>
    <w:rsid w:val="5C02690E"/>
    <w:rsid w:val="5C196DA7"/>
    <w:rsid w:val="5C2A048C"/>
    <w:rsid w:val="5C714F35"/>
    <w:rsid w:val="5C80234E"/>
    <w:rsid w:val="5C8A680C"/>
    <w:rsid w:val="5CD13A1E"/>
    <w:rsid w:val="5CE5551B"/>
    <w:rsid w:val="5D0C4701"/>
    <w:rsid w:val="5D0F0395"/>
    <w:rsid w:val="5D221076"/>
    <w:rsid w:val="5D397964"/>
    <w:rsid w:val="5D3D2E58"/>
    <w:rsid w:val="5D5A391C"/>
    <w:rsid w:val="5D5F10C0"/>
    <w:rsid w:val="5D675118"/>
    <w:rsid w:val="5D88599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B4383A"/>
    <w:rsid w:val="60FA2EE8"/>
    <w:rsid w:val="61054A27"/>
    <w:rsid w:val="610A52BC"/>
    <w:rsid w:val="611D2366"/>
    <w:rsid w:val="61421856"/>
    <w:rsid w:val="615227C4"/>
    <w:rsid w:val="61654E3F"/>
    <w:rsid w:val="6182292A"/>
    <w:rsid w:val="619F7F92"/>
    <w:rsid w:val="61A468D8"/>
    <w:rsid w:val="61F94C26"/>
    <w:rsid w:val="62000E56"/>
    <w:rsid w:val="624E24DB"/>
    <w:rsid w:val="624F3E49"/>
    <w:rsid w:val="62632286"/>
    <w:rsid w:val="626D4451"/>
    <w:rsid w:val="62885958"/>
    <w:rsid w:val="62F40B65"/>
    <w:rsid w:val="62FC2CFE"/>
    <w:rsid w:val="63024505"/>
    <w:rsid w:val="635B1DB5"/>
    <w:rsid w:val="63711FED"/>
    <w:rsid w:val="63880DDC"/>
    <w:rsid w:val="638D750D"/>
    <w:rsid w:val="63AC6CC0"/>
    <w:rsid w:val="63BA764D"/>
    <w:rsid w:val="63D21DDA"/>
    <w:rsid w:val="64055776"/>
    <w:rsid w:val="64240056"/>
    <w:rsid w:val="643E143A"/>
    <w:rsid w:val="648B6EEF"/>
    <w:rsid w:val="64C158BF"/>
    <w:rsid w:val="64CE2EAA"/>
    <w:rsid w:val="653C3090"/>
    <w:rsid w:val="65854376"/>
    <w:rsid w:val="658767BE"/>
    <w:rsid w:val="65892531"/>
    <w:rsid w:val="66195831"/>
    <w:rsid w:val="66232993"/>
    <w:rsid w:val="662E75B1"/>
    <w:rsid w:val="66342C2E"/>
    <w:rsid w:val="663E784C"/>
    <w:rsid w:val="668B6A45"/>
    <w:rsid w:val="672F3F24"/>
    <w:rsid w:val="673E055F"/>
    <w:rsid w:val="67551CE3"/>
    <w:rsid w:val="67A22552"/>
    <w:rsid w:val="67B22DCC"/>
    <w:rsid w:val="67BD1E3D"/>
    <w:rsid w:val="67BE71AA"/>
    <w:rsid w:val="67D90273"/>
    <w:rsid w:val="67DE5875"/>
    <w:rsid w:val="67E55852"/>
    <w:rsid w:val="67EB1AB4"/>
    <w:rsid w:val="67FA1285"/>
    <w:rsid w:val="68551F4F"/>
    <w:rsid w:val="68710230"/>
    <w:rsid w:val="68762168"/>
    <w:rsid w:val="687C10C9"/>
    <w:rsid w:val="68840C16"/>
    <w:rsid w:val="68876EFB"/>
    <w:rsid w:val="68884654"/>
    <w:rsid w:val="689F444F"/>
    <w:rsid w:val="68B96DBB"/>
    <w:rsid w:val="68CA2805"/>
    <w:rsid w:val="68E937A3"/>
    <w:rsid w:val="693E15D3"/>
    <w:rsid w:val="69627681"/>
    <w:rsid w:val="6977531D"/>
    <w:rsid w:val="69791EA7"/>
    <w:rsid w:val="6983299E"/>
    <w:rsid w:val="69CC2BFF"/>
    <w:rsid w:val="69FD55B8"/>
    <w:rsid w:val="6A0B1C62"/>
    <w:rsid w:val="6A167947"/>
    <w:rsid w:val="6A2406C8"/>
    <w:rsid w:val="6A997041"/>
    <w:rsid w:val="6ADE0BD1"/>
    <w:rsid w:val="6AE96859"/>
    <w:rsid w:val="6B147746"/>
    <w:rsid w:val="6B24787C"/>
    <w:rsid w:val="6B573233"/>
    <w:rsid w:val="6B5B6274"/>
    <w:rsid w:val="6B741AFD"/>
    <w:rsid w:val="6B8553A9"/>
    <w:rsid w:val="6B935D53"/>
    <w:rsid w:val="6C196F71"/>
    <w:rsid w:val="6C226FCB"/>
    <w:rsid w:val="6C31226F"/>
    <w:rsid w:val="6C552F0B"/>
    <w:rsid w:val="6C840AE1"/>
    <w:rsid w:val="6C8C67B7"/>
    <w:rsid w:val="6C9D744C"/>
    <w:rsid w:val="6D167928"/>
    <w:rsid w:val="6D26299B"/>
    <w:rsid w:val="6D4772EC"/>
    <w:rsid w:val="6D5B2E17"/>
    <w:rsid w:val="6D9078AF"/>
    <w:rsid w:val="6DA15D94"/>
    <w:rsid w:val="6DAA3FEF"/>
    <w:rsid w:val="6DBD2F07"/>
    <w:rsid w:val="6DC0172B"/>
    <w:rsid w:val="6DCB690C"/>
    <w:rsid w:val="6DD41A5B"/>
    <w:rsid w:val="6DE2733E"/>
    <w:rsid w:val="6DF43C2E"/>
    <w:rsid w:val="6DF51CA3"/>
    <w:rsid w:val="6E344B86"/>
    <w:rsid w:val="6E8335BD"/>
    <w:rsid w:val="6E8E12EF"/>
    <w:rsid w:val="6E972936"/>
    <w:rsid w:val="6EC03DCE"/>
    <w:rsid w:val="6ED446C5"/>
    <w:rsid w:val="6F0F5C83"/>
    <w:rsid w:val="6F2A7D94"/>
    <w:rsid w:val="6F804266"/>
    <w:rsid w:val="6F8331F1"/>
    <w:rsid w:val="6FAE1A09"/>
    <w:rsid w:val="6FD74555"/>
    <w:rsid w:val="6FD75BF8"/>
    <w:rsid w:val="70125A57"/>
    <w:rsid w:val="707723D0"/>
    <w:rsid w:val="70F5661B"/>
    <w:rsid w:val="70F86B47"/>
    <w:rsid w:val="71360107"/>
    <w:rsid w:val="713B688E"/>
    <w:rsid w:val="71C04054"/>
    <w:rsid w:val="71D43752"/>
    <w:rsid w:val="71F1796A"/>
    <w:rsid w:val="72154626"/>
    <w:rsid w:val="72262B5D"/>
    <w:rsid w:val="72283FF7"/>
    <w:rsid w:val="722E7212"/>
    <w:rsid w:val="723A0474"/>
    <w:rsid w:val="725923E4"/>
    <w:rsid w:val="72864BF7"/>
    <w:rsid w:val="729023FC"/>
    <w:rsid w:val="73C0646E"/>
    <w:rsid w:val="73E44A5D"/>
    <w:rsid w:val="740F3ED4"/>
    <w:rsid w:val="74147B26"/>
    <w:rsid w:val="742222F5"/>
    <w:rsid w:val="74476126"/>
    <w:rsid w:val="74706664"/>
    <w:rsid w:val="747F3682"/>
    <w:rsid w:val="749C4185"/>
    <w:rsid w:val="75067759"/>
    <w:rsid w:val="751D2A9F"/>
    <w:rsid w:val="752E6DCD"/>
    <w:rsid w:val="754A60CC"/>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4F510A"/>
    <w:rsid w:val="785A4420"/>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371A1"/>
    <w:rsid w:val="7A1D1975"/>
    <w:rsid w:val="7A3E5150"/>
    <w:rsid w:val="7A4670D6"/>
    <w:rsid w:val="7A534B63"/>
    <w:rsid w:val="7A551A6B"/>
    <w:rsid w:val="7A615382"/>
    <w:rsid w:val="7A67303B"/>
    <w:rsid w:val="7AAB1D04"/>
    <w:rsid w:val="7AAD27F0"/>
    <w:rsid w:val="7ABA4368"/>
    <w:rsid w:val="7ACB52DC"/>
    <w:rsid w:val="7AD05746"/>
    <w:rsid w:val="7B257FFD"/>
    <w:rsid w:val="7B343476"/>
    <w:rsid w:val="7B5A2978"/>
    <w:rsid w:val="7B5A7E4C"/>
    <w:rsid w:val="7B667AF9"/>
    <w:rsid w:val="7B7468F8"/>
    <w:rsid w:val="7B9D24E6"/>
    <w:rsid w:val="7BB3198C"/>
    <w:rsid w:val="7BE0163E"/>
    <w:rsid w:val="7BEE0103"/>
    <w:rsid w:val="7C0A0FE4"/>
    <w:rsid w:val="7C254906"/>
    <w:rsid w:val="7C590818"/>
    <w:rsid w:val="7C7C10F6"/>
    <w:rsid w:val="7C853BEA"/>
    <w:rsid w:val="7C881368"/>
    <w:rsid w:val="7C9453FC"/>
    <w:rsid w:val="7CE27788"/>
    <w:rsid w:val="7D07578C"/>
    <w:rsid w:val="7D0C32F1"/>
    <w:rsid w:val="7D0F408D"/>
    <w:rsid w:val="7D491C6C"/>
    <w:rsid w:val="7D5429C0"/>
    <w:rsid w:val="7D6E6D43"/>
    <w:rsid w:val="7DB57A34"/>
    <w:rsid w:val="7DE60973"/>
    <w:rsid w:val="7DEF0916"/>
    <w:rsid w:val="7E1E5218"/>
    <w:rsid w:val="7E9A4E1F"/>
    <w:rsid w:val="7E9C71F0"/>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iPriority="99"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96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1"/>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semiHidden/>
    <w:unhideWhenUsed/>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semiHidden/>
    <w:unhideWhenUsed/>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5"/>
    <w:semiHidden/>
    <w:unhideWhenUsed/>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1"/>
    <w:semiHidden/>
    <w:unhideWhenUsed/>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5"/>
    <w:semiHidden/>
    <w:unhideWhenUsed/>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5"/>
    <w:semiHidden/>
    <w:unhideWhenUsed/>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6"/>
    <w:semiHidden/>
    <w:unhideWhenUsed/>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0"/>
    <w:semiHidden/>
    <w:unhideWhenUsed/>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qFormat/>
    <w:uiPriority w:val="0"/>
  </w:style>
  <w:style w:type="table" w:default="1" w:styleId="62">
    <w:name w:val="Normal Table"/>
    <w:semiHidden/>
    <w:qFormat/>
    <w:uiPriority w:val="0"/>
    <w:tblPr>
      <w:tblCellMar>
        <w:top w:w="0" w:type="dxa"/>
        <w:left w:w="108" w:type="dxa"/>
        <w:bottom w:w="0" w:type="dxa"/>
        <w:right w:w="108" w:type="dxa"/>
      </w:tblCellMar>
    </w:tblPr>
  </w:style>
  <w:style w:type="paragraph" w:styleId="2">
    <w:name w:val="Body Text"/>
    <w:basedOn w:val="1"/>
    <w:next w:val="3"/>
    <w:link w:val="428"/>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4"/>
    <w:link w:val="319"/>
    <w:qFormat/>
    <w:uiPriority w:val="0"/>
    <w:pPr>
      <w:ind w:firstLine="420"/>
    </w:pPr>
    <w:rPr>
      <w:rFonts w:hAnsi="Calibri" w:cs="Times New Roman"/>
      <w:snapToGrid/>
      <w:szCs w:val="20"/>
    </w:rPr>
  </w:style>
  <w:style w:type="paragraph" w:styleId="4">
    <w:name w:val="toc 6"/>
    <w:basedOn w:val="1"/>
    <w:next w:val="1"/>
    <w:qFormat/>
    <w:uiPriority w:val="0"/>
    <w:pPr>
      <w:ind w:left="2100" w:leftChars="1000"/>
    </w:pPr>
  </w:style>
  <w:style w:type="paragraph" w:styleId="8">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27"/>
    <w:semiHidden/>
    <w:unhideWhenUsed/>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0"/>
    <w:qFormat/>
    <w:uiPriority w:val="0"/>
    <w:pPr>
      <w:shd w:val="clear" w:color="auto" w:fill="000080"/>
    </w:pPr>
  </w:style>
  <w:style w:type="paragraph" w:styleId="22">
    <w:name w:val="annotation text"/>
    <w:basedOn w:val="1"/>
    <w:link w:val="342"/>
    <w:qFormat/>
    <w:uiPriority w:val="0"/>
    <w:pPr>
      <w:jc w:val="left"/>
    </w:pPr>
  </w:style>
  <w:style w:type="paragraph" w:styleId="23">
    <w:name w:val="Salutation"/>
    <w:basedOn w:val="1"/>
    <w:next w:val="1"/>
    <w:link w:val="296"/>
    <w:qFormat/>
    <w:uiPriority w:val="0"/>
    <w:rPr>
      <w:rFonts w:ascii="仿宋_GB2312" w:eastAsia="仿宋_GB2312"/>
      <w:sz w:val="28"/>
      <w:szCs w:val="20"/>
    </w:rPr>
  </w:style>
  <w:style w:type="paragraph" w:styleId="24">
    <w:name w:val="Body Text 3"/>
    <w:basedOn w:val="1"/>
    <w:link w:val="328"/>
    <w:qFormat/>
    <w:uiPriority w:val="0"/>
    <w:pPr>
      <w:jc w:val="center"/>
    </w:pPr>
    <w:rPr>
      <w:szCs w:val="20"/>
    </w:rPr>
  </w:style>
  <w:style w:type="paragraph" w:styleId="25">
    <w:name w:val="List Bullet 3"/>
    <w:basedOn w:val="1"/>
    <w:qFormat/>
    <w:uiPriority w:val="0"/>
    <w:pPr>
      <w:snapToGrid w:val="0"/>
      <w:spacing w:line="360" w:lineRule="auto"/>
      <w:ind w:left="360" w:right="238" w:hanging="360"/>
      <w:contextualSpacing/>
    </w:pPr>
    <w:rPr>
      <w:sz w:val="24"/>
    </w:rPr>
  </w:style>
  <w:style w:type="paragraph" w:styleId="26">
    <w:name w:val="Body Text Indent"/>
    <w:basedOn w:val="1"/>
    <w:next w:val="1"/>
    <w:link w:val="263"/>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9"/>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6"/>
    <w:qFormat/>
    <w:uiPriority w:val="0"/>
    <w:rPr>
      <w:sz w:val="18"/>
      <w:szCs w:val="18"/>
    </w:rPr>
  </w:style>
  <w:style w:type="paragraph" w:styleId="41">
    <w:name w:val="footer"/>
    <w:basedOn w:val="1"/>
    <w:link w:val="381"/>
    <w:unhideWhenUsed/>
    <w:qFormat/>
    <w:uiPriority w:val="99"/>
    <w:pPr>
      <w:tabs>
        <w:tab w:val="center" w:pos="4153"/>
        <w:tab w:val="right" w:pos="8306"/>
      </w:tabs>
      <w:snapToGrid w:val="0"/>
      <w:jc w:val="left"/>
    </w:pPr>
    <w:rPr>
      <w:sz w:val="18"/>
      <w:szCs w:val="18"/>
    </w:rPr>
  </w:style>
  <w:style w:type="paragraph" w:styleId="42">
    <w:name w:val="header"/>
    <w:basedOn w:val="1"/>
    <w:link w:val="390"/>
    <w:qFormat/>
    <w:uiPriority w:val="0"/>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8"/>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0"/>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94"/>
    <w:qFormat/>
    <w:uiPriority w:val="0"/>
    <w:rPr>
      <w:b/>
      <w:bCs/>
    </w:rPr>
  </w:style>
  <w:style w:type="paragraph" w:styleId="61">
    <w:name w:val="Body Text First Indent 2"/>
    <w:basedOn w:val="26"/>
    <w:link w:val="11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0"/>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0"/>
    <w:rPr>
      <w:rFonts w:ascii="Arial" w:hAnsi="Arial" w:eastAsia="黑体" w:cs="Arial"/>
      <w:snapToGrid w:val="0"/>
      <w:color w:val="000000"/>
      <w:kern w:val="0"/>
      <w:sz w:val="18"/>
      <w:szCs w:val="18"/>
      <w:u w:val="none"/>
    </w:rPr>
  </w:style>
  <w:style w:type="character" w:styleId="74">
    <w:name w:val="Emphasis"/>
    <w:qFormat/>
    <w:uiPriority w:val="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0"/>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0"/>
    <w:rPr>
      <w:sz w:val="21"/>
      <w:szCs w:val="21"/>
    </w:rPr>
  </w:style>
  <w:style w:type="paragraph" w:customStyle="1" w:styleId="79">
    <w:name w:val="Normal Indent1"/>
    <w:basedOn w:val="1"/>
    <w:qFormat/>
    <w:uiPriority w:val="0"/>
    <w:pPr>
      <w:adjustRightInd/>
      <w:ind w:firstLine="420"/>
    </w:pPr>
    <w:rPr>
      <w:sz w:val="28"/>
      <w:szCs w:val="20"/>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1"/>
    <w:qFormat/>
    <w:uiPriority w:val="0"/>
    <w:rPr>
      <w:rFonts w:ascii="宋体" w:hAnsi="宋体"/>
      <w:kern w:val="2"/>
      <w:sz w:val="21"/>
      <w:szCs w:val="24"/>
    </w:rPr>
  </w:style>
  <w:style w:type="character" w:customStyle="1" w:styleId="120">
    <w:name w:val="font11"/>
    <w:basedOn w:val="69"/>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basedOn w:val="69"/>
    <w:qFormat/>
    <w:uiPriority w:val="0"/>
    <w:rPr>
      <w:rFonts w:hint="eastAsia" w:ascii="仿宋_GB2312" w:eastAsia="仿宋_GB2312" w:cs="仿宋_GB2312"/>
      <w:color w:val="000000"/>
      <w:sz w:val="22"/>
      <w:szCs w:val="22"/>
      <w:u w:val="none"/>
    </w:rPr>
  </w:style>
  <w:style w:type="character" w:customStyle="1" w:styleId="145">
    <w:name w:val="标题 6 Char"/>
    <w:link w:val="11"/>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6"/>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7"/>
    <w:qFormat/>
    <w:uiPriority w:val="0"/>
    <w:rPr>
      <w:rFonts w:ascii="宋体"/>
      <w:kern w:val="2"/>
      <w:sz w:val="24"/>
      <w:szCs w:val="21"/>
      <w:lang w:val="zh-CN"/>
    </w:rPr>
  </w:style>
  <w:style w:type="character" w:customStyle="1" w:styleId="180">
    <w:name w:val="标题 9 Char"/>
    <w:link w:val="14"/>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0"/>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8"/>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21"/>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basedOn w:val="69"/>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9"/>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9"/>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semiHidden/>
    <w:unhideWhenUsed/>
    <w:qFormat/>
    <w:uiPriority w:val="99"/>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6"/>
    <w:qFormat/>
    <w:uiPriority w:val="0"/>
    <w:rPr>
      <w:rFonts w:ascii="宋体" w:hAnsi="宋体"/>
      <w:kern w:val="2"/>
      <w:sz w:val="24"/>
      <w:szCs w:val="24"/>
    </w:rPr>
  </w:style>
  <w:style w:type="character" w:customStyle="1" w:styleId="264">
    <w:name w:val="font01"/>
    <w:basedOn w:val="69"/>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5"/>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basedOn w:val="69"/>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10"/>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3"/>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9"/>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2"/>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basedOn w:val="69"/>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3"/>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9"/>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4"/>
    <w:qFormat/>
    <w:uiPriority w:val="0"/>
    <w:rPr>
      <w:kern w:val="2"/>
      <w:sz w:val="21"/>
    </w:rPr>
  </w:style>
  <w:style w:type="character" w:customStyle="1" w:styleId="329">
    <w:name w:val="font31"/>
    <w:basedOn w:val="69"/>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2"/>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3"/>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basedOn w:val="69"/>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8"/>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9"/>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semiHidden/>
    <w:unhideWhenUsed/>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6"/>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7"/>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10"/>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7"/>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9"/>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5"/>
    <w:qFormat/>
    <w:uiPriority w:val="0"/>
    <w:pPr>
      <w:tabs>
        <w:tab w:val="left" w:pos="840"/>
      </w:tabs>
      <w:adjustRightInd/>
      <w:ind w:left="840" w:hanging="420"/>
    </w:pPr>
  </w:style>
  <w:style w:type="paragraph" w:customStyle="1" w:styleId="624">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9"/>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next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7"/>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1"/>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10"/>
    <w:next w:val="1"/>
    <w:qFormat/>
    <w:uiPriority w:val="0"/>
    <w:pPr>
      <w:tabs>
        <w:tab w:val="left" w:pos="1080"/>
      </w:tabs>
      <w:ind w:left="1080" w:hanging="1080"/>
    </w:pPr>
  </w:style>
  <w:style w:type="paragraph" w:customStyle="1" w:styleId="895">
    <w:name w:val="数字标题1"/>
    <w:basedOn w:val="5"/>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basedOn w:val="69"/>
    <w:qFormat/>
    <w:uiPriority w:val="0"/>
    <w:rPr>
      <w:rFonts w:hint="eastAsia" w:ascii="宋体" w:hAnsi="宋体" w:eastAsia="宋体" w:cs="宋体"/>
      <w:color w:val="000000"/>
      <w:sz w:val="22"/>
      <w:szCs w:val="22"/>
      <w:u w:val="none"/>
    </w:rPr>
  </w:style>
  <w:style w:type="character" w:customStyle="1" w:styleId="961">
    <w:name w:val="font91"/>
    <w:basedOn w:val="69"/>
    <w:qFormat/>
    <w:uiPriority w:val="0"/>
    <w:rPr>
      <w:rFonts w:hint="eastAsia" w:ascii="仿宋" w:hAnsi="仿宋" w:eastAsia="仿宋" w:cs="仿宋"/>
      <w:color w:val="000000"/>
      <w:sz w:val="22"/>
      <w:szCs w:val="22"/>
      <w:u w:val="none"/>
    </w:rPr>
  </w:style>
  <w:style w:type="character" w:customStyle="1" w:styleId="962">
    <w:name w:val="NormalCharacter"/>
    <w:link w:val="1"/>
    <w:semiHidden/>
    <w:qFormat/>
    <w:uiPriority w:val="0"/>
    <w:rPr>
      <w:rFonts w:ascii="Times New Roman" w:hAnsi="Times New Roman" w:eastAsia="宋体" w:cs="Times New Roman"/>
      <w:kern w:val="2"/>
      <w:sz w:val="21"/>
      <w:szCs w:val="24"/>
      <w:lang w:val="en-US" w:eastAsia="zh-CN" w:bidi="ar-SA"/>
    </w:rPr>
  </w:style>
  <w:style w:type="character" w:customStyle="1" w:styleId="963">
    <w:name w:val="font101"/>
    <w:basedOn w:val="69"/>
    <w:qFormat/>
    <w:uiPriority w:val="0"/>
    <w:rPr>
      <w:rFonts w:hint="eastAsia" w:ascii="新宋体" w:hAnsi="新宋体" w:eastAsia="新宋体" w:cs="新宋体"/>
      <w:color w:val="000000"/>
      <w:sz w:val="16"/>
      <w:szCs w:val="16"/>
      <w:u w:val="none"/>
    </w:rPr>
  </w:style>
  <w:style w:type="character" w:customStyle="1" w:styleId="964">
    <w:name w:val="font122"/>
    <w:basedOn w:val="69"/>
    <w:qFormat/>
    <w:uiPriority w:val="0"/>
    <w:rPr>
      <w:rFonts w:hint="eastAsia" w:ascii="新宋体" w:hAnsi="新宋体" w:eastAsia="新宋体" w:cs="新宋体"/>
      <w:color w:val="000000"/>
      <w:sz w:val="18"/>
      <w:szCs w:val="18"/>
      <w:u w:val="none"/>
      <w:vertAlign w:val="superscript"/>
    </w:rPr>
  </w:style>
  <w:style w:type="character" w:customStyle="1" w:styleId="965">
    <w:name w:val="font131"/>
    <w:basedOn w:val="69"/>
    <w:qFormat/>
    <w:uiPriority w:val="0"/>
    <w:rPr>
      <w:rFonts w:hint="eastAsia" w:ascii="新宋体" w:hAnsi="新宋体" w:eastAsia="新宋体" w:cs="新宋体"/>
      <w:color w:val="000000"/>
      <w:sz w:val="20"/>
      <w:szCs w:val="20"/>
      <w:u w:val="none"/>
      <w:vertAlign w:val="superscript"/>
    </w:rPr>
  </w:style>
  <w:style w:type="character" w:customStyle="1" w:styleId="966">
    <w:name w:val="font112"/>
    <w:basedOn w:val="69"/>
    <w:qFormat/>
    <w:uiPriority w:val="0"/>
    <w:rPr>
      <w:rFonts w:ascii="Calibri" w:hAnsi="Calibri" w:eastAsia="宋体" w:cs="Calibri"/>
      <w:color w:val="000000"/>
      <w:sz w:val="28"/>
      <w:szCs w:val="28"/>
      <w:u w:val="none"/>
    </w:rPr>
  </w:style>
  <w:style w:type="character" w:customStyle="1" w:styleId="967">
    <w:name w:val="font121"/>
    <w:basedOn w:val="69"/>
    <w:qFormat/>
    <w:uiPriority w:val="0"/>
    <w:rPr>
      <w:rFonts w:hint="eastAsia" w:ascii="宋体" w:hAnsi="宋体" w:eastAsia="宋体" w:cs="宋体"/>
      <w:color w:val="000000"/>
      <w:sz w:val="22"/>
      <w:szCs w:val="22"/>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ADMINI~1/AppData/Local/Temp/ksohtml/clip_image6329.png" TargetMode="External"/><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87</Pages>
  <Words>40964</Words>
  <Characters>43494</Characters>
  <Lines>287</Lines>
  <Paragraphs>81</Paragraphs>
  <TotalTime>13</TotalTime>
  <ScaleCrop>false</ScaleCrop>
  <LinksUpToDate>false</LinksUpToDate>
  <CharactersWithSpaces>49389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jxj</cp:lastModifiedBy>
  <cp:lastPrinted>2022-11-08T02:43:00Z</cp:lastPrinted>
  <dcterms:modified xsi:type="dcterms:W3CDTF">2022-11-16T08:54:50Z</dcterms:modified>
  <dc:title>杭州市市民卡扩大发卡工程</dc:title>
  <cp:revision>198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440FB2E9A9444D7DBBA1387AA4B1DCD4</vt:lpwstr>
  </property>
</Properties>
</file>