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spacing w:line="360" w:lineRule="auto"/>
        <w:jc w:val="center"/>
        <w:rPr>
          <w:rFonts w:ascii="宋体" w:hAnsi="宋体" w:cs="宋体"/>
          <w:b/>
          <w:sz w:val="24"/>
        </w:rPr>
      </w:pPr>
    </w:p>
    <w:p>
      <w:pPr>
        <w:adjustRightInd/>
        <w:spacing w:line="360" w:lineRule="auto"/>
        <w:jc w:val="center"/>
        <w:rPr>
          <w:rFonts w:ascii="宋体" w:hAnsi="宋体" w:cs="宋体"/>
          <w:b/>
          <w:sz w:val="44"/>
          <w:szCs w:val="44"/>
        </w:rPr>
      </w:pPr>
    </w:p>
    <w:p>
      <w:pPr>
        <w:adjustRightInd/>
        <w:spacing w:line="360" w:lineRule="auto"/>
        <w:jc w:val="center"/>
        <w:rPr>
          <w:rFonts w:ascii="宋体" w:hAnsi="宋体" w:cs="宋体"/>
          <w:b/>
          <w:sz w:val="60"/>
          <w:szCs w:val="48"/>
        </w:rPr>
      </w:pPr>
      <w:r>
        <w:rPr>
          <w:rFonts w:hint="eastAsia" w:ascii="宋体" w:hAnsi="宋体" w:cs="宋体"/>
          <w:b/>
          <w:sz w:val="60"/>
          <w:szCs w:val="48"/>
        </w:rPr>
        <w:t>杭州市中策职业学校钱塘学校</w:t>
      </w:r>
    </w:p>
    <w:p>
      <w:pPr>
        <w:adjustRightInd/>
        <w:spacing w:line="360" w:lineRule="auto"/>
        <w:jc w:val="center"/>
        <w:rPr>
          <w:rFonts w:ascii="宋体" w:hAnsi="宋体" w:cs="宋体"/>
          <w:b/>
          <w:sz w:val="58"/>
          <w:szCs w:val="48"/>
        </w:rPr>
      </w:pPr>
      <w:r>
        <w:rPr>
          <w:rFonts w:hint="eastAsia" w:ascii="宋体" w:hAnsi="宋体" w:cs="宋体"/>
          <w:b/>
          <w:sz w:val="58"/>
          <w:szCs w:val="48"/>
        </w:rPr>
        <w:t>综合安防系统采购项目</w:t>
      </w:r>
    </w:p>
    <w:p>
      <w:pPr>
        <w:adjustRightInd/>
        <w:spacing w:line="360" w:lineRule="auto"/>
        <w:jc w:val="center"/>
        <w:rPr>
          <w:rFonts w:ascii="宋体" w:hAnsi="宋体" w:cs="宋体"/>
          <w:sz w:val="48"/>
          <w:szCs w:val="48"/>
        </w:rPr>
      </w:pPr>
    </w:p>
    <w:p>
      <w:pPr>
        <w:adjustRightInd/>
        <w:spacing w:line="360" w:lineRule="auto"/>
        <w:jc w:val="center"/>
        <w:rPr>
          <w:rFonts w:ascii="宋体" w:hAnsi="宋体" w:cs="宋体"/>
          <w:sz w:val="48"/>
          <w:szCs w:val="48"/>
        </w:rPr>
      </w:pPr>
      <w:r>
        <w:rPr>
          <w:rFonts w:hint="eastAsia" w:ascii="宋体" w:hAnsi="宋体" w:cs="宋体"/>
          <w:sz w:val="48"/>
          <w:szCs w:val="48"/>
        </w:rPr>
        <w:t xml:space="preserve"> 招标文件（试行）</w:t>
      </w: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snapToGrid w:val="0"/>
        <w:spacing w:line="360" w:lineRule="auto"/>
        <w:jc w:val="center"/>
        <w:rPr>
          <w:rFonts w:ascii="宋体" w:hAnsi="宋体" w:cs="宋体"/>
          <w:sz w:val="30"/>
          <w:szCs w:val="30"/>
        </w:rPr>
      </w:pPr>
      <w:r>
        <w:rPr>
          <w:rFonts w:hint="eastAsia" w:ascii="宋体" w:hAnsi="宋体" w:cs="宋体"/>
          <w:sz w:val="30"/>
          <w:szCs w:val="30"/>
        </w:rPr>
        <w:t>项目编号:ZJZBC-GK-22-9002</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r>
        <w:rPr>
          <w:rFonts w:hint="eastAsia" w:ascii="宋体" w:hAnsi="宋体" w:cs="宋体"/>
          <w:b/>
          <w:sz w:val="44"/>
          <w:szCs w:val="44"/>
        </w:rPr>
        <w:t xml:space="preserve"> </w:t>
      </w:r>
    </w:p>
    <w:p>
      <w:pPr>
        <w:spacing w:line="360" w:lineRule="auto"/>
        <w:jc w:val="center"/>
        <w:rPr>
          <w:rFonts w:ascii="宋体" w:hAnsi="宋体" w:cs="宋体"/>
          <w:b/>
          <w:sz w:val="44"/>
          <w:szCs w:val="44"/>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napToGrid w:val="0"/>
        <w:spacing w:line="360" w:lineRule="auto"/>
        <w:jc w:val="center"/>
        <w:rPr>
          <w:rFonts w:ascii="宋体" w:hAnsi="宋体" w:cs="宋体"/>
          <w:sz w:val="32"/>
          <w:szCs w:val="32"/>
        </w:rPr>
      </w:pPr>
      <w:r>
        <w:rPr>
          <w:rFonts w:hint="eastAsia" w:ascii="宋体" w:hAnsi="宋体" w:cs="宋体"/>
          <w:sz w:val="32"/>
          <w:szCs w:val="32"/>
        </w:rPr>
        <w:t>杭州市中策职业学校钱塘学校</w:t>
      </w:r>
    </w:p>
    <w:p>
      <w:pPr>
        <w:spacing w:line="360" w:lineRule="auto"/>
        <w:jc w:val="center"/>
        <w:rPr>
          <w:rFonts w:ascii="宋体" w:hAnsi="宋体" w:cs="宋体"/>
          <w:bCs/>
          <w:sz w:val="32"/>
          <w:szCs w:val="32"/>
        </w:rPr>
      </w:pPr>
      <w:r>
        <w:rPr>
          <w:rFonts w:hint="eastAsia" w:ascii="宋体" w:hAnsi="宋体" w:cs="宋体"/>
          <w:bCs/>
          <w:sz w:val="32"/>
          <w:szCs w:val="32"/>
        </w:rPr>
        <w:t>浙江省建设工程设备招标有限公司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二</w:t>
      </w:r>
      <w:r>
        <w:rPr>
          <w:rFonts w:hint="eastAsia" w:ascii="宋体" w:hAnsi="宋体" w:cs="宋体"/>
          <w:bCs/>
          <w:sz w:val="32"/>
          <w:szCs w:val="32"/>
        </w:rPr>
        <w:t>年三月</w:t>
      </w: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Pr>
        <w:spacing w:line="360" w:lineRule="auto"/>
        <w:jc w:val="center"/>
        <w:rPr>
          <w:rFonts w:ascii="宋体" w:hAnsi="宋体" w:cs="宋体"/>
          <w:sz w:val="24"/>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1" w:name="_Hlt91233176"/>
      <w:bookmarkEnd w:id="1"/>
      <w:bookmarkStart w:id="2"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29822"/>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u w:val="single"/>
        </w:rPr>
      </w:pPr>
      <w:r>
        <w:rPr>
          <w:rFonts w:hint="eastAsia" w:ascii="宋体" w:hAnsi="宋体" w:cs="宋体"/>
          <w:sz w:val="24"/>
          <w:u w:val="single"/>
        </w:rPr>
        <w:t>杭州市中策职业学校钱塘学校综合安防系统采购项目</w:t>
      </w:r>
      <w:r>
        <w:rPr>
          <w:rFonts w:hint="eastAsia" w:ascii="宋体" w:hAnsi="宋体" w:cs="宋体"/>
          <w:sz w:val="24"/>
        </w:rPr>
        <w:t>招标项目的潜在投标人应在政采云平台（</w:t>
      </w:r>
      <w:r>
        <w:fldChar w:fldCharType="begin"/>
      </w:r>
      <w:r>
        <w:instrText xml:space="preserve"> HYPERLINK "https://www.zcygov.cn/）获取（下载）招标文件，并于2021年" </w:instrText>
      </w:r>
      <w:r>
        <w:fldChar w:fldCharType="separate"/>
      </w:r>
      <w:r>
        <w:rPr>
          <w:rStyle w:val="77"/>
          <w:rFonts w:hint="eastAsia" w:ascii="宋体" w:hAnsi="宋体" w:eastAsia="宋体" w:cs="宋体"/>
          <w:snapToGrid/>
          <w:color w:val="auto"/>
          <w:kern w:val="2"/>
          <w:sz w:val="24"/>
          <w:szCs w:val="24"/>
        </w:rPr>
        <w:t>https://www.zcygov.cn/）获取（下载）招标文件，并于</w:t>
      </w:r>
      <w:r>
        <w:rPr>
          <w:rFonts w:hint="eastAsia" w:ascii="宋体" w:hAnsi="宋体" w:cs="宋体"/>
          <w:sz w:val="24"/>
          <w:u w:val="single"/>
        </w:rPr>
        <w:t>2022年03月29日09 点30 分</w:t>
      </w:r>
      <w:r>
        <w:rPr>
          <w:rFonts w:hint="eastAsia" w:ascii="宋体" w:hAnsi="宋体" w:cs="宋体"/>
          <w:bCs/>
          <w:sz w:val="24"/>
          <w:u w:val="single"/>
        </w:rPr>
        <w:t>00秒</w:t>
      </w:r>
      <w:r>
        <w:rPr>
          <w:rFonts w:hint="eastAsia" w:ascii="宋体" w:hAnsi="宋体" w:cs="宋体"/>
          <w:bCs/>
          <w:sz w:val="24"/>
          <w:u w:val="single"/>
        </w:rPr>
        <w:fldChar w:fldCharType="end"/>
      </w:r>
      <w:r>
        <w:rPr>
          <w:rFonts w:hint="eastAsia" w:ascii="宋体" w:hAnsi="宋体" w:cs="宋体"/>
          <w:bCs/>
          <w:sz w:val="24"/>
        </w:rPr>
        <w:t>（北京时间）前</w:t>
      </w:r>
      <w:r>
        <w:rPr>
          <w:rFonts w:hint="eastAsia" w:ascii="宋体" w:hAnsi="宋体" w:cs="宋体"/>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rPr>
        <w:t>ZJZBC-GK-22-9002</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rPr>
        <w:t>杭州市中策职业学校钱塘学校综合安防系统采购项目</w:t>
      </w:r>
    </w:p>
    <w:p>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sz w:val="24"/>
        </w:rPr>
        <w:t xml:space="preserve">  8000000</w:t>
      </w:r>
    </w:p>
    <w:p>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 xml:space="preserve">  8000000</w:t>
      </w:r>
    </w:p>
    <w:p>
      <w:pPr>
        <w:pStyle w:val="6"/>
        <w:spacing w:line="360" w:lineRule="auto"/>
        <w:ind w:firstLine="480"/>
        <w:rPr>
          <w:rFonts w:hAnsi="宋体" w:cs="宋体"/>
          <w:bCs/>
          <w:snapToGrid/>
          <w:color w:val="auto"/>
          <w:kern w:val="2"/>
          <w:sz w:val="24"/>
          <w:szCs w:val="24"/>
        </w:rPr>
      </w:pPr>
      <w:r>
        <w:rPr>
          <w:rFonts w:hint="eastAsia" w:hAnsi="宋体" w:cs="宋体"/>
          <w:b/>
          <w:color w:val="auto"/>
          <w:sz w:val="24"/>
        </w:rPr>
        <w:t>采购需求：</w:t>
      </w:r>
    </w:p>
    <w:p>
      <w:pPr>
        <w:pStyle w:val="160"/>
        <w:ind w:firstLine="480"/>
        <w:outlineLvl w:val="2"/>
        <w:rPr>
          <w:rFonts w:ascii="宋体" w:hAnsi="宋体" w:cs="宋体"/>
          <w:bCs/>
        </w:rPr>
      </w:pPr>
    </w:p>
    <w:p>
      <w:pPr>
        <w:pStyle w:val="160"/>
        <w:spacing w:before="0"/>
        <w:ind w:firstLine="480"/>
        <w:outlineLvl w:val="2"/>
        <w:rPr>
          <w:rFonts w:ascii="宋体" w:hAnsi="宋体" w:cs="宋体"/>
          <w:bCs/>
        </w:rPr>
      </w:pPr>
      <w:r>
        <w:rPr>
          <w:rFonts w:hint="eastAsia" w:ascii="宋体" w:hAnsi="宋体" w:cs="宋体"/>
          <w:bCs/>
        </w:rPr>
        <w:t>标项一：</w:t>
      </w:r>
    </w:p>
    <w:p>
      <w:pPr>
        <w:pStyle w:val="160"/>
        <w:spacing w:before="0"/>
        <w:ind w:firstLine="480"/>
        <w:outlineLvl w:val="2"/>
        <w:rPr>
          <w:rFonts w:ascii="宋体" w:hAnsi="宋体" w:cs="宋体"/>
        </w:rPr>
      </w:pPr>
      <w:r>
        <w:rPr>
          <w:rFonts w:hint="eastAsia" w:ascii="宋体" w:hAnsi="宋体" w:cs="宋体"/>
          <w:bCs/>
        </w:rPr>
        <w:t>标项名称：</w:t>
      </w:r>
      <w:r>
        <w:rPr>
          <w:rFonts w:hint="eastAsia" w:ascii="宋体" w:hAnsi="宋体" w:cs="宋体"/>
        </w:rPr>
        <w:t>杭州市中策职业学校钱塘学校综合安防系统采购项目</w:t>
      </w:r>
    </w:p>
    <w:p>
      <w:pPr>
        <w:pStyle w:val="160"/>
        <w:spacing w:before="0"/>
        <w:ind w:firstLine="480"/>
        <w:outlineLvl w:val="2"/>
        <w:rPr>
          <w:rFonts w:ascii="宋体" w:hAnsi="宋体" w:cs="宋体"/>
        </w:rPr>
      </w:pPr>
      <w:r>
        <w:rPr>
          <w:rFonts w:hint="eastAsia" w:ascii="宋体" w:hAnsi="宋体" w:cs="宋体"/>
          <w:bCs/>
        </w:rPr>
        <w:t>数量：1</w:t>
      </w:r>
    </w:p>
    <w:p>
      <w:pPr>
        <w:spacing w:line="360" w:lineRule="auto"/>
        <w:ind w:firstLine="200"/>
        <w:rPr>
          <w:rFonts w:ascii="宋体" w:hAnsi="宋体" w:cs="宋体"/>
          <w:i/>
          <w:sz w:val="24"/>
          <w:szCs w:val="20"/>
        </w:rPr>
      </w:pPr>
      <w:r>
        <w:rPr>
          <w:rFonts w:hint="eastAsia" w:ascii="宋体" w:hAnsi="宋体" w:cs="宋体"/>
          <w:bCs/>
          <w:sz w:val="24"/>
          <w:szCs w:val="20"/>
        </w:rPr>
        <w:t xml:space="preserve">  </w:t>
      </w:r>
      <w:r>
        <w:rPr>
          <w:rFonts w:ascii="宋体" w:hAnsi="宋体" w:cs="宋体"/>
          <w:bCs/>
          <w:sz w:val="24"/>
          <w:szCs w:val="20"/>
        </w:rPr>
        <w:t>预算金额（元）：</w:t>
      </w:r>
      <w:r>
        <w:rPr>
          <w:rFonts w:hint="eastAsia" w:ascii="宋体" w:hAnsi="宋体" w:cs="宋体"/>
          <w:sz w:val="24"/>
        </w:rPr>
        <w:t>8000000</w:t>
      </w:r>
    </w:p>
    <w:p>
      <w:pPr>
        <w:pStyle w:val="160"/>
        <w:spacing w:before="0"/>
        <w:ind w:firstLine="480"/>
        <w:outlineLvl w:val="2"/>
        <w:rPr>
          <w:rFonts w:ascii="宋体" w:hAnsi="宋体" w:cs="宋体"/>
          <w:b/>
        </w:rPr>
      </w:pPr>
      <w:r>
        <w:rPr>
          <w:rFonts w:ascii="宋体" w:hAnsi="宋体" w:cs="宋体"/>
          <w:bCs/>
        </w:rPr>
        <w:t>简要规格描述或项目基本概况介绍、用途：</w:t>
      </w:r>
      <w:r>
        <w:rPr>
          <w:rFonts w:hint="eastAsia" w:ascii="宋体" w:hAnsi="宋体" w:cs="宋体"/>
          <w:bCs/>
        </w:rPr>
        <w:t>拟采购视频监控系统、入侵报警系统、透明厨房系统、周界系统、智慧消防系统、车辆出入口管理系统</w:t>
      </w:r>
      <w:r>
        <w:rPr>
          <w:rFonts w:ascii="宋体" w:hAnsi="宋体" w:cs="宋体"/>
          <w:bCs/>
        </w:rPr>
        <w:t>等</w:t>
      </w:r>
      <w:r>
        <w:rPr>
          <w:rFonts w:hint="eastAsia" w:ascii="宋体" w:hAnsi="宋体" w:cs="宋体"/>
          <w:bCs/>
        </w:rPr>
        <w:t>，详见招标文件第三部分采购需求</w:t>
      </w:r>
      <w:r>
        <w:rPr>
          <w:rFonts w:hint="eastAsia" w:ascii="宋体" w:hAnsi="宋体" w:cs="宋体"/>
        </w:rPr>
        <w:t>。</w:t>
      </w:r>
    </w:p>
    <w:p>
      <w:pPr>
        <w:pStyle w:val="160"/>
        <w:ind w:firstLine="482"/>
        <w:outlineLvl w:val="2"/>
        <w:rPr>
          <w:rFonts w:ascii="宋体" w:hAnsi="宋体" w:cs="宋体"/>
        </w:rPr>
      </w:pPr>
      <w:r>
        <w:rPr>
          <w:rFonts w:hint="eastAsia" w:ascii="宋体" w:hAnsi="宋体" w:cs="宋体"/>
          <w:b/>
        </w:rPr>
        <w:t>合同履约期限：签订合同后，投标人须于2022年5月30日前送货并安装、调试完毕，正常运行后交采购人验收，通过验收后交付使用。</w:t>
      </w:r>
    </w:p>
    <w:p>
      <w:pPr>
        <w:pStyle w:val="6"/>
        <w:spacing w:line="360" w:lineRule="auto"/>
        <w:ind w:firstLine="480"/>
        <w:rPr>
          <w:rFonts w:hAnsi="宋体" w:cs="宋体"/>
          <w:b/>
          <w:color w:val="auto"/>
          <w:sz w:val="24"/>
        </w:rPr>
      </w:pPr>
      <w:r>
        <w:rPr>
          <w:rFonts w:hint="eastAsia" w:hAnsi="宋体" w:cs="宋体"/>
          <w:b/>
          <w:color w:val="auto"/>
          <w:sz w:val="24"/>
        </w:rPr>
        <w:t>本项目接受联合体投标：</w:t>
      </w:r>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sdt>
        <w:sdtPr>
          <w:rPr>
            <w:rFonts w:hint="eastAsia" w:hAnsi="宋体" w:cs="宋体"/>
            <w:color w:val="auto"/>
            <w:kern w:val="0"/>
            <w:sz w:val="24"/>
          </w:rPr>
          <w:id w:val="-1765526721"/>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二、申请人的资格要求：</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2.落实政府采购政策需满足的资格要求：</w:t>
      </w:r>
    </w:p>
    <w:p>
      <w:pPr>
        <w:spacing w:line="360" w:lineRule="auto"/>
        <w:ind w:firstLine="480" w:firstLineChars="200"/>
        <w:rPr>
          <w:rFonts w:ascii="宋体" w:hAnsi="宋体" w:cs="宋体"/>
          <w:sz w:val="24"/>
        </w:rPr>
      </w:pPr>
      <w:sdt>
        <w:sdtPr>
          <w:rPr>
            <w:rFonts w:hint="eastAsia" w:ascii="宋体" w:hAnsi="宋体" w:cs="宋体"/>
            <w:kern w:val="0"/>
            <w:sz w:val="24"/>
          </w:rPr>
          <w:id w:val="1928616923"/>
        </w:sdtPr>
        <w:sdtEndPr>
          <w:rPr>
            <w:rFonts w:hint="eastAsia" w:ascii="宋体" w:hAnsi="宋体" w:cs="宋体"/>
            <w:kern w:val="0"/>
            <w:sz w:val="24"/>
          </w:rPr>
        </w:sdtEndPr>
        <w:sdtContent>
          <w:sdt>
            <w:sdtPr>
              <w:rPr>
                <w:rFonts w:hint="eastAsia" w:ascii="宋体" w:hAnsi="宋体" w:cs="宋体"/>
                <w:kern w:val="0"/>
                <w:sz w:val="24"/>
              </w:rPr>
              <w:id w:val="-1024704304"/>
            </w:sdtPr>
            <w:sdtEndPr>
              <w:rPr>
                <w:rFonts w:hint="eastAsia" w:ascii="宋体" w:hAnsi="宋体" w:cs="宋体"/>
                <w:kern w:val="0"/>
                <w:sz w:val="24"/>
              </w:rPr>
            </w:sdtEndPr>
            <w:sdtContent>
              <w:r>
                <w:rPr>
                  <w:rFonts w:hint="eastAsia" w:ascii="宋体" w:hAnsi="宋体" w:cs="宋体"/>
                  <w:kern w:val="0"/>
                  <w:sz w:val="24"/>
                </w:rPr>
                <w:sym w:font="Wingdings" w:char="F0FE"/>
              </w:r>
            </w:sdtContent>
          </w:sdt>
        </w:sdtContent>
      </w:sdt>
      <w:r>
        <w:rPr>
          <w:rFonts w:hint="eastAsia" w:ascii="宋体" w:hAnsi="宋体" w:cs="宋体"/>
          <w:sz w:val="24"/>
        </w:rPr>
        <w:t>无；</w:t>
      </w:r>
    </w:p>
    <w:p>
      <w:pPr>
        <w:spacing w:line="360" w:lineRule="auto"/>
        <w:ind w:firstLine="480" w:firstLineChars="200"/>
        <w:rPr>
          <w:rFonts w:ascii="宋体" w:hAnsi="宋体" w:cs="宋体"/>
          <w:sz w:val="24"/>
        </w:rPr>
      </w:pPr>
      <w:r>
        <w:rPr>
          <w:rFonts w:hint="eastAsia" w:ascii="宋体" w:hAnsi="宋体" w:cs="宋体"/>
          <w:kern w:val="0"/>
          <w:sz w:val="24"/>
        </w:rPr>
        <w:t>☐专</w:t>
      </w:r>
      <w:r>
        <w:rPr>
          <w:rFonts w:hint="eastAsia" w:ascii="宋体" w:hAnsi="宋体" w:cs="宋体"/>
          <w:sz w:val="24"/>
        </w:rPr>
        <w:t>门面向中小企业</w:t>
      </w:r>
    </w:p>
    <w:p>
      <w:pPr>
        <w:spacing w:line="360" w:lineRule="auto"/>
        <w:ind w:firstLine="897" w:firstLineChars="374"/>
        <w:rPr>
          <w:rFonts w:ascii="宋体" w:hAnsi="宋体" w:cs="宋体"/>
          <w:sz w:val="24"/>
          <w:u w:val="single"/>
        </w:rPr>
      </w:pPr>
      <w:r>
        <w:rPr>
          <w:rFonts w:hint="eastAsia" w:ascii="宋体" w:hAnsi="宋体" w:cs="宋体"/>
          <w:kern w:val="0"/>
          <w:sz w:val="24"/>
        </w:rPr>
        <w:t>☐</w:t>
      </w:r>
      <w:r>
        <w:rPr>
          <w:rFonts w:hint="eastAsia" w:ascii="宋体" w:hAnsi="宋体" w:cs="宋体"/>
          <w:sz w:val="24"/>
        </w:rPr>
        <w:t>货物全部由符合政策要求的中小企业制造，提供中小企业声明函；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1152604937"/>
        </w:sdtPr>
        <w:sdtEndPr>
          <w:rPr>
            <w:rFonts w:hint="eastAsia" w:ascii="宋体" w:hAnsi="宋体" w:cs="宋体"/>
            <w:kern w:val="0"/>
            <w:sz w:val="24"/>
          </w:rPr>
        </w:sdtEndPr>
        <w:sdtContent>
          <w:sdt>
            <w:sdtPr>
              <w:rPr>
                <w:rFonts w:hint="eastAsia" w:ascii="宋体" w:hAnsi="宋体" w:cs="宋体"/>
                <w:kern w:val="0"/>
                <w:sz w:val="24"/>
              </w:rPr>
              <w:id w:val="-924730588"/>
            </w:sdtPr>
            <w:sdtEndPr>
              <w:rPr>
                <w:rFonts w:hint="eastAsia" w:ascii="宋体" w:hAnsi="宋体" w:cs="宋体"/>
                <w:kern w:val="0"/>
                <w:sz w:val="24"/>
              </w:rPr>
            </w:sdtEndPr>
            <w:sdtContent>
              <w:r>
                <w:rPr>
                  <w:rFonts w:hint="eastAsia" w:ascii="宋体" w:hAnsi="宋体" w:cs="宋体"/>
                  <w:kern w:val="0"/>
                  <w:sz w:val="24"/>
                </w:rPr>
                <w:t>☐</w:t>
              </w:r>
            </w:sdtContent>
          </w:sdt>
        </w:sdtContent>
      </w:sdt>
      <w:r>
        <w:rPr>
          <w:rFonts w:hint="eastAsia" w:ascii="宋体" w:hAnsi="宋体" w:cs="宋体"/>
          <w:sz w:val="24"/>
        </w:rPr>
        <w:t>货物全部由符合政策要求的小微企业制造，提供中小企业声明函；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333685401"/>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服务全部由符合政策要求的中小企业承接，提供中小企业声明函；</w:t>
      </w:r>
    </w:p>
    <w:p>
      <w:pPr>
        <w:spacing w:line="360" w:lineRule="auto"/>
        <w:ind w:firstLine="897" w:firstLineChars="374"/>
        <w:rPr>
          <w:rFonts w:ascii="宋体" w:hAnsi="宋体" w:cs="宋体"/>
          <w:sz w:val="24"/>
        </w:rPr>
      </w:pPr>
      <w:sdt>
        <w:sdtPr>
          <w:rPr>
            <w:rFonts w:hint="eastAsia" w:ascii="宋体" w:hAnsi="宋体" w:cs="宋体"/>
            <w:kern w:val="0"/>
            <w:sz w:val="24"/>
          </w:rPr>
          <w:id w:val="-2141025358"/>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服务全部由符合政策要求的小微企业承接，提供中小企业声明函；</w:t>
      </w:r>
    </w:p>
    <w:p>
      <w:pPr>
        <w:rPr>
          <w:rFonts w:ascii="宋体" w:hAnsi="宋体" w:cs="宋体"/>
        </w:rPr>
      </w:pPr>
    </w:p>
    <w:p>
      <w:pPr>
        <w:spacing w:line="360" w:lineRule="auto"/>
        <w:ind w:firstLine="480" w:firstLineChars="200"/>
        <w:rPr>
          <w:rFonts w:ascii="宋体" w:hAnsi="宋体" w:cs="宋体"/>
          <w:sz w:val="24"/>
        </w:rPr>
      </w:pPr>
      <w:sdt>
        <w:sdtPr>
          <w:rPr>
            <w:rFonts w:hint="eastAsia" w:ascii="宋体" w:hAnsi="宋体" w:cs="宋体"/>
            <w:kern w:val="0"/>
            <w:sz w:val="24"/>
          </w:rPr>
          <w:id w:val="-198560779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40 </w:t>
      </w:r>
      <w:r>
        <w:rPr>
          <w:rFonts w:hint="eastAsia" w:ascii="宋体" w:hAnsi="宋体" w:cs="宋体"/>
          <w:sz w:val="24"/>
        </w:rPr>
        <w:t>%，小微企业合同金额应当达到</w:t>
      </w:r>
      <w:r>
        <w:rPr>
          <w:rFonts w:hint="eastAsia" w:ascii="宋体" w:hAnsi="宋体" w:cs="宋体"/>
          <w:sz w:val="24"/>
          <w:u w:val="single"/>
        </w:rPr>
        <w:t xml:space="preserve"> 70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sz w:val="24"/>
        </w:rPr>
        <w:t>；</w:t>
      </w:r>
    </w:p>
    <w:p>
      <w:pPr>
        <w:spacing w:line="360" w:lineRule="auto"/>
        <w:ind w:firstLine="480" w:firstLineChars="200"/>
        <w:rPr>
          <w:rFonts w:ascii="宋体" w:hAnsi="宋体" w:cs="宋体"/>
          <w:sz w:val="24"/>
        </w:rPr>
      </w:pPr>
      <w:sdt>
        <w:sdtPr>
          <w:rPr>
            <w:rFonts w:hint="eastAsia" w:ascii="宋体" w:hAnsi="宋体" w:cs="宋体"/>
            <w:kern w:val="0"/>
            <w:sz w:val="24"/>
          </w:rPr>
          <w:id w:val="3463064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3.本项目的特定资格要求：无；</w:t>
      </w:r>
    </w:p>
    <w:p>
      <w:pPr>
        <w:snapToGrid w:val="0"/>
        <w:spacing w:line="360" w:lineRule="auto"/>
        <w:ind w:firstLine="480" w:firstLineChars="200"/>
        <w:rPr>
          <w:rFonts w:ascii="宋体" w:hAnsi="宋体" w:cs="宋体"/>
          <w:sz w:val="24"/>
        </w:rPr>
      </w:pPr>
      <w:r>
        <w:rPr>
          <w:rFonts w:hint="eastAsia" w:ascii="宋体" w:hAnsi="宋体" w:cs="宋体"/>
          <w:sz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sz w:val="24"/>
        </w:rPr>
      </w:pPr>
      <w:r>
        <w:rPr>
          <w:rFonts w:hint="eastAsia" w:ascii="宋体" w:hAnsi="宋体" w:cs="宋体"/>
          <w:b/>
          <w:sz w:val="24"/>
        </w:rPr>
        <w:t xml:space="preserve">三、获取招标文件 </w:t>
      </w:r>
    </w:p>
    <w:p>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2022年03月29日</w:t>
      </w:r>
      <w:r>
        <w:rPr>
          <w:rFonts w:hint="eastAsia" w:ascii="宋体" w:hAnsi="宋体" w:cs="宋体"/>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pPr>
        <w:spacing w:line="360" w:lineRule="auto"/>
        <w:rPr>
          <w:rFonts w:ascii="宋体" w:hAnsi="宋体" w:cs="宋体"/>
          <w:b/>
          <w:sz w:val="24"/>
        </w:rPr>
      </w:pPr>
      <w:r>
        <w:rPr>
          <w:rFonts w:hint="eastAsia" w:ascii="宋体" w:hAnsi="宋体" w:cs="宋体"/>
          <w:b/>
          <w:sz w:val="24"/>
        </w:rPr>
        <w:t>四、提交投标文件截止时间、开标时间和地点</w:t>
      </w:r>
    </w:p>
    <w:p>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w:t>
      </w:r>
      <w:r>
        <w:rPr>
          <w:rFonts w:hint="eastAsia" w:ascii="宋体" w:hAnsi="宋体" w:cs="宋体"/>
          <w:sz w:val="24"/>
          <w:u w:val="single"/>
          <w:lang w:val="en-US" w:eastAsia="zh-CN"/>
        </w:rPr>
        <w:t>2</w:t>
      </w:r>
      <w:r>
        <w:rPr>
          <w:rFonts w:hint="eastAsia" w:ascii="宋体" w:hAnsi="宋体" w:cs="宋体"/>
          <w:sz w:val="24"/>
          <w:u w:val="single"/>
        </w:rPr>
        <w:t>年03月29日09点 30分</w:t>
      </w:r>
      <w:r>
        <w:rPr>
          <w:rFonts w:hint="eastAsia" w:ascii="宋体" w:hAnsi="宋体" w:cs="宋体"/>
          <w:bCs/>
          <w:sz w:val="24"/>
          <w:u w:val="single"/>
        </w:rPr>
        <w:t xml:space="preserve"> </w:t>
      </w:r>
      <w:r>
        <w:rPr>
          <w:rFonts w:hint="eastAsia" w:ascii="宋体" w:hAnsi="宋体" w:cs="宋体"/>
          <w:sz w:val="24"/>
        </w:rPr>
        <w:t>（北京时间）</w:t>
      </w:r>
    </w:p>
    <w:p>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w:t>
      </w:r>
      <w:r>
        <w:rPr>
          <w:rFonts w:hint="eastAsia" w:ascii="宋体" w:hAnsi="宋体" w:cs="宋体"/>
          <w:sz w:val="24"/>
          <w:u w:val="single"/>
          <w:lang w:val="en-US" w:eastAsia="zh-CN"/>
        </w:rPr>
        <w:t>2</w:t>
      </w:r>
      <w:r>
        <w:rPr>
          <w:rFonts w:hint="eastAsia" w:ascii="宋体" w:hAnsi="宋体" w:cs="宋体"/>
          <w:sz w:val="24"/>
          <w:u w:val="single"/>
        </w:rPr>
        <w:t>年03月29日09点 30分</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ascii="宋体" w:hAnsi="宋体" w:cs="宋体"/>
          <w:sz w:val="24"/>
        </w:rPr>
        <w:t>政</w:t>
      </w:r>
      <w:r>
        <w:rPr>
          <w:rFonts w:hint="eastAsia" w:ascii="宋体" w:hAnsi="宋体" w:cs="宋体"/>
          <w:sz w:val="24"/>
        </w:rPr>
        <w:t>采云平台（</w:t>
      </w:r>
      <w:r>
        <w:rPr>
          <w:rFonts w:ascii="宋体" w:hAnsi="宋体" w:cs="宋体"/>
          <w:sz w:val="24"/>
        </w:rPr>
        <w:t>https://www.zcygov.cn/）</w:t>
      </w:r>
      <w:r>
        <w:rPr>
          <w:rFonts w:hint="eastAsia" w:ascii="宋体" w:hAnsi="宋体" w:cs="宋体"/>
          <w:sz w:val="24"/>
        </w:rPr>
        <w:t>（线下：杭州市上城区环站东路</w:t>
      </w:r>
      <w:r>
        <w:rPr>
          <w:rFonts w:ascii="宋体" w:hAnsi="宋体" w:cs="宋体"/>
          <w:sz w:val="24"/>
        </w:rPr>
        <w:t>97号云峰大厦1幢6楼开标室）</w:t>
      </w:r>
    </w:p>
    <w:p>
      <w:pPr>
        <w:spacing w:line="360" w:lineRule="auto"/>
        <w:rPr>
          <w:rFonts w:ascii="宋体" w:hAnsi="宋体" w:cs="宋体"/>
          <w:b/>
          <w:sz w:val="24"/>
        </w:rPr>
      </w:pPr>
      <w:r>
        <w:rPr>
          <w:rFonts w:hint="eastAsia" w:ascii="宋体" w:hAnsi="宋体" w:cs="宋体"/>
          <w:b/>
          <w:sz w:val="24"/>
        </w:rPr>
        <w:t>五、采购意向公开链接</w:t>
      </w:r>
    </w:p>
    <w:p>
      <w:pPr>
        <w:spacing w:line="360" w:lineRule="auto"/>
        <w:ind w:firstLine="424" w:firstLineChars="176"/>
        <w:rPr>
          <w:rFonts w:ascii="宋体" w:hAnsi="宋体" w:cs="宋体"/>
          <w:b/>
          <w:sz w:val="24"/>
        </w:rPr>
      </w:pPr>
      <w:r>
        <w:rPr>
          <w:rFonts w:ascii="宋体" w:hAnsi="宋体" w:cs="宋体"/>
          <w:b/>
          <w:sz w:val="24"/>
        </w:rPr>
        <w:t>https://zfcg.czt.zj.gov.cn/innerUsed_noticeDetails/index.html?noticeId=8364454</w:t>
      </w:r>
    </w:p>
    <w:p>
      <w:pPr>
        <w:spacing w:line="360" w:lineRule="auto"/>
        <w:rPr>
          <w:rFonts w:ascii="宋体" w:hAnsi="宋体" w:cs="宋体"/>
          <w:sz w:val="24"/>
        </w:rPr>
      </w:pPr>
      <w:r>
        <w:rPr>
          <w:rFonts w:hint="eastAsia" w:ascii="宋体" w:hAnsi="宋体" w:cs="宋体"/>
          <w:b/>
          <w:sz w:val="24"/>
        </w:rPr>
        <w:t xml:space="preserve">六、公告期限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七、其他补充事宜</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供应商认为磋商文件使自己的权益受到损害的，可以自获取磋商文件之日或者磋商文件公告期限届满之日（公告期限届满后获取磋商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w:t>
      </w:r>
    </w:p>
    <w:p>
      <w:pPr>
        <w:spacing w:line="360" w:lineRule="auto"/>
        <w:ind w:firstLine="480" w:firstLineChars="200"/>
        <w:rPr>
          <w:rFonts w:ascii="宋体" w:hAnsi="宋体" w:cs="宋体"/>
          <w:sz w:val="24"/>
        </w:rPr>
      </w:pPr>
      <w:r>
        <w:rPr>
          <w:rFonts w:hint="eastAsia" w:ascii="宋体" w:hAnsi="宋体" w:cs="宋体"/>
          <w:sz w:val="24"/>
        </w:rPr>
        <w:t>（1）需要落实的政府采购政策：包括节约资源、保护环境、支持创新、促进中小企业发展等。详见招标文件的第二部分总则。</w:t>
      </w:r>
    </w:p>
    <w:p>
      <w:pPr>
        <w:spacing w:line="360" w:lineRule="auto"/>
        <w:ind w:firstLine="480" w:firstLineChars="200"/>
        <w:rPr>
          <w:rFonts w:ascii="宋体" w:hAnsi="宋体" w:cs="宋体"/>
          <w:sz w:val="24"/>
        </w:rPr>
      </w:pPr>
      <w:r>
        <w:rPr>
          <w:rFonts w:hint="eastAsia" w:ascii="宋体" w:hAnsi="宋体" w:cs="宋体"/>
          <w:sz w:val="24"/>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Theme="minorEastAsia" w:hAnsiTheme="minorEastAsia" w:eastAsiaTheme="minorEastAsia"/>
          <w:sz w:val="24"/>
        </w:rPr>
        <w:t>为支持和促进中小企业发展，杭州市财政局出台了政府采购信用融资政策，供应商可凭中标合同申请贷款，利率一般在基准利率左右（不同银行略有差异）。具体可登录（http://220.191.208.230/login.do）办理业务。</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rPr>
          <w:rFonts w:ascii="宋体" w:hAnsi="宋体" w:cs="宋体"/>
          <w:sz w:val="24"/>
        </w:rPr>
      </w:pPr>
      <w:r>
        <w:rPr>
          <w:rFonts w:hint="eastAsia" w:ascii="宋体" w:hAnsi="宋体" w:cs="宋体"/>
          <w:sz w:val="24"/>
        </w:rPr>
        <w:t xml:space="preserve">    名    称：杭州市中策职业学校钱塘学校 </w:t>
      </w:r>
    </w:p>
    <w:p>
      <w:pPr>
        <w:spacing w:line="360" w:lineRule="auto"/>
        <w:rPr>
          <w:rFonts w:ascii="宋体" w:hAnsi="宋体" w:cs="宋体"/>
          <w:sz w:val="24"/>
        </w:rPr>
      </w:pPr>
      <w:r>
        <w:rPr>
          <w:rFonts w:hint="eastAsia" w:ascii="宋体" w:hAnsi="宋体" w:cs="宋体"/>
          <w:sz w:val="24"/>
        </w:rPr>
        <w:t xml:space="preserve">    地    址：  杭州市钱塘新区品优街2789号     </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rPr>
          <w:rFonts w:ascii="宋体" w:hAnsi="宋体" w:cs="宋体"/>
          <w:sz w:val="24"/>
        </w:rPr>
      </w:pPr>
      <w:r>
        <w:rPr>
          <w:rFonts w:hint="eastAsia" w:ascii="宋体" w:hAnsi="宋体" w:cs="宋体"/>
          <w:sz w:val="24"/>
        </w:rPr>
        <w:t xml:space="preserve">项目联系人（询问）：童老师  </w:t>
      </w:r>
    </w:p>
    <w:p>
      <w:pPr>
        <w:spacing w:line="360" w:lineRule="auto"/>
        <w:rPr>
          <w:rFonts w:ascii="宋体" w:hAnsi="宋体" w:cs="宋体"/>
          <w:sz w:val="24"/>
        </w:rPr>
      </w:pPr>
      <w:r>
        <w:rPr>
          <w:rFonts w:hint="eastAsia" w:ascii="宋体" w:hAnsi="宋体" w:cs="宋体"/>
          <w:sz w:val="24"/>
        </w:rPr>
        <w:t xml:space="preserve">    项目联系方式（询问）：</w:t>
      </w:r>
      <w:r>
        <w:rPr>
          <w:rFonts w:ascii="宋体" w:hAnsi="宋体" w:cs="宋体"/>
          <w:sz w:val="24"/>
        </w:rPr>
        <w:t>0571-81990315</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质疑联系人：</w:t>
      </w:r>
      <w:r>
        <w:rPr>
          <w:rFonts w:ascii="宋体" w:hAnsi="宋体" w:cs="宋体"/>
          <w:sz w:val="24"/>
        </w:rPr>
        <w:t>戚老师</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质疑联系方式：</w:t>
      </w:r>
      <w:r>
        <w:rPr>
          <w:rFonts w:ascii="宋体" w:hAnsi="宋体" w:cs="宋体"/>
          <w:sz w:val="24"/>
        </w:rPr>
        <w:t>0571-88351259</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2.采购代理机构信息            </w:t>
      </w:r>
    </w:p>
    <w:p>
      <w:pPr>
        <w:spacing w:line="360" w:lineRule="auto"/>
        <w:ind w:firstLine="480"/>
        <w:rPr>
          <w:rFonts w:ascii="宋体" w:hAnsi="宋体" w:cs="宋体"/>
          <w:sz w:val="24"/>
        </w:rPr>
      </w:pPr>
      <w:r>
        <w:rPr>
          <w:rFonts w:hint="eastAsia" w:ascii="宋体" w:hAnsi="宋体" w:cs="宋体"/>
          <w:sz w:val="24"/>
        </w:rPr>
        <w:t>名    称：浙江省建设工程设备招标有限公司</w:t>
      </w:r>
    </w:p>
    <w:p>
      <w:pPr>
        <w:spacing w:line="360" w:lineRule="auto"/>
        <w:ind w:firstLine="480"/>
        <w:rPr>
          <w:rFonts w:ascii="宋体" w:hAnsi="宋体" w:cs="宋体"/>
          <w:sz w:val="24"/>
        </w:rPr>
      </w:pPr>
      <w:r>
        <w:rPr>
          <w:rFonts w:hint="eastAsia" w:ascii="宋体" w:hAnsi="宋体" w:cs="宋体"/>
          <w:sz w:val="24"/>
        </w:rPr>
        <w:t>地    址：</w:t>
      </w:r>
      <w:r>
        <w:rPr>
          <w:rFonts w:ascii="宋体" w:hAnsi="宋体" w:cs="宋体"/>
          <w:sz w:val="24"/>
        </w:rPr>
        <w:t>杭州市</w:t>
      </w:r>
      <w:r>
        <w:rPr>
          <w:rFonts w:hint="eastAsia" w:ascii="宋体" w:hAnsi="宋体" w:cs="宋体"/>
          <w:sz w:val="24"/>
        </w:rPr>
        <w:t>上城区</w:t>
      </w:r>
      <w:r>
        <w:rPr>
          <w:rFonts w:ascii="宋体" w:hAnsi="宋体" w:cs="宋体"/>
          <w:sz w:val="24"/>
        </w:rPr>
        <w:t>环站东路97号云峰大厦1幢6楼</w:t>
      </w:r>
    </w:p>
    <w:p>
      <w:pPr>
        <w:spacing w:line="360" w:lineRule="auto"/>
        <w:rPr>
          <w:rFonts w:ascii="宋体" w:hAnsi="宋体" w:cs="宋体"/>
          <w:sz w:val="24"/>
        </w:rPr>
      </w:pPr>
      <w:r>
        <w:rPr>
          <w:rFonts w:hint="eastAsia" w:ascii="宋体" w:hAnsi="宋体" w:cs="宋体"/>
          <w:sz w:val="24"/>
        </w:rPr>
        <w:t xml:space="preserve">    传    真：</w:t>
      </w:r>
      <w:r>
        <w:rPr>
          <w:rFonts w:ascii="宋体" w:hAnsi="宋体" w:cs="宋体"/>
          <w:sz w:val="24"/>
        </w:rPr>
        <w:t>0571-87631300</w:t>
      </w: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项目联系人（询问）：胡越凡         </w:t>
      </w:r>
    </w:p>
    <w:p>
      <w:pPr>
        <w:spacing w:line="360" w:lineRule="auto"/>
        <w:rPr>
          <w:rFonts w:ascii="宋体" w:hAnsi="宋体" w:cs="宋体"/>
          <w:sz w:val="24"/>
        </w:rPr>
      </w:pPr>
      <w:r>
        <w:rPr>
          <w:rFonts w:hint="eastAsia" w:ascii="宋体" w:hAnsi="宋体" w:cs="宋体"/>
          <w:sz w:val="24"/>
        </w:rPr>
        <w:t xml:space="preserve">    项目联系方式（询问）：0571-87630283 </w:t>
      </w:r>
    </w:p>
    <w:p>
      <w:pPr>
        <w:spacing w:line="360" w:lineRule="auto"/>
        <w:rPr>
          <w:rFonts w:ascii="宋体" w:hAnsi="宋体" w:cs="宋体"/>
          <w:sz w:val="24"/>
        </w:rPr>
      </w:pPr>
      <w:r>
        <w:rPr>
          <w:rFonts w:hint="eastAsia" w:ascii="宋体" w:hAnsi="宋体" w:cs="宋体"/>
          <w:sz w:val="24"/>
        </w:rPr>
        <w:t xml:space="preserve">    质疑联系人： 王红红            </w:t>
      </w:r>
    </w:p>
    <w:p>
      <w:pPr>
        <w:spacing w:line="360" w:lineRule="auto"/>
        <w:rPr>
          <w:rFonts w:ascii="宋体" w:hAnsi="宋体" w:cs="宋体"/>
          <w:sz w:val="24"/>
        </w:rPr>
      </w:pPr>
      <w:r>
        <w:rPr>
          <w:rFonts w:hint="eastAsia" w:ascii="宋体" w:hAnsi="宋体" w:cs="宋体"/>
          <w:sz w:val="24"/>
        </w:rPr>
        <w:t xml:space="preserve">    质疑联系方式：0571-87630283</w:t>
      </w:r>
    </w:p>
    <w:p>
      <w:pPr>
        <w:spacing w:line="360" w:lineRule="auto"/>
        <w:rPr>
          <w:rFonts w:ascii="宋体" w:hAnsi="宋体" w:cs="宋体"/>
          <w:sz w:val="24"/>
        </w:rPr>
      </w:pPr>
      <w:r>
        <w:rPr>
          <w:rFonts w:hint="eastAsia" w:ascii="宋体" w:hAnsi="宋体" w:cs="宋体"/>
          <w:sz w:val="24"/>
        </w:rPr>
        <w:t xml:space="preserve">    3.同级政府采购监督管理部门            </w:t>
      </w:r>
    </w:p>
    <w:p>
      <w:pPr>
        <w:spacing w:line="360" w:lineRule="auto"/>
        <w:ind w:firstLine="141" w:firstLineChars="59"/>
        <w:rPr>
          <w:rFonts w:ascii="宋体" w:hAnsi="宋体" w:cs="宋体"/>
          <w:sz w:val="24"/>
        </w:rPr>
      </w:pPr>
      <w:r>
        <w:rPr>
          <w:rFonts w:hint="eastAsia" w:ascii="宋体" w:hAnsi="宋体" w:cs="宋体"/>
          <w:sz w:val="24"/>
        </w:rPr>
        <w:t xml:space="preserve">   名称：杭州市财政局政府采购监管处</w:t>
      </w:r>
    </w:p>
    <w:p>
      <w:pPr>
        <w:spacing w:line="360" w:lineRule="auto"/>
        <w:ind w:firstLine="141" w:firstLineChars="59"/>
        <w:rPr>
          <w:rFonts w:ascii="宋体" w:hAnsi="宋体" w:cs="宋体"/>
          <w:sz w:val="24"/>
        </w:rPr>
      </w:pPr>
      <w:r>
        <w:rPr>
          <w:rFonts w:hint="eastAsia" w:ascii="宋体" w:hAnsi="宋体" w:cs="宋体"/>
          <w:sz w:val="24"/>
        </w:rPr>
        <w:t xml:space="preserve">   地址：杭州市中河中路152号617办公室</w:t>
      </w:r>
    </w:p>
    <w:p>
      <w:pPr>
        <w:spacing w:line="360" w:lineRule="auto"/>
        <w:ind w:firstLine="141" w:firstLineChars="59"/>
        <w:rPr>
          <w:rFonts w:ascii="宋体" w:hAnsi="宋体" w:cs="宋体"/>
          <w:sz w:val="24"/>
        </w:rPr>
      </w:pPr>
      <w:r>
        <w:rPr>
          <w:rFonts w:hint="eastAsia" w:ascii="宋体" w:hAnsi="宋体" w:cs="宋体"/>
          <w:sz w:val="24"/>
        </w:rPr>
        <w:t xml:space="preserve">   传真：0571-87715261</w:t>
      </w:r>
    </w:p>
    <w:p>
      <w:pPr>
        <w:spacing w:line="360" w:lineRule="auto"/>
        <w:ind w:firstLine="141" w:firstLineChars="59"/>
        <w:rPr>
          <w:rFonts w:ascii="宋体" w:hAnsi="宋体" w:cs="宋体"/>
          <w:sz w:val="24"/>
        </w:rPr>
      </w:pPr>
      <w:r>
        <w:rPr>
          <w:rFonts w:hint="eastAsia" w:ascii="宋体" w:hAnsi="宋体" w:cs="宋体"/>
          <w:sz w:val="24"/>
        </w:rPr>
        <w:t xml:space="preserve">   联系人：吕先生</w:t>
      </w:r>
    </w:p>
    <w:p>
      <w:pPr>
        <w:spacing w:line="360" w:lineRule="auto"/>
        <w:ind w:firstLine="141" w:firstLineChars="59"/>
        <w:rPr>
          <w:rFonts w:ascii="宋体" w:hAnsi="宋体" w:cs="宋体"/>
          <w:sz w:val="24"/>
        </w:rPr>
      </w:pPr>
      <w:r>
        <w:rPr>
          <w:rFonts w:hint="eastAsia" w:ascii="宋体" w:hAnsi="宋体" w:cs="宋体"/>
          <w:sz w:val="24"/>
        </w:rPr>
        <w:t xml:space="preserve">   监督投诉电话：0571-87715261       </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pPr>
        <w:pStyle w:val="32"/>
        <w:spacing w:line="360" w:lineRule="auto"/>
        <w:ind w:firstLine="480" w:firstLineChars="200"/>
        <w:rPr>
          <w:rFonts w:hAnsi="宋体" w:cs="宋体"/>
          <w:sz w:val="24"/>
          <w:szCs w:val="24"/>
        </w:rPr>
      </w:pPr>
      <w:r>
        <w:rPr>
          <w:rFonts w:hint="eastAsia" w:hAnsi="宋体" w:cs="宋体"/>
          <w:sz w:val="24"/>
        </w:rPr>
        <w:t xml:space="preserve">                              </w:t>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br w:type="page"/>
      </w: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pPr>
        <w:snapToGrid w:val="0"/>
        <w:spacing w:line="360" w:lineRule="auto"/>
        <w:jc w:val="center"/>
        <w:rPr>
          <w:rFonts w:ascii="宋体" w:hAnsi="宋体" w:cs="宋体"/>
          <w:b/>
          <w:sz w:val="32"/>
          <w:szCs w:val="20"/>
        </w:rPr>
      </w:pPr>
      <w:r>
        <w:rPr>
          <w:rFonts w:hint="eastAsia" w:ascii="宋体" w:hAnsi="宋体" w:cs="宋体"/>
          <w:b/>
          <w:sz w:val="32"/>
          <w:szCs w:val="20"/>
        </w:rPr>
        <w:t>前附表</w:t>
      </w:r>
    </w:p>
    <w:tbl>
      <w:tblPr>
        <w:tblStyle w:val="63"/>
        <w:tblW w:w="91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ajorEastAsia" w:hAnsiTheme="majorEastAsia" w:eastAsiaTheme="majorEastAsia"/>
                <w:b/>
                <w:sz w:val="24"/>
              </w:rPr>
            </w:pP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项目概述</w:t>
            </w:r>
          </w:p>
        </w:tc>
        <w:tc>
          <w:tcPr>
            <w:tcW w:w="6703" w:type="dxa"/>
            <w:tcBorders>
              <w:top w:val="single" w:color="000000" w:sz="8" w:space="0"/>
              <w:left w:val="single" w:color="000000" w:sz="2" w:space="0"/>
              <w:bottom w:val="single" w:color="000000" w:sz="8" w:space="0"/>
              <w:right w:val="single" w:color="000000" w:sz="8" w:space="0"/>
            </w:tcBorders>
            <w:vAlign w:val="center"/>
          </w:tcPr>
          <w:p>
            <w:pPr>
              <w:pStyle w:val="278"/>
              <w:numPr>
                <w:ilvl w:val="0"/>
                <w:numId w:val="9"/>
              </w:numPr>
              <w:snapToGrid w:val="0"/>
              <w:ind w:firstLineChars="0"/>
              <w:jc w:val="left"/>
              <w:rPr>
                <w:rFonts w:asciiTheme="minorEastAsia" w:hAnsiTheme="minorEastAsia" w:eastAsiaTheme="minorEastAsia"/>
              </w:rPr>
            </w:pPr>
            <w:r>
              <w:rPr>
                <w:rFonts w:hint="eastAsia" w:cs="仿宋_GB2312" w:asciiTheme="minorEastAsia" w:hAnsiTheme="minorEastAsia" w:eastAsiaTheme="minorEastAsia"/>
                <w:b/>
              </w:rPr>
              <w:t>项目名称：</w:t>
            </w:r>
            <w:r>
              <w:rPr>
                <w:rFonts w:hint="eastAsia" w:cs="仿宋_GB2312" w:asciiTheme="minorEastAsia" w:hAnsiTheme="minorEastAsia" w:eastAsiaTheme="minorEastAsia"/>
              </w:rPr>
              <w:t>杭州市中策职业学校钱塘学校综合安防系统采购项目</w:t>
            </w:r>
          </w:p>
          <w:p>
            <w:pPr>
              <w:pStyle w:val="278"/>
              <w:numPr>
                <w:ilvl w:val="0"/>
                <w:numId w:val="9"/>
              </w:numPr>
              <w:snapToGrid w:val="0"/>
              <w:ind w:firstLineChars="0"/>
              <w:jc w:val="left"/>
              <w:rPr>
                <w:rFonts w:asciiTheme="minorEastAsia" w:hAnsiTheme="minorEastAsia" w:eastAsiaTheme="minorEastAsia"/>
                <w:b/>
                <w:bCs/>
              </w:rPr>
            </w:pPr>
            <w:r>
              <w:rPr>
                <w:rFonts w:hint="eastAsia" w:cs="仿宋_GB2312" w:asciiTheme="minorEastAsia" w:hAnsiTheme="minorEastAsia" w:eastAsiaTheme="minorEastAsia"/>
                <w:b/>
                <w:bCs/>
              </w:rPr>
              <w:t>项目编号：</w:t>
            </w:r>
            <w:r>
              <w:rPr>
                <w:rFonts w:hint="eastAsia" w:cs="宋体" w:asciiTheme="minorEastAsia" w:hAnsiTheme="minorEastAsia" w:eastAsiaTheme="minorEastAsia"/>
              </w:rPr>
              <w:t>ZJZBC-GK-22-9002</w:t>
            </w:r>
          </w:p>
          <w:p>
            <w:pPr>
              <w:pStyle w:val="278"/>
              <w:numPr>
                <w:ilvl w:val="0"/>
                <w:numId w:val="9"/>
              </w:numPr>
              <w:snapToGrid w:val="0"/>
              <w:ind w:firstLineChars="0"/>
              <w:jc w:val="left"/>
              <w:rPr>
                <w:rFonts w:asciiTheme="minorEastAsia" w:hAnsiTheme="minorEastAsia" w:eastAsiaTheme="minorEastAsia"/>
              </w:rPr>
            </w:pPr>
            <w:r>
              <w:rPr>
                <w:rFonts w:hint="eastAsia" w:asciiTheme="minorEastAsia" w:hAnsiTheme="minorEastAsia" w:eastAsiaTheme="minorEastAsia"/>
                <w:b/>
                <w:bCs/>
              </w:rPr>
              <w:t>项目主要内容：</w:t>
            </w:r>
            <w:r>
              <w:rPr>
                <w:rFonts w:hint="eastAsia" w:asciiTheme="minorEastAsia" w:hAnsiTheme="minorEastAsia" w:eastAsiaTheme="minorEastAsia"/>
                <w:bCs/>
              </w:rPr>
              <w:t>拟采购视频监控系统、入侵报警系统、透明厨房系统、周界系统、智慧消防系统、车辆出入口管理系统</w:t>
            </w:r>
            <w:r>
              <w:rPr>
                <w:rFonts w:asciiTheme="minorEastAsia" w:hAnsiTheme="minorEastAsia" w:eastAsiaTheme="minorEastAsia"/>
                <w:bCs/>
              </w:rPr>
              <w:t>等</w:t>
            </w:r>
            <w:r>
              <w:rPr>
                <w:rFonts w:hint="eastAsia" w:asciiTheme="minorEastAsia" w:hAnsiTheme="minorEastAsia" w:eastAsiaTheme="minorEastAsia"/>
                <w:bCs/>
              </w:rPr>
              <w:t>，详见招标文件第三部分采购需求。</w:t>
            </w:r>
          </w:p>
          <w:p>
            <w:pPr>
              <w:pStyle w:val="278"/>
              <w:numPr>
                <w:ilvl w:val="0"/>
                <w:numId w:val="9"/>
              </w:numPr>
              <w:snapToGrid w:val="0"/>
              <w:ind w:firstLineChars="0"/>
              <w:jc w:val="left"/>
              <w:rPr>
                <w:rFonts w:asciiTheme="minorEastAsia" w:hAnsiTheme="minorEastAsia" w:eastAsiaTheme="minorEastAsia"/>
              </w:rPr>
            </w:pPr>
            <w:r>
              <w:rPr>
                <w:rFonts w:hint="eastAsia" w:asciiTheme="minorEastAsia" w:hAnsiTheme="minorEastAsia" w:eastAsiaTheme="minorEastAsia"/>
                <w:b/>
              </w:rPr>
              <w:t>项目预算：</w:t>
            </w:r>
            <w:r>
              <w:rPr>
                <w:rFonts w:hint="eastAsia" w:asciiTheme="minorEastAsia" w:hAnsiTheme="minorEastAsia" w:eastAsiaTheme="minorEastAsia"/>
              </w:rPr>
              <w:t>8000000.00元，计划书文号：</w:t>
            </w:r>
            <w:r>
              <w:fldChar w:fldCharType="begin"/>
            </w:r>
            <w:r>
              <w:instrText xml:space="preserve"> HYPERLINK "https://pay.zcygov.cn/purchaseplan_front/" \l "/plan/list/detail?id=1000000000007247667&amp;encrypt=b7f0e15074b69ffafaf30e77548901ea" \t "_blank" </w:instrText>
            </w:r>
            <w:r>
              <w:fldChar w:fldCharType="separate"/>
            </w:r>
            <w:r>
              <w:rPr>
                <w:rStyle w:val="77"/>
                <w:rFonts w:hint="eastAsia" w:cs="Lucida Sans" w:asciiTheme="minorEastAsia" w:hAnsiTheme="minorEastAsia" w:eastAsiaTheme="minorEastAsia"/>
                <w:snapToGrid/>
                <w:color w:val="auto"/>
                <w:kern w:val="2"/>
                <w:sz w:val="24"/>
                <w:szCs w:val="24"/>
              </w:rPr>
              <w:t>杭政采分-2022-00055[HZZFCG-YS-2021-14303]</w:t>
            </w:r>
            <w:r>
              <w:rPr>
                <w:rStyle w:val="77"/>
                <w:rFonts w:hint="eastAsia" w:cs="Lucida Sans" w:asciiTheme="minorEastAsia" w:hAnsiTheme="minorEastAsia" w:eastAsiaTheme="minorEastAsia"/>
                <w:snapToGrid/>
                <w:color w:val="auto"/>
                <w:kern w:val="2"/>
                <w:sz w:val="24"/>
                <w:szCs w:val="24"/>
              </w:rPr>
              <w:fldChar w:fldCharType="end"/>
            </w:r>
            <w:r>
              <w:rPr>
                <w:rFonts w:hint="eastAsia" w:asciiTheme="minorEastAsia" w:hAnsiTheme="minorEastAsia" w:eastAsiaTheme="minorEastAsia"/>
              </w:rPr>
              <w:t>，超出预算的投标报价做无效标处理。</w:t>
            </w:r>
          </w:p>
          <w:p>
            <w:pPr>
              <w:pStyle w:val="278"/>
              <w:numPr>
                <w:ilvl w:val="0"/>
                <w:numId w:val="9"/>
              </w:numPr>
              <w:snapToGrid w:val="0"/>
              <w:ind w:firstLineChars="0"/>
              <w:jc w:val="left"/>
              <w:rPr>
                <w:rFonts w:asciiTheme="minorEastAsia" w:hAnsiTheme="minorEastAsia" w:eastAsiaTheme="minorEastAsia"/>
              </w:rPr>
            </w:pPr>
            <w:r>
              <w:rPr>
                <w:rFonts w:hint="eastAsia" w:asciiTheme="minorEastAsia" w:hAnsiTheme="minorEastAsia" w:eastAsiaTheme="minorEastAsia"/>
                <w:b/>
              </w:rPr>
              <w:t>实施期：</w:t>
            </w:r>
            <w:r>
              <w:rPr>
                <w:rFonts w:hint="eastAsia" w:asciiTheme="minorEastAsia" w:hAnsiTheme="minorEastAsia" w:eastAsiaTheme="minorEastAsia"/>
                <w:bCs/>
              </w:rPr>
              <w:t>签订合同后，投标人须于2022年5月30日前送货并安装、调试完毕，正常运行后交采购人验收，通过验收后交付使用。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sz w:val="24"/>
              </w:rPr>
              <w:t>开标一览表（报价表）是报价的唯一载体</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sz w:val="24"/>
              </w:rPr>
            </w:pPr>
            <w:sdt>
              <w:sdtPr>
                <w:rPr>
                  <w:rFonts w:hint="eastAsia" w:ascii="宋体" w:hAnsi="宋体" w:cs="宋体"/>
                  <w:kern w:val="0"/>
                  <w:sz w:val="24"/>
                </w:rPr>
                <w:id w:val="-1477286927"/>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w:t>
            </w:r>
            <w:r>
              <w:rPr>
                <w:rFonts w:hint="eastAsia" w:ascii="宋体" w:hAnsi="宋体" w:cs="宋体"/>
                <w:sz w:val="24"/>
              </w:rPr>
              <w:t>工作分包。</w:t>
            </w:r>
          </w:p>
          <w:p>
            <w:pPr>
              <w:spacing w:line="360" w:lineRule="auto"/>
              <w:rPr>
                <w:rFonts w:ascii="宋体" w:hAnsi="宋体" w:cs="宋体"/>
                <w:sz w:val="24"/>
              </w:rPr>
            </w:pPr>
            <w:sdt>
              <w:sdtPr>
                <w:rPr>
                  <w:rFonts w:hint="eastAsia" w:ascii="宋体" w:hAnsi="宋体" w:cs="宋体"/>
                  <w:kern w:val="0"/>
                  <w:sz w:val="24"/>
                </w:rPr>
                <w:id w:val="-1276331357"/>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 xml:space="preserve"> B</w:t>
            </w:r>
            <w:r>
              <w:rPr>
                <w:rFonts w:hint="eastAsia" w:ascii="宋体" w:hAnsi="宋体" w:cs="宋体"/>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703"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703"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w:t>
            </w:r>
            <w:r>
              <w:rPr>
                <w:rFonts w:hint="eastAsia" w:ascii="宋体" w:hAnsi="宋体" w:cs="宋体"/>
                <w:sz w:val="24"/>
              </w:rPr>
              <w:t>,地点：</w:t>
            </w:r>
            <w:r>
              <w:rPr>
                <w:rFonts w:hint="eastAsia" w:ascii="宋体" w:hAnsi="宋体" w:cs="宋体"/>
                <w:sz w:val="24"/>
                <w:u w:val="single"/>
              </w:rPr>
              <w:t xml:space="preserve">      </w:t>
            </w:r>
            <w:r>
              <w:rPr>
                <w:rFonts w:hint="eastAsia" w:ascii="宋体" w:hAnsi="宋体" w:cs="宋体"/>
                <w:sz w:val="24"/>
              </w:rPr>
              <w:t>，联系人：</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Theme="majorEastAsia" w:hAnsiTheme="majorEastAsia" w:eastAsiaTheme="majorEastAsia"/>
              </w:rPr>
            </w:pPr>
            <w:r>
              <w:rPr>
                <w:rFonts w:hint="eastAsia" w:cs="宋体" w:asciiTheme="majorEastAsia" w:hAnsiTheme="majorEastAsia" w:eastAsiaTheme="majorEastAsia"/>
                <w:b/>
                <w:kern w:val="0"/>
                <w:sz w:val="24"/>
              </w:rPr>
              <w:t>履约保证金</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Theme="majorEastAsia" w:hAnsiTheme="majorEastAsia" w:eastAsiaTheme="majorEastAsia"/>
              </w:rPr>
            </w:pPr>
            <w:r>
              <w:rPr>
                <w:rFonts w:hint="eastAsia" w:cs="宋体" w:asciiTheme="majorEastAsia" w:hAnsiTheme="majorEastAsia" w:eastAsiaTheme="majorEastAsia"/>
                <w:snapToGrid w:val="0"/>
                <w:kern w:val="0"/>
                <w:sz w:val="24"/>
              </w:rPr>
              <w:sym w:font="Wingdings 2" w:char="00A3"/>
            </w:r>
            <w:r>
              <w:rPr>
                <w:rFonts w:hint="eastAsia" w:cs="宋体" w:asciiTheme="majorEastAsia" w:hAnsiTheme="majorEastAsia" w:eastAsiaTheme="majorEastAsia"/>
                <w:b/>
                <w:kern w:val="0"/>
                <w:sz w:val="24"/>
              </w:rPr>
              <w:t>本项目不设履约保证金；</w:t>
            </w:r>
          </w:p>
          <w:p>
            <w:pPr>
              <w:snapToGrid w:val="0"/>
              <w:spacing w:line="360" w:lineRule="auto"/>
              <w:rPr>
                <w:rFonts w:cs="宋体" w:asciiTheme="majorEastAsia" w:hAnsiTheme="majorEastAsia" w:eastAsiaTheme="majorEastAsia"/>
                <w:kern w:val="0"/>
                <w:sz w:val="24"/>
              </w:rPr>
            </w:pPr>
            <w:r>
              <w:rPr>
                <w:rFonts w:hint="eastAsia" w:cs="宋体" w:asciiTheme="majorEastAsia" w:hAnsiTheme="majorEastAsia" w:eastAsiaTheme="majorEastAsia"/>
                <w:b/>
                <w:kern w:val="0"/>
                <w:sz w:val="24"/>
              </w:rPr>
              <w:sym w:font="Wingdings 2" w:char="0052"/>
            </w:r>
            <w:r>
              <w:rPr>
                <w:rFonts w:hint="eastAsia" w:cs="宋体" w:asciiTheme="majorEastAsia" w:hAnsiTheme="majorEastAsia" w:eastAsiaTheme="majorEastAsia"/>
                <w:kern w:val="0"/>
                <w:sz w:val="24"/>
              </w:rPr>
              <w:t>中标人在合同签订后7个工作日内，须向采购人提交合同金额最高</w:t>
            </w:r>
            <w:r>
              <w:rPr>
                <w:rFonts w:hint="eastAsia" w:cs="宋体" w:asciiTheme="majorEastAsia" w:hAnsiTheme="majorEastAsia" w:eastAsiaTheme="majorEastAsia"/>
                <w:kern w:val="0"/>
                <w:sz w:val="24"/>
                <w:u w:val="single"/>
              </w:rPr>
              <w:t xml:space="preserve"> 2.5  %</w:t>
            </w:r>
            <w:r>
              <w:rPr>
                <w:rFonts w:hint="eastAsia" w:cs="宋体" w:asciiTheme="majorEastAsia" w:hAnsiTheme="majorEastAsia" w:eastAsiaTheme="majorEastAsia"/>
                <w:kern w:val="0"/>
                <w:sz w:val="24"/>
              </w:rPr>
              <w:t>的履约保证金。履约保证金以电汇、银行汇票、转账支票或金融机构、担保机构出具的保函等非现金形式缴纳。</w:t>
            </w:r>
          </w:p>
          <w:p>
            <w:pPr>
              <w:snapToGrid w:val="0"/>
              <w:spacing w:line="360" w:lineRule="auto"/>
              <w:rPr>
                <w:rFonts w:asciiTheme="majorEastAsia" w:hAnsiTheme="majorEastAsia" w:eastAsiaTheme="majorEastAsia"/>
                <w:u w:val="single"/>
              </w:rPr>
            </w:pPr>
            <w:r>
              <w:rPr>
                <w:rFonts w:hint="eastAsia" w:cs="宋体" w:asciiTheme="majorEastAsia" w:hAnsiTheme="majorEastAsia" w:eastAsiaTheme="majorEastAsia"/>
                <w:kern w:val="0"/>
                <w:sz w:val="24"/>
                <w:u w:val="single"/>
              </w:rPr>
              <w:t>注：供应商履约验收评价总分为100分的，采购单位免收履约保证金；评价总分在90分以上的，收取合同金额 2 %；评价总分在90分以下或者暂无评分的，收取合同金额 2.5 %。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ajorEastAsia" w:hAnsiTheme="majorEastAsia" w:eastAsiaTheme="majorEastAsia"/>
                <w:sz w:val="24"/>
              </w:rPr>
            </w:pPr>
            <w:sdt>
              <w:sdtPr>
                <w:rPr>
                  <w:rFonts w:hint="eastAsia" w:cs="Arial" w:asciiTheme="majorEastAsia" w:hAnsiTheme="majorEastAsia" w:eastAsiaTheme="majorEastAsia"/>
                  <w:kern w:val="0"/>
                  <w:szCs w:val="21"/>
                </w:rPr>
                <w:id w:val="-1639946486"/>
              </w:sdtPr>
              <w:sdtEndPr>
                <w:rPr>
                  <w:rFonts w:hint="eastAsia" w:cs="Arial" w:asciiTheme="majorEastAsia" w:hAnsiTheme="majorEastAsia" w:eastAsiaTheme="majorEastAsia"/>
                  <w:b/>
                  <w:kern w:val="0"/>
                  <w:sz w:val="24"/>
                  <w:szCs w:val="24"/>
                </w:rPr>
              </w:sdtEndPr>
              <w:sdtContent>
                <w:r>
                  <w:rPr>
                    <w:rFonts w:cs="Arial" w:asciiTheme="majorEastAsia" w:hAnsiTheme="majorEastAsia" w:eastAsiaTheme="majorEastAsia"/>
                    <w:b/>
                    <w:kern w:val="0"/>
                    <w:sz w:val="24"/>
                  </w:rPr>
                  <w:sym w:font="Wingdings" w:char="00FE"/>
                </w:r>
              </w:sdtContent>
            </w:sdt>
            <w:r>
              <w:rPr>
                <w:rFonts w:cs="Arial" w:asciiTheme="majorEastAsia" w:hAnsiTheme="majorEastAsia" w:eastAsiaTheme="majorEastAsia"/>
                <w:b/>
                <w:kern w:val="0"/>
                <w:sz w:val="24"/>
              </w:rPr>
              <w:t>A</w:t>
            </w:r>
            <w:r>
              <w:rPr>
                <w:rFonts w:hint="eastAsia" w:asciiTheme="majorEastAsia" w:hAnsiTheme="majorEastAsia" w:eastAsiaTheme="majorEastAsia"/>
                <w:b/>
                <w:sz w:val="24"/>
              </w:rPr>
              <w:t>不要求提供。</w:t>
            </w:r>
          </w:p>
          <w:p>
            <w:pPr>
              <w:spacing w:line="360" w:lineRule="auto"/>
              <w:rPr>
                <w:rFonts w:asciiTheme="majorEastAsia" w:hAnsiTheme="majorEastAsia" w:eastAsiaTheme="majorEastAsia"/>
                <w:kern w:val="0"/>
                <w:sz w:val="24"/>
              </w:rPr>
            </w:pPr>
            <w:sdt>
              <w:sdtPr>
                <w:rPr>
                  <w:rFonts w:hint="eastAsia" w:cs="Arial" w:asciiTheme="majorEastAsia" w:hAnsiTheme="majorEastAsia" w:eastAsiaTheme="majorEastAsia"/>
                  <w:kern w:val="0"/>
                  <w:sz w:val="24"/>
                </w:rPr>
                <w:id w:val="1026831988"/>
              </w:sdtPr>
              <w:sdtEndPr>
                <w:rPr>
                  <w:rFonts w:hint="eastAsia" w:cs="Arial" w:asciiTheme="majorEastAsia" w:hAnsiTheme="majorEastAsia" w:eastAsiaTheme="majorEastAsia"/>
                  <w:kern w:val="0"/>
                  <w:sz w:val="24"/>
                </w:rPr>
              </w:sdtEndPr>
              <w:sdtContent>
                <w:sdt>
                  <w:sdtPr>
                    <w:rPr>
                      <w:rFonts w:hint="eastAsia" w:cs="Arial" w:asciiTheme="majorEastAsia" w:hAnsiTheme="majorEastAsia" w:eastAsiaTheme="majorEastAsia"/>
                      <w:kern w:val="0"/>
                      <w:sz w:val="24"/>
                    </w:rPr>
                    <w:id w:val="5446752"/>
                  </w:sdtPr>
                  <w:sdtEndPr>
                    <w:rPr>
                      <w:rFonts w:hint="eastAsia" w:cs="Arial" w:asciiTheme="majorEastAsia" w:hAnsiTheme="majorEastAsia" w:eastAsiaTheme="majorEastAsia"/>
                      <w:b/>
                      <w:kern w:val="0"/>
                      <w:sz w:val="24"/>
                    </w:rPr>
                  </w:sdtEndPr>
                  <w:sdtContent>
                    <w:r>
                      <w:rPr>
                        <w:rFonts w:hint="eastAsia" w:ascii="MS Mincho" w:hAnsi="MS Mincho" w:eastAsia="MS Mincho" w:cs="MS Mincho"/>
                        <w:kern w:val="0"/>
                        <w:sz w:val="24"/>
                      </w:rPr>
                      <w:t>☐</w:t>
                    </w:r>
                  </w:sdtContent>
                </w:sdt>
              </w:sdtContent>
            </w:sdt>
            <w:r>
              <w:rPr>
                <w:rFonts w:asciiTheme="majorEastAsia" w:hAnsiTheme="majorEastAsia" w:eastAsiaTheme="majorEastAsia"/>
                <w:kern w:val="0"/>
                <w:sz w:val="24"/>
              </w:rPr>
              <w:t>B</w:t>
            </w:r>
            <w:r>
              <w:rPr>
                <w:rFonts w:hint="eastAsia" w:asciiTheme="majorEastAsia" w:hAnsiTheme="majorEastAsia" w:eastAsiaTheme="majorEastAsia"/>
                <w:kern w:val="0"/>
                <w:sz w:val="24"/>
              </w:rPr>
              <w:t>要求提供，</w:t>
            </w:r>
          </w:p>
          <w:p>
            <w:pPr>
              <w:spacing w:line="360" w:lineRule="auto"/>
              <w:rPr>
                <w:rFonts w:asciiTheme="majorEastAsia" w:hAnsiTheme="majorEastAsia" w:eastAsiaTheme="majorEastAsia"/>
                <w:kern w:val="0"/>
                <w:sz w:val="24"/>
              </w:rPr>
            </w:pPr>
            <w:r>
              <w:rPr>
                <w:rFonts w:hint="eastAsia" w:asciiTheme="majorEastAsia" w:hAnsiTheme="majorEastAsia" w:eastAsiaTheme="majorEastAsia"/>
                <w:kern w:val="0"/>
                <w:sz w:val="24"/>
              </w:rPr>
              <w:t>（</w:t>
            </w:r>
            <w:r>
              <w:rPr>
                <w:rFonts w:asciiTheme="majorEastAsia" w:hAnsiTheme="majorEastAsia" w:eastAsiaTheme="majorEastAsia"/>
                <w:kern w:val="0"/>
                <w:sz w:val="24"/>
              </w:rPr>
              <w:t>1）</w:t>
            </w:r>
            <w:r>
              <w:rPr>
                <w:rFonts w:hint="eastAsia" w:asciiTheme="majorEastAsia" w:hAnsiTheme="majorEastAsia" w:eastAsiaTheme="majorEastAsia"/>
                <w:snapToGrid w:val="0"/>
                <w:kern w:val="28"/>
                <w:sz w:val="24"/>
              </w:rPr>
              <w:t>样品：</w:t>
            </w:r>
            <w:r>
              <w:rPr>
                <w:rFonts w:hint="eastAsia" w:asciiTheme="majorEastAsia" w:hAnsiTheme="majorEastAsia" w:eastAsiaTheme="majorEastAsia"/>
                <w:sz w:val="24"/>
                <w:u w:val="single"/>
              </w:rPr>
              <w:t xml:space="preserve">    ）</w:t>
            </w:r>
            <w:r>
              <w:rPr>
                <w:rFonts w:hint="eastAsia" w:asciiTheme="majorEastAsia" w:hAnsiTheme="majorEastAsia" w:eastAsiaTheme="majorEastAsia"/>
                <w:kern w:val="0"/>
                <w:sz w:val="24"/>
              </w:rPr>
              <w:t>；</w:t>
            </w:r>
          </w:p>
          <w:p>
            <w:pPr>
              <w:spacing w:line="360" w:lineRule="auto"/>
              <w:rPr>
                <w:rFonts w:asciiTheme="majorEastAsia" w:hAnsiTheme="majorEastAsia" w:eastAsiaTheme="majorEastAsia"/>
                <w:kern w:val="0"/>
                <w:sz w:val="24"/>
              </w:rPr>
            </w:pPr>
            <w:r>
              <w:rPr>
                <w:rFonts w:hint="eastAsia" w:asciiTheme="majorEastAsia" w:hAnsiTheme="majorEastAsia" w:eastAsiaTheme="majorEastAsia"/>
                <w:kern w:val="0"/>
                <w:sz w:val="24"/>
              </w:rPr>
              <w:t>（</w:t>
            </w:r>
            <w:r>
              <w:rPr>
                <w:rFonts w:asciiTheme="majorEastAsia" w:hAnsiTheme="majorEastAsia" w:eastAsiaTheme="majorEastAsia"/>
                <w:kern w:val="0"/>
                <w:sz w:val="24"/>
              </w:rPr>
              <w:t>2）</w:t>
            </w:r>
            <w:r>
              <w:rPr>
                <w:rFonts w:hint="eastAsia" w:asciiTheme="majorEastAsia" w:hAnsiTheme="majorEastAsia" w:eastAsiaTheme="majorEastAsia"/>
                <w:snapToGrid w:val="0"/>
                <w:kern w:val="28"/>
                <w:sz w:val="24"/>
              </w:rPr>
              <w:t>样品制作的标准和要求：</w:t>
            </w:r>
            <w:r>
              <w:rPr>
                <w:rFonts w:hint="eastAsia" w:asciiTheme="majorEastAsia" w:hAnsiTheme="majorEastAsia" w:eastAsiaTheme="majorEastAsia"/>
                <w:sz w:val="24"/>
                <w:u w:val="single"/>
              </w:rPr>
              <w:t xml:space="preserve"> （详见第三部分 采购需求）   </w:t>
            </w:r>
            <w:r>
              <w:rPr>
                <w:rFonts w:hint="eastAsia" w:asciiTheme="majorEastAsia" w:hAnsiTheme="majorEastAsia" w:eastAsiaTheme="majorEastAsia"/>
                <w:kern w:val="0"/>
                <w:sz w:val="24"/>
              </w:rPr>
              <w:t>；</w:t>
            </w:r>
          </w:p>
          <w:p>
            <w:pPr>
              <w:spacing w:line="360" w:lineRule="auto"/>
              <w:rPr>
                <w:rFonts w:asciiTheme="majorEastAsia" w:hAnsiTheme="majorEastAsia" w:eastAsiaTheme="majorEastAsia"/>
                <w:kern w:val="0"/>
                <w:sz w:val="24"/>
              </w:rPr>
            </w:pPr>
            <w:r>
              <w:rPr>
                <w:rFonts w:hint="eastAsia" w:asciiTheme="majorEastAsia" w:hAnsiTheme="majorEastAsia" w:eastAsiaTheme="majorEastAsia"/>
                <w:kern w:val="0"/>
                <w:sz w:val="24"/>
              </w:rPr>
              <w:t>（</w:t>
            </w:r>
            <w:r>
              <w:rPr>
                <w:rFonts w:asciiTheme="majorEastAsia" w:hAnsiTheme="majorEastAsia" w:eastAsiaTheme="majorEastAsia"/>
                <w:kern w:val="0"/>
                <w:sz w:val="24"/>
              </w:rPr>
              <w:t>3）样品的评审方法以及评审标准</w:t>
            </w:r>
            <w:r>
              <w:rPr>
                <w:rFonts w:hint="eastAsia" w:asciiTheme="majorEastAsia" w:hAnsiTheme="majorEastAsia" w:eastAsiaTheme="majorEastAsia"/>
                <w:snapToGrid w:val="0"/>
                <w:kern w:val="28"/>
                <w:sz w:val="24"/>
              </w:rPr>
              <w:t>：详见</w:t>
            </w:r>
            <w:r>
              <w:rPr>
                <w:rFonts w:hint="eastAsia" w:asciiTheme="majorEastAsia" w:hAnsiTheme="majorEastAsia" w:eastAsiaTheme="majorEastAsia"/>
                <w:sz w:val="24"/>
                <w:u w:val="single"/>
              </w:rPr>
              <w:t>评标办法</w:t>
            </w:r>
            <w:r>
              <w:rPr>
                <w:rFonts w:hint="eastAsia" w:asciiTheme="majorEastAsia" w:hAnsiTheme="majorEastAsia" w:eastAsiaTheme="majorEastAsia"/>
                <w:kern w:val="0"/>
                <w:sz w:val="24"/>
              </w:rPr>
              <w:t>；</w:t>
            </w:r>
          </w:p>
          <w:p>
            <w:pPr>
              <w:spacing w:line="360" w:lineRule="auto"/>
              <w:rPr>
                <w:rFonts w:asciiTheme="majorEastAsia" w:hAnsiTheme="majorEastAsia" w:eastAsiaTheme="majorEastAsia"/>
                <w:kern w:val="0"/>
                <w:sz w:val="24"/>
              </w:rPr>
            </w:pPr>
            <w:r>
              <w:rPr>
                <w:rFonts w:hint="eastAsia" w:asciiTheme="majorEastAsia" w:hAnsiTheme="majorEastAsia" w:eastAsiaTheme="majorEastAsia"/>
                <w:kern w:val="0"/>
                <w:sz w:val="24"/>
              </w:rPr>
              <w:t>（</w:t>
            </w:r>
            <w:r>
              <w:rPr>
                <w:rFonts w:asciiTheme="majorEastAsia" w:hAnsiTheme="majorEastAsia" w:eastAsiaTheme="majorEastAsia"/>
                <w:kern w:val="0"/>
                <w:sz w:val="24"/>
              </w:rPr>
              <w:t>4）是否需要随样品提交检测报告</w:t>
            </w:r>
            <w:r>
              <w:rPr>
                <w:rFonts w:hint="eastAsia" w:asciiTheme="majorEastAsia" w:hAnsiTheme="majorEastAsia" w:eastAsiaTheme="majorEastAsia"/>
                <w:kern w:val="0"/>
                <w:sz w:val="24"/>
              </w:rPr>
              <w:t>：</w:t>
            </w:r>
            <w:sdt>
              <w:sdtPr>
                <w:rPr>
                  <w:rFonts w:hint="eastAsia" w:cs="Arial" w:asciiTheme="majorEastAsia" w:hAnsiTheme="majorEastAsia" w:eastAsiaTheme="majorEastAsia"/>
                  <w:kern w:val="0"/>
                  <w:sz w:val="24"/>
                </w:rPr>
                <w:id w:val="1303421454"/>
              </w:sdtPr>
              <w:sdtEndPr>
                <w:rPr>
                  <w:rFonts w:hint="eastAsia" w:cs="Arial" w:asciiTheme="majorEastAsia" w:hAnsiTheme="majorEastAsia" w:eastAsiaTheme="majorEastAsia"/>
                  <w:kern w:val="0"/>
                  <w:sz w:val="24"/>
                </w:rPr>
              </w:sdtEndPr>
              <w:sdtContent>
                <w:r>
                  <w:rPr>
                    <w:rFonts w:cs="Arial" w:asciiTheme="majorEastAsia" w:hAnsiTheme="majorEastAsia" w:eastAsiaTheme="majorEastAsia"/>
                    <w:kern w:val="0"/>
                    <w:sz w:val="24"/>
                  </w:rPr>
                  <w:sym w:font="Wingdings" w:char="F0FE"/>
                </w:r>
              </w:sdtContent>
            </w:sdt>
            <w:r>
              <w:rPr>
                <w:rFonts w:asciiTheme="majorEastAsia" w:hAnsiTheme="majorEastAsia" w:eastAsiaTheme="majorEastAsia"/>
                <w:kern w:val="0"/>
                <w:sz w:val="24"/>
              </w:rPr>
              <w:t>否；</w:t>
            </w:r>
            <w:sdt>
              <w:sdtPr>
                <w:rPr>
                  <w:rFonts w:hint="eastAsia" w:cs="Arial" w:asciiTheme="majorEastAsia" w:hAnsiTheme="majorEastAsia" w:eastAsiaTheme="majorEastAsia"/>
                  <w:kern w:val="0"/>
                  <w:sz w:val="24"/>
                </w:rPr>
                <w:id w:val="1621728433"/>
              </w:sdtPr>
              <w:sdtEndPr>
                <w:rPr>
                  <w:rFonts w:hint="eastAsia" w:cs="Arial" w:asciiTheme="majorEastAsia" w:hAnsiTheme="majorEastAsia" w:eastAsiaTheme="majorEastAsia"/>
                  <w:kern w:val="0"/>
                  <w:sz w:val="24"/>
                </w:rPr>
              </w:sdtEndPr>
              <w:sdtContent>
                <w:r>
                  <w:rPr>
                    <w:rFonts w:hAnsi="MS Gothic" w:cs="Arial" w:asciiTheme="majorEastAsia" w:eastAsiaTheme="majorEastAsia"/>
                    <w:kern w:val="0"/>
                    <w:sz w:val="24"/>
                  </w:rPr>
                  <w:t>☐</w:t>
                </w:r>
              </w:sdtContent>
            </w:sdt>
            <w:r>
              <w:rPr>
                <w:rFonts w:asciiTheme="majorEastAsia" w:hAnsiTheme="majorEastAsia" w:eastAsiaTheme="majorEastAsia"/>
                <w:kern w:val="0"/>
                <w:sz w:val="24"/>
              </w:rPr>
              <w:t>是，检测机构的要求</w:t>
            </w:r>
            <w:r>
              <w:rPr>
                <w:rFonts w:hint="eastAsia" w:asciiTheme="majorEastAsia" w:hAnsiTheme="majorEastAsia" w:eastAsiaTheme="majorEastAsia"/>
                <w:sz w:val="24"/>
              </w:rPr>
              <w:t>：</w:t>
            </w:r>
            <w:r>
              <w:rPr>
                <w:rFonts w:hint="eastAsia" w:asciiTheme="majorEastAsia" w:hAnsiTheme="majorEastAsia" w:eastAsiaTheme="majorEastAsia"/>
                <w:sz w:val="24"/>
                <w:u w:val="single"/>
              </w:rPr>
              <w:t xml:space="preserve">    </w:t>
            </w:r>
            <w:r>
              <w:rPr>
                <w:rFonts w:hint="eastAsia" w:asciiTheme="majorEastAsia" w:hAnsiTheme="majorEastAsia" w:eastAsiaTheme="majorEastAsia"/>
                <w:kern w:val="0"/>
                <w:sz w:val="24"/>
              </w:rPr>
              <w:t>；检测内容</w:t>
            </w:r>
            <w:r>
              <w:rPr>
                <w:rFonts w:hint="eastAsia" w:asciiTheme="majorEastAsia" w:hAnsiTheme="majorEastAsia" w:eastAsiaTheme="majorEastAsia"/>
                <w:sz w:val="24"/>
              </w:rPr>
              <w:t>：</w:t>
            </w:r>
            <w:r>
              <w:rPr>
                <w:rFonts w:hint="eastAsia" w:asciiTheme="majorEastAsia" w:hAnsiTheme="majorEastAsia" w:eastAsiaTheme="majorEastAsia"/>
                <w:sz w:val="24"/>
                <w:u w:val="single"/>
              </w:rPr>
              <w:t xml:space="preserve">    </w:t>
            </w:r>
            <w:r>
              <w:rPr>
                <w:rFonts w:hint="eastAsia" w:asciiTheme="majorEastAsia" w:hAnsiTheme="majorEastAsia" w:eastAsiaTheme="majorEastAsia"/>
                <w:kern w:val="0"/>
                <w:sz w:val="24"/>
              </w:rPr>
              <w:t>。</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w:t>
            </w:r>
            <w:r>
              <w:rPr>
                <w:rFonts w:asciiTheme="majorEastAsia" w:hAnsiTheme="majorEastAsia" w:eastAsiaTheme="majorEastAsia"/>
                <w:sz w:val="24"/>
              </w:rPr>
              <w:t>5）提供样品的时间：</w:t>
            </w:r>
            <w:r>
              <w:rPr>
                <w:rFonts w:hint="eastAsia" w:asciiTheme="majorEastAsia" w:hAnsiTheme="majorEastAsia" w:eastAsiaTheme="majorEastAsia"/>
                <w:sz w:val="24"/>
                <w:u w:val="single"/>
              </w:rPr>
              <w:t xml:space="preserve">  同投标截止时间  </w:t>
            </w:r>
            <w:r>
              <w:rPr>
                <w:rFonts w:hint="eastAsia" w:asciiTheme="majorEastAsia" w:hAnsiTheme="majorEastAsia" w:eastAsiaTheme="majorEastAsia"/>
                <w:kern w:val="0"/>
                <w:sz w:val="24"/>
              </w:rPr>
              <w:t>；地点：</w:t>
            </w:r>
            <w:r>
              <w:rPr>
                <w:rFonts w:hint="eastAsia" w:asciiTheme="majorEastAsia" w:hAnsiTheme="majorEastAsia" w:eastAsiaTheme="majorEastAsia"/>
                <w:sz w:val="24"/>
                <w:u w:val="single"/>
              </w:rPr>
              <w:t xml:space="preserve">  杭州市上城区环站东路97号云峰大厦1幢1楼大厅 </w:t>
            </w:r>
            <w:r>
              <w:rPr>
                <w:rFonts w:hint="eastAsia" w:asciiTheme="majorEastAsia" w:hAnsiTheme="majorEastAsia" w:eastAsiaTheme="majorEastAsia"/>
                <w:kern w:val="0"/>
                <w:sz w:val="24"/>
              </w:rPr>
              <w:t>；联系人</w:t>
            </w:r>
            <w:r>
              <w:rPr>
                <w:rFonts w:hint="eastAsia" w:asciiTheme="majorEastAsia" w:hAnsiTheme="majorEastAsia" w:eastAsiaTheme="majorEastAsia"/>
                <w:sz w:val="24"/>
              </w:rPr>
              <w:t>：</w:t>
            </w:r>
            <w:r>
              <w:rPr>
                <w:rFonts w:hint="eastAsia" w:asciiTheme="majorEastAsia" w:hAnsiTheme="majorEastAsia" w:eastAsiaTheme="majorEastAsia"/>
                <w:sz w:val="24"/>
                <w:u w:val="single"/>
              </w:rPr>
              <w:t xml:space="preserve"> 胡馨月  </w:t>
            </w:r>
            <w:r>
              <w:rPr>
                <w:rFonts w:hint="eastAsia" w:asciiTheme="majorEastAsia" w:hAnsiTheme="majorEastAsia" w:eastAsiaTheme="majorEastAsia"/>
                <w:sz w:val="24"/>
              </w:rPr>
              <w:t>，</w:t>
            </w:r>
            <w:r>
              <w:rPr>
                <w:rFonts w:hint="eastAsia" w:asciiTheme="majorEastAsia" w:hAnsiTheme="majorEastAsia" w:eastAsiaTheme="majorEastAsia"/>
                <w:kern w:val="28"/>
                <w:sz w:val="24"/>
              </w:rPr>
              <w:t>联系电话：</w:t>
            </w:r>
            <w:r>
              <w:rPr>
                <w:rFonts w:hint="eastAsia" w:asciiTheme="majorEastAsia" w:hAnsiTheme="majorEastAsia" w:eastAsiaTheme="majorEastAsia"/>
                <w:sz w:val="24"/>
                <w:u w:val="single"/>
              </w:rPr>
              <w:t xml:space="preserve"> 17816022721 </w:t>
            </w:r>
            <w:r>
              <w:rPr>
                <w:rFonts w:hint="eastAsia" w:asciiTheme="majorEastAsia" w:hAnsiTheme="majorEastAsia" w:eastAsiaTheme="majorEastAsia"/>
                <w:sz w:val="24"/>
              </w:rPr>
              <w:t>。请投标人在上述时间内提供样品并按规定位置安装完毕。超过截止时间的，采购人或采购代理机构将不予接收，并将清场并封闭样品现场。</w:t>
            </w:r>
          </w:p>
          <w:p>
            <w:pPr>
              <w:spacing w:line="360" w:lineRule="auto"/>
              <w:rPr>
                <w:rFonts w:asciiTheme="majorEastAsia" w:hAnsiTheme="majorEastAsia" w:eastAsiaTheme="majorEastAsia"/>
                <w:sz w:val="24"/>
              </w:rPr>
            </w:pPr>
            <w:r>
              <w:rPr>
                <w:rFonts w:asciiTheme="majorEastAsia" w:hAnsiTheme="majorEastAsia" w:eastAsiaTheme="majorEastAsia"/>
                <w:sz w:val="24"/>
              </w:rPr>
              <w:t xml:space="preserve"> (6)采购活动结束后，对于未中标人提供的样品，</w:t>
            </w:r>
            <w:r>
              <w:rPr>
                <w:rFonts w:hint="eastAsia" w:asciiTheme="majorEastAsia" w:hAnsiTheme="majorEastAsia" w:eastAsiaTheme="majorEastAsia"/>
                <w:sz w:val="24"/>
              </w:rPr>
              <w:t>采购人、采购代理机构将通知</w:t>
            </w:r>
            <w:r>
              <w:rPr>
                <w:rFonts w:asciiTheme="majorEastAsia" w:hAnsiTheme="majorEastAsia" w:eastAsiaTheme="majorEastAsia"/>
                <w:sz w:val="24"/>
              </w:rPr>
              <w:t>未中标人</w:t>
            </w:r>
            <w:r>
              <w:rPr>
                <w:rFonts w:hint="eastAsia" w:asciiTheme="majorEastAsia" w:hAnsiTheme="majorEastAsia" w:eastAsiaTheme="majorEastAsia"/>
                <w:sz w:val="24"/>
              </w:rPr>
              <w:t>在规定的时间内取回，逾期未取回的，采购人、采购代理机构不负保管义务</w:t>
            </w:r>
            <w:r>
              <w:rPr>
                <w:rFonts w:asciiTheme="majorEastAsia" w:hAnsiTheme="majorEastAsia" w:eastAsiaTheme="majorEastAsia"/>
                <w:sz w:val="24"/>
              </w:rPr>
              <w:t>；对于中标人提供的样品，</w:t>
            </w:r>
            <w:r>
              <w:rPr>
                <w:rFonts w:hint="eastAsia" w:asciiTheme="majorEastAsia" w:hAnsiTheme="majorEastAsia" w:eastAsiaTheme="majorEastAsia"/>
                <w:sz w:val="24"/>
              </w:rPr>
              <w:t>采购人将进</w:t>
            </w:r>
            <w:r>
              <w:rPr>
                <w:rFonts w:asciiTheme="majorEastAsia" w:hAnsiTheme="majorEastAsia" w:eastAsiaTheme="majorEastAsia"/>
                <w:sz w:val="24"/>
              </w:rPr>
              <w:t>行保管、封存，并作为履约验收的参考</w:t>
            </w:r>
            <w:r>
              <w:rPr>
                <w:rFonts w:hint="eastAsia" w:asciiTheme="majorEastAsia" w:hAnsiTheme="majorEastAsia" w:eastAsiaTheme="majorEastAsia"/>
                <w:sz w:val="24"/>
              </w:rPr>
              <w:t>。（详见第三部分 采购需求）</w:t>
            </w:r>
          </w:p>
          <w:p>
            <w:pPr>
              <w:spacing w:line="360" w:lineRule="auto"/>
              <w:rPr>
                <w:rFonts w:ascii="宋体" w:hAnsi="宋体" w:cs="宋体"/>
                <w:b/>
                <w:sz w:val="24"/>
              </w:rPr>
            </w:pPr>
            <w:r>
              <w:rPr>
                <w:rFonts w:hint="eastAsia" w:asciiTheme="majorEastAsia" w:hAnsiTheme="majorEastAsia" w:eastAsiaTheme="majorEastAsia"/>
                <w:sz w:val="24"/>
              </w:rPr>
              <w:t>（</w:t>
            </w:r>
            <w:r>
              <w:rPr>
                <w:rFonts w:asciiTheme="majorEastAsia" w:hAnsiTheme="majorEastAsia" w:eastAsiaTheme="majorEastAsia"/>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rPr>
              <w:t>□</w:t>
            </w:r>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sdtPr>
              <w:sdtEndPr>
                <w:rPr>
                  <w:rFonts w:hint="eastAsia" w:ascii="宋体" w:hAnsi="宋体" w:cs="宋体"/>
                  <w:kern w:val="0"/>
                  <w:sz w:val="24"/>
                </w:rPr>
              </w:sdtEndPr>
              <w:sdtContent>
                <w:sdt>
                  <w:sdtPr>
                    <w:rPr>
                      <w:rFonts w:hint="eastAsia" w:ascii="宋体" w:hAnsi="宋体" w:cs="宋体"/>
                      <w:kern w:val="0"/>
                      <w:sz w:val="24"/>
                    </w:rPr>
                    <w:id w:val="-1859348549"/>
                  </w:sdtPr>
                  <w:sdtEndPr>
                    <w:rPr>
                      <w:rFonts w:hint="eastAsia" w:ascii="宋体" w:hAnsi="宋体" w:cs="宋体"/>
                      <w:kern w:val="0"/>
                      <w:sz w:val="24"/>
                    </w:rPr>
                  </w:sdtEndPr>
                  <w:sdtContent>
                    <w:sdt>
                      <w:sdtPr>
                        <w:rPr>
                          <w:rFonts w:hint="eastAsia" w:hAnsi="宋体" w:cs="宋体"/>
                          <w:kern w:val="0"/>
                          <w:sz w:val="24"/>
                        </w:rPr>
                        <w:id w:val="31730669"/>
                      </w:sdtPr>
                      <w:sdtEndPr>
                        <w:rPr>
                          <w:rFonts w:hint="eastAsia" w:hAnsi="宋体" w:cs="宋体"/>
                          <w:kern w:val="0"/>
                          <w:sz w:val="24"/>
                        </w:rPr>
                      </w:sdtEndPr>
                      <w:sdtContent>
                        <w:r>
                          <w:rPr>
                            <w:rFonts w:hint="eastAsia" w:hAnsi="宋体" w:cs="宋体"/>
                            <w:kern w:val="0"/>
                            <w:sz w:val="24"/>
                          </w:rPr>
                          <w:sym w:font="Wingdings" w:char="F0FE"/>
                        </w:r>
                      </w:sdtContent>
                    </w:sdt>
                  </w:sdtContent>
                </w:sdt>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（1）在评标时安排每个投标人进行方案讲解演示。每个投标人时间不超过10分钟，讲解次序以投标文件解密时间先后次序为准，讲解演示人员不超过3人。讲解演示结束后按要求解答评标委员会提问。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方式一：政采云平台在线讲解演示。政采云平台在线讲解需投标人根据政采云平台操作要求做好准备工作，提前完善软硬件配置环境（暂不推荐）。</w:t>
            </w:r>
          </w:p>
          <w:p>
            <w:pPr>
              <w:snapToGrid w:val="0"/>
              <w:spacing w:line="360" w:lineRule="auto"/>
              <w:rPr>
                <w:rFonts w:ascii="宋体" w:hAnsi="宋体" w:cs="宋体"/>
                <w:kern w:val="0"/>
                <w:sz w:val="24"/>
              </w:rPr>
            </w:pPr>
            <w:r>
              <w:rPr>
                <w:rFonts w:hint="eastAsia" w:ascii="宋体" w:hAnsi="宋体" w:cs="宋体"/>
                <w:kern w:val="0"/>
                <w:sz w:val="24"/>
              </w:rPr>
              <w:t>方式二：现场讲解演示。现场讲解：地点为</w:t>
            </w:r>
            <w:r>
              <w:rPr>
                <w:rFonts w:hint="eastAsia" w:ascii="宋体" w:hAnsi="宋体" w:cs="宋体"/>
                <w:kern w:val="0"/>
                <w:sz w:val="24"/>
                <w:u w:val="single"/>
              </w:rPr>
              <w:t xml:space="preserve">  杭州市上城区环站东路97号云峰大厦1号楼六楼评标室  </w:t>
            </w:r>
            <w:r>
              <w:rPr>
                <w:rFonts w:hint="eastAsia" w:ascii="宋体" w:hAnsi="宋体" w:cs="宋体"/>
                <w:kern w:val="0"/>
                <w:sz w:val="24"/>
              </w:rPr>
              <w:t>，讲解演示所用电脑等设备由投标人自备。现场讲解演示人员进场时提供讲解人员名单（加盖公章）及身份证明，否则不得讲解演示。</w:t>
            </w:r>
          </w:p>
          <w:p>
            <w:pPr>
              <w:snapToGrid w:val="0"/>
              <w:spacing w:line="360" w:lineRule="auto"/>
            </w:pPr>
            <w:r>
              <w:rPr>
                <w:rFonts w:hint="eastAsia"/>
              </w:rPr>
              <w:t>方</w:t>
            </w:r>
            <w:r>
              <w:rPr>
                <w:rFonts w:hint="eastAsia" w:ascii="宋体" w:hAnsi="宋体" w:cs="宋体"/>
                <w:kern w:val="0"/>
                <w:sz w:val="24"/>
              </w:rPr>
              <w:t>式三：录屏讲解演示：若供应商不到现场，提供演示录屏（视频格式为非常规格式提供视频安装软件，以免无法播放），可与备份文件一起邮寄，需明确备注。（本项目优先推荐）</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18727868"/>
              </w:sdtPr>
              <w:sdtEndPr>
                <w:rPr>
                  <w:rFonts w:hint="eastAsia" w:ascii="宋体" w:hAnsi="宋体" w:cs="宋体"/>
                  <w:kern w:val="0"/>
                  <w:sz w:val="24"/>
                </w:rPr>
              </w:sdtEndPr>
              <w:sdtContent>
                <w:sdt>
                  <w:sdtPr>
                    <w:rPr>
                      <w:rFonts w:hint="eastAsia" w:hAnsi="宋体" w:cs="宋体"/>
                      <w:kern w:val="0"/>
                      <w:sz w:val="24"/>
                    </w:rPr>
                    <w:id w:val="31730690"/>
                  </w:sdtPr>
                  <w:sdtEndPr>
                    <w:rPr>
                      <w:rFonts w:hint="eastAsia" w:hAnsi="宋体" w:cs="宋体"/>
                      <w:kern w:val="0"/>
                      <w:sz w:val="24"/>
                    </w:rPr>
                  </w:sdtEndPr>
                  <w:sdtContent>
                    <w:r>
                      <w:rPr>
                        <w:rFonts w:hint="eastAsia" w:hAnsi="宋体" w:cs="宋体"/>
                        <w:kern w:val="0"/>
                        <w:sz w:val="24"/>
                      </w:rPr>
                      <w:sym w:font="Wingdings" w:char="F0FE"/>
                    </w:r>
                  </w:sdtContent>
                </w:sdt>
              </w:sdtContent>
            </w:sdt>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sz w:val="24"/>
                <w:u w:val="single"/>
              </w:rPr>
              <w:t xml:space="preserve">  网络摄像机（红外定焦枪型网络摄像机、室外枪机、红外定焦防暴半球网络摄像机、教室壁装半球摄像机、AI抓拍筒型摄像机），核心交换机，智慧校园可视化综合管理平台，宿舍管理系统   </w:t>
            </w:r>
            <w:r>
              <w:rPr>
                <w:rFonts w:hint="eastAsia" w:ascii="宋体" w:hAnsi="宋体" w:cs="宋体"/>
                <w:sz w:val="24"/>
              </w:rPr>
              <w:t>。</w:t>
            </w:r>
          </w:p>
          <w:p>
            <w:pPr>
              <w:spacing w:line="360" w:lineRule="auto"/>
              <w:rPr>
                <w:rFonts w:ascii="宋体" w:hAnsi="宋体" w:cs="宋体"/>
                <w:sz w:val="24"/>
              </w:rPr>
            </w:pPr>
            <w:sdt>
              <w:sdtPr>
                <w:rPr>
                  <w:rFonts w:hint="eastAsia" w:ascii="宋体" w:hAnsi="宋体" w:cs="宋体"/>
                  <w:kern w:val="0"/>
                  <w:sz w:val="24"/>
                </w:rPr>
                <w:id w:val="474885559"/>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w:t>
            </w:r>
            <w:r>
              <w:rPr>
                <w:rFonts w:hint="eastAsia" w:ascii="宋体" w:hAnsi="宋体" w:cs="宋体"/>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采购标的对应的中小企业划分标准所属行业</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 xml:space="preserve"> 采购清单内的所有设备  </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kern w:val="0"/>
                <w:sz w:val="24"/>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12</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rPr>
                <w:rFonts w:ascii="宋体" w:hAnsi="宋体" w:cs="宋体"/>
              </w:rPr>
            </w:pPr>
          </w:p>
        </w:tc>
        <w:tc>
          <w:tcPr>
            <w:tcW w:w="1843" w:type="dxa"/>
            <w:vMerge w:val="continue"/>
            <w:tcBorders>
              <w:left w:val="single" w:color="000000" w:sz="2" w:space="0"/>
              <w:right w:val="single" w:color="000000" w:sz="8" w:space="0"/>
            </w:tcBorders>
            <w:vAlign w:val="center"/>
          </w:tcPr>
          <w:p>
            <w:pPr>
              <w:spacing w:line="360" w:lineRule="auto"/>
              <w:ind w:firstLine="420" w:firstLineChars="200"/>
              <w:rPr>
                <w:rFonts w:ascii="宋体" w:hAnsi="宋体" w:cs="宋体"/>
              </w:rPr>
            </w:pPr>
          </w:p>
        </w:tc>
        <w:tc>
          <w:tcPr>
            <w:tcW w:w="6703"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703"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hAnsi="宋体" w:cs="宋体"/>
                <w:kern w:val="28"/>
                <w:sz w:val="24"/>
              </w:rPr>
            </w:pPr>
            <w:r>
              <w:rPr>
                <w:rFonts w:hint="eastAsia" w:cs="宋体" w:asciiTheme="minorEastAsia" w:hAnsiTheme="minorEastAsia" w:eastAsiaTheme="minorEastAsia"/>
                <w:kern w:val="28"/>
                <w:sz w:val="24"/>
                <w:szCs w:val="24"/>
              </w:rPr>
              <w:t>备份响应文件送达地点：</w:t>
            </w:r>
            <w:r>
              <w:rPr>
                <w:rFonts w:hint="eastAsia" w:cs="宋体" w:asciiTheme="minorEastAsia" w:hAnsiTheme="minorEastAsia" w:eastAsiaTheme="minorEastAsia"/>
                <w:sz w:val="24"/>
                <w:szCs w:val="24"/>
                <w:u w:val="single"/>
              </w:rPr>
              <w:t>杭州市上城区环站东路97号云峰大厦1幢6楼（接受邮寄，需在响应截止时间前寄达签收）</w:t>
            </w:r>
            <w:r>
              <w:rPr>
                <w:rFonts w:hint="eastAsia" w:cs="宋体" w:asciiTheme="minorEastAsia" w:hAnsiTheme="minorEastAsia" w:eastAsiaTheme="minorEastAsia"/>
                <w:kern w:val="28"/>
                <w:sz w:val="24"/>
                <w:szCs w:val="24"/>
              </w:rPr>
              <w:t>；备份响应文件签收人员联系电话：</w:t>
            </w:r>
            <w:r>
              <w:rPr>
                <w:rFonts w:hint="eastAsia" w:cs="宋体" w:asciiTheme="minorEastAsia" w:hAnsiTheme="minorEastAsia" w:eastAsiaTheme="minorEastAsia"/>
                <w:kern w:val="28"/>
                <w:sz w:val="24"/>
                <w:szCs w:val="24"/>
                <w:u w:val="single"/>
              </w:rPr>
              <w:t xml:space="preserve"> </w:t>
            </w:r>
            <w:r>
              <w:rPr>
                <w:rFonts w:hint="eastAsia" w:cs="宋体" w:asciiTheme="minorEastAsia" w:hAnsiTheme="minorEastAsia" w:eastAsiaTheme="minorEastAsia"/>
                <w:sz w:val="24"/>
                <w:szCs w:val="24"/>
                <w:u w:val="single"/>
              </w:rPr>
              <w:t xml:space="preserve">胡馨月 17816022721 </w:t>
            </w:r>
            <w:r>
              <w:rPr>
                <w:rFonts w:hint="eastAsia" w:cs="宋体" w:asciiTheme="minorEastAsia" w:hAnsiTheme="minorEastAsia" w:eastAsiaTheme="minorEastAsia"/>
                <w:sz w:val="24"/>
                <w:szCs w:val="24"/>
              </w:rPr>
              <w:t>。</w:t>
            </w:r>
            <w:r>
              <w:rPr>
                <w:rFonts w:hint="eastAsia" w:cs="宋体" w:asciiTheme="minorEastAsia" w:hAnsiTheme="minorEastAsia" w:eastAsiaTheme="minorEastAsia"/>
                <w:b/>
                <w:sz w:val="24"/>
                <w:szCs w:val="24"/>
              </w:rPr>
              <w:t>采购人、采购代理机构不强制或变相强制供应商提交备份响应文件。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宋体" w:asciiTheme="minorEastAsia" w:hAnsiTheme="minorEastAsia" w:eastAsiaTheme="minorEastAsia"/>
                <w:b/>
                <w:sz w:val="24"/>
              </w:rPr>
            </w:pPr>
            <w:r>
              <w:rPr>
                <w:rFonts w:hint="eastAsia" w:cs="宋体" w:asciiTheme="minorEastAsia" w:hAnsiTheme="minorEastAsia" w:eastAsiaTheme="minorEastAsia"/>
                <w:sz w:val="24"/>
              </w:rPr>
              <w:t>企业信用查询</w:t>
            </w:r>
          </w:p>
        </w:tc>
        <w:tc>
          <w:tcPr>
            <w:tcW w:w="6703"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ind w:right="143" w:rightChars="68" w:firstLine="81" w:firstLineChars="34"/>
              <w:rPr>
                <w:rFonts w:cs="宋体" w:asciiTheme="minorEastAsia" w:hAnsiTheme="minorEastAsia" w:eastAsiaTheme="minorEastAsia"/>
                <w:kern w:val="28"/>
                <w:sz w:val="24"/>
                <w:szCs w:val="24"/>
              </w:rPr>
            </w:pPr>
            <w:r>
              <w:rPr>
                <w:rFonts w:hint="eastAsia" w:cs="宋体" w:asciiTheme="minorEastAsia" w:hAnsiTheme="minorEastAsia" w:eastAsiaTheme="minorEastAsia"/>
                <w:sz w:val="24"/>
                <w:szCs w:val="24"/>
              </w:rPr>
              <w:t>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采购代理机构将在响应截止时间当日通过“信用中国”网站（www.creditchina.gov.cn）、中国政府采购网（www.ccgp.gov.cn）等渠道查询本项目供应商信用记录。被列入失信被执行人、重大税收违法案件当事人名单、政府采购严重违法失信行为记录名单及其他不符合《中华人民共和国政府采购法》第二十二条规定条件的供应商将被拒绝参与本次政府采购活动。两个以上的自然人、法人或者其他组织组成一个联合体，以一个供应商的身份共同参加政府采购活动的，若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15</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特别说明</w:t>
            </w:r>
          </w:p>
        </w:tc>
        <w:tc>
          <w:tcPr>
            <w:tcW w:w="670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Theme="majorEastAsia" w:hAnsiTheme="majorEastAsia" w:eastAsiaTheme="majorEastAsia"/>
                <w:snapToGrid w:val="0"/>
                <w:kern w:val="28"/>
                <w:sz w:val="24"/>
              </w:rPr>
            </w:pPr>
            <w:r>
              <w:rPr>
                <w:rFonts w:hint="eastAsia" w:asciiTheme="majorEastAsia" w:hAnsiTheme="majorEastAsia" w:eastAsiaTheme="majorEastAsia"/>
                <w:sz w:val="24"/>
              </w:rPr>
              <w:t>（1）</w:t>
            </w:r>
            <w:r>
              <w:rPr>
                <w:rFonts w:asciiTheme="majorEastAsia" w:hAnsiTheme="majorEastAsia" w:eastAsiaTheme="majorEastAsia"/>
                <w:sz w:val="24"/>
              </w:rPr>
              <w:t>中标通知书发出后30日内，中标供应商持中标通知书与采购人签订合同</w:t>
            </w:r>
            <w:r>
              <w:rPr>
                <w:rFonts w:hint="eastAsia" w:asciiTheme="majorEastAsia" w:hAnsiTheme="majorEastAsia" w:eastAsiaTheme="majorEastAsia"/>
                <w:sz w:val="24"/>
              </w:rPr>
              <w:t>；合同签订后需在2个工作日内进行备案公示。</w:t>
            </w:r>
          </w:p>
          <w:p>
            <w:pPr>
              <w:snapToGrid w:val="0"/>
              <w:spacing w:line="360" w:lineRule="auto"/>
              <w:rPr>
                <w:rFonts w:asciiTheme="majorEastAsia" w:hAnsiTheme="majorEastAsia" w:eastAsiaTheme="majorEastAsia"/>
                <w:snapToGrid w:val="0"/>
                <w:kern w:val="28"/>
                <w:sz w:val="24"/>
              </w:rPr>
            </w:pPr>
            <w:r>
              <w:rPr>
                <w:rFonts w:hint="eastAsia" w:asciiTheme="majorEastAsia" w:hAnsiTheme="majorEastAsia" w:eastAsiaTheme="majorEastAsia"/>
                <w:snapToGrid w:val="0"/>
                <w:kern w:val="28"/>
                <w:sz w:val="24"/>
              </w:rPr>
              <w:t>（2）</w:t>
            </w:r>
            <w:r>
              <w:rPr>
                <w:rFonts w:hint="eastAsia" w:asciiTheme="majorEastAsia" w:hAnsiTheme="majorEastAsia" w:eastAsiaTheme="majorEastAsia"/>
                <w:sz w:val="24"/>
              </w:rPr>
              <w:t>中标供应商在收到中标通知后7个工作日内提交纸质版投标文件（内容同电子投标文件）：一正两副或系统解密版三份，用于项目资料存档。（邮寄地址：</w:t>
            </w:r>
            <w:r>
              <w:rPr>
                <w:rFonts w:asciiTheme="majorEastAsia" w:hAnsiTheme="majorEastAsia" w:eastAsiaTheme="majorEastAsia"/>
                <w:sz w:val="24"/>
              </w:rPr>
              <w:t>杭州市环站东路97号云峰大厦1幢6楼</w:t>
            </w:r>
            <w:r>
              <w:rPr>
                <w:rFonts w:hint="eastAsia" w:asciiTheme="majorEastAsia" w:hAnsiTheme="majorEastAsia" w:eastAsiaTheme="majorEastAsia"/>
                <w:sz w:val="24"/>
              </w:rPr>
              <w:t>，胡馨月17816022721收）</w:t>
            </w:r>
          </w:p>
          <w:p>
            <w:pPr>
              <w:snapToGrid w:val="0"/>
              <w:spacing w:line="360" w:lineRule="auto"/>
              <w:rPr>
                <w:rFonts w:asciiTheme="majorEastAsia" w:hAnsiTheme="majorEastAsia" w:eastAsiaTheme="majorEastAsia"/>
                <w:sz w:val="24"/>
              </w:rPr>
            </w:pPr>
            <w:r>
              <w:rPr>
                <w:rFonts w:hint="eastAsia" w:asciiTheme="majorEastAsia" w:hAnsiTheme="majorEastAsia" w:eastAsiaTheme="majorEastAsia"/>
                <w:snapToGrid w:val="0"/>
                <w:kern w:val="28"/>
                <w:sz w:val="24"/>
              </w:rPr>
              <w:t>（3）</w:t>
            </w:r>
            <w:r>
              <w:rPr>
                <w:rFonts w:hint="eastAsia" w:asciiTheme="majorEastAsia" w:hAnsiTheme="majorEastAsia" w:eastAsiaTheme="majorEastAsia"/>
                <w:sz w:val="24"/>
              </w:rPr>
              <w:t>本项目招标代理服务费收费标准为：</w:t>
            </w:r>
            <w:r>
              <w:rPr>
                <w:rFonts w:asciiTheme="majorEastAsia" w:hAnsiTheme="majorEastAsia" w:eastAsiaTheme="majorEastAsia"/>
                <w:sz w:val="24"/>
              </w:rPr>
              <w:t>按浙价服(2003)77号文规定的收费标准</w:t>
            </w:r>
            <w:r>
              <w:rPr>
                <w:rFonts w:hint="eastAsia" w:asciiTheme="majorEastAsia" w:hAnsiTheme="majorEastAsia" w:eastAsiaTheme="majorEastAsia"/>
                <w:sz w:val="24"/>
              </w:rPr>
              <w:t>八折</w:t>
            </w:r>
            <w:r>
              <w:rPr>
                <w:rFonts w:asciiTheme="majorEastAsia" w:hAnsiTheme="majorEastAsia" w:eastAsiaTheme="majorEastAsia"/>
                <w:sz w:val="24"/>
              </w:rPr>
              <w:t>计取</w:t>
            </w:r>
            <w:r>
              <w:rPr>
                <w:rFonts w:hint="eastAsia" w:asciiTheme="majorEastAsia" w:hAnsiTheme="majorEastAsia" w:eastAsiaTheme="majorEastAsia"/>
                <w:sz w:val="24"/>
              </w:rPr>
              <w:t>（阶梯收费）。</w:t>
            </w:r>
          </w:p>
          <w:p>
            <w:pPr>
              <w:snapToGrid w:val="0"/>
              <w:spacing w:line="360" w:lineRule="auto"/>
              <w:rPr>
                <w:rFonts w:asciiTheme="majorEastAsia" w:hAnsiTheme="majorEastAsia" w:eastAsiaTheme="majorEastAsia"/>
                <w:sz w:val="24"/>
              </w:rPr>
            </w:pPr>
            <w:r>
              <w:rPr>
                <w:rFonts w:hint="eastAsia" w:asciiTheme="majorEastAsia" w:hAnsiTheme="majorEastAsia" w:eastAsiaTheme="majorEastAsia"/>
                <w:sz w:val="24"/>
              </w:rPr>
              <w:t>本项目计费公式：服务费(万元)=[（中标金额-500）*0.8%+(500-100)*1.1%+100*1.5%]*80%。</w:t>
            </w:r>
          </w:p>
          <w:p>
            <w:pPr>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由中标供应商在领取中标通知书时一次性缴纳。</w:t>
            </w:r>
          </w:p>
          <w:p>
            <w:pPr>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收款单位：浙江省建设工程设备招标有限公司</w:t>
            </w:r>
          </w:p>
          <w:p>
            <w:pPr>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开户银行：</w:t>
            </w:r>
            <w:r>
              <w:rPr>
                <w:rFonts w:ascii="宋体" w:hAnsi="宋体" w:eastAsia="宋体" w:cs="宋体"/>
                <w:sz w:val="24"/>
                <w:szCs w:val="24"/>
              </w:rPr>
              <w:t>中国建设银行股份有限公司杭州大关支行</w:t>
            </w:r>
          </w:p>
          <w:p>
            <w:pPr>
              <w:spacing w:line="360" w:lineRule="auto"/>
              <w:ind w:firstLine="480" w:firstLineChars="200"/>
              <w:rPr>
                <w:rFonts w:ascii="宋体" w:hAnsi="宋体" w:cs="宋体"/>
                <w:snapToGrid w:val="0"/>
                <w:kern w:val="28"/>
                <w:sz w:val="24"/>
              </w:rPr>
            </w:pPr>
            <w:r>
              <w:rPr>
                <w:rFonts w:hint="eastAsia" w:asciiTheme="majorEastAsia" w:hAnsiTheme="majorEastAsia" w:eastAsiaTheme="majorEastAsia"/>
                <w:sz w:val="24"/>
              </w:rPr>
              <w:t>帐    号：</w:t>
            </w:r>
            <w:r>
              <w:rPr>
                <w:rFonts w:ascii="宋体" w:hAnsi="宋体" w:eastAsia="宋体" w:cs="宋体"/>
                <w:sz w:val="24"/>
                <w:szCs w:val="24"/>
              </w:rPr>
              <w:t>33001616383053002342</w:t>
            </w:r>
          </w:p>
        </w:tc>
      </w:tr>
      <w:bookmarkEnd w:id="10"/>
    </w:tbl>
    <w:p>
      <w:pPr>
        <w:adjustRightInd/>
        <w:spacing w:line="360" w:lineRule="auto"/>
        <w:ind w:firstLine="3845" w:firstLineChars="1197"/>
        <w:outlineLvl w:val="0"/>
        <w:rPr>
          <w:rFonts w:ascii="宋体" w:hAnsi="宋体" w:cs="宋体"/>
          <w:b/>
          <w:sz w:val="32"/>
          <w:szCs w:val="20"/>
        </w:rPr>
      </w:pPr>
      <w:bookmarkStart w:id="11" w:name="_Toc164416483"/>
      <w:bookmarkStart w:id="12" w:name="第三部分"/>
    </w:p>
    <w:p>
      <w:pPr>
        <w:pStyle w:val="2"/>
      </w:pPr>
      <w:r>
        <w:br w:type="page"/>
      </w:r>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“采购机构”系指招标公告中载明的本项目的采购机构。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“▲”系指实质性要求条款，“★”系指强制节能产品，“▼”系指产品采购项目中单一产品或核心产品，“◆”系指产品重要参数，“</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hint="eastAsia" w:ascii="宋体" w:hAnsi="宋体" w:cs="宋体"/>
          <w:bCs/>
          <w:sz w:val="24"/>
        </w:rPr>
        <w:t>3.3.2</w:t>
      </w:r>
      <w:r>
        <w:rPr>
          <w:rFonts w:hint="eastAsia" w:ascii="宋体" w:hAnsi="宋体"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3.3.2.2在工程采购项目中，工程由中小企业承建，即工程施工单位为中小企业；</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b/>
          <w:sz w:val="24"/>
        </w:rPr>
      </w:pPr>
      <w:r>
        <w:rPr>
          <w:rFonts w:hint="eastAsia" w:ascii="宋体" w:hAnsi="宋体" w:cs="宋体"/>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r>
        <w:rPr>
          <w:rFonts w:hint="eastAsia" w:ascii="宋体" w:hAnsi="宋体" w:cs="宋体"/>
          <w:sz w:val="24"/>
        </w:rPr>
        <w:cr/>
      </w:r>
      <w:r>
        <w:rPr>
          <w:rFonts w:hint="eastAsia" w:ascii="宋体" w:hAnsi="宋体" w:cs="宋体"/>
          <w:b/>
          <w:sz w:val="24"/>
        </w:rPr>
        <w:t>4. 询问、质疑、投诉</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4.1供应商询问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4.2供应商质疑</w:t>
      </w:r>
    </w:p>
    <w:p>
      <w:pPr>
        <w:pStyle w:val="32"/>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hAnsi="宋体" w:cs="宋体"/>
          <w:sz w:val="24"/>
        </w:rPr>
      </w:pPr>
      <w:r>
        <w:rPr>
          <w:rFonts w:hint="eastAsia" w:hAnsi="宋体" w:cs="宋体"/>
          <w:kern w:val="0"/>
          <w:sz w:val="24"/>
          <w:lang w:val="zh-CN"/>
        </w:rPr>
        <w:t>4.2</w:t>
      </w:r>
      <w:r>
        <w:rPr>
          <w:rFonts w:hint="eastAsia" w:hAnsi="宋体" w:cs="宋体"/>
          <w:sz w:val="24"/>
        </w:rPr>
        <w:t>.2供应商认为招标文件、采购过程和中标结果使自己的权益受到损害的，可以在知道或者应知其权益受到损害之日起7个工作日内，以书面形式向采购人或者采购机构提出质疑，否则，采购人或者采购机构不予受理：</w:t>
      </w:r>
    </w:p>
    <w:p>
      <w:pPr>
        <w:pStyle w:val="6"/>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4.2.2.1对招标文件提出质疑的，质疑期限为供应商获得招标文件之日或者招标文件公告期限届满之日起计算。</w:t>
      </w:r>
    </w:p>
    <w:p>
      <w:pPr>
        <w:pStyle w:val="32"/>
        <w:spacing w:line="360" w:lineRule="auto"/>
        <w:ind w:firstLine="480" w:firstLineChars="200"/>
        <w:rPr>
          <w:rFonts w:hAnsi="宋体" w:cs="宋体"/>
          <w:sz w:val="24"/>
        </w:rPr>
      </w:pPr>
      <w:r>
        <w:rPr>
          <w:rFonts w:hint="eastAsia" w:hAnsi="宋体" w:cs="宋体"/>
          <w:sz w:val="24"/>
        </w:rPr>
        <w:t>4.2.2.2对采购过程提出质疑的，质疑期限为各采购程序环节结束之日起计算。对同一采购程序环节的质疑，供应商须一次性提出。</w:t>
      </w:r>
    </w:p>
    <w:p>
      <w:pPr>
        <w:pStyle w:val="32"/>
        <w:spacing w:line="360" w:lineRule="auto"/>
        <w:ind w:firstLine="480" w:firstLineChars="200"/>
        <w:rPr>
          <w:rFonts w:hAnsi="宋体" w:cs="宋体"/>
          <w:sz w:val="24"/>
        </w:rPr>
      </w:pPr>
      <w:r>
        <w:rPr>
          <w:rFonts w:hint="eastAsia" w:hAnsi="宋体" w:cs="宋体"/>
          <w:sz w:val="24"/>
        </w:rPr>
        <w:t>4.2.2.3对采购结果提出质疑的，质疑期限自采购结果公告期限届满之日起计算。</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4.2.3</w:t>
      </w:r>
      <w:r>
        <w:rPr>
          <w:rFonts w:hint="eastAsia" w:hAnsi="宋体" w:cs="宋体"/>
          <w:sz w:val="24"/>
        </w:rPr>
        <w:t>供应商提出质疑应当提交质疑函和必要的证明材料。质疑函应当包括下列内容：</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　　4.2.3.1供应商的姓名或者名称、地址、邮编、联系人及联系电话；</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　　4.2.3.2质疑项目的名称、编号；</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　　4.2.3.3具体、明确的质疑事项和与质疑事项相关的请求；</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　　4.2.3.4事实依据；</w:t>
      </w:r>
    </w:p>
    <w:p>
      <w:pPr>
        <w:pStyle w:val="32"/>
        <w:spacing w:line="360" w:lineRule="auto"/>
        <w:ind w:firstLine="480" w:firstLineChars="200"/>
        <w:rPr>
          <w:rFonts w:hAnsi="宋体" w:cs="宋体"/>
          <w:kern w:val="0"/>
          <w:sz w:val="24"/>
          <w:lang w:val="zh-CN"/>
        </w:rPr>
      </w:pPr>
      <w:r>
        <w:rPr>
          <w:rFonts w:hint="eastAsia" w:hAnsi="宋体" w:cs="宋体"/>
          <w:kern w:val="0"/>
          <w:sz w:val="24"/>
          <w:lang w:val="zh-CN"/>
        </w:rPr>
        <w:t>　　4.2.3.5必要的法律依据；</w:t>
      </w:r>
    </w:p>
    <w:p>
      <w:pPr>
        <w:pStyle w:val="32"/>
        <w:spacing w:line="360" w:lineRule="auto"/>
        <w:ind w:firstLine="960" w:firstLineChars="400"/>
        <w:rPr>
          <w:rFonts w:hAnsi="宋体" w:cs="宋体"/>
          <w:kern w:val="0"/>
          <w:sz w:val="24"/>
          <w:lang w:val="zh-CN"/>
        </w:rPr>
      </w:pPr>
      <w:r>
        <w:rPr>
          <w:rFonts w:hint="eastAsia" w:hAnsi="宋体" w:cs="宋体"/>
          <w:kern w:val="0"/>
          <w:sz w:val="24"/>
          <w:lang w:val="zh-CN"/>
        </w:rPr>
        <w:t>4.2.3.6提出质疑的日期。</w:t>
      </w:r>
    </w:p>
    <w:p>
      <w:pPr>
        <w:pStyle w:val="89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96"/>
        <w:shd w:val="clear" w:color="auto" w:fill="FFFFFF"/>
        <w:snapToGrid w:val="0"/>
        <w:spacing w:after="240" w:afterAutospacing="0" w:line="360" w:lineRule="auto"/>
        <w:ind w:firstLine="400"/>
        <w:contextualSpacing/>
      </w:pPr>
      <w:r>
        <w:rPr>
          <w:rFonts w:hint="eastAsia"/>
        </w:rPr>
        <w:t>质疑函范本及制作说明详见附件2。</w:t>
      </w:r>
    </w:p>
    <w:p>
      <w:pPr>
        <w:pStyle w:val="896"/>
        <w:shd w:val="clear" w:color="auto" w:fill="FFFFFF"/>
        <w:snapToGrid w:val="0"/>
        <w:spacing w:after="240" w:afterAutospacing="0" w:line="360" w:lineRule="auto"/>
        <w:ind w:firstLine="400"/>
        <w:contextualSpacing/>
      </w:pPr>
      <w:r>
        <w:rPr>
          <w:rFonts w:hint="eastAsia"/>
          <w:lang w:val="zh-CN"/>
        </w:rPr>
        <w:t>4.2</w:t>
      </w:r>
      <w:r>
        <w:rPr>
          <w:rFonts w:hint="eastAsia"/>
        </w:rPr>
        <w:t>.4采购人或者采购机构应当在收到供应商的书面质疑后7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96"/>
        <w:shd w:val="clear" w:color="auto" w:fill="FFFFFF"/>
        <w:snapToGrid w:val="0"/>
        <w:spacing w:after="240" w:afterAutospacing="0" w:line="360" w:lineRule="auto"/>
        <w:ind w:firstLine="400"/>
        <w:contextualSpacing/>
      </w:pPr>
      <w:r>
        <w:rPr>
          <w:rFonts w:hint="eastAsia"/>
          <w:lang w:val="zh-CN"/>
        </w:rPr>
        <w:t>4.2</w:t>
      </w:r>
      <w:r>
        <w:rPr>
          <w:rFonts w:hint="eastAsia"/>
        </w:rPr>
        <w:t>.5询问或者质疑事项可能影响采购结果的，采购人应当暂停签订合同，已经签订合同的，应当中止履行合同。</w:t>
      </w:r>
    </w:p>
    <w:p>
      <w:pPr>
        <w:pStyle w:val="896"/>
        <w:shd w:val="clear" w:color="auto" w:fill="FFFFFF"/>
        <w:snapToGrid w:val="0"/>
        <w:spacing w:after="240" w:afterAutospacing="0" w:line="360" w:lineRule="auto"/>
        <w:ind w:firstLine="480" w:firstLineChars="200"/>
        <w:contextualSpacing/>
        <w:rPr>
          <w:lang w:val="zh-CN"/>
        </w:rPr>
      </w:pPr>
      <w:r>
        <w:rPr>
          <w:rFonts w:hint="eastAsia"/>
          <w:lang w:val="zh-CN"/>
        </w:rPr>
        <w:t>4.3供应商投诉</w:t>
      </w:r>
    </w:p>
    <w:p>
      <w:pPr>
        <w:pStyle w:val="896"/>
        <w:shd w:val="clear" w:color="auto" w:fill="FFFFFF"/>
        <w:snapToGrid w:val="0"/>
        <w:spacing w:after="240" w:afterAutospacing="0" w:line="360" w:lineRule="auto"/>
        <w:ind w:firstLine="400"/>
        <w:contextualSpacing/>
      </w:pPr>
      <w:r>
        <w:rPr>
          <w:rFonts w:hint="eastAsia"/>
        </w:rPr>
        <w:t>4.3.1质疑供应商对采购人、采购机构的答复不满意或者采购人、采购机构未在规定的时间内作出答复的，可以在答复期满后15个工作日内向同级政府采购监督管理部门提出投诉。</w:t>
      </w:r>
    </w:p>
    <w:p>
      <w:pPr>
        <w:pStyle w:val="896"/>
        <w:shd w:val="clear" w:color="auto" w:fill="FFFFFF"/>
        <w:snapToGrid w:val="0"/>
        <w:spacing w:after="240" w:afterAutospacing="0" w:line="360" w:lineRule="auto"/>
        <w:ind w:firstLine="400"/>
        <w:contextualSpacing/>
      </w:pPr>
      <w:r>
        <w:rPr>
          <w:rFonts w:hint="eastAsia"/>
        </w:rPr>
        <w:t>4.3.</w:t>
      </w:r>
      <w:r>
        <w:rPr>
          <w:rFonts w:hint="eastAsia"/>
          <w:lang w:val="zh-CN"/>
        </w:rPr>
        <w:t>2</w:t>
      </w:r>
      <w:r>
        <w:rPr>
          <w:rFonts w:hint="eastAsia"/>
        </w:rPr>
        <w:t>供应商投诉的事项不得超出已质疑事项的范围，基于质疑答复内容提出的投诉事项除外。</w:t>
      </w:r>
    </w:p>
    <w:p>
      <w:pPr>
        <w:pStyle w:val="896"/>
        <w:shd w:val="clear" w:color="auto" w:fill="FFFFFF"/>
        <w:snapToGrid w:val="0"/>
        <w:spacing w:after="240" w:afterAutospacing="0" w:line="360" w:lineRule="auto"/>
        <w:ind w:firstLine="400"/>
        <w:contextualSpacing/>
      </w:pPr>
      <w:r>
        <w:rPr>
          <w:rFonts w:hint="eastAsia"/>
        </w:rPr>
        <w:t>4.3.3供应商投诉应当有明确的请求和必要的证明材料。</w:t>
      </w:r>
    </w:p>
    <w:p>
      <w:pPr>
        <w:pStyle w:val="896"/>
        <w:shd w:val="clear" w:color="auto" w:fill="FFFFFF"/>
        <w:snapToGrid w:val="0"/>
        <w:spacing w:after="240" w:afterAutospacing="0" w:line="360" w:lineRule="auto"/>
        <w:ind w:firstLine="400"/>
        <w:contextualSpacing/>
      </w:pPr>
      <w:r>
        <w:rPr>
          <w:rFonts w:hint="eastAsia"/>
        </w:rPr>
        <w:t>4.3.5 以联合体形式参加政府采购活动的，其投诉应当由组成联合体的所有供应商共同提出。</w:t>
      </w:r>
    </w:p>
    <w:p>
      <w:pPr>
        <w:pStyle w:val="896"/>
        <w:shd w:val="clear" w:color="auto" w:fill="FFFFFF"/>
        <w:snapToGrid w:val="0"/>
        <w:spacing w:after="240" w:afterAutospacing="0" w:line="360" w:lineRule="auto"/>
        <w:ind w:firstLine="400"/>
        <w:contextualSpacing/>
      </w:pPr>
      <w:r>
        <w:rPr>
          <w:rFonts w:hint="eastAsia"/>
        </w:rPr>
        <w:t>投诉书范本及制作说明详见附件3。</w:t>
      </w:r>
    </w:p>
    <w:p>
      <w:pPr>
        <w:pStyle w:val="160"/>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2"/>
        <w:spacing w:line="360" w:lineRule="auto"/>
        <w:rPr>
          <w:rFonts w:hAnsi="宋体" w:cs="宋体"/>
          <w:b/>
          <w:sz w:val="24"/>
          <w:szCs w:val="24"/>
        </w:rPr>
      </w:pPr>
      <w:r>
        <w:rPr>
          <w:rFonts w:hint="eastAsia" w:hAnsi="宋体" w:cs="宋体"/>
          <w:b/>
          <w:sz w:val="24"/>
          <w:szCs w:val="24"/>
        </w:rPr>
        <w:t>5．招标文件的构成</w:t>
      </w:r>
    </w:p>
    <w:p>
      <w:pPr>
        <w:pStyle w:val="32"/>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2"/>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2"/>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2"/>
        <w:spacing w:line="360" w:lineRule="auto"/>
        <w:rPr>
          <w:rFonts w:hAnsi="宋体" w:cs="宋体"/>
          <w:b/>
          <w:sz w:val="24"/>
          <w:szCs w:val="24"/>
        </w:rPr>
      </w:pPr>
      <w:r>
        <w:rPr>
          <w:rFonts w:hint="eastAsia" w:hAnsi="宋体" w:cs="宋体"/>
          <w:b/>
          <w:sz w:val="24"/>
          <w:szCs w:val="24"/>
        </w:rPr>
        <w:t>6. 招标文件的澄清、修改</w:t>
      </w:r>
    </w:p>
    <w:p>
      <w:pPr>
        <w:pStyle w:val="160"/>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pPr>
        <w:pStyle w:val="160"/>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Ansi="宋体" w:cs="宋体"/>
          <w:sz w:val="18"/>
          <w:szCs w:val="18"/>
          <w:lang w:val="en-US"/>
        </w:rPr>
      </w:pPr>
      <w:r>
        <w:rPr>
          <w:rFonts w:hint="eastAsia" w:hAnsi="宋体" w:cs="宋体"/>
          <w:szCs w:val="24"/>
          <w:lang w:val="en-US"/>
        </w:rPr>
        <w:t xml:space="preserve">    </w:t>
      </w: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2"/>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2"/>
        <w:spacing w:line="360" w:lineRule="auto"/>
        <w:rPr>
          <w:rFonts w:hAnsi="宋体" w:cs="宋体"/>
          <w:b/>
          <w:sz w:val="24"/>
          <w:szCs w:val="24"/>
        </w:rPr>
      </w:pPr>
      <w:r>
        <w:rPr>
          <w:rFonts w:hint="eastAsia" w:hAnsi="宋体" w:cs="宋体"/>
          <w:b/>
          <w:sz w:val="24"/>
          <w:szCs w:val="24"/>
        </w:rPr>
        <w:t>8.开标前答疑会或现场考察</w:t>
      </w:r>
    </w:p>
    <w:p>
      <w:pPr>
        <w:pStyle w:val="32"/>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2"/>
        <w:spacing w:line="360" w:lineRule="auto"/>
        <w:rPr>
          <w:rFonts w:hAnsi="宋体" w:cs="宋体"/>
          <w:b/>
          <w:szCs w:val="24"/>
        </w:rPr>
      </w:pPr>
      <w:r>
        <w:rPr>
          <w:rFonts w:hint="eastAsia" w:hAnsi="宋体" w:cs="宋体"/>
          <w:b/>
          <w:kern w:val="28"/>
          <w:sz w:val="24"/>
          <w:szCs w:val="24"/>
        </w:rPr>
        <w:t>9.投标保证金</w:t>
      </w:r>
    </w:p>
    <w:p>
      <w:pPr>
        <w:pStyle w:val="6"/>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2"/>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2"/>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11.1.2落实政府采购政策需满足的资格要求；</w:t>
      </w:r>
    </w:p>
    <w:p>
      <w:pPr>
        <w:snapToGrid w:val="0"/>
        <w:spacing w:line="360" w:lineRule="auto"/>
        <w:ind w:firstLine="960" w:firstLineChars="400"/>
        <w:rPr>
          <w:rFonts w:ascii="宋体" w:hAnsi="宋体" w:cs="宋体"/>
          <w:sz w:val="24"/>
        </w:rPr>
      </w:pPr>
      <w:r>
        <w:rPr>
          <w:rFonts w:hint="eastAsia" w:ascii="宋体" w:hAnsi="宋体" w:cs="宋体"/>
          <w:sz w:val="24"/>
        </w:rPr>
        <w:t>11.1.3本项目的特定资格要求。</w:t>
      </w:r>
    </w:p>
    <w:p>
      <w:pPr>
        <w:snapToGrid w:val="0"/>
        <w:spacing w:line="360" w:lineRule="auto"/>
        <w:ind w:firstLine="482" w:firstLineChars="200"/>
        <w:rPr>
          <w:rFonts w:ascii="宋体" w:hAnsi="宋体" w:cs="宋体"/>
          <w:b/>
          <w:bCs/>
          <w:sz w:val="24"/>
          <w:lang w:val="zh-CN"/>
        </w:rPr>
      </w:pPr>
      <w:r>
        <w:rPr>
          <w:rFonts w:hint="eastAsia" w:ascii="宋体" w:hAnsi="宋体" w:cs="宋体"/>
          <w:b/>
          <w:bCs/>
          <w:sz w:val="24"/>
          <w:lang w:val="zh-CN"/>
        </w:rPr>
        <w:t>11.</w:t>
      </w:r>
      <w:r>
        <w:rPr>
          <w:rFonts w:hint="eastAsia" w:ascii="宋体" w:hAnsi="宋体" w:cs="宋体"/>
          <w:b/>
          <w:bCs/>
          <w:sz w:val="24"/>
        </w:rPr>
        <w:t>2</w:t>
      </w:r>
      <w:r>
        <w:rPr>
          <w:rFonts w:hint="eastAsia" w:ascii="宋体" w:hAnsi="宋体" w:cs="宋体"/>
          <w:b/>
          <w:bCs/>
          <w:sz w:val="24"/>
          <w:lang w:val="zh-CN"/>
        </w:rPr>
        <w:t xml:space="preserve">  </w:t>
      </w:r>
      <w:r>
        <w:rPr>
          <w:rFonts w:hint="eastAsia" w:ascii="宋体" w:hAnsi="宋体" w:cs="宋体"/>
          <w:b/>
          <w:bCs/>
          <w:sz w:val="24"/>
        </w:rPr>
        <w:t>商务技术</w:t>
      </w:r>
      <w:r>
        <w:rPr>
          <w:rFonts w:hint="eastAsia" w:ascii="宋体" w:hAnsi="宋体" w:cs="宋体"/>
          <w:b/>
          <w:bCs/>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11.2.3联合协议；</w:t>
      </w:r>
    </w:p>
    <w:p>
      <w:pPr>
        <w:snapToGrid w:val="0"/>
        <w:spacing w:line="360" w:lineRule="auto"/>
        <w:ind w:firstLine="960" w:firstLineChars="400"/>
        <w:rPr>
          <w:rFonts w:ascii="宋体" w:hAnsi="宋体" w:cs="宋体"/>
          <w:sz w:val="24"/>
        </w:rPr>
      </w:pPr>
      <w:r>
        <w:rPr>
          <w:rFonts w:hint="eastAsia" w:ascii="宋体" w:hAnsi="宋体" w:cs="宋体"/>
          <w:sz w:val="24"/>
        </w:rPr>
        <w:t>11.2.4分包意向协议；</w:t>
      </w:r>
    </w:p>
    <w:p>
      <w:pPr>
        <w:snapToGrid w:val="0"/>
        <w:spacing w:line="360" w:lineRule="auto"/>
        <w:ind w:firstLine="960" w:firstLineChars="400"/>
        <w:rPr>
          <w:rFonts w:ascii="宋体" w:hAnsi="宋体" w:cs="宋体"/>
          <w:sz w:val="24"/>
        </w:rPr>
      </w:pPr>
      <w:r>
        <w:rPr>
          <w:rFonts w:hint="eastAsia" w:ascii="宋体" w:hAnsi="宋体" w:cs="宋体"/>
          <w:sz w:val="24"/>
        </w:rPr>
        <w:t>11.2.5符合性审查资料；</w:t>
      </w:r>
    </w:p>
    <w:p>
      <w:pPr>
        <w:snapToGrid w:val="0"/>
        <w:spacing w:line="360" w:lineRule="auto"/>
        <w:ind w:firstLine="960" w:firstLineChars="400"/>
        <w:rPr>
          <w:rFonts w:ascii="宋体" w:hAnsi="宋体" w:cs="宋体"/>
          <w:sz w:val="24"/>
        </w:rPr>
      </w:pPr>
      <w:r>
        <w:rPr>
          <w:rFonts w:hint="eastAsia" w:ascii="宋体" w:hAnsi="宋体" w:cs="宋体"/>
          <w:sz w:val="24"/>
        </w:rPr>
        <w:t>11.2.6评标标准相应的商务技术资料；</w:t>
      </w:r>
    </w:p>
    <w:p>
      <w:pPr>
        <w:snapToGrid w:val="0"/>
        <w:spacing w:line="360" w:lineRule="auto"/>
        <w:ind w:firstLine="960" w:firstLineChars="400"/>
        <w:rPr>
          <w:rFonts w:ascii="宋体" w:hAnsi="宋体" w:cs="宋体"/>
          <w:sz w:val="24"/>
        </w:rPr>
      </w:pPr>
      <w:r>
        <w:rPr>
          <w:rFonts w:hint="eastAsia" w:ascii="宋体" w:hAnsi="宋体" w:cs="宋体"/>
          <w:sz w:val="24"/>
        </w:rPr>
        <w:t>11.2.7商务技术偏离表；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napToGrid w:val="0"/>
        <w:spacing w:line="360" w:lineRule="auto"/>
        <w:ind w:firstLine="960" w:firstLineChars="400"/>
        <w:rPr>
          <w:rFonts w:ascii="宋体" w:hAnsi="宋体" w:cs="宋体"/>
          <w:sz w:val="24"/>
        </w:rPr>
      </w:pPr>
      <w:r>
        <w:rPr>
          <w:rFonts w:hint="eastAsia" w:ascii="宋体" w:hAnsi="宋体" w:cs="宋体"/>
          <w:sz w:val="24"/>
        </w:rPr>
        <w:t>11.3.2中小企业声明函。</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6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60"/>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60"/>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60"/>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60"/>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60"/>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6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60"/>
        <w:spacing w:before="0"/>
        <w:ind w:firstLine="480"/>
        <w:rPr>
          <w:rFonts w:ascii="宋体" w:hAnsi="宋体" w:cs="宋体"/>
          <w:szCs w:val="24"/>
        </w:rPr>
      </w:pPr>
      <w:r>
        <w:rPr>
          <w:rFonts w:hint="eastAsia" w:ascii="宋体" w:hAnsi="宋体" w:cs="宋体"/>
          <w:szCs w:val="24"/>
        </w:rPr>
        <w:t>14.3采购人、采购机构可以视情况延长投标文件提交的截止时间。在上述情况下，采购机构与投标人以前在投标截止期方面的全部权利、责任和义务，将适用于延长至新的投标截止期。</w:t>
      </w:r>
    </w:p>
    <w:p>
      <w:pPr>
        <w:pStyle w:val="32"/>
        <w:spacing w:line="360" w:lineRule="auto"/>
        <w:rPr>
          <w:rFonts w:hAnsi="宋体" w:cs="宋体"/>
          <w:b/>
          <w:sz w:val="24"/>
          <w:szCs w:val="24"/>
        </w:rPr>
      </w:pPr>
      <w:r>
        <w:rPr>
          <w:rFonts w:hint="eastAsia" w:hAnsi="宋体" w:cs="宋体"/>
          <w:b/>
          <w:sz w:val="24"/>
          <w:szCs w:val="24"/>
        </w:rPr>
        <w:t>15.备份投标文件</w:t>
      </w:r>
    </w:p>
    <w:p>
      <w:pPr>
        <w:pStyle w:val="32"/>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但采购人、采购机构不强制或变相强制投标人提交备份投标文件。</w:t>
      </w:r>
    </w:p>
    <w:p>
      <w:pPr>
        <w:pStyle w:val="32"/>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2"/>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15.3直接提交备份投标文件的，投标人应于投标截止时间前在招标公告中载明的开标地点将备份投标文件提交给采购机构，采购机构将拒绝接受逾期送达的备份投标文件。</w:t>
      </w:r>
    </w:p>
    <w:p>
      <w:pPr>
        <w:pStyle w:val="32"/>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送达时间以签收人签收时间为准。采购机构将拒绝接受逾期送达的备份投标文件。邮寄过程中，电子备份投标文件发生泄露、遗失、损坏或延期送达等情况的，由投标人自行负责。</w:t>
      </w:r>
    </w:p>
    <w:p>
      <w:pPr>
        <w:pStyle w:val="32"/>
        <w:spacing w:line="360" w:lineRule="auto"/>
        <w:ind w:firstLine="479" w:firstLineChars="199"/>
        <w:rPr>
          <w:rFonts w:hAnsi="宋体" w:cs="宋体"/>
          <w:b/>
          <w:sz w:val="24"/>
          <w:szCs w:val="24"/>
        </w:rPr>
      </w:pPr>
      <w:r>
        <w:rPr>
          <w:rFonts w:hint="eastAsia" w:hAnsi="宋体" w:cs="宋体"/>
          <w:b/>
          <w:sz w:val="24"/>
          <w:szCs w:val="24"/>
        </w:rPr>
        <w:t>15.5投标人仅提交备份投标文件，没有在电子交易平台传输递交投标文件的，投标无效。</w:t>
      </w:r>
    </w:p>
    <w:p>
      <w:pPr>
        <w:pStyle w:val="160"/>
        <w:spacing w:before="0"/>
        <w:ind w:firstLine="0" w:firstLineChars="0"/>
        <w:rPr>
          <w:rFonts w:ascii="宋体" w:hAnsi="宋体" w:cs="宋体"/>
          <w:b/>
          <w:szCs w:val="24"/>
        </w:rPr>
      </w:pPr>
      <w:r>
        <w:rPr>
          <w:rFonts w:hint="eastAsia" w:ascii="宋体" w:hAnsi="宋体" w:cs="宋体"/>
          <w:b/>
          <w:szCs w:val="24"/>
        </w:rPr>
        <w:t>16.投标文件的无效处理</w:t>
      </w:r>
    </w:p>
    <w:p>
      <w:pPr>
        <w:pStyle w:val="2"/>
        <w:spacing w:line="360" w:lineRule="auto"/>
        <w:ind w:firstLine="360" w:firstLineChars="150"/>
        <w:rPr>
          <w:rFonts w:cs="宋体"/>
          <w:szCs w:val="21"/>
        </w:rPr>
      </w:pPr>
      <w:r>
        <w:rPr>
          <w:rFonts w:hint="eastAsia" w:cs="宋体"/>
          <w:szCs w:val="21"/>
        </w:rPr>
        <w:t>有招标文件第四部分</w:t>
      </w:r>
      <w:r>
        <w:rPr>
          <w:rFonts w:hint="eastAsia" w:cs="宋体"/>
        </w:rPr>
        <w:t>第13项规定</w:t>
      </w:r>
      <w:r>
        <w:rPr>
          <w:rFonts w:hint="eastAsia" w:cs="宋体"/>
          <w:szCs w:val="21"/>
        </w:rPr>
        <w:t>的情形之一的，投标无效：</w:t>
      </w:r>
    </w:p>
    <w:p>
      <w:pPr>
        <w:pStyle w:val="160"/>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60"/>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60"/>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pPr>
        <w:pStyle w:val="160"/>
        <w:spacing w:before="0"/>
        <w:ind w:firstLine="643"/>
        <w:rPr>
          <w:rFonts w:ascii="宋体" w:hAnsi="宋体" w:cs="宋体"/>
          <w:b/>
          <w:sz w:val="32"/>
        </w:rPr>
      </w:pPr>
    </w:p>
    <w:p>
      <w:pPr>
        <w:pStyle w:val="160"/>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60"/>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pPr>
        <w:pStyle w:val="560"/>
        <w:spacing w:before="0" w:line="360" w:lineRule="auto"/>
        <w:ind w:left="0" w:firstLine="480" w:firstLineChars="200"/>
        <w:contextualSpacing/>
        <w:rPr>
          <w:rFonts w:ascii="宋体" w:hAnsi="宋体" w:cs="宋体"/>
          <w:sz w:val="24"/>
        </w:rPr>
      </w:pPr>
      <w:r>
        <w:rPr>
          <w:rFonts w:hint="eastAsia" w:ascii="宋体" w:hAnsi="宋体" w:cs="宋体"/>
          <w:sz w:val="24"/>
        </w:rPr>
        <w:t>18.1采购机构按照招标文件规定的时间通过电子交易平台组织开标，所有投标人均应当准时在线参加。投标人不足3家的，不得开标。</w:t>
      </w:r>
    </w:p>
    <w:p>
      <w:pPr>
        <w:pStyle w:val="560"/>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18.2开标时，电子交易平台按开标时间自动提取所有投标文件。采购机构依托电子交易平台发起开始解密指令，投标人按照平台提示和招标文件的规定在半小时内完成在线解密。</w:t>
      </w:r>
    </w:p>
    <w:p>
      <w:pPr>
        <w:pStyle w:val="560"/>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pStyle w:val="160"/>
        <w:spacing w:before="0"/>
        <w:ind w:firstLine="480"/>
        <w:rPr>
          <w:rFonts w:ascii="宋体" w:hAnsi="宋体" w:cs="宋体"/>
          <w:kern w:val="0"/>
          <w:szCs w:val="24"/>
        </w:rPr>
      </w:pPr>
      <w:r>
        <w:rPr>
          <w:rFonts w:hint="eastAsia" w:ascii="宋体" w:hAnsi="宋体" w:cs="宋体"/>
          <w:kern w:val="0"/>
          <w:szCs w:val="24"/>
        </w:rPr>
        <w:t>19.1开标后，采购人或采购机构将依法对投标人的资格进行审查。</w:t>
      </w:r>
    </w:p>
    <w:p>
      <w:pPr>
        <w:snapToGrid w:val="0"/>
        <w:spacing w:line="360" w:lineRule="auto"/>
        <w:ind w:firstLine="480" w:firstLineChars="200"/>
        <w:rPr>
          <w:rFonts w:ascii="宋体" w:hAnsi="宋体" w:cs="宋体"/>
          <w:sz w:val="24"/>
        </w:rPr>
      </w:pPr>
      <w:r>
        <w:rPr>
          <w:rFonts w:hint="eastAsia" w:ascii="宋体" w:hAnsi="宋体" w:cs="宋体"/>
          <w:kern w:val="0"/>
          <w:sz w:val="24"/>
        </w:rPr>
        <w:t>19.2</w:t>
      </w:r>
      <w:r>
        <w:rPr>
          <w:rFonts w:hint="eastAsia" w:ascii="宋体" w:hAnsi="宋体" w:cs="宋体"/>
          <w:sz w:val="24"/>
        </w:rPr>
        <w:t>采购人或采购机构依据法律法规和招标文件的规定，对投标人的基本资格条件、特定资格条件进行审查。</w:t>
      </w:r>
    </w:p>
    <w:p>
      <w:pPr>
        <w:pStyle w:val="160"/>
        <w:spacing w:before="0"/>
        <w:ind w:firstLine="480"/>
        <w:rPr>
          <w:rFonts w:ascii="宋体" w:hAnsi="宋体" w:cs="宋体"/>
        </w:rPr>
      </w:pPr>
      <w:r>
        <w:rPr>
          <w:rFonts w:hint="eastAsia" w:ascii="宋体" w:hAnsi="宋体" w:cs="宋体"/>
          <w:kern w:val="0"/>
          <w:szCs w:val="24"/>
        </w:rPr>
        <w:t>19.3投标人未按照招标文件要求提供与</w:t>
      </w:r>
      <w:r>
        <w:rPr>
          <w:rFonts w:hint="eastAsia" w:ascii="宋体" w:hAnsi="宋体" w:cs="宋体"/>
        </w:rPr>
        <w:t>基本资格条件、特定资格条件相应的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60"/>
        <w:spacing w:before="0"/>
        <w:ind w:firstLine="480"/>
        <w:rPr>
          <w:rFonts w:ascii="宋体" w:hAnsi="宋体" w:cs="宋体"/>
        </w:rPr>
      </w:pPr>
      <w:r>
        <w:rPr>
          <w:rFonts w:hint="eastAsia" w:ascii="宋体" w:hAnsi="宋体" w:cs="宋体"/>
          <w:kern w:val="0"/>
          <w:szCs w:val="24"/>
        </w:rPr>
        <w:t>19.</w:t>
      </w:r>
      <w:r>
        <w:rPr>
          <w:rFonts w:hint="eastAsia" w:ascii="宋体" w:hAnsi="宋体" w:cs="宋体"/>
        </w:rPr>
        <w:t>4对未通过资格审查的投标人，采购人或采购机构告知其未通过的原因。</w:t>
      </w:r>
    </w:p>
    <w:p>
      <w:pPr>
        <w:pStyle w:val="160"/>
        <w:spacing w:before="0"/>
        <w:ind w:firstLine="480"/>
        <w:rPr>
          <w:rFonts w:ascii="宋体" w:hAnsi="宋体" w:cs="宋体"/>
        </w:rPr>
      </w:pPr>
      <w:r>
        <w:rPr>
          <w:rFonts w:hint="eastAsia" w:ascii="宋体" w:hAnsi="宋体" w:cs="宋体"/>
          <w:kern w:val="0"/>
          <w:szCs w:val="24"/>
        </w:rPr>
        <w:t>19.</w:t>
      </w:r>
      <w:r>
        <w:rPr>
          <w:rFonts w:hint="eastAsia" w:ascii="宋体" w:hAnsi="宋体" w:cs="宋体"/>
        </w:rPr>
        <w:t>5合格投标人不足3家的，不再评标。</w:t>
      </w:r>
    </w:p>
    <w:p>
      <w:pPr>
        <w:pStyle w:val="160"/>
        <w:spacing w:before="0"/>
        <w:ind w:firstLine="0" w:firstLineChars="0"/>
        <w:rPr>
          <w:rFonts w:ascii="宋体" w:hAnsi="宋体" w:cs="宋体"/>
          <w:b/>
          <w:szCs w:val="24"/>
        </w:rPr>
      </w:pPr>
      <w:r>
        <w:rPr>
          <w:rFonts w:hint="eastAsia" w:ascii="宋体" w:hAnsi="宋体" w:cs="宋体"/>
          <w:b/>
          <w:szCs w:val="24"/>
        </w:rPr>
        <w:t>20、信用信息查询</w:t>
      </w:r>
    </w:p>
    <w:p>
      <w:pPr>
        <w:pStyle w:val="16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20.1信用信息查询渠道及截止时间：采购机构将通过“信用中国”网站(www.creditchina.gov.cn)、中国政府采购网(www.ccgp.gov.cn)渠道查询投标人投标截止时间当天的信用记录。</w:t>
      </w:r>
    </w:p>
    <w:p>
      <w:pPr>
        <w:pStyle w:val="160"/>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60"/>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60"/>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60"/>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3"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六、定标</w:t>
      </w:r>
    </w:p>
    <w:p>
      <w:pPr>
        <w:pStyle w:val="2"/>
        <w:spacing w:line="360" w:lineRule="auto"/>
        <w:ind w:left="479" w:hanging="479" w:hangingChars="199"/>
        <w:rPr>
          <w:rFonts w:cs="宋体"/>
          <w:b/>
        </w:rPr>
      </w:pPr>
      <w:r>
        <w:rPr>
          <w:rFonts w:hint="eastAsia" w:cs="宋体"/>
          <w:b/>
        </w:rPr>
        <w:t>22. 确定中标供应商</w:t>
      </w:r>
    </w:p>
    <w:p>
      <w:pPr>
        <w:pStyle w:val="160"/>
        <w:snapToGrid w:val="0"/>
        <w:spacing w:before="0"/>
        <w:ind w:firstLine="480"/>
        <w:rPr>
          <w:rFonts w:ascii="宋体" w:hAnsi="宋体" w:cs="宋体"/>
          <w:b/>
          <w:szCs w:val="24"/>
        </w:rPr>
      </w:pPr>
      <w:r>
        <w:rPr>
          <w:rFonts w:hint="eastAsia" w:ascii="宋体" w:hAnsi="宋体" w:cs="宋体"/>
          <w:szCs w:val="24"/>
        </w:rPr>
        <w:t>采购人将自收到评审报告之日起5个工作日内通过电子交易平台在评审报告推荐的中标候选人中按顺序确定中标供应商。</w:t>
      </w:r>
    </w:p>
    <w:p>
      <w:pPr>
        <w:pStyle w:val="16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271" w:firstLineChars="150"/>
        <w:jc w:val="center"/>
        <w:rPr>
          <w:rFonts w:ascii="宋体" w:hAnsi="宋体" w:cs="宋体"/>
          <w:b/>
          <w:sz w:val="18"/>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采购人与中标人应当通过电子交易平台在中标通知书发出之日起30日内，按照招标文件确定的事项签订政府采购合同，并在合同签订之日起2个工作日内依法发布合同公告。</w:t>
      </w:r>
    </w:p>
    <w:p>
      <w:pPr>
        <w:pStyle w:val="160"/>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60"/>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60"/>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60"/>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b/>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。履约保证金的数额不得超过政府采购合同金额的5%。鼓励和支持供应商以银行、保险公司出具的保函形式提供履约保证金。</w:t>
      </w:r>
      <w:r>
        <w:rPr>
          <w:rFonts w:hint="eastAsia" w:ascii="宋体" w:hAnsi="宋体" w:cs="宋体"/>
          <w:b/>
          <w:sz w:val="24"/>
        </w:rPr>
        <w:t>采购人不得拒收履约保函。</w:t>
      </w:r>
    </w:p>
    <w:p>
      <w:pPr>
        <w:tabs>
          <w:tab w:val="left" w:pos="0"/>
        </w:tabs>
        <w:spacing w:line="360" w:lineRule="auto"/>
        <w:ind w:firstLine="482"/>
        <w:rPr>
          <w:rFonts w:ascii="宋体" w:hAnsi="宋体" w:cs="宋体"/>
          <w:sz w:val="24"/>
          <w:szCs w:val="20"/>
        </w:rPr>
      </w:pPr>
      <w:r>
        <w:rPr>
          <w:rFonts w:hint="eastAsia" w:ascii="宋体" w:hAnsi="宋体" w:cs="宋体"/>
          <w:sz w:val="24"/>
          <w:szCs w:val="20"/>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2%；评价总分在90分以下或者暂无评分的，收取履约保证金不得高于合同金额5%。</w:t>
      </w:r>
    </w:p>
    <w:p>
      <w:pPr>
        <w:pStyle w:val="4"/>
        <w:ind w:left="0" w:firstLine="480" w:firstLineChars="200"/>
        <w:rPr>
          <w:rFonts w:ascii="宋体" w:hAnsi="宋体" w:eastAsia="宋体" w:cs="宋体"/>
          <w:lang w:val="en-US"/>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1469" w:firstLineChars="1045"/>
        <w:rPr>
          <w:rFonts w:ascii="宋体" w:hAnsi="宋体" w:cs="宋体"/>
          <w:b/>
          <w:sz w:val="14"/>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60"/>
        <w:snapToGrid w:val="0"/>
        <w:spacing w:before="0"/>
        <w:ind w:firstLine="0" w:firstLineChars="0"/>
        <w:rPr>
          <w:rFonts w:ascii="宋体" w:hAnsi="宋体" w:cs="宋体"/>
        </w:rPr>
      </w:pPr>
      <w:r>
        <w:rPr>
          <w:rFonts w:hint="eastAsia" w:ascii="宋体" w:hAnsi="宋体" w:cs="宋体"/>
        </w:rPr>
        <w:t>2</w:t>
      </w:r>
      <w:r>
        <w:rPr>
          <w:rFonts w:hint="eastAsia" w:ascii="宋体" w:hAnsi="宋体" w:cs="宋体"/>
          <w:b/>
          <w:szCs w:val="24"/>
        </w:rPr>
        <w:t>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pPr>
        <w:pStyle w:val="160"/>
        <w:snapToGrid w:val="0"/>
        <w:spacing w:before="0"/>
        <w:ind w:firstLine="480"/>
        <w:rPr>
          <w:rFonts w:ascii="宋体" w:hAnsi="宋体" w:cs="宋体"/>
        </w:rPr>
      </w:pPr>
      <w:r>
        <w:rPr>
          <w:rFonts w:hint="eastAsia" w:ascii="宋体" w:hAnsi="宋体" w:cs="宋体"/>
        </w:rPr>
        <w:t xml:space="preserve">27.1电子交易平台发生故障而无法登录访问的； </w:t>
      </w:r>
    </w:p>
    <w:p>
      <w:pPr>
        <w:pStyle w:val="160"/>
        <w:snapToGrid w:val="0"/>
        <w:spacing w:before="0"/>
        <w:ind w:firstLine="480"/>
        <w:rPr>
          <w:rFonts w:ascii="宋体" w:hAnsi="宋体" w:cs="宋体"/>
        </w:rPr>
      </w:pPr>
      <w:r>
        <w:rPr>
          <w:rFonts w:hint="eastAsia" w:ascii="宋体" w:hAnsi="宋体" w:cs="宋体"/>
        </w:rPr>
        <w:t>27.2电子交易平台应用或数据库出现错误，不能进行正常操作的；</w:t>
      </w:r>
    </w:p>
    <w:p>
      <w:pPr>
        <w:pStyle w:val="160"/>
        <w:snapToGrid w:val="0"/>
        <w:spacing w:before="0"/>
        <w:ind w:firstLine="480"/>
        <w:rPr>
          <w:rFonts w:ascii="宋体" w:hAnsi="宋体" w:cs="宋体"/>
        </w:rPr>
      </w:pPr>
      <w:r>
        <w:rPr>
          <w:rFonts w:hint="eastAsia" w:ascii="宋体" w:hAnsi="宋体" w:cs="宋体"/>
        </w:rPr>
        <w:t>27.3电子交易平台发现严重安全漏洞，有潜在泄密危险的；</w:t>
      </w:r>
    </w:p>
    <w:p>
      <w:pPr>
        <w:pStyle w:val="160"/>
        <w:snapToGrid w:val="0"/>
        <w:spacing w:before="0"/>
        <w:ind w:firstLine="480"/>
        <w:rPr>
          <w:rFonts w:ascii="宋体" w:hAnsi="宋体" w:cs="宋体"/>
        </w:rPr>
      </w:pPr>
      <w:r>
        <w:rPr>
          <w:rFonts w:hint="eastAsia" w:ascii="宋体" w:hAnsi="宋体" w:cs="宋体"/>
        </w:rPr>
        <w:t xml:space="preserve">27.4病毒发作导致不能进行正常操作的； </w:t>
      </w:r>
    </w:p>
    <w:p>
      <w:pPr>
        <w:pStyle w:val="160"/>
        <w:snapToGrid w:val="0"/>
        <w:spacing w:before="0"/>
        <w:ind w:firstLine="480"/>
        <w:rPr>
          <w:rFonts w:ascii="宋体" w:hAnsi="宋体" w:cs="宋体"/>
        </w:rPr>
      </w:pPr>
      <w:r>
        <w:rPr>
          <w:rFonts w:hint="eastAsia" w:ascii="宋体" w:hAnsi="宋体" w:cs="宋体"/>
        </w:rPr>
        <w:t>27.5其他无法保证电子交易的公平、公正和安全的情况。</w:t>
      </w:r>
    </w:p>
    <w:p>
      <w:pPr>
        <w:pStyle w:val="160"/>
        <w:snapToGrid w:val="0"/>
        <w:spacing w:before="0"/>
        <w:ind w:firstLine="0" w:firstLineChars="0"/>
        <w:rPr>
          <w:rFonts w:ascii="宋体" w:hAnsi="宋体" w:cs="宋体"/>
        </w:rPr>
      </w:pPr>
      <w:r>
        <w:rPr>
          <w:rFonts w:hint="eastAsia" w:ascii="宋体" w:hAnsi="宋体" w:cs="宋体"/>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
        <w:spacing w:line="360" w:lineRule="auto"/>
        <w:ind w:firstLine="0" w:firstLineChars="0"/>
        <w:rPr>
          <w:rFonts w:cs="宋体"/>
          <w:b/>
        </w:rPr>
      </w:pPr>
      <w:r>
        <w:rPr>
          <w:rFonts w:hint="eastAsia" w:cs="宋体"/>
          <w:b/>
        </w:rPr>
        <w:t>29.验收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2990"/>
      <w:bookmarkEnd w:id="14"/>
      <w:bookmarkStart w:id="15" w:name="_Hlt75236011"/>
      <w:bookmarkEnd w:id="15"/>
      <w:bookmarkStart w:id="16" w:name="_Hlt74714665"/>
      <w:bookmarkEnd w:id="16"/>
      <w:bookmarkStart w:id="17" w:name="_Hlt75236290"/>
      <w:bookmarkEnd w:id="17"/>
      <w:bookmarkStart w:id="18" w:name="_Hlt75236101"/>
      <w:bookmarkEnd w:id="18"/>
      <w:bookmarkStart w:id="19" w:name="_Hlt68403820"/>
      <w:bookmarkEnd w:id="19"/>
      <w:bookmarkStart w:id="20" w:name="_Hlt68072998"/>
      <w:bookmarkEnd w:id="20"/>
      <w:bookmarkStart w:id="21" w:name="_Hlt74730295"/>
      <w:bookmarkEnd w:id="21"/>
      <w:bookmarkStart w:id="22" w:name="_Hlt68057669"/>
      <w:bookmarkEnd w:id="22"/>
      <w:bookmarkStart w:id="23" w:name="_Hlt74707468"/>
      <w:bookmarkEnd w:id="23"/>
      <w:bookmarkStart w:id="24" w:name="_Hlt74729768"/>
      <w:bookmarkEnd w:id="24"/>
      <w:bookmarkStart w:id="25" w:name="_Hlt68073093"/>
      <w:bookmarkEnd w:id="25"/>
    </w:p>
    <w:bookmarkEnd w:id="11"/>
    <w:bookmarkEnd w:id="12"/>
    <w:p>
      <w:pPr>
        <w:spacing w:line="360" w:lineRule="auto"/>
        <w:jc w:val="center"/>
        <w:outlineLvl w:val="0"/>
        <w:rPr>
          <w:rFonts w:ascii="宋体" w:hAnsi="宋体" w:cs="宋体"/>
          <w:b/>
          <w:sz w:val="36"/>
          <w:szCs w:val="36"/>
        </w:rPr>
      </w:pPr>
      <w:bookmarkStart w:id="26" w:name="第四部分"/>
      <w:r>
        <w:rPr>
          <w:rFonts w:hint="eastAsia" w:ascii="宋体" w:hAnsi="宋体" w:cs="宋体"/>
          <w:b/>
          <w:sz w:val="36"/>
          <w:szCs w:val="36"/>
        </w:rPr>
        <w:t>第三部分   采购需求</w:t>
      </w:r>
    </w:p>
    <w:p>
      <w:pPr>
        <w:pStyle w:val="4"/>
        <w:numPr>
          <w:ilvl w:val="0"/>
          <w:numId w:val="10"/>
        </w:numPr>
        <w:tabs>
          <w:tab w:val="clear" w:pos="432"/>
        </w:tabs>
        <w:spacing w:before="260" w:after="260" w:line="240" w:lineRule="auto"/>
        <w:jc w:val="both"/>
        <w:rPr>
          <w:rFonts w:asciiTheme="majorEastAsia" w:hAnsiTheme="majorEastAsia" w:eastAsiaTheme="majorEastAsia"/>
        </w:rPr>
      </w:pPr>
      <w:bookmarkStart w:id="27" w:name="_Toc91618882"/>
      <w:bookmarkStart w:id="28" w:name="_Toc25749"/>
      <w:r>
        <w:rPr>
          <w:rFonts w:hint="eastAsia" w:asciiTheme="majorEastAsia" w:hAnsiTheme="majorEastAsia" w:eastAsiaTheme="majorEastAsia"/>
        </w:rPr>
        <w:t>项目概况</w:t>
      </w:r>
      <w:bookmarkEnd w:id="27"/>
    </w:p>
    <w:p>
      <w:pPr>
        <w:pStyle w:val="974"/>
        <w:ind w:firstLine="480"/>
        <w:rPr>
          <w:rFonts w:asciiTheme="majorEastAsia" w:hAnsiTheme="majorEastAsia" w:eastAsiaTheme="majorEastAsia"/>
        </w:rPr>
      </w:pPr>
      <w:r>
        <w:rPr>
          <w:rFonts w:hint="eastAsia" w:asciiTheme="majorEastAsia" w:hAnsiTheme="majorEastAsia" w:eastAsiaTheme="majorEastAsia"/>
        </w:rPr>
        <w:t>杭州中策职业学校钱塘学校是杭州市教育局直属公办学校，以国家级重点职高、国家级中职改革发展示范校、浙江省名校--杭州市中策职业学校为发展基础，服务钱塘区打造世界级智能制造产业集群的战略目标，瞄准新经济、新业态，填补新目录下钱塘新区中职专业空白，实现与其他学校错位发展、特色发展的建设定位，推动中策职业教育从“运河时代”迈向“钱塘江时代”。学校地理位置优越，地处杭州都市区东部门户的钱塘区，南邻宽阔快捷的江东大道，西临雄伟壮观的钱塘江与繁华热闹的宝龙商业圈，东接快速通畅的苏台高速。占地面积 270 余亩，建筑面积约 14 万余平方米，是杭州市区规模最大的直属中学，将于2022年9月正式开学。学校规模不断放大，给校园的安全和科学管理带来了非常大的挑战。为预防、震慑犯罪，减少财产损失，保障师生员工的人身安全，完善校园安全防范体系、提高校园整体防控能力，杭州市中策职业学校钱塘学校需要建设校园视频监控、出入口管理、防盗报警、电子围栏、智能消防系统等安全防范综合业务管理于一体的安防综合业务管理系统，创建文明、安全、和谐、美丽的校园环境。</w:t>
      </w:r>
    </w:p>
    <w:p>
      <w:pPr>
        <w:pStyle w:val="974"/>
        <w:ind w:firstLine="480"/>
        <w:rPr>
          <w:rFonts w:asciiTheme="majorEastAsia" w:hAnsiTheme="majorEastAsia" w:eastAsiaTheme="majorEastAsia"/>
        </w:rPr>
      </w:pPr>
      <w:r>
        <w:rPr>
          <w:rFonts w:hint="eastAsia" w:asciiTheme="majorEastAsia" w:hAnsiTheme="majorEastAsia" w:eastAsiaTheme="majorEastAsia"/>
        </w:rPr>
        <w:t>本项目意在建立完善的校园安全技防体系，以校园安防可视化综合管理平台为基础，实现对前端监控摄像机、监控视频存储、出入口抓拍、报警、门禁、行为分析等系统的统一管理，并结合算法应用和软件系统进行联动调度和应用。</w:t>
      </w:r>
    </w:p>
    <w:p>
      <w:pPr>
        <w:pStyle w:val="4"/>
        <w:numPr>
          <w:ilvl w:val="0"/>
          <w:numId w:val="10"/>
        </w:numPr>
        <w:tabs>
          <w:tab w:val="clear" w:pos="432"/>
        </w:tabs>
        <w:spacing w:before="260" w:after="260" w:line="240" w:lineRule="auto"/>
        <w:jc w:val="both"/>
        <w:rPr>
          <w:rFonts w:asciiTheme="majorEastAsia" w:hAnsiTheme="majorEastAsia" w:eastAsiaTheme="majorEastAsia"/>
        </w:rPr>
      </w:pPr>
      <w:bookmarkStart w:id="29" w:name="_Toc91618887"/>
      <w:r>
        <w:rPr>
          <w:rFonts w:hint="eastAsia" w:asciiTheme="majorEastAsia" w:hAnsiTheme="majorEastAsia" w:eastAsiaTheme="majorEastAsia"/>
        </w:rPr>
        <w:t>总体架构</w:t>
      </w:r>
      <w:bookmarkEnd w:id="29"/>
    </w:p>
    <w:p>
      <w:pPr>
        <w:pStyle w:val="974"/>
        <w:ind w:firstLine="480"/>
        <w:rPr>
          <w:rFonts w:asciiTheme="majorEastAsia" w:hAnsiTheme="majorEastAsia" w:eastAsiaTheme="majorEastAsia"/>
        </w:rPr>
      </w:pPr>
      <w:r>
        <w:rPr>
          <w:rFonts w:hint="eastAsia" w:asciiTheme="majorEastAsia" w:hAnsiTheme="majorEastAsia" w:eastAsiaTheme="majorEastAsia"/>
        </w:rPr>
        <w:t>系统主要依托于智慧安防可视化综合管理平台，来实现对视频监控系统、入侵报警系统、门禁系统、校园车辆管理、周界报警、人员轨迹、行为分析、宿管点名等各子系统的综合管理和控制。</w:t>
      </w:r>
    </w:p>
    <w:p>
      <w:pPr>
        <w:pStyle w:val="974"/>
        <w:ind w:firstLine="480"/>
        <w:rPr>
          <w:rFonts w:asciiTheme="majorEastAsia" w:hAnsiTheme="majorEastAsia" w:eastAsiaTheme="majorEastAsia"/>
        </w:rPr>
      </w:pPr>
      <w:r>
        <w:rPr>
          <w:rFonts w:hint="eastAsia" w:asciiTheme="majorEastAsia" w:hAnsiTheme="majorEastAsia" w:eastAsiaTheme="majorEastAsia"/>
        </w:rPr>
        <w:t>系统总体架构图如下图所示：</w:t>
      </w:r>
    </w:p>
    <w:p>
      <w:pPr>
        <w:pStyle w:val="974"/>
        <w:ind w:firstLine="0" w:firstLineChars="0"/>
        <w:rPr>
          <w:rFonts w:asciiTheme="majorEastAsia" w:hAnsiTheme="majorEastAsia" w:eastAsiaTheme="majorEastAsia"/>
        </w:rPr>
      </w:pPr>
    </w:p>
    <w:p>
      <w:pPr>
        <w:pStyle w:val="974"/>
        <w:ind w:firstLine="0" w:firstLineChars="0"/>
        <w:rPr>
          <w:rFonts w:asciiTheme="majorEastAsia" w:hAnsiTheme="majorEastAsia" w:eastAsiaTheme="majorEastAsia"/>
          <w:b/>
          <w:bCs/>
        </w:rPr>
      </w:pPr>
      <w:r>
        <w:rPr>
          <w:rFonts w:hint="eastAsia" w:asciiTheme="majorEastAsia" w:hAnsiTheme="majorEastAsia" w:eastAsiaTheme="majorEastAsia"/>
          <w:b/>
          <w:bCs/>
        </w:rPr>
        <w:drawing>
          <wp:inline distT="0" distB="0" distL="114300" distR="114300">
            <wp:extent cx="5688330" cy="3970020"/>
            <wp:effectExtent l="19050" t="0" r="7531" b="0"/>
            <wp:docPr id="3" name="图片 3" descr="图片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1111"/>
                    <pic:cNvPicPr>
                      <a:picLocks noChangeAspect="1"/>
                    </pic:cNvPicPr>
                  </pic:nvPicPr>
                  <pic:blipFill>
                    <a:blip r:embed="rId26" cstate="print"/>
                    <a:stretch>
                      <a:fillRect/>
                    </a:stretch>
                  </pic:blipFill>
                  <pic:spPr>
                    <a:xfrm>
                      <a:off x="0" y="0"/>
                      <a:ext cx="5691769" cy="3972438"/>
                    </a:xfrm>
                    <a:prstGeom prst="rect">
                      <a:avLst/>
                    </a:prstGeom>
                  </pic:spPr>
                </pic:pic>
              </a:graphicData>
            </a:graphic>
          </wp:inline>
        </w:drawing>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视频监控系统</w:t>
      </w:r>
    </w:p>
    <w:p>
      <w:pPr>
        <w:pStyle w:val="974"/>
        <w:ind w:firstLine="480"/>
        <w:rPr>
          <w:rFonts w:asciiTheme="majorEastAsia" w:hAnsiTheme="majorEastAsia" w:eastAsiaTheme="majorEastAsia"/>
        </w:rPr>
      </w:pPr>
      <w:r>
        <w:rPr>
          <w:rFonts w:hint="eastAsia" w:asciiTheme="majorEastAsia" w:hAnsiTheme="majorEastAsia" w:eastAsiaTheme="majorEastAsia"/>
        </w:rPr>
        <w:t>校园安防系统基于学校网络建设实现纯网络化数字架构。系统建设采用全高清摄像头，提供高质量图像。前端监控点视频信号通过IP摄像机直接与网络交换机连接，通过网络与监控中心服务器连接，服务器通过网络为各个授权用户提供图像信息，实现真正意义上的数字化视频传输系统。系统存储采用后端集中存储模式，提高系统视频图像的管理性、预览实时性、控制灵敏性等功能。整个平安校园监控系统主要由高清摄像机、报警、门禁、卡口、集中存储设备以及平台管理软件组成。</w:t>
      </w:r>
    </w:p>
    <w:p>
      <w:pPr>
        <w:spacing w:line="360" w:lineRule="auto"/>
        <w:ind w:firstLine="482"/>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为了使监控系统更加稳定和方便管理，应将多个监控子系统合成一套监控系统，由统一的服务器来管理。监控中心保卫处可以对所有图像进行实时浏览、云镜控制、录像查询和回放、录像资料下载。中心机房的存储设备进行视频影像的集中存储及调用，视频控制器实现对视频影像的解码上墙及显示屏幕拼接控制，通过平台及控制键盘进行视频影像的控制轮询显示灯，实现中控中心对整个校园的可视化监控管理及系统联动指挥调度的中心点管控。</w:t>
      </w:r>
    </w:p>
    <w:p>
      <w:pPr>
        <w:pStyle w:val="974"/>
        <w:ind w:firstLine="480"/>
        <w:rPr>
          <w:rFonts w:asciiTheme="majorEastAsia" w:hAnsiTheme="majorEastAsia" w:eastAsiaTheme="majorEastAsia"/>
        </w:rPr>
      </w:pPr>
      <w:r>
        <w:rPr>
          <w:rFonts w:hint="eastAsia" w:asciiTheme="majorEastAsia" w:hAnsiTheme="majorEastAsia" w:eastAsiaTheme="majorEastAsia"/>
        </w:rPr>
        <w:t>各个分控中心只有实时监控本区域图像的权限。在网络上的任何一台计算机只需经管理员授权登陆服务器完成对网络中各监控点的控制及浏览（分控中心或客户端），与传统监控相比具有明显的优势，不需重新布线，且前端监控点扩展方便，只要有网络的地方均可设置监控点。</w:t>
      </w:r>
    </w:p>
    <w:p>
      <w:pPr>
        <w:pStyle w:val="974"/>
        <w:ind w:firstLine="480"/>
        <w:rPr>
          <w:rFonts w:asciiTheme="majorEastAsia" w:hAnsiTheme="majorEastAsia" w:eastAsiaTheme="majorEastAsia"/>
        </w:rPr>
      </w:pPr>
      <w:r>
        <w:rPr>
          <w:rFonts w:asciiTheme="majorEastAsia" w:hAnsiTheme="majorEastAsia" w:eastAsiaTheme="majorEastAsia"/>
        </w:rPr>
        <w:t>学校总监控中心可通过网络将有关视频信号上传到市</w:t>
      </w:r>
      <w:r>
        <w:rPr>
          <w:rFonts w:hint="eastAsia" w:asciiTheme="majorEastAsia" w:hAnsiTheme="majorEastAsia" w:eastAsiaTheme="majorEastAsia"/>
        </w:rPr>
        <w:t>教育局</w:t>
      </w:r>
      <w:r>
        <w:rPr>
          <w:rFonts w:asciiTheme="majorEastAsia" w:hAnsiTheme="majorEastAsia" w:eastAsiaTheme="majorEastAsia"/>
        </w:rPr>
        <w:t>或市公安局监控中心，一旦出现突发状况，可实现多部门</w:t>
      </w:r>
      <w:r>
        <w:rPr>
          <w:rFonts w:hint="eastAsia" w:asciiTheme="majorEastAsia" w:hAnsiTheme="majorEastAsia" w:eastAsiaTheme="majorEastAsia"/>
        </w:rPr>
        <w:t>协同工作。同时，采用可视化教学与安防监控中心隔离，可以有效的保证师生的隐私。</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入侵报警系统</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入侵报警系统由各类探测传感器设备组成，可对入侵人、物进行探测报警，可输出报警信号并联动就近摄像机实现后端弹窗报警功能。实时反馈事发现场状况，同时实时联动周边监控视频，把现场实时音视频信息传至监控中心，监控中心可以实时监控事发现场状况，同时系统自动生成工单通过钉钉或微信发送提醒让保卫人员进行现场处理，并反馈处理结果形成闭环。</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阳光厨房子系统</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透明厨房子系统是借助先进的科学技术，结合人性化的设计理念，构造一套系统、高效的食品监管联网视频监控系统，为食品卫生监管工作体系提供可视化服务，进而为广大师生以及人民群众食品卫生保障提供便捷服务。</w:t>
      </w:r>
    </w:p>
    <w:p>
      <w:pPr>
        <w:spacing w:line="360" w:lineRule="auto"/>
        <w:ind w:firstLine="480" w:firstLineChars="200"/>
        <w:rPr>
          <w:rFonts w:cs="宋体" w:asciiTheme="majorEastAsia" w:hAnsiTheme="majorEastAsia" w:eastAsiaTheme="majorEastAsia"/>
          <w:sz w:val="24"/>
          <w:szCs w:val="20"/>
          <w:lang w:bidi="en-US"/>
        </w:rPr>
      </w:pPr>
      <w:r>
        <w:rPr>
          <w:rFonts w:hint="eastAsia" w:cs="宋体" w:asciiTheme="majorEastAsia" w:hAnsiTheme="majorEastAsia" w:eastAsiaTheme="majorEastAsia"/>
          <w:sz w:val="24"/>
          <w:szCs w:val="20"/>
        </w:rPr>
        <w:t>采用视频传输等技术，将学校食堂的操作间、配菜间等关键部位和重点环节，以视频的方式通过云直播技术展示给在校师生、学生家长和社会公众，使“后厨”成为可视、可感、可知的透明厨房，为师生营造一个良好卫生的就餐环境。</w:t>
      </w:r>
    </w:p>
    <w:p>
      <w:pPr>
        <w:pStyle w:val="974"/>
        <w:numPr>
          <w:ilvl w:val="0"/>
          <w:numId w:val="11"/>
        </w:numPr>
        <w:ind w:firstLineChars="0"/>
        <w:rPr>
          <w:rFonts w:asciiTheme="majorEastAsia" w:hAnsiTheme="majorEastAsia" w:eastAsiaTheme="majorEastAsia"/>
          <w:b/>
          <w:bCs/>
        </w:rPr>
      </w:pPr>
      <w:bookmarkStart w:id="30" w:name="_Toc80695779"/>
      <w:bookmarkStart w:id="31" w:name="_Toc90852794"/>
      <w:r>
        <w:rPr>
          <w:rFonts w:hint="eastAsia" w:asciiTheme="majorEastAsia" w:hAnsiTheme="majorEastAsia" w:eastAsiaTheme="majorEastAsia"/>
          <w:b/>
          <w:bCs/>
        </w:rPr>
        <w:t>智慧消防子系统</w:t>
      </w:r>
      <w:bookmarkEnd w:id="30"/>
      <w:bookmarkEnd w:id="31"/>
    </w:p>
    <w:p>
      <w:pPr>
        <w:spacing w:line="360" w:lineRule="auto"/>
        <w:ind w:firstLine="480" w:firstLineChars="200"/>
        <w:rPr>
          <w:rFonts w:asciiTheme="majorEastAsia" w:hAnsiTheme="majorEastAsia" w:eastAsiaTheme="majorEastAsia"/>
          <w:sz w:val="24"/>
          <w:szCs w:val="20"/>
        </w:rPr>
      </w:pPr>
      <w:r>
        <w:rPr>
          <w:rFonts w:hint="eastAsia" w:asciiTheme="majorEastAsia" w:hAnsiTheme="majorEastAsia" w:eastAsiaTheme="majorEastAsia"/>
          <w:sz w:val="24"/>
          <w:szCs w:val="20"/>
        </w:rPr>
        <w:t>校园智慧消防子系统</w:t>
      </w:r>
      <w:r>
        <w:rPr>
          <w:rFonts w:asciiTheme="majorEastAsia" w:hAnsiTheme="majorEastAsia" w:eastAsiaTheme="majorEastAsia"/>
          <w:sz w:val="24"/>
          <w:szCs w:val="20"/>
        </w:rPr>
        <w:t>对</w:t>
      </w:r>
      <w:r>
        <w:rPr>
          <w:rFonts w:hint="eastAsia" w:asciiTheme="majorEastAsia" w:hAnsiTheme="majorEastAsia" w:eastAsiaTheme="majorEastAsia"/>
          <w:sz w:val="24"/>
          <w:szCs w:val="20"/>
        </w:rPr>
        <w:t>校园</w:t>
      </w:r>
      <w:r>
        <w:rPr>
          <w:rFonts w:asciiTheme="majorEastAsia" w:hAnsiTheme="majorEastAsia" w:eastAsiaTheme="majorEastAsia"/>
          <w:sz w:val="24"/>
          <w:szCs w:val="20"/>
        </w:rPr>
        <w:t>消防管理中常见的管理痛点，结合物联网、云计算等新技术发展，解决传统</w:t>
      </w:r>
      <w:r>
        <w:rPr>
          <w:rFonts w:hint="eastAsia" w:asciiTheme="majorEastAsia" w:hAnsiTheme="majorEastAsia" w:eastAsiaTheme="majorEastAsia"/>
          <w:sz w:val="24"/>
          <w:szCs w:val="20"/>
        </w:rPr>
        <w:t>校园消防</w:t>
      </w:r>
      <w:r>
        <w:rPr>
          <w:rFonts w:asciiTheme="majorEastAsia" w:hAnsiTheme="majorEastAsia" w:eastAsiaTheme="majorEastAsia"/>
          <w:sz w:val="24"/>
          <w:szCs w:val="20"/>
        </w:rPr>
        <w:t>管理方式的弊端，向科技要效率，结合“智能安防”，实现消防管理工作智能化、可视化、痕迹化。</w:t>
      </w:r>
      <w:r>
        <w:rPr>
          <w:rFonts w:hint="eastAsia" w:asciiTheme="majorEastAsia" w:hAnsiTheme="majorEastAsia" w:eastAsiaTheme="majorEastAsia"/>
          <w:sz w:val="24"/>
          <w:szCs w:val="20"/>
        </w:rPr>
        <w:t>做到安消联动，</w:t>
      </w:r>
      <w:r>
        <w:rPr>
          <w:rFonts w:asciiTheme="majorEastAsia" w:hAnsiTheme="majorEastAsia" w:eastAsiaTheme="majorEastAsia"/>
          <w:sz w:val="24"/>
          <w:szCs w:val="20"/>
        </w:rPr>
        <w:t>实现传统消防系统联网监控，并将电气火灾系统、消防水系统、消火栓可视化管理、视频监控、设备设施巡查管理、小微场所火灾预警等通过物联网的方式，数据信息化，上传至云平台，将“人防、物防、技防”三结合应用于传统的</w:t>
      </w:r>
      <w:r>
        <w:rPr>
          <w:rFonts w:hint="eastAsia" w:asciiTheme="majorEastAsia" w:hAnsiTheme="majorEastAsia" w:eastAsiaTheme="majorEastAsia"/>
          <w:sz w:val="24"/>
          <w:szCs w:val="20"/>
        </w:rPr>
        <w:t>校园</w:t>
      </w:r>
      <w:r>
        <w:rPr>
          <w:rFonts w:asciiTheme="majorEastAsia" w:hAnsiTheme="majorEastAsia" w:eastAsiaTheme="majorEastAsia"/>
          <w:sz w:val="24"/>
          <w:szCs w:val="20"/>
        </w:rPr>
        <w:t>消防管理和监督。</w:t>
      </w:r>
      <w:r>
        <w:rPr>
          <w:rFonts w:hint="eastAsia" w:asciiTheme="majorEastAsia" w:hAnsiTheme="majorEastAsia" w:eastAsiaTheme="majorEastAsia"/>
          <w:sz w:val="24"/>
          <w:szCs w:val="20"/>
        </w:rPr>
        <w:t>实现对消防核心系统关键信息的感测、分析、整合，从而对消防业务活动的各种需求做出智能响应。打破学校各消防业务系统之间的信息壁垒，使消防信息资源更有效的实现供需对接，推动消防工作模式从传统向现代、被动向主动、单一向综合、人工向智能的发展。同时，</w:t>
      </w:r>
      <w:r>
        <w:rPr>
          <w:rFonts w:asciiTheme="majorEastAsia" w:hAnsiTheme="majorEastAsia" w:eastAsiaTheme="majorEastAsia"/>
          <w:sz w:val="24"/>
          <w:szCs w:val="20"/>
        </w:rPr>
        <w:t>融入了先进的移动互联网技术保证整个方案的通讯稳定性和安全性</w:t>
      </w:r>
      <w:r>
        <w:rPr>
          <w:rFonts w:hint="eastAsia" w:asciiTheme="majorEastAsia" w:hAnsiTheme="majorEastAsia" w:eastAsiaTheme="majorEastAsia"/>
          <w:sz w:val="24"/>
          <w:szCs w:val="20"/>
        </w:rPr>
        <w:t>，真正实现安防和消防的联动。</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出入管理系统</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通过部署停车场综合管理平台实现整个停车场集中统一管理，并对停车场采集的数据进行大数据应用分析，最终实现一站式停车服务、智慧运营管理、以及给第三方应用系统提供数据共享服务。</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学校需要在校园大门口建设人员闸机通道、校内重要场所建设人员识别门禁。其中校门口建设5组闸机通道、双向加装人员识别设备，其中一组通道用于非机动车和行人共用。</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人员轨迹及行为分析系统</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实现</w:t>
      </w:r>
      <w:r>
        <w:rPr>
          <w:rFonts w:cs="宋体" w:asciiTheme="majorEastAsia" w:hAnsiTheme="majorEastAsia" w:eastAsiaTheme="majorEastAsia"/>
          <w:sz w:val="24"/>
          <w:szCs w:val="20"/>
        </w:rPr>
        <w:t>对人、车、警戒等进行布控管理，通过对识别结果进行聚类统计分析，实现对人、车和警戒事件的实时抓拍记录和录像展示，并支持人和车的结构化大数据检索，从而帮助</w:t>
      </w:r>
      <w:r>
        <w:rPr>
          <w:rFonts w:hint="eastAsia" w:cs="宋体" w:asciiTheme="majorEastAsia" w:hAnsiTheme="majorEastAsia" w:eastAsiaTheme="majorEastAsia"/>
          <w:sz w:val="24"/>
          <w:szCs w:val="20"/>
        </w:rPr>
        <w:t>学校</w:t>
      </w:r>
      <w:r>
        <w:rPr>
          <w:rFonts w:cs="宋体" w:asciiTheme="majorEastAsia" w:hAnsiTheme="majorEastAsia" w:eastAsiaTheme="majorEastAsia"/>
          <w:sz w:val="24"/>
          <w:szCs w:val="20"/>
        </w:rPr>
        <w:t>做到</w:t>
      </w:r>
      <w:r>
        <w:rPr>
          <w:rFonts w:hint="eastAsia" w:cs="宋体" w:asciiTheme="majorEastAsia" w:hAnsiTheme="majorEastAsia" w:eastAsiaTheme="majorEastAsia"/>
          <w:sz w:val="24"/>
          <w:szCs w:val="20"/>
        </w:rPr>
        <w:t>校园</w:t>
      </w:r>
      <w:r>
        <w:rPr>
          <w:rFonts w:cs="宋体" w:asciiTheme="majorEastAsia" w:hAnsiTheme="majorEastAsia" w:eastAsiaTheme="majorEastAsia"/>
          <w:sz w:val="24"/>
          <w:szCs w:val="20"/>
        </w:rPr>
        <w:t>的安防事件事前预警、事中监控和事后快速查询的精准管理，提升</w:t>
      </w:r>
      <w:r>
        <w:rPr>
          <w:rFonts w:hint="eastAsia" w:cs="宋体" w:asciiTheme="majorEastAsia" w:hAnsiTheme="majorEastAsia" w:eastAsiaTheme="majorEastAsia"/>
          <w:sz w:val="24"/>
          <w:szCs w:val="20"/>
        </w:rPr>
        <w:t>校园生活</w:t>
      </w:r>
      <w:r>
        <w:rPr>
          <w:rFonts w:cs="宋体" w:asciiTheme="majorEastAsia" w:hAnsiTheme="majorEastAsia" w:eastAsiaTheme="majorEastAsia"/>
          <w:sz w:val="24"/>
          <w:szCs w:val="20"/>
        </w:rPr>
        <w:t>的安全系数。</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系统支持对重点人员、陌生人员和高频人员实施布控管理，实施预警相关人员的抓拍信息，实现对人员的特征搜索、人员轨迹、聚类分析等功能。支持对车辆的识别记录进行展示，包括：抓拍图、车牌号码、车主姓名、车辆身份、设备、归属区域等，支持查看详情和轨迹追溯；系统支持对特定区域进行警戒布控，并支持实时预警和事后记录查证；系统支持多种警戒布控：</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智慧宿舍点名系统</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支持无感知识别技术实时甄别每个进入宿舍楼的人员，实现无感测温，同时系统实时统计分析学生在寝时间、离寝时间、 晚归次数等各种状况，并将报表推送给公寓管理中心、学生的辅导员教师进行相应处置，避免每次大规模查寝所耗费的人力物力。</w:t>
      </w:r>
    </w:p>
    <w:p>
      <w:pPr>
        <w:pStyle w:val="974"/>
        <w:numPr>
          <w:ilvl w:val="0"/>
          <w:numId w:val="11"/>
        </w:numPr>
        <w:ind w:firstLineChars="0"/>
        <w:rPr>
          <w:rFonts w:asciiTheme="majorEastAsia" w:hAnsiTheme="majorEastAsia" w:eastAsiaTheme="majorEastAsia"/>
          <w:b/>
          <w:bCs/>
        </w:rPr>
      </w:pPr>
      <w:r>
        <w:rPr>
          <w:rFonts w:hint="eastAsia" w:asciiTheme="majorEastAsia" w:hAnsiTheme="majorEastAsia" w:eastAsiaTheme="majorEastAsia"/>
          <w:b/>
          <w:bCs/>
        </w:rPr>
        <w:t>校园安防可视化综合管理平台</w:t>
      </w:r>
    </w:p>
    <w:p>
      <w:pPr>
        <w:spacing w:line="360" w:lineRule="auto"/>
        <w:ind w:firstLine="480" w:firstLineChars="200"/>
        <w:rPr>
          <w:rFonts w:cs="宋体" w:asciiTheme="majorEastAsia" w:hAnsiTheme="majorEastAsia" w:eastAsiaTheme="majorEastAsia"/>
          <w:sz w:val="24"/>
          <w:szCs w:val="20"/>
        </w:rPr>
      </w:pPr>
      <w:r>
        <w:rPr>
          <w:rFonts w:hint="eastAsia" w:cs="宋体" w:asciiTheme="majorEastAsia" w:hAnsiTheme="majorEastAsia" w:eastAsiaTheme="majorEastAsia"/>
          <w:sz w:val="24"/>
          <w:szCs w:val="20"/>
        </w:rPr>
        <w:t>是一款灵活、易扩展、高可靠、更专业的安防应用软件，包含电脑端和移动端，以钉钉或微信方式提供前端服务，通过分布式扩展和级联性能以满足中大型项目需求。除基本视频监控业务外，平台支持移动端实时查看、预警回放、目标检测、人员追踪、车牌识别、人数统计、行为分析等AI功能，支持通过增值模块扩展监控可视化大屏、安保工单管理等。主要功能需包含：</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支持连接进来的终端和系统对需要监控的数据进行自定义。</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系统监控的数据内容分为基础数据和业务数据两种类型，需要同时记录内容以及数据产生的时间。</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系统在监控到需要告警级别的数据时，能够在5分钟内自动向相关责任人发送告警通知，为及时处理事件提供支撑。</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系统提供所有终端和系统工作状态的界面展示，对于正常流水数据保存一个月，重要监控数据永久保存。</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支持市场主流通用视频集成。</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具备智能化视频监控管理能力。可对接安防智能监测算法和设备输出结果，通过平台实现安防管理联动，实时监测报警、安防事件工单响应、安防视频移动端推送等功能。</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建立工单系统，当校园出现告警事件时系统生成工单，并派发给对于的维护人员，全程跟踪督办工单流程，工单档案自动生成、提供工单数据查询、分析等功能。</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支持多层级处理及审核功能，覆盖展示大屏/PC端/移动端，按需自定义工单页面样式及内容，支持按用户权限分配不同类型工单处理流程等功能</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数据大屏呈现汇总平台传输的数据和视频内容。完成动态数据的展示，定位匹配空间编码数据和监控设备位置信息。</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数据大屏基础功能模块：包含显示静态数据、动态数据、监控设备数据，工单数据，实时数据，告警联动服务数据等。</w:t>
      </w:r>
    </w:p>
    <w:p>
      <w:pPr>
        <w:pStyle w:val="278"/>
        <w:numPr>
          <w:ilvl w:val="0"/>
          <w:numId w:val="12"/>
        </w:numPr>
        <w:adjustRightInd/>
        <w:ind w:firstLineChars="0"/>
        <w:rPr>
          <w:rFonts w:cs="宋体" w:asciiTheme="majorEastAsia" w:hAnsiTheme="majorEastAsia" w:eastAsiaTheme="majorEastAsia"/>
          <w:szCs w:val="20"/>
        </w:rPr>
      </w:pPr>
      <w:r>
        <w:rPr>
          <w:rFonts w:hint="eastAsia" w:cs="宋体" w:asciiTheme="majorEastAsia" w:hAnsiTheme="majorEastAsia" w:eastAsiaTheme="majorEastAsia"/>
          <w:szCs w:val="20"/>
        </w:rPr>
        <w:t>支持接入钉钉/微信客户端。</w:t>
      </w:r>
    </w:p>
    <w:p>
      <w:pPr>
        <w:widowControl/>
        <w:shd w:val="clear" w:color="auto" w:fill="FFFFFF"/>
        <w:snapToGrid w:val="0"/>
        <w:spacing w:line="360" w:lineRule="auto"/>
        <w:jc w:val="left"/>
        <w:rPr>
          <w:rFonts w:asciiTheme="minorEastAsia" w:hAnsiTheme="minorEastAsia" w:eastAsiaTheme="minorEastAsia" w:cstheme="minorEastAsia"/>
          <w:sz w:val="24"/>
          <w:shd w:val="clear" w:color="auto" w:fill="FFFFFF"/>
        </w:rPr>
        <w:sectPr>
          <w:pgSz w:w="11907" w:h="16840"/>
          <w:pgMar w:top="1474" w:right="1418" w:bottom="1474" w:left="1418" w:header="851" w:footer="851" w:gutter="0"/>
          <w:cols w:space="720" w:num="1"/>
        </w:sectPr>
      </w:pPr>
    </w:p>
    <w:p>
      <w:pPr>
        <w:pStyle w:val="4"/>
        <w:numPr>
          <w:ilvl w:val="0"/>
          <w:numId w:val="10"/>
        </w:numPr>
        <w:tabs>
          <w:tab w:val="clear" w:pos="432"/>
        </w:tabs>
        <w:spacing w:before="260" w:after="260" w:line="240" w:lineRule="auto"/>
        <w:jc w:val="both"/>
        <w:rPr>
          <w:rFonts w:asciiTheme="majorEastAsia" w:hAnsiTheme="majorEastAsia" w:eastAsiaTheme="majorEastAsia"/>
        </w:rPr>
      </w:pPr>
      <w:bookmarkStart w:id="32" w:name="_Toc91618888"/>
      <w:bookmarkStart w:id="33" w:name="_Toc260304487"/>
      <w:bookmarkStart w:id="34" w:name="_Toc353611229"/>
      <w:bookmarkStart w:id="35" w:name="_Toc267319851"/>
      <w:r>
        <w:rPr>
          <w:rFonts w:hint="eastAsia" w:asciiTheme="majorEastAsia" w:hAnsiTheme="majorEastAsia" w:eastAsiaTheme="majorEastAsia"/>
        </w:rPr>
        <w:t>点位清单</w:t>
      </w:r>
      <w:bookmarkEnd w:id="32"/>
    </w:p>
    <w:tbl>
      <w:tblPr>
        <w:tblStyle w:val="63"/>
        <w:tblW w:w="14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017"/>
        <w:gridCol w:w="1571"/>
        <w:gridCol w:w="825"/>
        <w:gridCol w:w="844"/>
        <w:gridCol w:w="844"/>
        <w:gridCol w:w="844"/>
        <w:gridCol w:w="844"/>
        <w:gridCol w:w="839"/>
        <w:gridCol w:w="844"/>
        <w:gridCol w:w="839"/>
        <w:gridCol w:w="821"/>
        <w:gridCol w:w="839"/>
        <w:gridCol w:w="860"/>
        <w:gridCol w:w="86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1#校企合作</w:t>
            </w:r>
          </w:p>
        </w:tc>
        <w:tc>
          <w:tcPr>
            <w:tcW w:w="1017"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1571"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5"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Arial" w:asciiTheme="minorEastAsia" w:hAnsiTheme="minorEastAsia"/>
                <w:b/>
                <w:bCs/>
                <w:szCs w:val="21"/>
              </w:rPr>
              <w:t>红外定焦枪型网络摄像机</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室外枪机</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Arial" w:asciiTheme="minorEastAsia" w:hAnsiTheme="minorEastAsia"/>
                <w:szCs w:val="21"/>
              </w:rPr>
              <w:t>红外定焦防暴半球网络摄像机</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壁装半球</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拾音器</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红外星光球机</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cs="Arial" w:asciiTheme="minorEastAsia" w:hAnsiTheme="minorEastAsia" w:eastAsiaTheme="minorEastAsia"/>
                <w:b/>
                <w:bCs/>
                <w:szCs w:val="21"/>
              </w:rPr>
              <w:t>AI抓拍筒型摄像机</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Arial" w:asciiTheme="minorEastAsia" w:hAnsiTheme="minorEastAsia" w:eastAsiaTheme="minorEastAsia"/>
                <w:b/>
                <w:bCs/>
                <w:szCs w:val="21"/>
              </w:rPr>
              <w:t>全智能鹰眼相机</w:t>
            </w:r>
          </w:p>
        </w:tc>
        <w:tc>
          <w:tcPr>
            <w:tcW w:w="821"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警戒摄像机</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吸顶快球</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Arial" w:asciiTheme="minorEastAsia" w:hAnsiTheme="minorEastAsia" w:eastAsiaTheme="minorEastAsia"/>
                <w:b/>
                <w:bCs/>
                <w:szCs w:val="21"/>
              </w:rPr>
              <w:t>电梯网络摄像机</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Arial" w:asciiTheme="minorEastAsia" w:hAnsiTheme="minorEastAsia" w:eastAsiaTheme="minorEastAsia"/>
                <w:b/>
                <w:bCs/>
                <w:szCs w:val="21"/>
              </w:rPr>
              <w:t>防油污红外定焦枪型网络摄像机</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门禁一体机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电梯</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2#智能制造</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地下一层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非机动车库</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28</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8</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27</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3#公共教学楼</w:t>
            </w:r>
          </w:p>
        </w:tc>
        <w:tc>
          <w:tcPr>
            <w:tcW w:w="1017"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8</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阅览室</w:t>
            </w:r>
          </w:p>
        </w:tc>
        <w:tc>
          <w:tcPr>
            <w:tcW w:w="825"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33</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8</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17</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电梯</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4#风雨操场</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消控室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5#能源服装</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地下一层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下层庭院</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学生社团活动室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文体活动室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非机动车库</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left"/>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室外庭院</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电梯</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教室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6#食堂与现代服务部</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地下一层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自行车库</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工具间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实训室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餐厅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厨房</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30</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28</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非机动车坡道</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餐厅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实训室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餐厅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28</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烹饪实训室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酒店实训室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饭店实训室</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7#看台</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电梯</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出入口</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看台</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看台上空</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8#宿舍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9#宿舍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二楼外墙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10#宿舍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外墙</w:t>
            </w:r>
          </w:p>
        </w:tc>
        <w:tc>
          <w:tcPr>
            <w:tcW w:w="825"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11#宿舍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二楼外墙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12#宿舍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地下一层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下层庭院</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xml:space="preserve">楼梯间 </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2层外墙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13#宿舍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地下一层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下层庭院</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xml:space="preserve">楼梯间 </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2层外墙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6楼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14#宿舍</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1楼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候梯厅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配电房</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2楼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候梯厅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3楼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候梯厅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4楼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候梯厅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5楼</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走廊</w:t>
            </w:r>
          </w:p>
        </w:tc>
        <w:tc>
          <w:tcPr>
            <w:tcW w:w="825" w:type="dxa"/>
            <w:shd w:val="clear" w:color="auto" w:fill="auto"/>
            <w:noWrap/>
            <w:vAlign w:val="center"/>
          </w:tcPr>
          <w:p>
            <w:pPr>
              <w:widowControl/>
              <w:jc w:val="center"/>
              <w:rPr>
                <w:rFonts w:cs="宋体" w:asciiTheme="majorEastAsia" w:hAnsiTheme="majorEastAsia" w:eastAsiaTheme="majorEastAsia"/>
                <w:kern w:val="0"/>
                <w:sz w:val="22"/>
                <w:szCs w:val="22"/>
              </w:rPr>
            </w:pP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电梯</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候梯厅</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地下室</w:t>
            </w:r>
          </w:p>
        </w:tc>
        <w:tc>
          <w:tcPr>
            <w:tcW w:w="1017" w:type="dxa"/>
            <w:vMerge w:val="restart"/>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地下1层</w:t>
            </w: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楼梯间</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10</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vMerge w:val="continue"/>
            <w:vAlign w:val="center"/>
          </w:tcPr>
          <w:p>
            <w:pPr>
              <w:widowControl/>
              <w:jc w:val="left"/>
              <w:rPr>
                <w:rFonts w:cs="宋体" w:asciiTheme="majorEastAsia" w:hAnsiTheme="majorEastAsia" w:eastAsiaTheme="majorEastAsia"/>
                <w:kern w:val="0"/>
                <w:sz w:val="22"/>
                <w:szCs w:val="22"/>
              </w:rPr>
            </w:pPr>
          </w:p>
        </w:tc>
        <w:tc>
          <w:tcPr>
            <w:tcW w:w="1571"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汽车通道</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restart"/>
            <w:shd w:val="clear" w:color="auto" w:fill="auto"/>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室外监控</w:t>
            </w:r>
          </w:p>
        </w:tc>
        <w:tc>
          <w:tcPr>
            <w:tcW w:w="1017"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围墙监控</w:t>
            </w:r>
          </w:p>
        </w:tc>
        <w:tc>
          <w:tcPr>
            <w:tcW w:w="157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围墙</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55</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49" w:type="dxa"/>
            <w:vMerge w:val="continue"/>
            <w:vAlign w:val="center"/>
          </w:tcPr>
          <w:p>
            <w:pPr>
              <w:widowControl/>
              <w:jc w:val="left"/>
              <w:rPr>
                <w:rFonts w:cs="宋体" w:asciiTheme="majorEastAsia" w:hAnsiTheme="majorEastAsia" w:eastAsiaTheme="majorEastAsia"/>
                <w:kern w:val="0"/>
                <w:sz w:val="22"/>
                <w:szCs w:val="22"/>
              </w:rPr>
            </w:pPr>
          </w:p>
        </w:tc>
        <w:tc>
          <w:tcPr>
            <w:tcW w:w="1017" w:type="dxa"/>
            <w:shd w:val="clear" w:color="auto" w:fill="auto"/>
            <w:noWrap/>
            <w:vAlign w:val="center"/>
          </w:tcPr>
          <w:p>
            <w:pPr>
              <w:widowControl/>
              <w:jc w:val="center"/>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园区监控</w:t>
            </w:r>
          </w:p>
        </w:tc>
        <w:tc>
          <w:tcPr>
            <w:tcW w:w="157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园区</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112</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4"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66</w:t>
            </w:r>
          </w:p>
        </w:tc>
        <w:tc>
          <w:tcPr>
            <w:tcW w:w="839" w:type="dxa"/>
            <w:shd w:val="clear" w:color="auto" w:fill="auto"/>
            <w:noWrap/>
            <w:vAlign w:val="center"/>
          </w:tcPr>
          <w:p>
            <w:pPr>
              <w:widowControl/>
              <w:jc w:val="left"/>
              <w:rPr>
                <w:rFonts w:cs="宋体" w:asciiTheme="majorEastAsia" w:hAnsiTheme="majorEastAsia" w:eastAsiaTheme="majorEastAsia"/>
                <w:kern w:val="0"/>
                <w:sz w:val="22"/>
                <w:szCs w:val="22"/>
              </w:rPr>
            </w:pPr>
            <w:r>
              <w:rPr>
                <w:rFonts w:hint="eastAsia" w:cs="宋体" w:asciiTheme="majorEastAsia" w:hAnsiTheme="majorEastAsia" w:eastAsiaTheme="majorEastAsia"/>
                <w:kern w:val="0"/>
                <w:sz w:val="22"/>
                <w:szCs w:val="22"/>
              </w:rPr>
              <w:t>　</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28</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　</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37" w:type="dxa"/>
            <w:gridSpan w:val="3"/>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合计</w:t>
            </w:r>
          </w:p>
        </w:tc>
        <w:tc>
          <w:tcPr>
            <w:tcW w:w="825"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738</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169</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445</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153</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153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44"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214</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w:t>
            </w:r>
          </w:p>
        </w:tc>
        <w:tc>
          <w:tcPr>
            <w:tcW w:w="821"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83</w:t>
            </w:r>
          </w:p>
        </w:tc>
        <w:tc>
          <w:tcPr>
            <w:tcW w:w="839"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6</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12</w:t>
            </w:r>
          </w:p>
        </w:tc>
        <w:tc>
          <w:tcPr>
            <w:tcW w:w="86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30</w:t>
            </w:r>
          </w:p>
        </w:tc>
        <w:tc>
          <w:tcPr>
            <w:tcW w:w="840" w:type="dxa"/>
            <w:shd w:val="clear" w:color="auto" w:fill="auto"/>
            <w:noWrap/>
            <w:vAlign w:val="center"/>
          </w:tcPr>
          <w:p>
            <w:pPr>
              <w:widowControl/>
              <w:jc w:val="center"/>
              <w:rPr>
                <w:rFonts w:cs="宋体" w:asciiTheme="majorEastAsia" w:hAnsiTheme="majorEastAsia" w:eastAsiaTheme="majorEastAsia"/>
                <w:b/>
                <w:bCs/>
                <w:kern w:val="0"/>
                <w:sz w:val="22"/>
                <w:szCs w:val="22"/>
              </w:rPr>
            </w:pPr>
            <w:r>
              <w:rPr>
                <w:rFonts w:hint="eastAsia" w:cs="宋体" w:asciiTheme="majorEastAsia" w:hAnsiTheme="majorEastAsia" w:eastAsiaTheme="majorEastAsia"/>
                <w:b/>
                <w:bCs/>
                <w:kern w:val="0"/>
                <w:sz w:val="22"/>
                <w:szCs w:val="22"/>
              </w:rPr>
              <w:t>45</w:t>
            </w:r>
          </w:p>
        </w:tc>
      </w:tr>
    </w:tbl>
    <w:p>
      <w:pPr>
        <w:pStyle w:val="974"/>
        <w:ind w:firstLine="0" w:firstLineChars="0"/>
        <w:rPr>
          <w:rFonts w:asciiTheme="majorEastAsia" w:hAnsiTheme="majorEastAsia" w:eastAsiaTheme="majorEastAsia"/>
        </w:rPr>
      </w:pPr>
    </w:p>
    <w:p>
      <w:pPr>
        <w:pStyle w:val="974"/>
        <w:ind w:firstLine="0" w:firstLineChars="0"/>
        <w:rPr>
          <w:rFonts w:asciiTheme="majorEastAsia" w:hAnsiTheme="majorEastAsia" w:eastAsiaTheme="majorEastAsia"/>
        </w:rPr>
      </w:pPr>
    </w:p>
    <w:p>
      <w:pPr>
        <w:pStyle w:val="974"/>
        <w:ind w:firstLine="0" w:firstLineChars="0"/>
        <w:rPr>
          <w:rFonts w:asciiTheme="majorEastAsia" w:hAnsiTheme="majorEastAsia" w:eastAsiaTheme="majorEastAsia"/>
        </w:rPr>
        <w:sectPr>
          <w:pgSz w:w="16838" w:h="11906" w:orient="landscape"/>
          <w:pgMar w:top="1418" w:right="1440" w:bottom="1418" w:left="1440" w:header="851" w:footer="992" w:gutter="0"/>
          <w:cols w:space="425" w:num="1"/>
          <w:docGrid w:type="lines" w:linePitch="312" w:charSpace="0"/>
        </w:sectPr>
      </w:pPr>
    </w:p>
    <w:p>
      <w:pPr>
        <w:pStyle w:val="974"/>
        <w:ind w:firstLine="0" w:firstLineChars="0"/>
        <w:rPr>
          <w:rFonts w:asciiTheme="majorEastAsia" w:hAnsiTheme="majorEastAsia" w:eastAsiaTheme="majorEastAsia"/>
        </w:rPr>
      </w:pPr>
    </w:p>
    <w:tbl>
      <w:tblPr>
        <w:tblStyle w:val="63"/>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80"/>
        <w:gridCol w:w="1116"/>
        <w:gridCol w:w="853"/>
        <w:gridCol w:w="853"/>
        <w:gridCol w:w="853"/>
        <w:gridCol w:w="1159"/>
        <w:gridCol w:w="121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589" w:type="dxa"/>
            <w:gridSpan w:val="8"/>
            <w:tcBorders>
              <w:top w:val="nil"/>
              <w:left w:val="nil"/>
              <w:bottom w:val="single" w:color="auto" w:sz="4" w:space="0"/>
              <w:right w:val="nil"/>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b/>
                <w:bCs/>
                <w:sz w:val="28"/>
                <w:szCs w:val="28"/>
              </w:rPr>
              <w:t>入侵报警系统设备数量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642" w:type="dxa"/>
            <w:tcBorders>
              <w:top w:val="single" w:color="auto" w:sz="4" w:space="0"/>
            </w:tcBorders>
            <w:shd w:val="clear" w:color="auto" w:fill="auto"/>
            <w:noWrap/>
            <w:tcMar>
              <w:top w:w="15" w:type="dxa"/>
              <w:left w:w="15" w:type="dxa"/>
              <w:bottom w:w="0" w:type="dxa"/>
              <w:right w:w="15" w:type="dxa"/>
            </w:tcMar>
            <w:vAlign w:val="center"/>
          </w:tcPr>
          <w:p>
            <w:pPr>
              <w:jc w:val="center"/>
              <w:rPr>
                <w:rFonts w:cs="宋体" w:asciiTheme="majorEastAsia" w:hAnsiTheme="majorEastAsia" w:eastAsiaTheme="majorEastAsia"/>
                <w:b/>
                <w:bCs/>
                <w:sz w:val="22"/>
                <w:szCs w:val="22"/>
              </w:rPr>
            </w:pPr>
          </w:p>
        </w:tc>
        <w:tc>
          <w:tcPr>
            <w:tcW w:w="1091" w:type="dxa"/>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2"/>
                <w:szCs w:val="22"/>
              </w:rPr>
            </w:pPr>
          </w:p>
        </w:tc>
        <w:tc>
          <w:tcPr>
            <w:tcW w:w="0" w:type="auto"/>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壁挂红外</w:t>
            </w:r>
          </w:p>
        </w:tc>
        <w:tc>
          <w:tcPr>
            <w:tcW w:w="0" w:type="auto"/>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吸顶红外</w:t>
            </w:r>
          </w:p>
        </w:tc>
        <w:tc>
          <w:tcPr>
            <w:tcW w:w="0" w:type="auto"/>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手动报警</w:t>
            </w:r>
          </w:p>
        </w:tc>
        <w:tc>
          <w:tcPr>
            <w:tcW w:w="1133" w:type="dxa"/>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二防区模块</w:t>
            </w:r>
          </w:p>
        </w:tc>
        <w:tc>
          <w:tcPr>
            <w:tcW w:w="1191" w:type="dxa"/>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八防区模块</w:t>
            </w:r>
          </w:p>
        </w:tc>
        <w:tc>
          <w:tcPr>
            <w:tcW w:w="0" w:type="auto"/>
            <w:tcBorders>
              <w:top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报警主机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1#校企合作</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14</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2#智能制造</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地下一层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3#公共教学楼</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4#风雨操场</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5#能源服装</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地下一层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6#食堂与现代服务部</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地下一层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15</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7#看台</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8#宿舍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9#宿舍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11#宿舍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12#宿舍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地下一层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13#宿舍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地下一层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6楼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restart"/>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14#宿舍</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4楼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5楼</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vMerge w:val="continue"/>
            <w:vAlign w:val="center"/>
          </w:tcPr>
          <w:p>
            <w:pPr>
              <w:jc w:val="center"/>
              <w:rPr>
                <w:rFonts w:cs="宋体" w:asciiTheme="majorEastAsia" w:hAnsiTheme="majorEastAsia" w:eastAsiaTheme="majorEastAsia"/>
                <w:sz w:val="20"/>
                <w:szCs w:val="20"/>
              </w:rPr>
            </w:pPr>
          </w:p>
        </w:tc>
        <w:tc>
          <w:tcPr>
            <w:tcW w:w="1091"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屋面</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地下室</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地下1层</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16</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642" w:type="dxa"/>
            <w:shd w:val="clear" w:color="auto" w:fill="auto"/>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17#门卫室</w:t>
            </w:r>
          </w:p>
        </w:tc>
        <w:tc>
          <w:tcPr>
            <w:tcW w:w="10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733" w:type="dxa"/>
            <w:gridSpan w:val="2"/>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合计</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83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29</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3</w:t>
            </w:r>
          </w:p>
        </w:tc>
        <w:tc>
          <w:tcPr>
            <w:tcW w:w="1133"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8</w:t>
            </w:r>
          </w:p>
        </w:tc>
        <w:tc>
          <w:tcPr>
            <w:tcW w:w="1191" w:type="dxa"/>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13</w:t>
            </w:r>
          </w:p>
        </w:tc>
        <w:tc>
          <w:tcPr>
            <w:tcW w:w="0" w:type="auto"/>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bl>
    <w:p>
      <w:pPr>
        <w:widowControl/>
        <w:jc w:val="center"/>
        <w:rPr>
          <w:rFonts w:asciiTheme="majorEastAsia" w:hAnsiTheme="majorEastAsia" w:eastAsiaTheme="majorEastAsia"/>
          <w:sz w:val="18"/>
          <w:szCs w:val="21"/>
        </w:rPr>
      </w:pPr>
    </w:p>
    <w:tbl>
      <w:tblPr>
        <w:tblStyle w:val="63"/>
        <w:tblW w:w="8642" w:type="dxa"/>
        <w:jc w:val="center"/>
        <w:tblLayout w:type="autofit"/>
        <w:tblCellMar>
          <w:top w:w="0" w:type="dxa"/>
          <w:left w:w="0" w:type="dxa"/>
          <w:bottom w:w="0" w:type="dxa"/>
          <w:right w:w="0" w:type="dxa"/>
        </w:tblCellMar>
      </w:tblPr>
      <w:tblGrid>
        <w:gridCol w:w="2388"/>
        <w:gridCol w:w="2003"/>
        <w:gridCol w:w="1929"/>
        <w:gridCol w:w="2322"/>
      </w:tblGrid>
      <w:tr>
        <w:tblPrEx>
          <w:tblCellMar>
            <w:top w:w="0" w:type="dxa"/>
            <w:left w:w="0" w:type="dxa"/>
            <w:bottom w:w="0" w:type="dxa"/>
            <w:right w:w="0" w:type="dxa"/>
          </w:tblCellMar>
        </w:tblPrEx>
        <w:trPr>
          <w:trHeight w:val="529" w:hRule="atLeast"/>
          <w:jc w:val="center"/>
        </w:trPr>
        <w:tc>
          <w:tcPr>
            <w:tcW w:w="8642" w:type="dxa"/>
            <w:gridSpan w:val="4"/>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rPr>
                <w:rFonts w:cs="宋体" w:asciiTheme="majorEastAsia" w:hAnsiTheme="majorEastAsia" w:eastAsiaTheme="majorEastAsia"/>
                <w:b/>
                <w:bCs/>
                <w:kern w:val="0"/>
                <w:sz w:val="22"/>
                <w:szCs w:val="22"/>
              </w:rPr>
            </w:pPr>
            <w:r>
              <w:rPr>
                <w:rFonts w:hint="eastAsia" w:asciiTheme="majorEastAsia" w:hAnsiTheme="majorEastAsia" w:eastAsiaTheme="majorEastAsia"/>
                <w:b/>
                <w:bCs/>
                <w:sz w:val="22"/>
                <w:szCs w:val="22"/>
              </w:rPr>
              <w:t>周界设备数量</w:t>
            </w:r>
          </w:p>
        </w:tc>
      </w:tr>
      <w:tr>
        <w:tblPrEx>
          <w:tblCellMar>
            <w:top w:w="0" w:type="dxa"/>
            <w:left w:w="0" w:type="dxa"/>
            <w:bottom w:w="0" w:type="dxa"/>
            <w:right w:w="0" w:type="dxa"/>
          </w:tblCellMar>
        </w:tblPrEx>
        <w:trPr>
          <w:trHeight w:val="52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防区主机</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4口光纤盒</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声光报警器</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防区1</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防区2</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防区3</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防区4</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防区5</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防区6</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防区7</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防区8</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防区9</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32"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防区10</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w:t>
            </w:r>
          </w:p>
        </w:tc>
      </w:tr>
      <w:tr>
        <w:tblPrEx>
          <w:tblCellMar>
            <w:top w:w="0" w:type="dxa"/>
            <w:left w:w="0" w:type="dxa"/>
            <w:bottom w:w="0" w:type="dxa"/>
            <w:right w:w="0" w:type="dxa"/>
          </w:tblCellMar>
        </w:tblPrEx>
        <w:trPr>
          <w:trHeight w:val="499" w:hRule="atLeast"/>
          <w:jc w:val="center"/>
        </w:trPr>
        <w:tc>
          <w:tcPr>
            <w:tcW w:w="2388" w:type="dxa"/>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合计</w:t>
            </w:r>
          </w:p>
        </w:tc>
        <w:tc>
          <w:tcPr>
            <w:tcW w:w="2003"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1929"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c>
          <w:tcPr>
            <w:tcW w:w="2322" w:type="dxa"/>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Theme="majorEastAsia" w:hAnsiTheme="majorEastAsia" w:eastAsiaTheme="majorEastAsia"/>
                <w:sz w:val="20"/>
                <w:szCs w:val="20"/>
              </w:rPr>
            </w:pPr>
            <w:r>
              <w:rPr>
                <w:rFonts w:hint="eastAsia" w:asciiTheme="majorEastAsia" w:hAnsiTheme="majorEastAsia" w:eastAsiaTheme="majorEastAsia"/>
                <w:sz w:val="20"/>
                <w:szCs w:val="20"/>
              </w:rPr>
              <w:t>10</w:t>
            </w:r>
          </w:p>
        </w:tc>
      </w:tr>
    </w:tbl>
    <w:p>
      <w:pPr>
        <w:widowControl/>
        <w:jc w:val="center"/>
        <w:rPr>
          <w:rFonts w:asciiTheme="majorEastAsia" w:hAnsiTheme="majorEastAsia" w:eastAsiaTheme="majorEastAsia"/>
          <w:sz w:val="18"/>
          <w:szCs w:val="21"/>
        </w:rPr>
      </w:pPr>
    </w:p>
    <w:p>
      <w:pPr>
        <w:widowControl/>
        <w:jc w:val="center"/>
        <w:rPr>
          <w:rFonts w:asciiTheme="majorEastAsia" w:hAnsiTheme="majorEastAsia" w:eastAsiaTheme="majorEastAsia"/>
          <w:b/>
          <w:sz w:val="24"/>
          <w:szCs w:val="21"/>
        </w:rPr>
      </w:pPr>
      <w:r>
        <w:rPr>
          <w:rFonts w:asciiTheme="majorEastAsia" w:hAnsiTheme="majorEastAsia" w:eastAsiaTheme="majorEastAsia"/>
          <w:sz w:val="18"/>
          <w:szCs w:val="21"/>
        </w:rPr>
        <w:br w:type="page"/>
      </w:r>
    </w:p>
    <w:p>
      <w:pPr>
        <w:pStyle w:val="4"/>
        <w:numPr>
          <w:ilvl w:val="1"/>
          <w:numId w:val="0"/>
        </w:numPr>
        <w:tabs>
          <w:tab w:val="clear" w:pos="432"/>
        </w:tabs>
        <w:spacing w:before="260" w:after="260" w:line="413" w:lineRule="auto"/>
        <w:ind w:left="575" w:hanging="575"/>
        <w:jc w:val="both"/>
        <w:rPr>
          <w:rFonts w:asciiTheme="majorEastAsia" w:hAnsiTheme="majorEastAsia" w:eastAsiaTheme="majorEastAsia"/>
        </w:rPr>
        <w:sectPr>
          <w:pgSz w:w="11906" w:h="16838"/>
          <w:pgMar w:top="1440" w:right="1418" w:bottom="1440" w:left="1418" w:header="851" w:footer="992" w:gutter="0"/>
          <w:cols w:space="425" w:num="1"/>
          <w:docGrid w:type="lines" w:linePitch="312" w:charSpace="0"/>
        </w:sectPr>
      </w:pPr>
    </w:p>
    <w:p>
      <w:pPr>
        <w:pStyle w:val="4"/>
        <w:numPr>
          <w:ilvl w:val="0"/>
          <w:numId w:val="10"/>
        </w:numPr>
        <w:tabs>
          <w:tab w:val="clear" w:pos="432"/>
        </w:tabs>
        <w:spacing w:before="260" w:after="260" w:line="240" w:lineRule="auto"/>
        <w:jc w:val="both"/>
        <w:rPr>
          <w:rFonts w:asciiTheme="majorEastAsia" w:hAnsiTheme="majorEastAsia" w:eastAsiaTheme="majorEastAsia"/>
        </w:rPr>
      </w:pPr>
      <w:bookmarkStart w:id="36" w:name="_Toc91618889"/>
      <w:r>
        <w:rPr>
          <w:rFonts w:hint="eastAsia" w:asciiTheme="majorEastAsia" w:hAnsiTheme="majorEastAsia" w:eastAsiaTheme="majorEastAsia"/>
        </w:rPr>
        <w:t>配置清单</w:t>
      </w:r>
      <w:bookmarkEnd w:id="36"/>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5"/>
        <w:gridCol w:w="2001"/>
        <w:gridCol w:w="13"/>
        <w:gridCol w:w="9087"/>
        <w:gridCol w:w="993"/>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noWrap/>
            <w:vAlign w:val="center"/>
          </w:tcPr>
          <w:p>
            <w:pPr>
              <w:snapToGrid w:val="0"/>
              <w:spacing w:line="276" w:lineRule="auto"/>
              <w:jc w:val="center"/>
              <w:rPr>
                <w:rFonts w:asciiTheme="minorEastAsia" w:hAnsiTheme="minorEastAsia"/>
                <w:b/>
                <w:bCs/>
                <w:szCs w:val="21"/>
              </w:rPr>
            </w:pPr>
            <w:r>
              <w:rPr>
                <w:rFonts w:asciiTheme="minorEastAsia" w:hAnsiTheme="minorEastAsia"/>
                <w:b/>
                <w:bCs/>
                <w:szCs w:val="21"/>
              </w:rPr>
              <w:t>序号</w:t>
            </w:r>
          </w:p>
        </w:tc>
        <w:tc>
          <w:tcPr>
            <w:tcW w:w="2029" w:type="dxa"/>
            <w:gridSpan w:val="3"/>
            <w:noWrap/>
            <w:vAlign w:val="center"/>
          </w:tcPr>
          <w:p>
            <w:pPr>
              <w:snapToGrid w:val="0"/>
              <w:spacing w:line="276" w:lineRule="auto"/>
              <w:jc w:val="center"/>
              <w:rPr>
                <w:rFonts w:asciiTheme="minorEastAsia" w:hAnsiTheme="minorEastAsia"/>
                <w:b/>
                <w:bCs/>
                <w:szCs w:val="21"/>
              </w:rPr>
            </w:pPr>
            <w:r>
              <w:rPr>
                <w:rFonts w:asciiTheme="minorEastAsia" w:hAnsiTheme="minorEastAsia"/>
                <w:b/>
                <w:bCs/>
                <w:szCs w:val="21"/>
              </w:rPr>
              <w:t>产品名称</w:t>
            </w:r>
          </w:p>
        </w:tc>
        <w:tc>
          <w:tcPr>
            <w:tcW w:w="9087" w:type="dxa"/>
            <w:noWrap/>
            <w:vAlign w:val="center"/>
          </w:tcPr>
          <w:p>
            <w:pPr>
              <w:snapToGrid w:val="0"/>
              <w:spacing w:line="276" w:lineRule="auto"/>
              <w:jc w:val="center"/>
              <w:rPr>
                <w:rFonts w:asciiTheme="minorEastAsia" w:hAnsiTheme="minorEastAsia"/>
                <w:b/>
                <w:bCs/>
                <w:szCs w:val="21"/>
              </w:rPr>
            </w:pPr>
            <w:r>
              <w:rPr>
                <w:rFonts w:asciiTheme="minorEastAsia" w:hAnsiTheme="minorEastAsia"/>
                <w:b/>
                <w:bCs/>
                <w:szCs w:val="21"/>
              </w:rPr>
              <w:t>参数简介</w:t>
            </w:r>
          </w:p>
        </w:tc>
        <w:tc>
          <w:tcPr>
            <w:tcW w:w="993" w:type="dxa"/>
            <w:noWrap/>
            <w:vAlign w:val="center"/>
          </w:tcPr>
          <w:p>
            <w:pPr>
              <w:snapToGrid w:val="0"/>
              <w:spacing w:line="276" w:lineRule="auto"/>
              <w:jc w:val="center"/>
              <w:rPr>
                <w:rFonts w:asciiTheme="minorEastAsia" w:hAnsiTheme="minorEastAsia"/>
                <w:b/>
                <w:bCs/>
                <w:szCs w:val="21"/>
              </w:rPr>
            </w:pPr>
            <w:r>
              <w:rPr>
                <w:rFonts w:asciiTheme="minorEastAsia" w:hAnsiTheme="minorEastAsia"/>
                <w:b/>
                <w:bCs/>
                <w:szCs w:val="21"/>
              </w:rPr>
              <w:t>数量</w:t>
            </w:r>
          </w:p>
        </w:tc>
        <w:tc>
          <w:tcPr>
            <w:tcW w:w="811" w:type="dxa"/>
            <w:noWrap/>
            <w:vAlign w:val="center"/>
          </w:tcPr>
          <w:p>
            <w:pPr>
              <w:snapToGrid w:val="0"/>
              <w:spacing w:line="276" w:lineRule="auto"/>
              <w:jc w:val="center"/>
              <w:rPr>
                <w:rFonts w:asciiTheme="minorEastAsia" w:hAnsiTheme="minorEastAsia"/>
                <w:b/>
                <w:bCs/>
                <w:szCs w:val="21"/>
              </w:rPr>
            </w:pPr>
            <w:r>
              <w:rPr>
                <w:rFonts w:asciiTheme="minorEastAsia" w:hAnsiTheme="minorEastAsia"/>
                <w:b/>
                <w:bCs/>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asciiTheme="minorEastAsia" w:hAnsiTheme="minorEastAsia"/>
                <w:szCs w:val="21"/>
              </w:rPr>
              <w:t>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▼红外定焦枪型网络摄像机</w:t>
            </w:r>
          </w:p>
        </w:tc>
        <w:tc>
          <w:tcPr>
            <w:tcW w:w="9087" w:type="dxa"/>
            <w:vAlign w:val="center"/>
          </w:tcPr>
          <w:p>
            <w:pPr>
              <w:snapToGrid w:val="0"/>
              <w:spacing w:line="276" w:lineRule="auto"/>
              <w:rPr>
                <w:rFonts w:cs="Arial" w:asciiTheme="minorEastAsia" w:hAnsiTheme="minorEastAsia"/>
                <w:szCs w:val="21"/>
              </w:rPr>
            </w:pPr>
            <w:r>
              <w:rPr>
                <w:rFonts w:hint="eastAsia" w:cs="仿宋" w:asciiTheme="minorEastAsia" w:hAnsiTheme="minorEastAsia"/>
                <w:bCs/>
                <w:kern w:val="0"/>
                <w:szCs w:val="21"/>
              </w:rPr>
              <w:t>4</w:t>
            </w:r>
            <w:r>
              <w:rPr>
                <w:rFonts w:hint="eastAsia" w:cs="Arial" w:asciiTheme="minorEastAsia" w:hAnsiTheme="minorEastAsia"/>
                <w:szCs w:val="21"/>
              </w:rPr>
              <w:t>00万及以上网络摄像机</w:t>
            </w:r>
            <w:r>
              <w:rPr>
                <w:rFonts w:hint="eastAsia" w:cs="Arial" w:asciiTheme="minorEastAsia" w:hAnsiTheme="minorEastAsia"/>
                <w:szCs w:val="21"/>
              </w:rPr>
              <w:br w:type="textWrapping"/>
            </w:r>
            <w:r>
              <w:rPr>
                <w:rFonts w:hint="eastAsia" w:cs="Arial" w:asciiTheme="minorEastAsia" w:hAnsiTheme="minorEastAsia"/>
                <w:szCs w:val="21"/>
              </w:rPr>
              <w:t>支持Smart侦测：10项事件检测，1项异常检测</w:t>
            </w:r>
            <w:r>
              <w:rPr>
                <w:rFonts w:hint="eastAsia" w:cs="Arial" w:asciiTheme="minorEastAsia" w:hAnsiTheme="minorEastAsia"/>
                <w:szCs w:val="21"/>
              </w:rPr>
              <w:br w:type="textWrapping"/>
            </w:r>
            <w:r>
              <w:rPr>
                <w:rFonts w:hint="eastAsia" w:cs="Arial" w:asciiTheme="minorEastAsia" w:hAnsiTheme="minorEastAsia"/>
                <w:szCs w:val="21"/>
              </w:rPr>
              <w:t>最低照度: 彩色：0.005 Lux @（F1.2，AGC ON），0 Lux with IR</w:t>
            </w:r>
            <w:r>
              <w:rPr>
                <w:rFonts w:hint="eastAsia" w:cs="Arial" w:asciiTheme="minorEastAsia" w:hAnsiTheme="minorEastAsia"/>
                <w:szCs w:val="21"/>
              </w:rPr>
              <w:br w:type="textWrapping"/>
            </w:r>
            <w:r>
              <w:rPr>
                <w:rFonts w:hint="eastAsia" w:cs="Arial" w:asciiTheme="minorEastAsia" w:hAnsiTheme="minorEastAsia"/>
                <w:szCs w:val="21"/>
              </w:rPr>
              <w:t>宽动态≥ 120 dB</w:t>
            </w:r>
            <w:r>
              <w:rPr>
                <w:rFonts w:hint="eastAsia" w:cs="Arial" w:asciiTheme="minorEastAsia" w:hAnsiTheme="minorEastAsia"/>
                <w:szCs w:val="21"/>
              </w:rPr>
              <w:br w:type="textWrapping"/>
            </w:r>
            <w:r>
              <w:rPr>
                <w:rFonts w:hint="eastAsia" w:cs="Arial" w:asciiTheme="minorEastAsia" w:hAnsiTheme="minorEastAsia"/>
                <w:szCs w:val="21"/>
              </w:rPr>
              <w:t>补光距离: 最远可达30 m</w:t>
            </w:r>
            <w:r>
              <w:rPr>
                <w:rFonts w:hint="eastAsia" w:cs="Arial" w:asciiTheme="minorEastAsia" w:hAnsiTheme="minorEastAsia"/>
                <w:szCs w:val="21"/>
              </w:rPr>
              <w:br w:type="textWrapping"/>
            </w:r>
            <w:r>
              <w:rPr>
                <w:rFonts w:hint="eastAsia" w:cs="Arial" w:asciiTheme="minorEastAsia" w:hAnsiTheme="minorEastAsia"/>
                <w:szCs w:val="21"/>
              </w:rPr>
              <w:t>防补光过曝: 支持</w:t>
            </w:r>
            <w:r>
              <w:rPr>
                <w:rFonts w:hint="eastAsia" w:cs="Arial" w:asciiTheme="minorEastAsia" w:hAnsiTheme="minorEastAsia"/>
                <w:szCs w:val="21"/>
              </w:rPr>
              <w:br w:type="textWrapping"/>
            </w:r>
            <w:r>
              <w:rPr>
                <w:rFonts w:hint="eastAsia" w:cs="Arial" w:asciiTheme="minorEastAsia" w:hAnsiTheme="minorEastAsia"/>
                <w:szCs w:val="21"/>
              </w:rPr>
              <w:t>红外波长范围≥850 nm</w:t>
            </w:r>
            <w:r>
              <w:rPr>
                <w:rFonts w:hint="eastAsia" w:cs="Arial" w:asciiTheme="minorEastAsia" w:hAnsiTheme="minorEastAsia"/>
                <w:szCs w:val="21"/>
              </w:rPr>
              <w:br w:type="textWrapping"/>
            </w:r>
            <w:r>
              <w:rPr>
                <w:rFonts w:hint="eastAsia" w:cs="Arial" w:asciiTheme="minorEastAsia" w:hAnsiTheme="minorEastAsia"/>
                <w:szCs w:val="21"/>
              </w:rPr>
              <w:t>补光灯类型: 红外灯</w:t>
            </w:r>
            <w:r>
              <w:rPr>
                <w:rFonts w:hint="eastAsia" w:cs="Arial" w:asciiTheme="minorEastAsia" w:hAnsiTheme="minorEastAsia"/>
                <w:szCs w:val="21"/>
              </w:rPr>
              <w:br w:type="textWrapping"/>
            </w:r>
            <w:r>
              <w:rPr>
                <w:rFonts w:hint="eastAsia" w:cs="Arial" w:asciiTheme="minorEastAsia" w:hAnsiTheme="minorEastAsia"/>
                <w:szCs w:val="21"/>
              </w:rPr>
              <w:t>最大图像尺寸: 2560 × 1440及以上</w:t>
            </w:r>
            <w:r>
              <w:rPr>
                <w:rFonts w:hint="eastAsia" w:cs="Arial" w:asciiTheme="minorEastAsia" w:hAnsiTheme="minorEastAsia"/>
                <w:szCs w:val="21"/>
              </w:rPr>
              <w:br w:type="textWrapping"/>
            </w:r>
            <w:r>
              <w:rPr>
                <w:rFonts w:hint="eastAsia" w:cs="Arial" w:asciiTheme="minorEastAsia" w:hAnsiTheme="minorEastAsia"/>
                <w:szCs w:val="21"/>
              </w:rPr>
              <w:t>视频压缩标准: 主码流：H.265/H.264</w:t>
            </w:r>
            <w:r>
              <w:rPr>
                <w:rFonts w:hint="eastAsia" w:cs="Arial" w:asciiTheme="minorEastAsia" w:hAnsiTheme="minorEastAsia"/>
                <w:szCs w:val="21"/>
              </w:rPr>
              <w:br w:type="textWrapping"/>
            </w:r>
            <w:r>
              <w:rPr>
                <w:rFonts w:hint="eastAsia" w:cs="Arial" w:asciiTheme="minorEastAsia" w:hAnsiTheme="minorEastAsia"/>
                <w:szCs w:val="21"/>
              </w:rPr>
              <w:t>网络存储: 支持NAS（NFS，SMB/CIFS均支持）</w:t>
            </w:r>
            <w:r>
              <w:rPr>
                <w:rFonts w:hint="eastAsia" w:cs="Arial" w:asciiTheme="minorEastAsia" w:hAnsiTheme="minorEastAsia"/>
                <w:szCs w:val="21"/>
              </w:rPr>
              <w:br w:type="textWrapping"/>
            </w:r>
            <w:r>
              <w:rPr>
                <w:rFonts w:hint="eastAsia" w:cs="Arial" w:asciiTheme="minorEastAsia" w:hAnsiTheme="minorEastAsia"/>
                <w:szCs w:val="21"/>
              </w:rPr>
              <w:t>音频≥ 1个内置麦克风</w:t>
            </w:r>
            <w:r>
              <w:rPr>
                <w:rFonts w:hint="eastAsia" w:cs="Arial" w:asciiTheme="minorEastAsia" w:hAnsiTheme="minorEastAsia"/>
                <w:szCs w:val="21"/>
              </w:rPr>
              <w:br w:type="textWrapping"/>
            </w:r>
            <w:r>
              <w:rPr>
                <w:rFonts w:hint="eastAsia" w:cs="Arial" w:asciiTheme="minorEastAsia" w:hAnsiTheme="minorEastAsia"/>
                <w:szCs w:val="21"/>
              </w:rPr>
              <w:t>网络≥1个RJ45 10 M/100 M自适应以太网口</w:t>
            </w:r>
            <w:r>
              <w:rPr>
                <w:rFonts w:hint="eastAsia" w:cs="Arial" w:asciiTheme="minorEastAsia" w:hAnsiTheme="minorEastAsia"/>
                <w:szCs w:val="21"/>
              </w:rPr>
              <w:br w:type="textWrapping"/>
            </w:r>
            <w:r>
              <w:rPr>
                <w:rFonts w:hint="eastAsia" w:cs="Arial" w:asciiTheme="minorEastAsia" w:hAnsiTheme="minorEastAsia"/>
                <w:szCs w:val="21"/>
              </w:rPr>
              <w:t>电源接口类型: Ø5.5 mm圆口</w:t>
            </w:r>
            <w:r>
              <w:rPr>
                <w:rFonts w:hint="eastAsia" w:cs="Arial" w:asciiTheme="minorEastAsia" w:hAnsiTheme="minorEastAsia"/>
                <w:szCs w:val="21"/>
              </w:rPr>
              <w:br w:type="textWrapping"/>
            </w:r>
            <w:r>
              <w:rPr>
                <w:rFonts w:hint="eastAsia" w:cs="Arial" w:asciiTheme="minorEastAsia" w:hAnsiTheme="minorEastAsia"/>
                <w:szCs w:val="21"/>
              </w:rPr>
              <w:t>防护: IP66及以上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738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▼室外枪机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400万及以上室外网络摄像机</w:t>
            </w:r>
            <w:r>
              <w:rPr>
                <w:rFonts w:hint="eastAsia" w:cs="Arial" w:asciiTheme="minorEastAsia" w:hAnsiTheme="minorEastAsia"/>
                <w:szCs w:val="21"/>
              </w:rPr>
              <w:br w:type="textWrapping"/>
            </w:r>
            <w:r>
              <w:rPr>
                <w:rFonts w:hint="eastAsia" w:cs="Arial" w:asciiTheme="minorEastAsia" w:hAnsiTheme="minorEastAsia"/>
                <w:szCs w:val="21"/>
              </w:rPr>
              <w:t>支持Smart侦测：10项事件检测，1项异常检测</w:t>
            </w:r>
            <w:r>
              <w:rPr>
                <w:rFonts w:hint="eastAsia" w:cs="Arial" w:asciiTheme="minorEastAsia" w:hAnsiTheme="minorEastAsia"/>
                <w:szCs w:val="21"/>
              </w:rPr>
              <w:br w:type="textWrapping"/>
            </w:r>
            <w:r>
              <w:rPr>
                <w:rFonts w:hint="eastAsia" w:cs="Arial" w:asciiTheme="minorEastAsia" w:hAnsiTheme="minorEastAsia"/>
                <w:szCs w:val="21"/>
              </w:rPr>
              <w:t>最低照度: 彩色：0.005 Lux @（F1.2，AGC ON），0 Lux with IR</w:t>
            </w:r>
            <w:r>
              <w:rPr>
                <w:rFonts w:hint="eastAsia" w:cs="Arial" w:asciiTheme="minorEastAsia" w:hAnsiTheme="minorEastAsia"/>
                <w:szCs w:val="21"/>
              </w:rPr>
              <w:br w:type="textWrapping"/>
            </w:r>
            <w:r>
              <w:rPr>
                <w:rFonts w:hint="eastAsia" w:cs="Arial" w:asciiTheme="minorEastAsia" w:hAnsiTheme="minorEastAsia"/>
                <w:szCs w:val="21"/>
              </w:rPr>
              <w:t>宽动态≥ 120 dB</w:t>
            </w:r>
            <w:r>
              <w:rPr>
                <w:rFonts w:hint="eastAsia" w:cs="Arial" w:asciiTheme="minorEastAsia" w:hAnsiTheme="minorEastAsia"/>
                <w:szCs w:val="21"/>
              </w:rPr>
              <w:br w:type="textWrapping"/>
            </w:r>
            <w:r>
              <w:rPr>
                <w:rFonts w:hint="eastAsia" w:cs="Arial" w:asciiTheme="minorEastAsia" w:hAnsiTheme="minorEastAsia"/>
                <w:szCs w:val="21"/>
              </w:rPr>
              <w:t>补光距离: 最远可达30 m</w:t>
            </w:r>
            <w:r>
              <w:rPr>
                <w:rFonts w:hint="eastAsia" w:cs="Arial" w:asciiTheme="minorEastAsia" w:hAnsiTheme="minorEastAsia"/>
                <w:szCs w:val="21"/>
              </w:rPr>
              <w:br w:type="textWrapping"/>
            </w:r>
            <w:r>
              <w:rPr>
                <w:rFonts w:hint="eastAsia" w:cs="Arial" w:asciiTheme="minorEastAsia" w:hAnsiTheme="minorEastAsia"/>
                <w:szCs w:val="21"/>
              </w:rPr>
              <w:t>防补光过曝: 支持</w:t>
            </w:r>
            <w:r>
              <w:rPr>
                <w:rFonts w:hint="eastAsia" w:cs="Arial" w:asciiTheme="minorEastAsia" w:hAnsiTheme="minorEastAsia"/>
                <w:szCs w:val="21"/>
              </w:rPr>
              <w:br w:type="textWrapping"/>
            </w:r>
            <w:r>
              <w:rPr>
                <w:rFonts w:hint="eastAsia" w:cs="Arial" w:asciiTheme="minorEastAsia" w:hAnsiTheme="minorEastAsia"/>
                <w:szCs w:val="21"/>
              </w:rPr>
              <w:t>红外波长范围: 850 nm及以上</w:t>
            </w:r>
            <w:r>
              <w:rPr>
                <w:rFonts w:hint="eastAsia" w:cs="Arial" w:asciiTheme="minorEastAsia" w:hAnsiTheme="minorEastAsia"/>
                <w:szCs w:val="21"/>
              </w:rPr>
              <w:br w:type="textWrapping"/>
            </w:r>
            <w:r>
              <w:rPr>
                <w:rFonts w:hint="eastAsia" w:cs="Arial" w:asciiTheme="minorEastAsia" w:hAnsiTheme="minorEastAsia"/>
                <w:szCs w:val="21"/>
              </w:rPr>
              <w:t>补光灯类型: 红外灯</w:t>
            </w:r>
            <w:r>
              <w:rPr>
                <w:rFonts w:hint="eastAsia" w:cs="Arial" w:asciiTheme="minorEastAsia" w:hAnsiTheme="minorEastAsia"/>
                <w:szCs w:val="21"/>
              </w:rPr>
              <w:br w:type="textWrapping"/>
            </w:r>
            <w:r>
              <w:rPr>
                <w:rFonts w:hint="eastAsia" w:cs="Arial" w:asciiTheme="minorEastAsia" w:hAnsiTheme="minorEastAsia"/>
                <w:szCs w:val="21"/>
              </w:rPr>
              <w:t>最大图像尺寸: 2560 × 1440及以上</w:t>
            </w:r>
            <w:r>
              <w:rPr>
                <w:rFonts w:hint="eastAsia" w:cs="Arial" w:asciiTheme="minorEastAsia" w:hAnsiTheme="minorEastAsia"/>
                <w:szCs w:val="21"/>
              </w:rPr>
              <w:br w:type="textWrapping"/>
            </w:r>
            <w:r>
              <w:rPr>
                <w:rFonts w:hint="eastAsia" w:cs="Arial" w:asciiTheme="minorEastAsia" w:hAnsiTheme="minorEastAsia"/>
                <w:szCs w:val="21"/>
              </w:rPr>
              <w:t>视频压缩标准: 主码流：H.265/H.264</w:t>
            </w:r>
            <w:r>
              <w:rPr>
                <w:rFonts w:hint="eastAsia" w:cs="Arial" w:asciiTheme="minorEastAsia" w:hAnsiTheme="minorEastAsia"/>
                <w:szCs w:val="21"/>
              </w:rPr>
              <w:br w:type="textWrapping"/>
            </w:r>
            <w:r>
              <w:rPr>
                <w:rFonts w:hint="eastAsia" w:cs="Arial" w:asciiTheme="minorEastAsia" w:hAnsiTheme="minorEastAsia"/>
                <w:szCs w:val="21"/>
              </w:rPr>
              <w:t>网络存储: 支持NAS（NFS，SMB/CIFS均支持）</w:t>
            </w:r>
            <w:r>
              <w:rPr>
                <w:rFonts w:hint="eastAsia" w:cs="Arial" w:asciiTheme="minorEastAsia" w:hAnsiTheme="minorEastAsia"/>
                <w:szCs w:val="21"/>
              </w:rPr>
              <w:br w:type="textWrapping"/>
            </w:r>
            <w:r>
              <w:rPr>
                <w:rFonts w:hint="eastAsia" w:cs="Arial" w:asciiTheme="minorEastAsia" w:hAnsiTheme="minorEastAsia"/>
                <w:szCs w:val="21"/>
              </w:rPr>
              <w:t>音频≥ 1个内置麦克风</w:t>
            </w:r>
            <w:r>
              <w:rPr>
                <w:rFonts w:hint="eastAsia" w:cs="Arial" w:asciiTheme="minorEastAsia" w:hAnsiTheme="minorEastAsia"/>
                <w:szCs w:val="21"/>
              </w:rPr>
              <w:br w:type="textWrapping"/>
            </w:r>
            <w:r>
              <w:rPr>
                <w:rFonts w:hint="eastAsia" w:cs="Arial" w:asciiTheme="minorEastAsia" w:hAnsiTheme="minorEastAsia"/>
                <w:szCs w:val="21"/>
              </w:rPr>
              <w:t>网络≥1个RJ45 10 M/100 M自适应以太网口</w:t>
            </w:r>
            <w:r>
              <w:rPr>
                <w:rFonts w:hint="eastAsia" w:cs="Arial" w:asciiTheme="minorEastAsia" w:hAnsiTheme="minorEastAsia"/>
                <w:szCs w:val="21"/>
              </w:rPr>
              <w:br w:type="textWrapping"/>
            </w:r>
            <w:r>
              <w:rPr>
                <w:rFonts w:hint="eastAsia" w:cs="Arial" w:asciiTheme="minorEastAsia" w:hAnsiTheme="minorEastAsia"/>
                <w:szCs w:val="21"/>
              </w:rPr>
              <w:t>防护: IP66及以上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169</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▼红外定焦防暴半球网络摄像机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400万及以上定焦半球型网络摄像机</w:t>
            </w:r>
            <w:r>
              <w:rPr>
                <w:rFonts w:hint="eastAsia" w:cs="Arial" w:asciiTheme="minorEastAsia" w:hAnsiTheme="minorEastAsia"/>
                <w:szCs w:val="21"/>
              </w:rPr>
              <w:br w:type="textWrapping"/>
            </w:r>
            <w:r>
              <w:rPr>
                <w:rFonts w:hint="eastAsia" w:cs="Arial" w:asciiTheme="minorEastAsia" w:hAnsiTheme="minorEastAsia"/>
                <w:szCs w:val="21"/>
              </w:rPr>
              <w:t>支持Smart侦测：场景变更侦测，区域入侵侦测，越界侦测，进入区域侦测，离开区域侦测，物品遗留侦测，物品拿取侦测，徘徊侦测，停车侦测，人员聚集侦测，快速移动侦测，音频异常侦测，音频陡升侦测，音频陡降侦测</w:t>
            </w:r>
            <w:r>
              <w:rPr>
                <w:rFonts w:hint="eastAsia" w:cs="Arial" w:asciiTheme="minorEastAsia" w:hAnsiTheme="minorEastAsia"/>
                <w:szCs w:val="21"/>
              </w:rPr>
              <w:br w:type="textWrapping"/>
            </w:r>
            <w:r>
              <w:rPr>
                <w:rFonts w:hint="eastAsia" w:cs="Arial" w:asciiTheme="minorEastAsia" w:hAnsiTheme="minorEastAsia"/>
                <w:szCs w:val="21"/>
              </w:rPr>
              <w:t>支持电动变焦</w:t>
            </w:r>
            <w:r>
              <w:rPr>
                <w:rFonts w:hint="eastAsia" w:cs="Arial" w:asciiTheme="minorEastAsia" w:hAnsiTheme="minorEastAsia"/>
                <w:szCs w:val="21"/>
              </w:rPr>
              <w:br w:type="textWrapping"/>
            </w:r>
            <w:r>
              <w:rPr>
                <w:rFonts w:hint="eastAsia" w:cs="Arial" w:asciiTheme="minorEastAsia" w:hAnsiTheme="minorEastAsia"/>
                <w:szCs w:val="21"/>
              </w:rPr>
              <w:t>最低照度: 彩色：0.005 Lux @（F1.2，AGC ON），0 Lux with IR</w:t>
            </w:r>
            <w:r>
              <w:rPr>
                <w:rFonts w:hint="eastAsia" w:cs="Arial" w:asciiTheme="minorEastAsia" w:hAnsiTheme="minorEastAsia"/>
                <w:szCs w:val="21"/>
              </w:rPr>
              <w:br w:type="textWrapping"/>
            </w:r>
            <w:r>
              <w:rPr>
                <w:rFonts w:hint="eastAsia" w:cs="Arial" w:asciiTheme="minorEastAsia" w:hAnsiTheme="minorEastAsia"/>
                <w:szCs w:val="21"/>
              </w:rPr>
              <w:t>宽动态: ≥120 dB</w:t>
            </w:r>
            <w:r>
              <w:rPr>
                <w:rFonts w:hint="eastAsia" w:cs="Arial" w:asciiTheme="minorEastAsia" w:hAnsiTheme="minorEastAsia"/>
                <w:szCs w:val="21"/>
              </w:rPr>
              <w:br w:type="textWrapping"/>
            </w:r>
            <w:r>
              <w:rPr>
                <w:rFonts w:hint="eastAsia" w:cs="Arial" w:asciiTheme="minorEastAsia" w:hAnsiTheme="minorEastAsia"/>
                <w:szCs w:val="21"/>
              </w:rPr>
              <w:t>调节角度: 水平：0°~355°，垂直：0°~75°，旋转：0°~355°</w:t>
            </w:r>
            <w:r>
              <w:rPr>
                <w:rFonts w:hint="eastAsia" w:cs="Arial" w:asciiTheme="minorEastAsia" w:hAnsiTheme="minorEastAsia"/>
                <w:szCs w:val="21"/>
              </w:rPr>
              <w:br w:type="textWrapping"/>
            </w:r>
            <w:r>
              <w:rPr>
                <w:rFonts w:hint="eastAsia" w:cs="Arial" w:asciiTheme="minorEastAsia" w:hAnsiTheme="minorEastAsia"/>
                <w:szCs w:val="21"/>
              </w:rPr>
              <w:t>焦距&amp;视场角: 2.7~12 mm：水平视场角：97°~30°，垂直视场角：52°~17°，对角视场角：114°~34°；支持电动变焦</w:t>
            </w:r>
            <w:r>
              <w:rPr>
                <w:rFonts w:hint="eastAsia" w:cs="Arial" w:asciiTheme="minorEastAsia" w:hAnsiTheme="minorEastAsia"/>
                <w:szCs w:val="21"/>
              </w:rPr>
              <w:br w:type="textWrapping"/>
            </w:r>
            <w:r>
              <w:rPr>
                <w:rFonts w:hint="eastAsia" w:cs="Arial" w:asciiTheme="minorEastAsia" w:hAnsiTheme="minorEastAsia"/>
                <w:szCs w:val="21"/>
              </w:rPr>
              <w:t>补光灯类型: 红外灯</w:t>
            </w:r>
            <w:r>
              <w:rPr>
                <w:rFonts w:hint="eastAsia" w:cs="Arial" w:asciiTheme="minorEastAsia" w:hAnsiTheme="minorEastAsia"/>
                <w:szCs w:val="21"/>
              </w:rPr>
              <w:br w:type="textWrapping"/>
            </w:r>
            <w:r>
              <w:rPr>
                <w:rFonts w:hint="eastAsia" w:cs="Arial" w:asciiTheme="minorEastAsia" w:hAnsiTheme="minorEastAsia"/>
                <w:szCs w:val="21"/>
              </w:rPr>
              <w:t>补光距离: 最远可达30 m</w:t>
            </w:r>
            <w:r>
              <w:rPr>
                <w:rFonts w:hint="eastAsia" w:cs="Arial" w:asciiTheme="minorEastAsia" w:hAnsiTheme="minorEastAsia"/>
                <w:szCs w:val="21"/>
              </w:rPr>
              <w:br w:type="textWrapping"/>
            </w:r>
            <w:r>
              <w:rPr>
                <w:rFonts w:hint="eastAsia" w:cs="Arial" w:asciiTheme="minorEastAsia" w:hAnsiTheme="minorEastAsia"/>
                <w:szCs w:val="21"/>
              </w:rPr>
              <w:t>防补光过曝: 支持</w:t>
            </w:r>
            <w:r>
              <w:rPr>
                <w:rFonts w:hint="eastAsia" w:cs="Arial" w:asciiTheme="minorEastAsia" w:hAnsiTheme="minorEastAsia"/>
                <w:szCs w:val="21"/>
              </w:rPr>
              <w:br w:type="textWrapping"/>
            </w:r>
            <w:r>
              <w:rPr>
                <w:rFonts w:hint="eastAsia" w:cs="Arial" w:asciiTheme="minorEastAsia" w:hAnsiTheme="minorEastAsia"/>
                <w:szCs w:val="21"/>
              </w:rPr>
              <w:t>红外波长范围: 850 nm及以上</w:t>
            </w:r>
            <w:r>
              <w:rPr>
                <w:rFonts w:hint="eastAsia" w:cs="Arial" w:asciiTheme="minorEastAsia" w:hAnsiTheme="minorEastAsia"/>
                <w:szCs w:val="21"/>
              </w:rPr>
              <w:br w:type="textWrapping"/>
            </w:r>
            <w:r>
              <w:rPr>
                <w:rFonts w:hint="eastAsia" w:cs="Arial" w:asciiTheme="minorEastAsia" w:hAnsiTheme="minorEastAsia"/>
                <w:szCs w:val="21"/>
              </w:rPr>
              <w:t>最大图像尺寸: 2560 × 1440及以上</w:t>
            </w:r>
            <w:r>
              <w:rPr>
                <w:rFonts w:hint="eastAsia" w:cs="Arial" w:asciiTheme="minorEastAsia" w:hAnsiTheme="minorEastAsia"/>
                <w:szCs w:val="21"/>
              </w:rPr>
              <w:br w:type="textWrapping"/>
            </w:r>
            <w:r>
              <w:rPr>
                <w:rFonts w:hint="eastAsia" w:cs="Arial" w:asciiTheme="minorEastAsia" w:hAnsiTheme="minorEastAsia"/>
                <w:szCs w:val="21"/>
              </w:rPr>
              <w:t>视频压缩标准: 主码流：H.265/H.264</w:t>
            </w:r>
            <w:r>
              <w:rPr>
                <w:rFonts w:hint="eastAsia" w:cs="Arial" w:asciiTheme="minorEastAsia" w:hAnsiTheme="minorEastAsia"/>
                <w:szCs w:val="21"/>
              </w:rPr>
              <w:br w:type="textWrapping"/>
            </w:r>
            <w:r>
              <w:rPr>
                <w:rFonts w:hint="eastAsia" w:cs="Arial" w:asciiTheme="minorEastAsia" w:hAnsiTheme="minorEastAsia"/>
                <w:szCs w:val="21"/>
              </w:rPr>
              <w:t>网络存储: 支持NAS（NFS，SMB/CIFS均支持），支持MicroSD(即TF卡)/MicroSDHC/MicroSDXC卡（最大256 GB），断网本地录像存储及断网续传，配合海康黑卡支持SD卡加密及SD卡状态检测</w:t>
            </w:r>
            <w:r>
              <w:rPr>
                <w:rFonts w:hint="eastAsia" w:cs="Arial" w:asciiTheme="minorEastAsia" w:hAnsiTheme="minorEastAsia"/>
                <w:szCs w:val="21"/>
              </w:rPr>
              <w:br w:type="textWrapping"/>
            </w:r>
            <w:r>
              <w:rPr>
                <w:rFonts w:hint="eastAsia" w:cs="Arial" w:asciiTheme="minorEastAsia" w:hAnsiTheme="minorEastAsia"/>
                <w:szCs w:val="21"/>
              </w:rPr>
              <w:t>网络≥1个RJ45 10 M/100 M自适应以太网口</w:t>
            </w:r>
            <w:r>
              <w:rPr>
                <w:rFonts w:hint="eastAsia" w:cs="Arial" w:asciiTheme="minorEastAsia" w:hAnsiTheme="minorEastAsia"/>
                <w:szCs w:val="21"/>
              </w:rPr>
              <w:br w:type="textWrapping"/>
            </w:r>
            <w:r>
              <w:rPr>
                <w:rFonts w:hint="eastAsia" w:cs="Arial" w:asciiTheme="minorEastAsia" w:hAnsiTheme="minorEastAsia"/>
                <w:szCs w:val="21"/>
              </w:rPr>
              <w:t>音频≥ 1路输入（Line in）；≥1路输出（Line out）；≥1个内置麦克风</w:t>
            </w:r>
            <w:r>
              <w:rPr>
                <w:rFonts w:hint="eastAsia" w:cs="Arial" w:asciiTheme="minorEastAsia" w:hAnsiTheme="minorEastAsia"/>
                <w:szCs w:val="21"/>
              </w:rPr>
              <w:br w:type="textWrapping"/>
            </w:r>
            <w:r>
              <w:rPr>
                <w:rFonts w:hint="eastAsia" w:cs="Arial" w:asciiTheme="minorEastAsia" w:hAnsiTheme="minorEastAsia"/>
                <w:szCs w:val="21"/>
              </w:rPr>
              <w:t>报警: ≥1路输入，≥1路输出（报警输出最大支持DC12 V，30 mA）</w:t>
            </w:r>
            <w:r>
              <w:rPr>
                <w:rFonts w:hint="eastAsia" w:cs="Arial" w:asciiTheme="minorEastAsia" w:hAnsiTheme="minorEastAsia"/>
                <w:szCs w:val="21"/>
              </w:rPr>
              <w:br w:type="textWrapping"/>
            </w:r>
            <w:r>
              <w:rPr>
                <w:rFonts w:hint="eastAsia" w:cs="Arial" w:asciiTheme="minorEastAsia" w:hAnsiTheme="minorEastAsia"/>
                <w:szCs w:val="21"/>
              </w:rPr>
              <w:t>复位: 支持</w:t>
            </w:r>
            <w:r>
              <w:rPr>
                <w:rFonts w:hint="eastAsia" w:cs="Arial" w:asciiTheme="minorEastAsia" w:hAnsiTheme="minorEastAsia"/>
                <w:szCs w:val="21"/>
              </w:rPr>
              <w:br w:type="textWrapping"/>
            </w:r>
            <w:r>
              <w:rPr>
                <w:rFonts w:hint="eastAsia" w:cs="Arial" w:asciiTheme="minorEastAsia" w:hAnsiTheme="minorEastAsia"/>
                <w:szCs w:val="21"/>
              </w:rPr>
              <w:t>防护: IP66，IK10及以上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445</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▼教室壁装半球摄像机</w:t>
            </w:r>
          </w:p>
        </w:tc>
        <w:tc>
          <w:tcPr>
            <w:tcW w:w="9087" w:type="dxa"/>
            <w:vAlign w:val="center"/>
          </w:tcPr>
          <w:p>
            <w:pPr>
              <w:snapToGrid w:val="0"/>
              <w:spacing w:line="276" w:lineRule="auto"/>
              <w:rPr>
                <w:rFonts w:asciiTheme="minorEastAsia" w:hAnsiTheme="minorEastAsia"/>
                <w:szCs w:val="21"/>
              </w:rPr>
            </w:pPr>
            <w:r>
              <w:rPr>
                <w:rFonts w:cs="Arial" w:asciiTheme="minorEastAsia" w:hAnsiTheme="minorEastAsia"/>
                <w:szCs w:val="21"/>
              </w:rPr>
              <w:t>4</w:t>
            </w:r>
            <w:r>
              <w:rPr>
                <w:rFonts w:hint="eastAsia" w:cs="Arial" w:asciiTheme="minorEastAsia" w:hAnsiTheme="minorEastAsia"/>
                <w:szCs w:val="21"/>
              </w:rPr>
              <w:t>00万及以上半球型网络摄像机</w:t>
            </w:r>
            <w:r>
              <w:rPr>
                <w:rFonts w:hint="eastAsia" w:cs="Arial" w:asciiTheme="minorEastAsia" w:hAnsiTheme="minorEastAsia"/>
                <w:szCs w:val="21"/>
              </w:rPr>
              <w:br w:type="textWrapping"/>
            </w:r>
            <w:r>
              <w:rPr>
                <w:rFonts w:hint="eastAsia" w:cs="Arial" w:asciiTheme="minorEastAsia" w:hAnsiTheme="minorEastAsia"/>
                <w:szCs w:val="21"/>
              </w:rPr>
              <w:t>最低照度: 彩色：0.0005 Lux @（F1.0，AGC ON）, 0 Lux with Light</w:t>
            </w:r>
            <w:r>
              <w:rPr>
                <w:rFonts w:hint="eastAsia" w:cs="Arial" w:asciiTheme="minorEastAsia" w:hAnsiTheme="minorEastAsia"/>
                <w:szCs w:val="21"/>
              </w:rPr>
              <w:br w:type="textWrapping"/>
            </w:r>
            <w:r>
              <w:rPr>
                <w:rFonts w:hint="eastAsia" w:cs="Arial" w:asciiTheme="minorEastAsia" w:hAnsiTheme="minorEastAsia"/>
                <w:szCs w:val="21"/>
              </w:rPr>
              <w:t>宽动态≥ 120 dB</w:t>
            </w:r>
            <w:r>
              <w:rPr>
                <w:rFonts w:hint="eastAsia" w:cs="Arial" w:asciiTheme="minorEastAsia" w:hAnsiTheme="minorEastAsia"/>
                <w:szCs w:val="21"/>
              </w:rPr>
              <w:br w:type="textWrapping"/>
            </w:r>
            <w:r>
              <w:rPr>
                <w:rFonts w:hint="eastAsia" w:cs="Arial" w:asciiTheme="minorEastAsia" w:hAnsiTheme="minorEastAsia"/>
                <w:szCs w:val="21"/>
              </w:rPr>
              <w:t xml:space="preserve">调节角度: 水平：0°~360°，垂直：0°~75°，旋转：0°~360° </w:t>
            </w:r>
            <w:r>
              <w:rPr>
                <w:rFonts w:hint="eastAsia" w:cs="Arial" w:asciiTheme="minorEastAsia" w:hAnsiTheme="minorEastAsia"/>
                <w:szCs w:val="21"/>
              </w:rPr>
              <w:br w:type="textWrapping"/>
            </w:r>
            <w:r>
              <w:rPr>
                <w:rFonts w:hint="eastAsia" w:cs="Arial" w:asciiTheme="minorEastAsia" w:hAnsiTheme="minorEastAsia"/>
                <w:szCs w:val="21"/>
              </w:rPr>
              <w:t>防补光过曝: 支持</w:t>
            </w:r>
            <w:r>
              <w:rPr>
                <w:rFonts w:hint="eastAsia" w:cs="Arial" w:asciiTheme="minorEastAsia" w:hAnsiTheme="minorEastAsia"/>
                <w:szCs w:val="21"/>
              </w:rPr>
              <w:br w:type="textWrapping"/>
            </w:r>
            <w:r>
              <w:rPr>
                <w:rFonts w:hint="eastAsia" w:cs="Arial" w:asciiTheme="minorEastAsia" w:hAnsiTheme="minorEastAsia"/>
                <w:szCs w:val="21"/>
              </w:rPr>
              <w:t>补光灯类型: 柔光灯</w:t>
            </w:r>
            <w:r>
              <w:rPr>
                <w:rFonts w:hint="eastAsia" w:cs="Arial" w:asciiTheme="minorEastAsia" w:hAnsiTheme="minorEastAsia"/>
                <w:szCs w:val="21"/>
              </w:rPr>
              <w:br w:type="textWrapping"/>
            </w:r>
            <w:r>
              <w:rPr>
                <w:rFonts w:hint="eastAsia" w:cs="Arial" w:asciiTheme="minorEastAsia" w:hAnsiTheme="minorEastAsia"/>
                <w:szCs w:val="21"/>
              </w:rPr>
              <w:t>补光距离: 最远可达30 m</w:t>
            </w:r>
            <w:r>
              <w:rPr>
                <w:rFonts w:hint="eastAsia" w:cs="Arial" w:asciiTheme="minorEastAsia" w:hAnsiTheme="minorEastAsia"/>
                <w:szCs w:val="21"/>
              </w:rPr>
              <w:br w:type="textWrapping"/>
            </w:r>
            <w:r>
              <w:rPr>
                <w:rFonts w:hint="eastAsia" w:cs="Arial" w:asciiTheme="minorEastAsia" w:hAnsiTheme="minorEastAsia"/>
                <w:szCs w:val="21"/>
              </w:rPr>
              <w:t>最大图像尺寸: 2560 × 1440及以上</w:t>
            </w:r>
            <w:r>
              <w:rPr>
                <w:rFonts w:hint="eastAsia" w:cs="Arial" w:asciiTheme="minorEastAsia" w:hAnsiTheme="minorEastAsia"/>
                <w:szCs w:val="21"/>
              </w:rPr>
              <w:br w:type="textWrapping"/>
            </w:r>
            <w:r>
              <w:rPr>
                <w:rFonts w:hint="eastAsia" w:cs="Arial" w:asciiTheme="minorEastAsia" w:hAnsiTheme="minorEastAsia"/>
                <w:szCs w:val="21"/>
              </w:rPr>
              <w:t>视频压缩标准: 主码流：H.265/H.264</w:t>
            </w:r>
            <w:r>
              <w:rPr>
                <w:rFonts w:hint="eastAsia" w:cs="Arial" w:asciiTheme="minorEastAsia" w:hAnsiTheme="minorEastAsia"/>
                <w:szCs w:val="21"/>
              </w:rPr>
              <w:br w:type="textWrapping"/>
            </w:r>
            <w:r>
              <w:rPr>
                <w:rFonts w:hint="eastAsia" w:cs="Arial" w:asciiTheme="minorEastAsia" w:hAnsiTheme="minorEastAsia"/>
                <w:szCs w:val="21"/>
              </w:rPr>
              <w:t>网络存储: 支持NAS（NFS，SMB/CIFS均支持），支持Micro SD(即TF卡)/Micro SDHC/Micro SDXC卡（最大256 GB）</w:t>
            </w:r>
            <w:r>
              <w:rPr>
                <w:rFonts w:hint="eastAsia" w:cs="Arial" w:asciiTheme="minorEastAsia" w:hAnsiTheme="minorEastAsia"/>
                <w:szCs w:val="21"/>
              </w:rPr>
              <w:br w:type="textWrapping"/>
            </w:r>
            <w:r>
              <w:rPr>
                <w:rFonts w:hint="eastAsia" w:cs="Arial" w:asciiTheme="minorEastAsia" w:hAnsiTheme="minorEastAsia"/>
                <w:szCs w:val="21"/>
              </w:rPr>
              <w:t>报警: ≥1路输入，≥1路输出（报警输出最大支持DC12 V，20 mA）</w:t>
            </w:r>
            <w:r>
              <w:rPr>
                <w:rFonts w:hint="eastAsia" w:cs="Arial" w:asciiTheme="minorEastAsia" w:hAnsiTheme="minorEastAsia"/>
                <w:szCs w:val="21"/>
              </w:rPr>
              <w:br w:type="textWrapping"/>
            </w:r>
            <w:r>
              <w:rPr>
                <w:rFonts w:hint="eastAsia" w:cs="Arial" w:asciiTheme="minorEastAsia" w:hAnsiTheme="minorEastAsia"/>
                <w:szCs w:val="21"/>
              </w:rPr>
              <w:t>音频: ≥1个内置麦克风；≥1路输入（Line in），≥1路输出（Line out）</w:t>
            </w:r>
            <w:r>
              <w:rPr>
                <w:rFonts w:hint="eastAsia" w:cs="Arial" w:asciiTheme="minorEastAsia" w:hAnsiTheme="minorEastAsia"/>
                <w:szCs w:val="21"/>
              </w:rPr>
              <w:br w:type="textWrapping"/>
            </w:r>
            <w:r>
              <w:rPr>
                <w:rFonts w:hint="eastAsia" w:cs="Arial" w:asciiTheme="minorEastAsia" w:hAnsiTheme="minorEastAsia"/>
                <w:szCs w:val="21"/>
              </w:rPr>
              <w:t>网络: ≥1个RJ45 10 M/100 M自适应以太网口</w:t>
            </w:r>
            <w:r>
              <w:rPr>
                <w:rFonts w:hint="eastAsia" w:cs="Arial" w:asciiTheme="minorEastAsia" w:hAnsiTheme="minorEastAsia"/>
                <w:szCs w:val="21"/>
              </w:rPr>
              <w:br w:type="textWrapping"/>
            </w:r>
            <w:r>
              <w:rPr>
                <w:rFonts w:hint="eastAsia" w:cs="Arial" w:asciiTheme="minorEastAsia" w:hAnsiTheme="minorEastAsia"/>
                <w:szCs w:val="21"/>
              </w:rPr>
              <w:t>防护: IP66及以上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153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拾音器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抗回音拾音器</w:t>
            </w:r>
            <w:r>
              <w:rPr>
                <w:rFonts w:hint="eastAsia" w:cs="Arial" w:asciiTheme="minorEastAsia" w:hAnsiTheme="minorEastAsia"/>
                <w:szCs w:val="21"/>
              </w:rPr>
              <w:br w:type="textWrapping"/>
            </w:r>
            <w:r>
              <w:rPr>
                <w:rFonts w:hint="eastAsia" w:cs="Arial" w:asciiTheme="minorEastAsia" w:hAnsiTheme="minorEastAsia"/>
                <w:szCs w:val="21"/>
              </w:rPr>
              <w:t>拾音面积: 5~100平方米</w:t>
            </w:r>
            <w:r>
              <w:rPr>
                <w:rFonts w:hint="eastAsia" w:cs="Arial" w:asciiTheme="minorEastAsia" w:hAnsiTheme="minorEastAsia"/>
                <w:szCs w:val="21"/>
              </w:rPr>
              <w:br w:type="textWrapping"/>
            </w:r>
            <w:r>
              <w:rPr>
                <w:rFonts w:hint="eastAsia" w:cs="Arial" w:asciiTheme="minorEastAsia" w:hAnsiTheme="minorEastAsia"/>
                <w:szCs w:val="21"/>
              </w:rPr>
              <w:t>音频传输距离: 3000米</w:t>
            </w:r>
            <w:r>
              <w:rPr>
                <w:rFonts w:hint="eastAsia" w:cs="Arial" w:asciiTheme="minorEastAsia" w:hAnsiTheme="minorEastAsia"/>
                <w:szCs w:val="21"/>
              </w:rPr>
              <w:br w:type="textWrapping"/>
            </w:r>
            <w:r>
              <w:rPr>
                <w:rFonts w:hint="eastAsia" w:cs="Arial" w:asciiTheme="minorEastAsia" w:hAnsiTheme="minorEastAsia"/>
                <w:szCs w:val="21"/>
              </w:rPr>
              <w:t>灵敏度: -42dB</w:t>
            </w:r>
            <w:r>
              <w:rPr>
                <w:rFonts w:hint="eastAsia" w:cs="Arial" w:asciiTheme="minorEastAsia" w:hAnsiTheme="minorEastAsia"/>
                <w:szCs w:val="21"/>
              </w:rPr>
              <w:br w:type="textWrapping"/>
            </w:r>
            <w:r>
              <w:rPr>
                <w:rFonts w:hint="eastAsia" w:cs="Arial" w:asciiTheme="minorEastAsia" w:hAnsiTheme="minorEastAsia"/>
                <w:szCs w:val="21"/>
              </w:rPr>
              <w:t>频率响应: 20Hz ～ 20kHz</w:t>
            </w:r>
            <w:r>
              <w:rPr>
                <w:rFonts w:hint="eastAsia" w:cs="Arial" w:asciiTheme="minorEastAsia" w:hAnsiTheme="minorEastAsia"/>
                <w:szCs w:val="21"/>
              </w:rPr>
              <w:br w:type="textWrapping"/>
            </w:r>
            <w:r>
              <w:rPr>
                <w:rFonts w:hint="eastAsia" w:cs="Arial" w:asciiTheme="minorEastAsia" w:hAnsiTheme="minorEastAsia"/>
                <w:szCs w:val="21"/>
              </w:rPr>
              <w:t>指向特性: 全指向</w:t>
            </w:r>
            <w:r>
              <w:rPr>
                <w:rFonts w:hint="eastAsia" w:cs="Arial" w:asciiTheme="minorEastAsia" w:hAnsiTheme="minorEastAsia"/>
                <w:szCs w:val="21"/>
              </w:rPr>
              <w:br w:type="textWrapping"/>
            </w:r>
            <w:r>
              <w:rPr>
                <w:rFonts w:hint="eastAsia" w:cs="Arial" w:asciiTheme="minorEastAsia" w:hAnsiTheme="minorEastAsia"/>
                <w:szCs w:val="21"/>
              </w:rPr>
              <w:t>信噪比＞50dB（户外）, ＞60dB（室内）</w:t>
            </w:r>
            <w:r>
              <w:rPr>
                <w:rFonts w:hint="eastAsia" w:cs="Arial" w:asciiTheme="minorEastAsia" w:hAnsiTheme="minorEastAsia"/>
                <w:szCs w:val="21"/>
              </w:rPr>
              <w:br w:type="textWrapping"/>
            </w:r>
            <w:r>
              <w:rPr>
                <w:rFonts w:hint="eastAsia" w:cs="Arial" w:asciiTheme="minorEastAsia" w:hAnsiTheme="minorEastAsia"/>
                <w:szCs w:val="21"/>
              </w:rPr>
              <w:t>最大承受音压: ≥120dB SPL (1KHz,THD 1%)</w:t>
            </w:r>
            <w:r>
              <w:rPr>
                <w:rFonts w:hint="eastAsia" w:cs="Arial" w:asciiTheme="minorEastAsia" w:hAnsiTheme="minorEastAsia"/>
                <w:szCs w:val="21"/>
              </w:rPr>
              <w:br w:type="textWrapping"/>
            </w:r>
            <w:r>
              <w:rPr>
                <w:rFonts w:hint="eastAsia" w:cs="Arial" w:asciiTheme="minorEastAsia" w:hAnsiTheme="minorEastAsia"/>
                <w:szCs w:val="21"/>
              </w:rPr>
              <w:t>输出阻抗: 600欧姆非平衡</w:t>
            </w:r>
            <w:r>
              <w:rPr>
                <w:rFonts w:hint="eastAsia" w:cs="Arial" w:asciiTheme="minorEastAsia" w:hAnsiTheme="minorEastAsia"/>
                <w:szCs w:val="21"/>
              </w:rPr>
              <w:br w:type="textWrapping"/>
            </w:r>
            <w:r>
              <w:rPr>
                <w:rFonts w:hint="eastAsia" w:cs="Arial" w:asciiTheme="minorEastAsia" w:hAnsiTheme="minorEastAsia"/>
                <w:szCs w:val="21"/>
              </w:rPr>
              <w:t>咪头数量: 双咪头</w:t>
            </w:r>
            <w:r>
              <w:rPr>
                <w:rFonts w:hint="eastAsia" w:cs="Arial" w:asciiTheme="minorEastAsia" w:hAnsiTheme="minorEastAsia"/>
                <w:szCs w:val="21"/>
              </w:rPr>
              <w:br w:type="textWrapping"/>
            </w:r>
            <w:r>
              <w:rPr>
                <w:rFonts w:hint="eastAsia" w:cs="Arial" w:asciiTheme="minorEastAsia" w:hAnsiTheme="minorEastAsia"/>
                <w:szCs w:val="21"/>
              </w:rPr>
              <w:t>信号处理电路: ClearSpeech数字降噪</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153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红外星光球机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全彩球机</w:t>
            </w:r>
            <w:r>
              <w:rPr>
                <w:rFonts w:hint="eastAsia" w:cs="Arial" w:asciiTheme="minorEastAsia" w:hAnsiTheme="minorEastAsia"/>
                <w:szCs w:val="21"/>
              </w:rPr>
              <w:br w:type="textWrapping"/>
            </w:r>
            <w:r>
              <w:rPr>
                <w:rFonts w:hint="eastAsia" w:cs="Arial" w:asciiTheme="minorEastAsia" w:hAnsiTheme="minorEastAsia"/>
                <w:szCs w:val="21"/>
              </w:rPr>
              <w:t>支持区域入侵侦测，越界侦测，进入区域侦测和离开区域侦测等智能侦测</w:t>
            </w:r>
            <w:r>
              <w:rPr>
                <w:rFonts w:hint="eastAsia" w:cs="Arial" w:asciiTheme="minorEastAsia" w:hAnsiTheme="minorEastAsia"/>
                <w:szCs w:val="21"/>
              </w:rPr>
              <w:br w:type="textWrapping"/>
            </w:r>
            <w:r>
              <w:rPr>
                <w:rFonts w:hint="eastAsia" w:cs="Arial" w:asciiTheme="minorEastAsia" w:hAnsiTheme="minorEastAsia"/>
                <w:szCs w:val="21"/>
              </w:rPr>
              <w:t>采用高效补光阵列，低功耗，红外补光150 m，白光补光30 m</w:t>
            </w:r>
            <w:r>
              <w:rPr>
                <w:rFonts w:hint="eastAsia" w:cs="Arial" w:asciiTheme="minorEastAsia" w:hAnsiTheme="minorEastAsia"/>
                <w:szCs w:val="21"/>
              </w:rPr>
              <w:br w:type="textWrapping"/>
            </w:r>
            <w:r>
              <w:rPr>
                <w:rFonts w:hint="eastAsia" w:cs="Arial" w:asciiTheme="minorEastAsia" w:hAnsiTheme="minorEastAsia"/>
                <w:szCs w:val="21"/>
              </w:rPr>
              <w:t>内置加热玻璃，有效除雾</w:t>
            </w:r>
            <w:r>
              <w:rPr>
                <w:rFonts w:hint="eastAsia" w:cs="Arial" w:asciiTheme="minorEastAsia" w:hAnsiTheme="minorEastAsia"/>
                <w:szCs w:val="21"/>
              </w:rPr>
              <w:br w:type="textWrapping"/>
            </w:r>
            <w:r>
              <w:rPr>
                <w:rFonts w:hint="eastAsia" w:cs="Arial" w:asciiTheme="minorEastAsia" w:hAnsiTheme="minorEastAsia"/>
                <w:szCs w:val="21"/>
              </w:rPr>
              <w:t>传感器类型: 1/2.8＂progressive scan CMOS及以上</w:t>
            </w:r>
            <w:r>
              <w:rPr>
                <w:rFonts w:hint="eastAsia" w:cs="Arial" w:asciiTheme="minorEastAsia" w:hAnsiTheme="minorEastAsia"/>
                <w:szCs w:val="21"/>
              </w:rPr>
              <w:br w:type="textWrapping"/>
            </w:r>
            <w:r>
              <w:rPr>
                <w:rFonts w:hint="eastAsia" w:cs="Arial" w:asciiTheme="minorEastAsia" w:hAnsiTheme="minorEastAsia"/>
                <w:szCs w:val="21"/>
              </w:rPr>
              <w:t>最低照度: 彩色：0.005 Lux @（F1.5，AGC ON）；黑白：0.001 Lux @（F1.5，AGC ON）；0 Lux with IR</w:t>
            </w:r>
            <w:r>
              <w:rPr>
                <w:rFonts w:hint="eastAsia" w:cs="Arial" w:asciiTheme="minorEastAsia" w:hAnsiTheme="minorEastAsia"/>
                <w:szCs w:val="21"/>
              </w:rPr>
              <w:br w:type="textWrapping"/>
            </w:r>
            <w:r>
              <w:rPr>
                <w:rFonts w:hint="eastAsia" w:cs="Arial" w:asciiTheme="minorEastAsia" w:hAnsiTheme="minorEastAsia"/>
                <w:szCs w:val="21"/>
              </w:rPr>
              <w:t>宽动态: ≥120 dB超宽动态</w:t>
            </w:r>
            <w:r>
              <w:rPr>
                <w:rFonts w:hint="eastAsia" w:cs="Arial" w:asciiTheme="minorEastAsia" w:hAnsiTheme="minorEastAsia"/>
                <w:szCs w:val="21"/>
              </w:rPr>
              <w:br w:type="textWrapping"/>
            </w:r>
            <w:r>
              <w:rPr>
                <w:rFonts w:hint="eastAsia" w:cs="Arial" w:asciiTheme="minorEastAsia" w:hAnsiTheme="minorEastAsia"/>
                <w:szCs w:val="21"/>
              </w:rPr>
              <w:t xml:space="preserve">焦距: 5.9~135.7 mm，23倍光学变倍 </w:t>
            </w:r>
            <w:r>
              <w:rPr>
                <w:rFonts w:hint="eastAsia" w:cs="Arial" w:asciiTheme="minorEastAsia" w:hAnsiTheme="minorEastAsia"/>
                <w:szCs w:val="21"/>
              </w:rPr>
              <w:br w:type="textWrapping"/>
            </w:r>
            <w:r>
              <w:rPr>
                <w:rFonts w:hint="eastAsia" w:cs="Arial" w:asciiTheme="minorEastAsia" w:hAnsiTheme="minorEastAsia"/>
                <w:szCs w:val="21"/>
              </w:rPr>
              <w:t xml:space="preserve">视场角: 60.2~3.4度（广角~望远）   </w:t>
            </w:r>
            <w:r>
              <w:rPr>
                <w:rFonts w:hint="eastAsia" w:cs="Arial" w:asciiTheme="minorEastAsia" w:hAnsiTheme="minorEastAsia"/>
                <w:szCs w:val="21"/>
              </w:rPr>
              <w:br w:type="textWrapping"/>
            </w:r>
            <w:r>
              <w:rPr>
                <w:rFonts w:hint="eastAsia" w:cs="Arial" w:asciiTheme="minorEastAsia" w:hAnsiTheme="minorEastAsia"/>
                <w:szCs w:val="21"/>
              </w:rPr>
              <w:t>补光灯类型: 混合补光</w:t>
            </w:r>
            <w:r>
              <w:rPr>
                <w:rFonts w:hint="eastAsia" w:cs="Arial" w:asciiTheme="minorEastAsia" w:hAnsiTheme="minorEastAsia"/>
                <w:szCs w:val="21"/>
              </w:rPr>
              <w:br w:type="textWrapping"/>
            </w:r>
            <w:r>
              <w:rPr>
                <w:rFonts w:hint="eastAsia" w:cs="Arial" w:asciiTheme="minorEastAsia" w:hAnsiTheme="minorEastAsia"/>
                <w:szCs w:val="21"/>
              </w:rPr>
              <w:t>补光灯距离: 红外照射距离：最远可达150 m; 白光照射距离：最远可达30 m</w:t>
            </w:r>
            <w:r>
              <w:rPr>
                <w:rFonts w:hint="eastAsia" w:cs="Arial" w:asciiTheme="minorEastAsia" w:hAnsiTheme="minorEastAsia"/>
                <w:szCs w:val="21"/>
              </w:rPr>
              <w:br w:type="textWrapping"/>
            </w:r>
            <w:r>
              <w:rPr>
                <w:rFonts w:hint="eastAsia" w:cs="Arial" w:asciiTheme="minorEastAsia" w:hAnsiTheme="minorEastAsia"/>
                <w:szCs w:val="21"/>
              </w:rPr>
              <w:t>水平范围: 360°</w:t>
            </w:r>
            <w:r>
              <w:rPr>
                <w:rFonts w:hint="eastAsia" w:cs="Arial" w:asciiTheme="minorEastAsia" w:hAnsiTheme="minorEastAsia"/>
                <w:szCs w:val="21"/>
              </w:rPr>
              <w:br w:type="textWrapping"/>
            </w:r>
            <w:r>
              <w:rPr>
                <w:rFonts w:hint="eastAsia" w:cs="Arial" w:asciiTheme="minorEastAsia" w:hAnsiTheme="minorEastAsia"/>
                <w:szCs w:val="21"/>
              </w:rPr>
              <w:t>垂直范围: -15°~90°（自动翻转）</w:t>
            </w:r>
            <w:r>
              <w:rPr>
                <w:rFonts w:hint="eastAsia" w:cs="Arial" w:asciiTheme="minorEastAsia" w:hAnsiTheme="minorEastAsia"/>
                <w:szCs w:val="21"/>
              </w:rPr>
              <w:br w:type="textWrapping"/>
            </w:r>
            <w:r>
              <w:rPr>
                <w:rFonts w:hint="eastAsia" w:cs="Arial" w:asciiTheme="minorEastAsia" w:hAnsiTheme="minorEastAsia"/>
                <w:szCs w:val="21"/>
              </w:rPr>
              <w:t xml:space="preserve">主码流帧率分辨率: 50 Hz：25 fps（2560 × 1440）; 60 Hz：30 fps（2560 × 1440） </w:t>
            </w:r>
            <w:r>
              <w:rPr>
                <w:rFonts w:hint="eastAsia" w:cs="Arial" w:asciiTheme="minorEastAsia" w:hAnsiTheme="minorEastAsia"/>
                <w:szCs w:val="21"/>
              </w:rPr>
              <w:br w:type="textWrapping"/>
            </w:r>
            <w:r>
              <w:rPr>
                <w:rFonts w:hint="eastAsia" w:cs="Arial" w:asciiTheme="minorEastAsia" w:hAnsiTheme="minorEastAsia"/>
                <w:szCs w:val="21"/>
              </w:rPr>
              <w:t>视频压缩标准: H.265，H.264，MJPEG</w:t>
            </w:r>
            <w:r>
              <w:rPr>
                <w:rFonts w:hint="eastAsia" w:cs="Arial" w:asciiTheme="minorEastAsia" w:hAnsiTheme="minorEastAsia"/>
                <w:szCs w:val="21"/>
              </w:rPr>
              <w:br w:type="textWrapping"/>
            </w:r>
            <w:r>
              <w:rPr>
                <w:rFonts w:hint="eastAsia" w:cs="Arial" w:asciiTheme="minorEastAsia" w:hAnsiTheme="minorEastAsia"/>
                <w:szCs w:val="21"/>
              </w:rPr>
              <w:t>网络存储: NAS（NFS，SMB/CIFS）</w:t>
            </w:r>
            <w:r>
              <w:rPr>
                <w:rFonts w:hint="eastAsia" w:cs="Arial" w:asciiTheme="minorEastAsia" w:hAnsiTheme="minorEastAsia"/>
                <w:szCs w:val="21"/>
              </w:rPr>
              <w:br w:type="textWrapping"/>
            </w:r>
            <w:r>
              <w:rPr>
                <w:rFonts w:hint="eastAsia" w:cs="Arial" w:asciiTheme="minorEastAsia" w:hAnsiTheme="minorEastAsia"/>
                <w:szCs w:val="21"/>
              </w:rPr>
              <w:t xml:space="preserve">网络接口: RJ45网口，自适应10 M/100 M网络数据 </w:t>
            </w:r>
            <w:r>
              <w:rPr>
                <w:rFonts w:hint="eastAsia" w:cs="Arial" w:asciiTheme="minorEastAsia" w:hAnsiTheme="minorEastAsia"/>
                <w:szCs w:val="21"/>
              </w:rPr>
              <w:br w:type="textWrapping"/>
            </w:r>
            <w:r>
              <w:rPr>
                <w:rFonts w:hint="eastAsia" w:cs="Arial" w:asciiTheme="minorEastAsia" w:hAnsiTheme="minorEastAsia"/>
                <w:szCs w:val="21"/>
              </w:rPr>
              <w:t>SD卡扩展: 支持MicroSD(即TF卡)/MicroSDHC/MicroSDXC卡，最大支持256 GB</w:t>
            </w:r>
            <w:r>
              <w:rPr>
                <w:rFonts w:hint="eastAsia" w:cs="Arial" w:asciiTheme="minorEastAsia" w:hAnsiTheme="minorEastAsia"/>
                <w:szCs w:val="21"/>
              </w:rPr>
              <w:br w:type="textWrapping"/>
            </w:r>
            <w:r>
              <w:rPr>
                <w:rFonts w:hint="eastAsia" w:cs="Arial" w:asciiTheme="minorEastAsia" w:hAnsiTheme="minorEastAsia"/>
                <w:szCs w:val="21"/>
              </w:rPr>
              <w:t>报警输入: ≥2路报警输入</w:t>
            </w:r>
            <w:r>
              <w:rPr>
                <w:rFonts w:hint="eastAsia" w:cs="Arial" w:asciiTheme="minorEastAsia" w:hAnsiTheme="minorEastAsia"/>
                <w:szCs w:val="21"/>
              </w:rPr>
              <w:br w:type="textWrapping"/>
            </w:r>
            <w:r>
              <w:rPr>
                <w:rFonts w:hint="eastAsia" w:cs="Arial" w:asciiTheme="minorEastAsia" w:hAnsiTheme="minorEastAsia"/>
                <w:szCs w:val="21"/>
              </w:rPr>
              <w:t>报警输出: ≥1路报警输出</w:t>
            </w:r>
            <w:r>
              <w:rPr>
                <w:rFonts w:hint="eastAsia" w:cs="Arial" w:asciiTheme="minorEastAsia" w:hAnsiTheme="minorEastAsia"/>
                <w:szCs w:val="21"/>
              </w:rPr>
              <w:br w:type="textWrapping"/>
            </w:r>
            <w:r>
              <w:rPr>
                <w:rFonts w:hint="eastAsia" w:cs="Arial" w:asciiTheme="minorEastAsia" w:hAnsiTheme="minorEastAsia"/>
                <w:szCs w:val="21"/>
              </w:rPr>
              <w:t>音频输入: ≥1路音频输入</w:t>
            </w:r>
            <w:r>
              <w:rPr>
                <w:rFonts w:hint="eastAsia" w:cs="Arial" w:asciiTheme="minorEastAsia" w:hAnsiTheme="minorEastAsia"/>
                <w:szCs w:val="21"/>
              </w:rPr>
              <w:br w:type="textWrapping"/>
            </w:r>
            <w:r>
              <w:rPr>
                <w:rFonts w:hint="eastAsia" w:cs="Arial" w:asciiTheme="minorEastAsia" w:hAnsiTheme="minorEastAsia"/>
                <w:szCs w:val="21"/>
              </w:rPr>
              <w:t>音频输出: ≥1路音频输出</w:t>
            </w:r>
            <w:r>
              <w:rPr>
                <w:rFonts w:hint="eastAsia" w:cs="Arial" w:asciiTheme="minorEastAsia" w:hAnsiTheme="minorEastAsia"/>
                <w:szCs w:val="21"/>
              </w:rPr>
              <w:br w:type="textWrapping"/>
            </w:r>
            <w:r>
              <w:rPr>
                <w:rFonts w:hint="eastAsia" w:cs="Arial" w:asciiTheme="minorEastAsia" w:hAnsiTheme="minorEastAsia"/>
                <w:szCs w:val="21"/>
              </w:rPr>
              <w:t>防护: IP66及以上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▼AI抓拍筒型摄像机</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400万及以上AI抓拍筒型网络摄像机</w:t>
            </w:r>
            <w:r>
              <w:rPr>
                <w:rFonts w:hint="eastAsia" w:cs="Arial" w:asciiTheme="minorEastAsia" w:hAnsiTheme="minorEastAsia"/>
                <w:szCs w:val="21"/>
              </w:rPr>
              <w:br w:type="textWrapping"/>
            </w:r>
            <w:r>
              <w:rPr>
                <w:rFonts w:hint="eastAsia" w:cs="Arial" w:asciiTheme="minorEastAsia" w:hAnsiTheme="minorEastAsia"/>
                <w:szCs w:val="21"/>
              </w:rPr>
              <w:t>采用深度学习算法，以海量图片及视频资源为路基，通过机器自身提取目标特征，形成深层可供学习的图像。极大的提升了目标的检出率</w:t>
            </w:r>
            <w:r>
              <w:rPr>
                <w:rFonts w:hint="eastAsia" w:cs="Arial" w:asciiTheme="minorEastAsia" w:hAnsiTheme="minorEastAsia"/>
                <w:szCs w:val="21"/>
              </w:rPr>
              <w:br w:type="textWrapping"/>
            </w:r>
            <w:r>
              <w:rPr>
                <w:rFonts w:hint="eastAsia" w:cs="Arial" w:asciiTheme="minorEastAsia" w:hAnsiTheme="minorEastAsia"/>
                <w:szCs w:val="21"/>
              </w:rPr>
              <w:t>支持智能资源模式切换：全结构化（默认）、抓拍、比对、道路监控、Smart事件</w:t>
            </w:r>
            <w:r>
              <w:rPr>
                <w:rFonts w:hint="eastAsia" w:cs="Arial" w:asciiTheme="minorEastAsia" w:hAnsiTheme="minorEastAsia"/>
                <w:szCs w:val="21"/>
              </w:rPr>
              <w:br w:type="textWrapping"/>
            </w:r>
            <w:r>
              <w:rPr>
                <w:rFonts w:hint="eastAsia" w:cs="Arial" w:asciiTheme="minorEastAsia" w:hAnsiTheme="minorEastAsia"/>
                <w:szCs w:val="21"/>
              </w:rPr>
              <w:t>全结构化模式：</w:t>
            </w:r>
            <w:r>
              <w:rPr>
                <w:rFonts w:hint="eastAsia" w:cs="Arial" w:asciiTheme="minorEastAsia" w:hAnsiTheme="minorEastAsia"/>
                <w:szCs w:val="21"/>
              </w:rPr>
              <w:br w:type="textWrapping"/>
            </w:r>
            <w:r>
              <w:rPr>
                <w:rFonts w:hint="eastAsia" w:cs="Arial" w:asciiTheme="minorEastAsia" w:hAnsiTheme="minorEastAsia"/>
                <w:szCs w:val="21"/>
              </w:rPr>
              <w:t>抓拍人体：支持运动方向、上衣颜色、下装颜色、性别、年龄段、戴眼镜、背包、拎东西、戴帽子、戴口罩、发型、上衣类型、下装类型等属性识别</w:t>
            </w:r>
            <w:r>
              <w:rPr>
                <w:rFonts w:hint="eastAsia" w:cs="Arial" w:asciiTheme="minorEastAsia" w:hAnsiTheme="minorEastAsia"/>
                <w:szCs w:val="21"/>
              </w:rPr>
              <w:br w:type="textWrapping"/>
            </w:r>
            <w:r>
              <w:rPr>
                <w:rFonts w:hint="eastAsia" w:cs="Arial" w:asciiTheme="minorEastAsia" w:hAnsiTheme="minorEastAsia"/>
                <w:szCs w:val="21"/>
              </w:rPr>
              <w:t>抓拍：支持性别、年龄、年龄段、戴眼镜、戴口罩、戴帽子等属性识别</w:t>
            </w:r>
            <w:r>
              <w:rPr>
                <w:rFonts w:hint="eastAsia" w:cs="Arial" w:asciiTheme="minorEastAsia" w:hAnsiTheme="minorEastAsia"/>
                <w:szCs w:val="21"/>
              </w:rPr>
              <w:br w:type="textWrapping"/>
            </w:r>
            <w:r>
              <w:rPr>
                <w:rFonts w:hint="eastAsia" w:cs="Arial" w:asciiTheme="minorEastAsia" w:hAnsiTheme="minorEastAsia"/>
                <w:szCs w:val="21"/>
              </w:rPr>
              <w:t>抓拍非机动车：支持上衣颜色、下衣颜色、性别、戴眼镜、年龄段、背包、拎东西、戴帽子、戴口罩、上衣类型、下装类型、戴口罩、发型、非机动车类型</w:t>
            </w:r>
            <w:r>
              <w:rPr>
                <w:rFonts w:hint="eastAsia" w:cs="Arial" w:asciiTheme="minorEastAsia" w:hAnsiTheme="minorEastAsia"/>
                <w:szCs w:val="21"/>
              </w:rPr>
              <w:br w:type="textWrapping"/>
            </w:r>
            <w:r>
              <w:rPr>
                <w:rFonts w:hint="eastAsia" w:cs="Arial" w:asciiTheme="minorEastAsia" w:hAnsiTheme="minorEastAsia"/>
                <w:szCs w:val="21"/>
              </w:rPr>
              <w:t>抓拍机动车：支持车身颜色、车型识别、车辆行驶方向、车牌颜色、车牌类型等属性识别</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214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全智能鹰眼相机</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内置2颗GPU芯片及以上，支持深度学习算法，有效提升检测准确率；</w:t>
            </w:r>
            <w:r>
              <w:rPr>
                <w:rFonts w:hint="eastAsia" w:cs="Arial" w:asciiTheme="minorEastAsia" w:hAnsiTheme="minorEastAsia"/>
                <w:szCs w:val="21"/>
              </w:rPr>
              <w:br w:type="textWrapping"/>
            </w:r>
            <w:r>
              <w:rPr>
                <w:rFonts w:hint="eastAsia" w:cs="Arial" w:asciiTheme="minorEastAsia" w:hAnsiTheme="minorEastAsia"/>
                <w:szCs w:val="21"/>
              </w:rPr>
              <w:t>支持三种智能资源切换：周界防范、车辆密度、人群分布图；</w:t>
            </w:r>
            <w:r>
              <w:rPr>
                <w:rFonts w:hint="eastAsia" w:cs="Arial" w:asciiTheme="minorEastAsia" w:hAnsiTheme="minorEastAsia"/>
                <w:szCs w:val="21"/>
              </w:rPr>
              <w:br w:type="textWrapping"/>
            </w:r>
            <w:r>
              <w:rPr>
                <w:rFonts w:hint="eastAsia" w:cs="Arial" w:asciiTheme="minorEastAsia" w:hAnsiTheme="minorEastAsia"/>
                <w:szCs w:val="21"/>
              </w:rPr>
              <w:t>支持人群分布图：人群监测、全局及区域人数统计、人群密度阈值报警联动监视功能，为人群全局监测、焦点监测提供强有力措施；</w:t>
            </w:r>
            <w:r>
              <w:rPr>
                <w:rFonts w:hint="eastAsia" w:cs="Arial" w:asciiTheme="minorEastAsia" w:hAnsiTheme="minorEastAsia"/>
                <w:szCs w:val="21"/>
              </w:rPr>
              <w:br w:type="textWrapping"/>
            </w:r>
            <w:r>
              <w:rPr>
                <w:rFonts w:hint="eastAsia" w:cs="Arial" w:asciiTheme="minorEastAsia" w:hAnsiTheme="minorEastAsia"/>
                <w:szCs w:val="21"/>
              </w:rPr>
              <w:t>支持对统计区域内进行进行道路拥堵与停车上限检测，并可手动联动球机进行细节查看；</w:t>
            </w:r>
            <w:r>
              <w:rPr>
                <w:rFonts w:hint="eastAsia" w:cs="Arial" w:asciiTheme="minorEastAsia" w:hAnsiTheme="minorEastAsia"/>
                <w:szCs w:val="21"/>
              </w:rPr>
              <w:br w:type="textWrapping"/>
            </w:r>
            <w:r>
              <w:rPr>
                <w:rFonts w:hint="eastAsia" w:cs="Arial" w:asciiTheme="minorEastAsia" w:hAnsiTheme="minorEastAsia"/>
                <w:szCs w:val="21"/>
              </w:rPr>
              <w:t>支持绊线入侵，区域入侵；</w:t>
            </w:r>
            <w:r>
              <w:rPr>
                <w:rFonts w:hint="eastAsia" w:cs="Arial" w:asciiTheme="minorEastAsia" w:hAnsiTheme="minorEastAsia"/>
                <w:szCs w:val="21"/>
              </w:rPr>
              <w:br w:type="textWrapping"/>
            </w:r>
            <w:r>
              <w:rPr>
                <w:rFonts w:hint="eastAsia" w:cs="Arial" w:asciiTheme="minorEastAsia" w:hAnsiTheme="minorEastAsia"/>
                <w:szCs w:val="21"/>
              </w:rPr>
              <w:t>支持三码流功能，两路高清视频显示；</w:t>
            </w:r>
            <w:r>
              <w:rPr>
                <w:rFonts w:hint="eastAsia" w:cs="Arial" w:asciiTheme="minorEastAsia" w:hAnsiTheme="minorEastAsia"/>
                <w:szCs w:val="21"/>
              </w:rPr>
              <w:br w:type="textWrapping"/>
            </w:r>
            <w:r>
              <w:rPr>
                <w:rFonts w:hint="eastAsia" w:cs="Arial" w:asciiTheme="minorEastAsia" w:hAnsiTheme="minorEastAsia"/>
                <w:szCs w:val="21"/>
              </w:rPr>
              <w:t>网络传输能力满足发送数据包≥2000个，重复测试3次，无丢包；具备较强的网络自适应能力，在丢包率为25%的网络环境下，仍可正常显示监视画面。</w:t>
            </w:r>
          </w:p>
          <w:p>
            <w:pPr>
              <w:snapToGrid w:val="0"/>
              <w:spacing w:line="276" w:lineRule="auto"/>
              <w:rPr>
                <w:rFonts w:cs="Arial" w:asciiTheme="minorEastAsia" w:hAnsiTheme="minorEastAsia"/>
                <w:szCs w:val="21"/>
              </w:rPr>
            </w:pPr>
            <w:r>
              <w:rPr>
                <w:rFonts w:hint="eastAsia" w:cs="Arial" w:asciiTheme="minorEastAsia" w:hAnsiTheme="minorEastAsia"/>
                <w:szCs w:val="21"/>
              </w:rPr>
              <w:t>自带镜头，另配不少于4个图像采集模块，可输出1路主视频图像和4路辅视频图像或以上。可将4个辅视频图像进行无缝拼接，实现180°拼接画面显示，并抓拍拼接后的图像。拼接后的辅视频图像：水平视场角为180°，垂直视场角为80°；</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警戒摄像机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具有</w:t>
            </w:r>
            <w:r>
              <w:rPr>
                <w:rFonts w:cs="Arial" w:asciiTheme="minorEastAsia" w:hAnsiTheme="minorEastAsia"/>
                <w:szCs w:val="21"/>
              </w:rPr>
              <w:t>2</w:t>
            </w:r>
            <w:r>
              <w:rPr>
                <w:rFonts w:hint="eastAsia" w:cs="Arial" w:asciiTheme="minorEastAsia" w:hAnsiTheme="minorEastAsia"/>
                <w:szCs w:val="21"/>
              </w:rPr>
              <w:t>00万及以上像素。</w:t>
            </w:r>
            <w:r>
              <w:rPr>
                <w:rFonts w:hint="eastAsia" w:cs="Arial" w:asciiTheme="minorEastAsia" w:hAnsiTheme="minorEastAsia"/>
                <w:szCs w:val="21"/>
              </w:rPr>
              <w:br w:type="textWrapping"/>
            </w:r>
            <w:r>
              <w:rPr>
                <w:rFonts w:hint="eastAsia" w:cs="Arial" w:asciiTheme="minorEastAsia" w:hAnsiTheme="minorEastAsia"/>
                <w:szCs w:val="21"/>
              </w:rPr>
              <w:t>内置GPU芯片。</w:t>
            </w:r>
            <w:r>
              <w:rPr>
                <w:rFonts w:hint="eastAsia" w:cs="Arial" w:asciiTheme="minorEastAsia" w:hAnsiTheme="minorEastAsia"/>
                <w:szCs w:val="21"/>
              </w:rPr>
              <w:br w:type="textWrapping"/>
            </w:r>
            <w:r>
              <w:rPr>
                <w:rFonts w:hint="eastAsia" w:cs="Arial" w:asciiTheme="minorEastAsia" w:hAnsiTheme="minorEastAsia"/>
                <w:szCs w:val="21"/>
              </w:rPr>
              <w:t>内置红外与白光补光灯。</w:t>
            </w:r>
            <w:r>
              <w:rPr>
                <w:rFonts w:hint="eastAsia" w:cs="Arial" w:asciiTheme="minorEastAsia" w:hAnsiTheme="minorEastAsia"/>
                <w:szCs w:val="21"/>
              </w:rPr>
              <w:br w:type="textWrapping"/>
            </w:r>
            <w:r>
              <w:rPr>
                <w:rFonts w:hint="eastAsia" w:cs="Arial" w:asciiTheme="minorEastAsia" w:hAnsiTheme="minorEastAsia"/>
                <w:szCs w:val="21"/>
              </w:rPr>
              <w:t>支持白光报警功能，当报警产生时，可触发联动白光闪烁。</w:t>
            </w:r>
            <w:r>
              <w:rPr>
                <w:rFonts w:hint="eastAsia" w:cs="Arial" w:asciiTheme="minorEastAsia" w:hAnsiTheme="minorEastAsia"/>
                <w:szCs w:val="21"/>
              </w:rPr>
              <w:br w:type="textWrapping"/>
            </w:r>
            <w:r>
              <w:rPr>
                <w:rFonts w:hint="eastAsia" w:cs="Arial" w:asciiTheme="minorEastAsia" w:hAnsiTheme="minorEastAsia"/>
                <w:szCs w:val="21"/>
              </w:rPr>
              <w:t>最低照度彩色：0.001 lx ，灰度等级不小于11级。</w:t>
            </w:r>
            <w:r>
              <w:rPr>
                <w:rFonts w:hint="eastAsia" w:cs="Arial" w:asciiTheme="minorEastAsia" w:hAnsiTheme="minorEastAsia"/>
                <w:szCs w:val="21"/>
              </w:rPr>
              <w:br w:type="textWrapping"/>
            </w:r>
            <w:r>
              <w:rPr>
                <w:rFonts w:hint="eastAsia" w:cs="Arial" w:asciiTheme="minorEastAsia" w:hAnsiTheme="minorEastAsia"/>
                <w:szCs w:val="21"/>
              </w:rPr>
              <w:t>白光补光距离不小于15米。</w:t>
            </w:r>
            <w:r>
              <w:rPr>
                <w:rFonts w:hint="eastAsia" w:cs="Arial" w:asciiTheme="minorEastAsia" w:hAnsiTheme="minorEastAsia"/>
                <w:szCs w:val="21"/>
              </w:rPr>
              <w:br w:type="textWrapping"/>
            </w:r>
            <w:r>
              <w:rPr>
                <w:rFonts w:hint="eastAsia" w:cs="Arial" w:asciiTheme="minorEastAsia" w:hAnsiTheme="minorEastAsia"/>
                <w:szCs w:val="21"/>
              </w:rPr>
              <w:t>需支持双码流技术，主码流最高2688x1520@25fps，子码流704x576@25fps。</w:t>
            </w:r>
            <w:r>
              <w:rPr>
                <w:rFonts w:hint="eastAsia" w:cs="Arial" w:asciiTheme="minorEastAsia" w:hAnsiTheme="minorEastAsia"/>
                <w:szCs w:val="21"/>
              </w:rPr>
              <w:br w:type="textWrapping"/>
            </w:r>
            <w:r>
              <w:rPr>
                <w:rFonts w:hint="eastAsia" w:cs="Arial" w:asciiTheme="minorEastAsia" w:hAnsiTheme="minorEastAsia"/>
                <w:szCs w:val="21"/>
              </w:rPr>
              <w:t>支持H.264、H.265视频编码格式，且具有High Profile编码能力。</w:t>
            </w:r>
            <w:r>
              <w:rPr>
                <w:rFonts w:hint="eastAsia" w:cs="Arial" w:asciiTheme="minorEastAsia" w:hAnsiTheme="minorEastAsia"/>
                <w:szCs w:val="21"/>
              </w:rPr>
              <w:br w:type="textWrapping"/>
            </w:r>
            <w:r>
              <w:rPr>
                <w:rFonts w:hint="eastAsia" w:cs="Arial" w:asciiTheme="minorEastAsia" w:hAnsiTheme="minorEastAsia"/>
                <w:szCs w:val="21"/>
              </w:rPr>
              <w:t>需具备区域入侵检测、越界检测、进入区域、离开区域等功能。</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吸顶快球</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采用400万及以上像素</w:t>
            </w:r>
            <w:r>
              <w:rPr>
                <w:rFonts w:hint="eastAsia" w:cs="Arial" w:asciiTheme="minorEastAsia" w:hAnsiTheme="minorEastAsia"/>
                <w:szCs w:val="21"/>
              </w:rPr>
              <w:br w:type="textWrapping"/>
            </w:r>
            <w:r>
              <w:rPr>
                <w:rFonts w:hint="eastAsia" w:cs="Arial" w:asciiTheme="minorEastAsia" w:hAnsiTheme="minorEastAsia"/>
                <w:szCs w:val="21"/>
              </w:rPr>
              <w:br w:type="textWrapping"/>
            </w:r>
            <w:r>
              <w:rPr>
                <w:rFonts w:hint="eastAsia" w:cs="Arial" w:asciiTheme="minorEastAsia" w:hAnsiTheme="minorEastAsia"/>
                <w:szCs w:val="21"/>
              </w:rPr>
              <w:t>支持POE功能， 视频输出支持≥2560×1440@25fps，分辨力不小于1400TVL</w:t>
            </w:r>
            <w:r>
              <w:rPr>
                <w:rFonts w:hint="eastAsia" w:cs="Arial" w:asciiTheme="minorEastAsia" w:hAnsiTheme="minorEastAsia"/>
                <w:szCs w:val="21"/>
              </w:rPr>
              <w:br w:type="textWrapping"/>
            </w:r>
            <w:r>
              <w:rPr>
                <w:rFonts w:hint="eastAsia" w:cs="Arial" w:asciiTheme="minorEastAsia" w:hAnsiTheme="minorEastAsia"/>
                <w:szCs w:val="21"/>
              </w:rPr>
              <w:t>细节镜头支持不小于23倍光学变倍，16倍数字变倍</w:t>
            </w:r>
            <w:r>
              <w:rPr>
                <w:rFonts w:hint="eastAsia" w:cs="Arial" w:asciiTheme="minorEastAsia" w:hAnsiTheme="minorEastAsia"/>
                <w:szCs w:val="21"/>
              </w:rPr>
              <w:br w:type="textWrapping"/>
            </w:r>
            <w:r>
              <w:rPr>
                <w:rFonts w:hint="eastAsia" w:cs="Arial" w:asciiTheme="minorEastAsia" w:hAnsiTheme="minorEastAsia"/>
                <w:szCs w:val="21"/>
              </w:rPr>
              <w:t xml:space="preserve">支持对镜头前盖玻璃加热，去除玻璃上的冰状和水状附着物。 </w:t>
            </w:r>
            <w:r>
              <w:rPr>
                <w:rFonts w:hint="eastAsia" w:cs="Arial" w:asciiTheme="minorEastAsia" w:hAnsiTheme="minorEastAsia"/>
                <w:szCs w:val="21"/>
              </w:rPr>
              <w:br w:type="textWrapping"/>
            </w:r>
            <w:r>
              <w:rPr>
                <w:rFonts w:hint="eastAsia" w:cs="Arial" w:asciiTheme="minorEastAsia" w:hAnsiTheme="minorEastAsia"/>
                <w:szCs w:val="21"/>
              </w:rPr>
              <w:t xml:space="preserve">支持最低照度可达彩色0.0002Lux，黑白0.0001Lux。 </w:t>
            </w:r>
            <w:r>
              <w:rPr>
                <w:rFonts w:hint="eastAsia" w:cs="Arial" w:asciiTheme="minorEastAsia" w:hAnsiTheme="minorEastAsia"/>
                <w:szCs w:val="21"/>
              </w:rPr>
              <w:br w:type="textWrapping"/>
            </w:r>
            <w:r>
              <w:rPr>
                <w:rFonts w:hint="eastAsia" w:cs="Arial" w:asciiTheme="minorEastAsia" w:hAnsiTheme="minorEastAsia"/>
                <w:szCs w:val="21"/>
              </w:rPr>
              <w:t>支持水平手控速度不小于550°/S，垂直速度不小于120°/S，云台定位精度为±0.1°。</w:t>
            </w:r>
            <w:r>
              <w:rPr>
                <w:rFonts w:hint="eastAsia" w:cs="Arial" w:asciiTheme="minorEastAsia" w:hAnsiTheme="minorEastAsia"/>
                <w:szCs w:val="21"/>
              </w:rPr>
              <w:br w:type="textWrapping"/>
            </w:r>
            <w:r>
              <w:rPr>
                <w:rFonts w:hint="eastAsia" w:cs="Arial" w:asciiTheme="minorEastAsia" w:hAnsiTheme="minorEastAsia"/>
                <w:szCs w:val="21"/>
              </w:rPr>
              <w:t xml:space="preserve">全景通道和细节通道均支持区域入侵、越界侦测、进入区域、离开区域等智能功能 </w:t>
            </w:r>
            <w:r>
              <w:rPr>
                <w:rFonts w:hint="eastAsia" w:cs="Arial" w:asciiTheme="minorEastAsia" w:hAnsiTheme="minorEastAsia"/>
                <w:szCs w:val="21"/>
              </w:rPr>
              <w:br w:type="textWrapping"/>
            </w:r>
            <w:r>
              <w:rPr>
                <w:rFonts w:hint="eastAsia" w:cs="Arial" w:asciiTheme="minorEastAsia" w:hAnsiTheme="minorEastAsia"/>
                <w:szCs w:val="21"/>
              </w:rPr>
              <w:t>内置不少于2个镜头，可以输出≥两路视频图像，≥1路全景视频图像、≥1路细节视频图像</w:t>
            </w:r>
          </w:p>
          <w:p>
            <w:pPr>
              <w:snapToGrid w:val="0"/>
              <w:spacing w:line="276" w:lineRule="auto"/>
              <w:rPr>
                <w:rFonts w:cs="Arial" w:asciiTheme="minorEastAsia" w:hAnsiTheme="minorEastAsia"/>
                <w:szCs w:val="21"/>
              </w:rPr>
            </w:pPr>
            <w:r>
              <w:rPr>
                <w:rFonts w:hint="eastAsia" w:cs="Arial" w:asciiTheme="minorEastAsia" w:hAnsiTheme="minorEastAsia"/>
                <w:szCs w:val="21"/>
              </w:rPr>
              <w:t>内置不少于2颗GPU芯片</w:t>
            </w:r>
          </w:p>
          <w:p>
            <w:pPr>
              <w:snapToGrid w:val="0"/>
              <w:spacing w:line="276" w:lineRule="auto"/>
              <w:rPr>
                <w:rStyle w:val="79"/>
                <w:rFonts w:cs="Arial" w:asciiTheme="minorEastAsia" w:hAnsiTheme="minorEastAsia" w:eastAsiaTheme="minorEastAsia"/>
              </w:rPr>
            </w:pPr>
            <w:r>
              <w:rPr>
                <w:rFonts w:hint="eastAsia" w:cs="Arial" w:asciiTheme="minorEastAsia" w:hAnsiTheme="minorEastAsia"/>
                <w:szCs w:val="21"/>
              </w:rPr>
              <w:t>在彩色模式下，当环境照度降低至一定值，可自动开启白光补光灯，在白天、夜晚均可输出彩色视频图像</w:t>
            </w:r>
          </w:p>
          <w:p>
            <w:pPr>
              <w:snapToGrid w:val="0"/>
              <w:spacing w:line="276" w:lineRule="auto"/>
              <w:rPr>
                <w:rStyle w:val="79"/>
                <w:rFonts w:cs="宋体" w:asciiTheme="minorEastAsia" w:hAnsiTheme="minorEastAsia" w:eastAsiaTheme="minorEastAsia"/>
              </w:rPr>
            </w:pPr>
            <w:r>
              <w:rPr>
                <w:rFonts w:hint="eastAsia" w:cs="仿宋" w:asciiTheme="minorEastAsia" w:hAnsiTheme="minorEastAsia"/>
                <w:kern w:val="0"/>
                <w:szCs w:val="21"/>
              </w:rPr>
              <w:t>设备支持SIM卡热插拔功能，设备工作状态时，SIM卡插入后和拔出前4G功能正常</w:t>
            </w:r>
            <w:r>
              <w:rPr>
                <w:rFonts w:hint="eastAsia" w:cs="仿宋" w:asciiTheme="minorEastAsia" w:hAnsiTheme="minorEastAsia"/>
                <w:kern w:val="0"/>
                <w:szCs w:val="21"/>
              </w:rPr>
              <w:br w:type="textWrapping"/>
            </w:r>
            <w:r>
              <w:rPr>
                <w:rFonts w:hint="eastAsia" w:cs="仿宋" w:asciiTheme="minorEastAsia" w:hAnsiTheme="minorEastAsia"/>
                <w:kern w:val="0"/>
                <w:szCs w:val="21"/>
              </w:rPr>
              <w:t>支持双路智能行为分析功能，全景通道和细节通道均支持区域入侵、越界侦测、进入区域、离开区域等SMART智能行为分析功能</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电梯网络摄像机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 xml:space="preserve">具有200万及以上像素  </w:t>
            </w:r>
            <w:r>
              <w:rPr>
                <w:rFonts w:hint="eastAsia" w:cs="Arial" w:asciiTheme="minorEastAsia" w:hAnsiTheme="minorEastAsia"/>
                <w:szCs w:val="21"/>
              </w:rPr>
              <w:br w:type="textWrapping"/>
            </w:r>
            <w:r>
              <w:rPr>
                <w:rFonts w:hint="eastAsia" w:cs="Arial" w:asciiTheme="minorEastAsia" w:hAnsiTheme="minorEastAsia"/>
                <w:szCs w:val="21"/>
              </w:rPr>
              <w:t>支持绊线入侵，区域入侵</w:t>
            </w:r>
            <w:r>
              <w:rPr>
                <w:rFonts w:hint="eastAsia" w:cs="Arial" w:asciiTheme="minorEastAsia" w:hAnsiTheme="minorEastAsia"/>
                <w:szCs w:val="21"/>
              </w:rPr>
              <w:br w:type="textWrapping"/>
            </w:r>
            <w:r>
              <w:rPr>
                <w:rFonts w:hint="eastAsia" w:cs="Arial" w:asciiTheme="minorEastAsia" w:hAnsiTheme="minorEastAsia"/>
                <w:szCs w:val="21"/>
              </w:rPr>
              <w:t>支持H.265编码，压缩比高，实现超低码流传输</w:t>
            </w:r>
            <w:r>
              <w:rPr>
                <w:rFonts w:hint="eastAsia" w:cs="Arial" w:asciiTheme="minorEastAsia" w:hAnsiTheme="minorEastAsia"/>
                <w:szCs w:val="21"/>
              </w:rPr>
              <w:br w:type="textWrapping"/>
            </w:r>
            <w:r>
              <w:rPr>
                <w:rFonts w:hint="eastAsia" w:cs="Arial" w:asciiTheme="minorEastAsia" w:hAnsiTheme="minorEastAsia"/>
                <w:szCs w:val="21"/>
              </w:rPr>
              <w:t>内置高效红外补光灯，最大红外监控距离20米</w:t>
            </w:r>
            <w:r>
              <w:rPr>
                <w:rFonts w:hint="eastAsia" w:cs="Arial" w:asciiTheme="minorEastAsia" w:hAnsiTheme="minorEastAsia"/>
                <w:szCs w:val="21"/>
              </w:rPr>
              <w:br w:type="textWrapping"/>
            </w:r>
            <w:r>
              <w:rPr>
                <w:rFonts w:hint="eastAsia" w:cs="Arial" w:asciiTheme="minorEastAsia" w:hAnsiTheme="minorEastAsia"/>
                <w:szCs w:val="21"/>
              </w:rPr>
              <w:t>支持走廊模式，宽动态，3D降噪，强光抑制，背光补偿，数字水印，适用不同监控环境</w:t>
            </w:r>
            <w:r>
              <w:rPr>
                <w:rFonts w:hint="eastAsia" w:cs="Arial" w:asciiTheme="minorEastAsia" w:hAnsiTheme="minorEastAsia"/>
                <w:szCs w:val="21"/>
              </w:rPr>
              <w:br w:type="textWrapping"/>
            </w:r>
            <w:r>
              <w:rPr>
                <w:rFonts w:hint="eastAsia" w:cs="Arial" w:asciiTheme="minorEastAsia" w:hAnsiTheme="minorEastAsia"/>
                <w:szCs w:val="21"/>
              </w:rPr>
              <w:t>支持ROI，SMART H.264/H.265，灵活编码，适用不同带宽和存储环境</w:t>
            </w:r>
            <w:r>
              <w:rPr>
                <w:rFonts w:hint="eastAsia" w:cs="Arial" w:asciiTheme="minorEastAsia" w:hAnsiTheme="minorEastAsia"/>
                <w:szCs w:val="21"/>
              </w:rPr>
              <w:br w:type="textWrapping"/>
            </w:r>
            <w:r>
              <w:rPr>
                <w:rFonts w:hint="eastAsia" w:cs="Arial" w:asciiTheme="minorEastAsia" w:hAnsiTheme="minorEastAsia"/>
                <w:szCs w:val="21"/>
              </w:rPr>
              <w:t>支持报警≥1进1出，音频≥1进1出，最大支持256G Micro SD卡，内置MIC</w:t>
            </w:r>
            <w:r>
              <w:rPr>
                <w:rFonts w:hint="eastAsia" w:cs="Arial" w:asciiTheme="minorEastAsia" w:hAnsiTheme="minorEastAsia"/>
                <w:szCs w:val="21"/>
              </w:rPr>
              <w:br w:type="textWrapping"/>
            </w:r>
            <w:r>
              <w:rPr>
                <w:rFonts w:hint="eastAsia" w:cs="Arial" w:asciiTheme="minorEastAsia" w:hAnsiTheme="minorEastAsia"/>
                <w:szCs w:val="21"/>
              </w:rPr>
              <w:t>支持DC12V/POE供电方式</w:t>
            </w:r>
            <w:r>
              <w:rPr>
                <w:rFonts w:hint="eastAsia" w:cs="Arial" w:asciiTheme="minorEastAsia" w:hAnsiTheme="minorEastAsia"/>
                <w:szCs w:val="21"/>
              </w:rPr>
              <w:br w:type="textWrapping"/>
            </w:r>
            <w:r>
              <w:rPr>
                <w:rFonts w:hint="eastAsia" w:cs="Arial" w:asciiTheme="minorEastAsia" w:hAnsiTheme="minorEastAsia"/>
                <w:szCs w:val="21"/>
              </w:rPr>
              <w:t>支持IP67/IK10及以上防护等级</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无线网桥</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2.4G电梯网桥，802.11n制式</w:t>
            </w:r>
            <w:r>
              <w:rPr>
                <w:rFonts w:hint="eastAsia" w:cs="Arial" w:asciiTheme="minorEastAsia" w:hAnsiTheme="minorEastAsia"/>
                <w:szCs w:val="21"/>
              </w:rPr>
              <w:br w:type="textWrapping"/>
            </w:r>
            <w:r>
              <w:rPr>
                <w:rFonts w:hint="eastAsia" w:cs="Arial" w:asciiTheme="minorEastAsia" w:hAnsiTheme="minorEastAsia"/>
                <w:szCs w:val="21"/>
              </w:rPr>
              <w:t>成对包装，距离≥200米</w:t>
            </w:r>
            <w:r>
              <w:rPr>
                <w:rFonts w:hint="eastAsia" w:cs="Arial" w:asciiTheme="minorEastAsia" w:hAnsiTheme="minorEastAsia"/>
                <w:szCs w:val="21"/>
              </w:rPr>
              <w:br w:type="textWrapping"/>
            </w:r>
            <w:r>
              <w:rPr>
                <w:rFonts w:hint="eastAsia" w:cs="Arial" w:asciiTheme="minorEastAsia" w:hAnsiTheme="minorEastAsia"/>
                <w:szCs w:val="21"/>
              </w:rPr>
              <w:t>≥2网口设计</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监控中心拼接屏</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物理分辨率达到1920×1080，响应时间≤8ms。物理拼缝≤3.5mm，亮度达到610cd/㎡，对比度达到1200:1，图像显示清晰度≥950TVL，亮度鉴别等级为11级。</w:t>
            </w:r>
          </w:p>
          <w:p>
            <w:pPr>
              <w:snapToGrid w:val="0"/>
              <w:spacing w:line="276" w:lineRule="auto"/>
              <w:rPr>
                <w:rFonts w:cs="仿宋" w:asciiTheme="minorEastAsia" w:hAnsiTheme="minorEastAsia"/>
                <w:kern w:val="0"/>
                <w:szCs w:val="21"/>
              </w:rPr>
            </w:pPr>
            <w:r>
              <w:rPr>
                <w:rFonts w:hint="eastAsia" w:cs="仿宋" w:asciiTheme="minorEastAsia" w:hAnsiTheme="minorEastAsia"/>
                <w:kern w:val="0"/>
                <w:szCs w:val="21"/>
              </w:rPr>
              <w:t>液晶显示单元支持以像素点为单位进行Mura矫正，能够消除屏幕局部亮暗不均现象，屏幕所有像素点亮度均一性达到80%。</w:t>
            </w:r>
            <w:r>
              <w:rPr>
                <w:rFonts w:hint="eastAsia" w:cs="仿宋" w:asciiTheme="minorEastAsia" w:hAnsiTheme="minorEastAsia"/>
                <w:kern w:val="0"/>
                <w:szCs w:val="21"/>
              </w:rPr>
              <w:br w:type="textWrapping"/>
            </w:r>
            <w:r>
              <w:rPr>
                <w:rFonts w:hint="eastAsia" w:cs="仿宋" w:asciiTheme="minorEastAsia" w:hAnsiTheme="minorEastAsia"/>
                <w:kern w:val="0"/>
                <w:szCs w:val="21"/>
              </w:rPr>
              <w:t>拼接屏具有屏幕边缘渐进修正功能，修正屏间边缘颜色过渡不均匀。</w:t>
            </w:r>
          </w:p>
          <w:p>
            <w:pPr>
              <w:snapToGrid w:val="0"/>
              <w:spacing w:line="276" w:lineRule="auto"/>
              <w:rPr>
                <w:rFonts w:cs="Arial" w:asciiTheme="minorEastAsia" w:hAnsiTheme="minorEastAsia"/>
                <w:b/>
                <w:szCs w:val="21"/>
              </w:rPr>
            </w:pPr>
            <w:r>
              <w:rPr>
                <w:rFonts w:hint="eastAsia" w:cs="仿宋" w:asciiTheme="minorEastAsia" w:hAnsiTheme="minorEastAsia"/>
                <w:b/>
                <w:kern w:val="0"/>
                <w:szCs w:val="21"/>
              </w:rPr>
              <w:t>提供有效期内的节能产品认证证书</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多屏控制器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支持BNC、YPbPr、SDI、DVI、DisplayPort、HDMI、HDBaseT等输入，输出支持DVI、SDI、HDBaseT输出。支持远距离同轴高清信号传输，传输距离可达500m。</w:t>
            </w:r>
            <w:r>
              <w:rPr>
                <w:rFonts w:hint="eastAsia" w:cs="Arial" w:asciiTheme="minorEastAsia" w:hAnsiTheme="minorEastAsia"/>
                <w:szCs w:val="21"/>
              </w:rPr>
              <w:br w:type="textWrapping"/>
            </w:r>
            <w:r>
              <w:rPr>
                <w:rFonts w:hint="eastAsia" w:cs="Arial" w:asciiTheme="minorEastAsia" w:hAnsiTheme="minorEastAsia"/>
                <w:szCs w:val="21"/>
              </w:rPr>
              <w:t>投标产品支持预览功能，能同时对矩阵和显示终端进行配置；设备可同时输出不同信号源视频图象，并在同一屏幕上显示；可通过屏幕编号调整分屏显示顺序；可对视频文件进行回放。</w:t>
            </w:r>
            <w:r>
              <w:rPr>
                <w:rFonts w:hint="eastAsia" w:cs="Arial" w:asciiTheme="minorEastAsia" w:hAnsiTheme="minorEastAsia"/>
                <w:szCs w:val="21"/>
              </w:rPr>
              <w:br w:type="textWrapping"/>
            </w:r>
            <w:r>
              <w:rPr>
                <w:rFonts w:hint="eastAsia" w:cs="Arial" w:asciiTheme="minorEastAsia" w:hAnsiTheme="minorEastAsia"/>
                <w:szCs w:val="21"/>
              </w:rPr>
              <w:t>支持视频参数设置功能。具有亮度、对比度、饱和度、锐度设置选项，位置上下、左右可调。</w:t>
            </w:r>
            <w:r>
              <w:rPr>
                <w:rFonts w:hint="eastAsia" w:cs="Arial" w:asciiTheme="minorEastAsia" w:hAnsiTheme="minorEastAsia"/>
                <w:szCs w:val="21"/>
              </w:rPr>
              <w:br w:type="textWrapping"/>
            </w:r>
            <w:r>
              <w:rPr>
                <w:rFonts w:hint="eastAsia" w:cs="Arial" w:asciiTheme="minorEastAsia" w:hAnsiTheme="minorEastAsia"/>
                <w:szCs w:val="21"/>
              </w:rPr>
              <w:t>支持超高分辨率底图显示，支持底图更换技术，底图支持16384X8192像素，支持在线便捷替换。</w:t>
            </w:r>
            <w:r>
              <w:rPr>
                <w:rFonts w:hint="eastAsia" w:cs="Arial" w:asciiTheme="minorEastAsia" w:hAnsiTheme="minorEastAsia"/>
                <w:szCs w:val="21"/>
              </w:rPr>
              <w:br w:type="textWrapping"/>
            </w:r>
            <w:r>
              <w:rPr>
                <w:rFonts w:hint="eastAsia" w:cs="Arial" w:asciiTheme="minorEastAsia" w:hAnsiTheme="minorEastAsia"/>
                <w:szCs w:val="21"/>
              </w:rPr>
              <w:t>可支持移动终端无线投射功能。可将Ipad、手机等移动终端的图片、视频等图像投射到显示墙上，并对图像进行拼接、漫游、放大、缩小等操作。</w:t>
            </w:r>
            <w:r>
              <w:rPr>
                <w:rFonts w:hint="eastAsia" w:cs="Arial" w:asciiTheme="minorEastAsia" w:hAnsiTheme="minorEastAsia"/>
                <w:szCs w:val="21"/>
              </w:rPr>
              <w:br w:type="textWrapping"/>
            </w:r>
            <w:r>
              <w:rPr>
                <w:rFonts w:hint="eastAsia" w:cs="Arial" w:asciiTheme="minorEastAsia" w:hAnsiTheme="minorEastAsia"/>
                <w:szCs w:val="21"/>
              </w:rPr>
              <w:t xml:space="preserve"> 输入分辨率最大可支持3840X2160、4088X4088且可向下兼容，输出支持1920X1200且可向下兼容。</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解码输出板卡</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HDMI输出板，4路输出，4K@30Hz ,1920×1200</w:t>
            </w:r>
            <w:r>
              <w:rPr>
                <w:rFonts w:hint="eastAsia" w:cs="Arial" w:asciiTheme="minorEastAsia" w:hAnsiTheme="minorEastAsia"/>
                <w:szCs w:val="21"/>
              </w:rPr>
              <w:br w:type="textWrapping"/>
            </w:r>
            <w:r>
              <w:rPr>
                <w:rFonts w:hint="eastAsia" w:cs="Arial" w:asciiTheme="minorEastAsia" w:hAnsiTheme="minorEastAsia"/>
                <w:szCs w:val="21"/>
              </w:rPr>
              <w:t>1024×768@60Hz,1024×768@75Hz,1360×768@60Hz,1400x1050@60Hz,</w:t>
            </w:r>
            <w:r>
              <w:rPr>
                <w:rFonts w:hint="eastAsia" w:cs="Arial" w:asciiTheme="minorEastAsia" w:hAnsiTheme="minorEastAsia"/>
                <w:szCs w:val="21"/>
              </w:rPr>
              <w:br w:type="textWrapping"/>
            </w:r>
            <w:r>
              <w:rPr>
                <w:rFonts w:hint="eastAsia" w:cs="Arial" w:asciiTheme="minorEastAsia" w:hAnsiTheme="minorEastAsia"/>
                <w:szCs w:val="21"/>
              </w:rPr>
              <w:t>1920x1200@60Hz,720P@60Hz,1080P@60Hz</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输入板卡</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HDMI输入板，4个HDMI接口</w:t>
            </w:r>
            <w:r>
              <w:rPr>
                <w:rFonts w:hint="eastAsia" w:cs="Arial" w:asciiTheme="minorEastAsia" w:hAnsiTheme="minorEastAsia"/>
                <w:szCs w:val="21"/>
              </w:rPr>
              <w:br w:type="textWrapping"/>
            </w:r>
            <w:r>
              <w:rPr>
                <w:rFonts w:hint="eastAsia" w:cs="Arial" w:asciiTheme="minorEastAsia" w:hAnsiTheme="minorEastAsia"/>
                <w:szCs w:val="21"/>
              </w:rPr>
              <w:t>1024×768@60Hz， 1024×768@75Hz， 1280×720@50Hz， 1280×720@60Hz，</w:t>
            </w:r>
            <w:r>
              <w:rPr>
                <w:rFonts w:hint="eastAsia" w:cs="Arial" w:asciiTheme="minorEastAsia" w:hAnsiTheme="minorEastAsia"/>
                <w:szCs w:val="21"/>
              </w:rPr>
              <w:br w:type="textWrapping"/>
            </w:r>
            <w:r>
              <w:rPr>
                <w:rFonts w:hint="eastAsia" w:cs="Arial" w:asciiTheme="minorEastAsia" w:hAnsiTheme="minorEastAsia"/>
                <w:szCs w:val="21"/>
              </w:rPr>
              <w:t>1280×1024@60Hz， 1280×1024@75Hz， 1366×768@60Hz， 1400×1050@60Hz，</w:t>
            </w:r>
            <w:r>
              <w:rPr>
                <w:rFonts w:hint="eastAsia" w:cs="Arial" w:asciiTheme="minorEastAsia" w:hAnsiTheme="minorEastAsia"/>
                <w:szCs w:val="21"/>
              </w:rPr>
              <w:br w:type="textWrapping"/>
            </w:r>
            <w:r>
              <w:rPr>
                <w:rFonts w:hint="eastAsia" w:cs="Arial" w:asciiTheme="minorEastAsia" w:hAnsiTheme="minorEastAsia"/>
                <w:szCs w:val="21"/>
              </w:rPr>
              <w:t>1600×1200@60Hz， 1920×1080@50Hz， 1920×1080@60Hz， 1920×1200@60Hz</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网络视频存储服务器</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操作系统：嵌入式LINUX系统；</w:t>
            </w:r>
          </w:p>
          <w:p>
            <w:pPr>
              <w:snapToGrid w:val="0"/>
              <w:spacing w:line="276" w:lineRule="auto"/>
              <w:rPr>
                <w:rFonts w:cs="Arial" w:asciiTheme="minorEastAsia" w:hAnsiTheme="minorEastAsia"/>
                <w:szCs w:val="21"/>
              </w:rPr>
            </w:pPr>
            <w:r>
              <w:rPr>
                <w:rFonts w:hint="eastAsia" w:cs="Arial" w:asciiTheme="minorEastAsia" w:hAnsiTheme="minorEastAsia"/>
                <w:szCs w:val="21"/>
              </w:rPr>
              <w:t>主处理器：64位高性能多核处理器；</w:t>
            </w:r>
          </w:p>
          <w:p>
            <w:pPr>
              <w:snapToGrid w:val="0"/>
              <w:spacing w:line="276" w:lineRule="auto"/>
              <w:rPr>
                <w:rFonts w:cs="Arial" w:asciiTheme="minorEastAsia" w:hAnsiTheme="minorEastAsia"/>
                <w:szCs w:val="21"/>
              </w:rPr>
            </w:pPr>
            <w:r>
              <w:rPr>
                <w:rFonts w:hint="eastAsia" w:cs="Arial" w:asciiTheme="minorEastAsia" w:hAnsiTheme="minorEastAsia"/>
                <w:szCs w:val="21"/>
              </w:rPr>
              <w:t>控制器：单控制器；</w:t>
            </w:r>
          </w:p>
          <w:p>
            <w:pPr>
              <w:snapToGrid w:val="0"/>
              <w:spacing w:line="276" w:lineRule="auto"/>
              <w:rPr>
                <w:rFonts w:cs="Arial" w:asciiTheme="minorEastAsia" w:hAnsiTheme="minorEastAsia"/>
                <w:szCs w:val="21"/>
              </w:rPr>
            </w:pPr>
            <w:r>
              <w:rPr>
                <w:rFonts w:hint="eastAsia" w:cs="Arial" w:asciiTheme="minorEastAsia" w:hAnsiTheme="minorEastAsia"/>
                <w:szCs w:val="21"/>
              </w:rPr>
              <w:t>高速缓存：标配4G；</w:t>
            </w:r>
          </w:p>
          <w:p>
            <w:pPr>
              <w:snapToGrid w:val="0"/>
              <w:spacing w:line="276" w:lineRule="auto"/>
              <w:rPr>
                <w:rFonts w:cs="Arial" w:asciiTheme="minorEastAsia" w:hAnsiTheme="minorEastAsia"/>
                <w:szCs w:val="21"/>
              </w:rPr>
            </w:pPr>
            <w:r>
              <w:rPr>
                <w:rFonts w:hint="eastAsia" w:cs="Arial" w:asciiTheme="minorEastAsia" w:hAnsiTheme="minorEastAsia"/>
                <w:szCs w:val="21"/>
              </w:rPr>
              <w:t>电源冗余：2+1冗余电源；</w:t>
            </w:r>
          </w:p>
          <w:p>
            <w:pPr>
              <w:snapToGrid w:val="0"/>
              <w:spacing w:line="276" w:lineRule="auto"/>
              <w:rPr>
                <w:rFonts w:cs="Arial" w:asciiTheme="minorEastAsia" w:hAnsiTheme="minorEastAsia"/>
                <w:szCs w:val="21"/>
              </w:rPr>
            </w:pPr>
            <w:r>
              <w:rPr>
                <w:rFonts w:hint="eastAsia" w:cs="Arial" w:asciiTheme="minorEastAsia" w:hAnsiTheme="minorEastAsia"/>
                <w:szCs w:val="21"/>
              </w:rPr>
              <w:t>硬盘个数：支持48块企业级硬盘；</w:t>
            </w:r>
          </w:p>
          <w:p>
            <w:pPr>
              <w:snapToGrid w:val="0"/>
              <w:spacing w:line="276" w:lineRule="auto"/>
              <w:rPr>
                <w:rFonts w:cs="Arial" w:asciiTheme="minorEastAsia" w:hAnsiTheme="minorEastAsia"/>
                <w:szCs w:val="21"/>
              </w:rPr>
            </w:pPr>
            <w:r>
              <w:rPr>
                <w:rFonts w:hint="eastAsia" w:cs="Arial" w:asciiTheme="minorEastAsia" w:hAnsiTheme="minorEastAsia"/>
                <w:szCs w:val="21"/>
              </w:rPr>
              <w:t>单设备应配置≥64位多核处理器，≥4GB内存，内存支持扩展到≥32GB，需配置冗余金牌电源，支持双系统</w:t>
            </w:r>
          </w:p>
          <w:p>
            <w:pPr>
              <w:snapToGrid w:val="0"/>
              <w:spacing w:line="276" w:lineRule="auto"/>
              <w:rPr>
                <w:rFonts w:cs="Arial" w:asciiTheme="minorEastAsia" w:hAnsiTheme="minorEastAsia"/>
                <w:szCs w:val="21"/>
              </w:rPr>
            </w:pPr>
            <w:r>
              <w:rPr>
                <w:rFonts w:hint="eastAsia" w:cs="Arial" w:asciiTheme="minorEastAsia" w:hAnsiTheme="minorEastAsia"/>
                <w:szCs w:val="21"/>
              </w:rPr>
              <w:t>单设备应标配≥2个千兆网口，可增扩≥2个万兆口或≥2个光纤接口或增配≥4个HDMI接口或≥2个SAS3.0接口</w:t>
            </w:r>
          </w:p>
          <w:p>
            <w:pPr>
              <w:snapToGrid w:val="0"/>
              <w:spacing w:line="276" w:lineRule="auto"/>
              <w:rPr>
                <w:rFonts w:cs="Arial" w:asciiTheme="minorEastAsia" w:hAnsiTheme="minorEastAsia"/>
                <w:szCs w:val="21"/>
              </w:rPr>
            </w:pPr>
            <w:r>
              <w:rPr>
                <w:rFonts w:hint="eastAsia" w:cs="Arial" w:asciiTheme="minorEastAsia" w:hAnsiTheme="minorEastAsia"/>
                <w:szCs w:val="21"/>
              </w:rPr>
              <w:t>应支持FCSAN、IPSAN、NAS存储功能</w:t>
            </w:r>
          </w:p>
          <w:p>
            <w:pPr>
              <w:snapToGrid w:val="0"/>
              <w:spacing w:line="276" w:lineRule="auto"/>
              <w:rPr>
                <w:rFonts w:cs="Arial" w:asciiTheme="minorEastAsia" w:hAnsiTheme="minorEastAsia"/>
                <w:szCs w:val="21"/>
              </w:rPr>
            </w:pPr>
            <w:r>
              <w:rPr>
                <w:rFonts w:hint="eastAsia" w:cs="Arial" w:asciiTheme="minorEastAsia" w:hAnsiTheme="minorEastAsia"/>
                <w:szCs w:val="21"/>
              </w:rPr>
              <w:t>可接入2T/3T/4T/6T/8TSATA磁盘，支持磁盘交错启动和漫游，并支持在线热插拔；</w:t>
            </w:r>
          </w:p>
          <w:p>
            <w:pPr>
              <w:snapToGrid w:val="0"/>
              <w:spacing w:line="276" w:lineRule="auto"/>
              <w:rPr>
                <w:rFonts w:cs="Arial" w:asciiTheme="minorEastAsia" w:hAnsiTheme="minorEastAsia"/>
                <w:szCs w:val="21"/>
              </w:rPr>
            </w:pPr>
            <w:r>
              <w:rPr>
                <w:rFonts w:hint="eastAsia" w:cs="Arial" w:asciiTheme="minorEastAsia" w:hAnsiTheme="minorEastAsia"/>
                <w:szCs w:val="21"/>
              </w:rPr>
              <w:t>设备可将接入的鱼眼摄像机、双目摄像机、全景自拼接摄像机（鹰眼摄像机）、深眸智能摄像机、热成像相机的图像以多画面分割方式显示；（</w:t>
            </w:r>
            <w:r>
              <w:rPr>
                <w:rFonts w:hint="eastAsia"/>
              </w:rPr>
              <w:t>具有国家认可检测资质的第三方机构出具的</w:t>
            </w:r>
            <w:r>
              <w:rPr>
                <w:rFonts w:hint="eastAsia" w:cs="Arial" w:asciiTheme="minorEastAsia" w:hAnsiTheme="minorEastAsia"/>
                <w:szCs w:val="21"/>
              </w:rPr>
              <w:t>检测、检验报告）</w:t>
            </w:r>
          </w:p>
          <w:p>
            <w:pPr>
              <w:snapToGrid w:val="0"/>
              <w:spacing w:line="276" w:lineRule="auto"/>
              <w:rPr>
                <w:rFonts w:cs="Arial" w:asciiTheme="minorEastAsia" w:hAnsiTheme="minorEastAsia"/>
                <w:szCs w:val="21"/>
              </w:rPr>
            </w:pPr>
            <w:r>
              <w:rPr>
                <w:rFonts w:hint="eastAsia" w:cs="Arial" w:asciiTheme="minorEastAsia" w:hAnsiTheme="minorEastAsia"/>
                <w:szCs w:val="21"/>
              </w:rPr>
              <w:t>◆提供多设备同步升级功能，可以通过一键式操作对整个局域网内的所有设备同步升级。（</w:t>
            </w:r>
            <w:r>
              <w:rPr>
                <w:rFonts w:hint="eastAsia"/>
              </w:rPr>
              <w:t>具有国家认可检测资质的第三方机构出具的</w:t>
            </w:r>
            <w:r>
              <w:rPr>
                <w:rFonts w:hint="eastAsia" w:cs="Arial" w:asciiTheme="minorEastAsia" w:hAnsiTheme="minorEastAsia"/>
                <w:szCs w:val="21"/>
              </w:rPr>
              <w:t>检测、检验报告）</w:t>
            </w:r>
          </w:p>
          <w:p>
            <w:pPr>
              <w:snapToGrid w:val="0"/>
              <w:spacing w:line="276" w:lineRule="auto"/>
              <w:rPr>
                <w:rFonts w:cs="Arial" w:asciiTheme="minorEastAsia" w:hAnsiTheme="minorEastAsia"/>
                <w:szCs w:val="21"/>
              </w:rPr>
            </w:pPr>
            <w:r>
              <w:rPr>
                <w:rFonts w:hint="eastAsia" w:cs="Arial" w:asciiTheme="minorEastAsia" w:hAnsiTheme="minorEastAsia"/>
                <w:szCs w:val="21"/>
              </w:rPr>
              <w:t>◆支持多路文件采用非NAS方式直接上传存储，且速度可设置。（</w:t>
            </w:r>
            <w:r>
              <w:rPr>
                <w:rFonts w:hint="eastAsia"/>
              </w:rPr>
              <w:t>具有国家认可检测资质的第三方机构出具的</w:t>
            </w:r>
            <w:r>
              <w:rPr>
                <w:rFonts w:hint="eastAsia" w:cs="Arial" w:asciiTheme="minorEastAsia" w:hAnsiTheme="minorEastAsia"/>
                <w:szCs w:val="21"/>
              </w:rPr>
              <w:t>检测、检验报告）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r>
              <w:rPr>
                <w:rFonts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硬盘</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8000G；7200RPM；256M；SATA</w:t>
            </w:r>
          </w:p>
        </w:tc>
        <w:tc>
          <w:tcPr>
            <w:tcW w:w="993" w:type="dxa"/>
            <w:vAlign w:val="center"/>
          </w:tcPr>
          <w:p>
            <w:pPr>
              <w:snapToGrid w:val="0"/>
              <w:spacing w:line="276" w:lineRule="auto"/>
              <w:jc w:val="center"/>
              <w:rPr>
                <w:rFonts w:asciiTheme="minorEastAsia" w:hAnsiTheme="minorEastAsia"/>
                <w:szCs w:val="21"/>
              </w:rPr>
            </w:pPr>
            <w:r>
              <w:rPr>
                <w:rFonts w:cs="Arial" w:asciiTheme="minorEastAsia" w:hAnsiTheme="minorEastAsia"/>
                <w:szCs w:val="21"/>
              </w:rPr>
              <w:t>520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监控支架</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铂晶灰 铝合金 ≥70×97.1×173.4mm</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1858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操作终端</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i7,1T固态硬盘+2T机械硬盘,32G内存，4K高清27寸显示器，含键盘、键鼠等配套设备</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UPS系统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重点区域配置：3KVA在线式主机1台、免维护铅酸电池、电池箱；</w:t>
            </w:r>
          </w:p>
          <w:p>
            <w:pPr>
              <w:snapToGrid w:val="0"/>
              <w:spacing w:line="276" w:lineRule="auto"/>
              <w:rPr>
                <w:rFonts w:cs="Arial" w:asciiTheme="minorEastAsia" w:hAnsiTheme="minorEastAsia"/>
                <w:szCs w:val="21"/>
              </w:rPr>
            </w:pPr>
            <w:r>
              <w:rPr>
                <w:rFonts w:hint="eastAsia" w:cs="Arial" w:asciiTheme="minorEastAsia" w:hAnsiTheme="minorEastAsia"/>
                <w:szCs w:val="21"/>
              </w:rPr>
              <w:t>输入电压范围：115-300V，频率范围： 46-64HZ；</w:t>
            </w:r>
          </w:p>
          <w:p>
            <w:pPr>
              <w:snapToGrid w:val="0"/>
              <w:spacing w:line="276" w:lineRule="auto"/>
              <w:rPr>
                <w:rFonts w:cs="Arial" w:asciiTheme="minorEastAsia" w:hAnsiTheme="minorEastAsia"/>
                <w:szCs w:val="21"/>
              </w:rPr>
            </w:pPr>
            <w:r>
              <w:rPr>
                <w:rFonts w:hint="eastAsia" w:cs="Arial" w:asciiTheme="minorEastAsia" w:hAnsiTheme="minorEastAsia"/>
                <w:szCs w:val="21"/>
              </w:rPr>
              <w:t>输出电压范围：220V× (1±2%)VAC，频率范围：50HZ±0.2%；</w:t>
            </w:r>
          </w:p>
          <w:p>
            <w:pPr>
              <w:snapToGrid w:val="0"/>
              <w:spacing w:line="276" w:lineRule="auto"/>
              <w:rPr>
                <w:rFonts w:cs="Arial" w:asciiTheme="minorEastAsia" w:hAnsiTheme="minorEastAsia"/>
                <w:szCs w:val="21"/>
              </w:rPr>
            </w:pPr>
            <w:r>
              <w:rPr>
                <w:rFonts w:hint="eastAsia" w:cs="Arial" w:asciiTheme="minorEastAsia" w:hAnsiTheme="minorEastAsia"/>
                <w:szCs w:val="21"/>
              </w:rPr>
              <w:t>要求满足所有监控及相关设备满负荷供电不少于4小时；</w:t>
            </w:r>
          </w:p>
          <w:p>
            <w:pPr>
              <w:snapToGrid w:val="0"/>
              <w:spacing w:line="276" w:lineRule="auto"/>
              <w:rPr>
                <w:rFonts w:asciiTheme="minorEastAsia" w:hAnsiTheme="minorEastAsia"/>
                <w:szCs w:val="21"/>
              </w:rPr>
            </w:pPr>
            <w:r>
              <w:rPr>
                <w:rFonts w:hint="eastAsia" w:cs="Arial" w:asciiTheme="minorEastAsia" w:hAnsiTheme="minorEastAsia"/>
                <w:szCs w:val="21"/>
              </w:rPr>
              <w:t>含密封式铅酸免维护蓄电池和电池柜（可定制）</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r>
              <w:rPr>
                <w:rFonts w:cs="Arial" w:asciiTheme="minorEastAsia" w:hAnsiTheme="minorEastAsia"/>
                <w:szCs w:val="21"/>
              </w:rPr>
              <w:t>7</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w:t>
            </w:r>
            <w:r>
              <w:rPr>
                <w:rFonts w:hint="eastAsia" w:asciiTheme="minorEastAsia" w:hAnsiTheme="minorEastAsia"/>
                <w:szCs w:val="21"/>
              </w:rPr>
              <w:t>核心交换机</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1、产品架构：支持双主控，≥6个业务插槽，交换容量≥76Tbps，包转发率≥8400Mpps，要求以官网较小值为准</w:t>
            </w:r>
          </w:p>
          <w:p>
            <w:pPr>
              <w:snapToGrid w:val="0"/>
              <w:spacing w:line="276" w:lineRule="auto"/>
              <w:rPr>
                <w:rFonts w:asciiTheme="minorEastAsia" w:hAnsiTheme="minorEastAsia"/>
                <w:szCs w:val="21"/>
              </w:rPr>
            </w:pPr>
            <w:r>
              <w:rPr>
                <w:rFonts w:hint="eastAsia" w:asciiTheme="minorEastAsia" w:hAnsiTheme="minorEastAsia"/>
                <w:szCs w:val="21"/>
              </w:rPr>
              <w:t>2、冗余特性：主控交换卡、电源、接口模块、风扇等关键部件可热插拔</w:t>
            </w:r>
          </w:p>
          <w:p>
            <w:pPr>
              <w:snapToGrid w:val="0"/>
              <w:spacing w:line="276" w:lineRule="auto"/>
              <w:rPr>
                <w:rFonts w:asciiTheme="minorEastAsia" w:hAnsiTheme="minorEastAsia"/>
                <w:szCs w:val="21"/>
              </w:rPr>
            </w:pPr>
            <w:r>
              <w:rPr>
                <w:rFonts w:hint="eastAsia" w:asciiTheme="minorEastAsia" w:hAnsiTheme="minorEastAsia"/>
                <w:szCs w:val="21"/>
              </w:rPr>
              <w:t>3、端口扩展：支持千兆光、千兆电、万兆光、万兆电、25G、40G、100G等丰富的以太网接口，满足未来多层次的链路带宽需求，</w:t>
            </w:r>
          </w:p>
          <w:p>
            <w:pPr>
              <w:snapToGrid w:val="0"/>
              <w:spacing w:line="276" w:lineRule="auto"/>
              <w:rPr>
                <w:rFonts w:asciiTheme="minorEastAsia" w:hAnsiTheme="minorEastAsia"/>
                <w:szCs w:val="21"/>
              </w:rPr>
            </w:pPr>
            <w:r>
              <w:rPr>
                <w:rFonts w:hint="eastAsia" w:asciiTheme="minorEastAsia" w:hAnsiTheme="minorEastAsia"/>
                <w:szCs w:val="21"/>
              </w:rPr>
              <w:t>4、协议双栈：IPV6：支持RIPng、OSPFv3、BGP4+、IS-ISv6协议支持IPv6策略路由</w:t>
            </w:r>
          </w:p>
          <w:p>
            <w:pPr>
              <w:snapToGrid w:val="0"/>
              <w:spacing w:line="276" w:lineRule="auto"/>
              <w:rPr>
                <w:rFonts w:asciiTheme="minorEastAsia" w:hAnsiTheme="minorEastAsia"/>
                <w:szCs w:val="21"/>
              </w:rPr>
            </w:pPr>
            <w:r>
              <w:rPr>
                <w:rFonts w:hint="eastAsia" w:asciiTheme="minorEastAsia" w:hAnsiTheme="minorEastAsia"/>
                <w:szCs w:val="21"/>
              </w:rPr>
              <w:t>5、虚拟化：多虚一技术(N:1)，支持4框虚拟化技术</w:t>
            </w:r>
          </w:p>
          <w:p>
            <w:pPr>
              <w:snapToGrid w:val="0"/>
              <w:spacing w:line="276" w:lineRule="auto"/>
              <w:rPr>
                <w:rFonts w:asciiTheme="minorEastAsia" w:hAnsiTheme="minorEastAsia"/>
                <w:szCs w:val="21"/>
              </w:rPr>
            </w:pPr>
            <w:r>
              <w:rPr>
                <w:rFonts w:hint="eastAsia" w:asciiTheme="minorEastAsia" w:hAnsiTheme="minorEastAsia"/>
                <w:szCs w:val="21"/>
              </w:rPr>
              <w:t>6、安全扩展：要求支持多业务安全板卡，能够与设备耦合无需外部连线，要求提供权威第三方检测报告结果页复印件；支持未来扩容防火墙插卡，以支持安全升级</w:t>
            </w:r>
          </w:p>
          <w:p>
            <w:pPr>
              <w:snapToGrid w:val="0"/>
              <w:spacing w:line="276" w:lineRule="auto"/>
              <w:rPr>
                <w:rFonts w:asciiTheme="minorEastAsia" w:hAnsiTheme="minorEastAsia"/>
                <w:szCs w:val="21"/>
              </w:rPr>
            </w:pPr>
            <w:r>
              <w:rPr>
                <w:rFonts w:hint="eastAsia" w:asciiTheme="minorEastAsia" w:hAnsiTheme="minorEastAsia"/>
                <w:szCs w:val="21"/>
              </w:rPr>
              <w:t>7、智能网管：支持智能图形化管理功能，能够实现通过图形化界面对全网设备进行配置下发和智能版本升级</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23</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48口汇聚交换机</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48个10/100/1000Mbps自适应电口+8个万兆上联光口</w:t>
            </w:r>
            <w:r>
              <w:rPr>
                <w:rFonts w:hint="eastAsia" w:asciiTheme="minorEastAsia" w:hAnsiTheme="minorEastAsia"/>
                <w:szCs w:val="21"/>
              </w:rPr>
              <w:br w:type="textWrapping"/>
            </w:r>
            <w:r>
              <w:rPr>
                <w:rFonts w:hint="eastAsia" w:asciiTheme="minorEastAsia" w:hAnsiTheme="minorEastAsia"/>
                <w:szCs w:val="21"/>
              </w:rPr>
              <w:t>VLAN 支持基于端口的VLAN（4K个）</w:t>
            </w:r>
            <w:r>
              <w:rPr>
                <w:rFonts w:hint="eastAsia" w:asciiTheme="minorEastAsia" w:hAnsiTheme="minorEastAsia"/>
                <w:szCs w:val="21"/>
              </w:rPr>
              <w:br w:type="textWrapping"/>
            </w:r>
            <w:r>
              <w:rPr>
                <w:rFonts w:hint="eastAsia" w:asciiTheme="minorEastAsia" w:hAnsiTheme="minorEastAsia"/>
                <w:szCs w:val="21"/>
              </w:rPr>
              <w:t>QOS 支持IEEE 802.1p/DSCP优先级，支持优先级映射，支持端口信任模式，支持端口队列调度(SP/WRR/SP+WRR)</w:t>
            </w:r>
            <w:r>
              <w:rPr>
                <w:rFonts w:hint="eastAsia" w:asciiTheme="minorEastAsia" w:hAnsiTheme="minorEastAsia"/>
                <w:szCs w:val="21"/>
              </w:rPr>
              <w:br w:type="textWrapping"/>
            </w:r>
            <w:r>
              <w:rPr>
                <w:rFonts w:hint="eastAsia" w:asciiTheme="minorEastAsia" w:hAnsiTheme="minorEastAsia"/>
                <w:szCs w:val="21"/>
              </w:rPr>
              <w:t>网络管理 支持XModem/FTP/TFTP加载升级，支持命令行接口（CLI），Telnet，Console口进行配置支持SNMP，WEB网管支持RMON（Remote Monitoring）</w:t>
            </w:r>
            <w:r>
              <w:rPr>
                <w:rFonts w:hint="eastAsia" w:asciiTheme="minorEastAsia" w:hAnsiTheme="minorEastAsia"/>
                <w:szCs w:val="21"/>
              </w:rPr>
              <w:br w:type="textWrapping"/>
            </w:r>
            <w:r>
              <w:rPr>
                <w:rFonts w:hint="eastAsia" w:asciiTheme="minorEastAsia" w:hAnsiTheme="minorEastAsia"/>
                <w:szCs w:val="21"/>
              </w:rPr>
              <w:t>IP路由：支持IPv4和IPv6的三层路由功能</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11</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24</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48口接入交换机</w:t>
            </w:r>
          </w:p>
        </w:tc>
        <w:tc>
          <w:tcPr>
            <w:tcW w:w="9087" w:type="dxa"/>
            <w:vAlign w:val="center"/>
          </w:tcPr>
          <w:p>
            <w:pPr>
              <w:snapToGrid w:val="0"/>
              <w:spacing w:line="276" w:lineRule="auto"/>
              <w:rPr>
                <w:rFonts w:cs="宋体" w:asciiTheme="minorEastAsia" w:hAnsiTheme="minorEastAsia"/>
                <w:szCs w:val="21"/>
              </w:rPr>
            </w:pPr>
            <w:r>
              <w:rPr>
                <w:rFonts w:hint="eastAsia" w:cs="宋体" w:asciiTheme="minorEastAsia" w:hAnsiTheme="minorEastAsia"/>
                <w:szCs w:val="21"/>
              </w:rPr>
              <w:t>1、交换容量：≥430Gbps，包转发率≥140Mpps（若官网存在双标，以较小值为准）；接口：≥48个10/100/1000Base-T自适应以太网端口，4个万兆SFP+口</w:t>
            </w:r>
          </w:p>
          <w:p>
            <w:pPr>
              <w:snapToGrid w:val="0"/>
              <w:spacing w:line="276" w:lineRule="auto"/>
              <w:rPr>
                <w:rFonts w:cs="宋体" w:asciiTheme="minorEastAsia" w:hAnsiTheme="minorEastAsia"/>
                <w:szCs w:val="21"/>
              </w:rPr>
            </w:pPr>
            <w:r>
              <w:rPr>
                <w:rFonts w:hint="eastAsia" w:cs="宋体" w:asciiTheme="minorEastAsia" w:hAnsiTheme="minorEastAsia"/>
                <w:szCs w:val="21"/>
              </w:rPr>
              <w:t>2、网络防环：支持STP、RSTP、MSTP生成树协议</w:t>
            </w:r>
          </w:p>
          <w:p>
            <w:pPr>
              <w:snapToGrid w:val="0"/>
              <w:spacing w:line="276" w:lineRule="auto"/>
              <w:rPr>
                <w:rFonts w:cs="宋体" w:asciiTheme="minorEastAsia" w:hAnsiTheme="minorEastAsia"/>
                <w:szCs w:val="21"/>
              </w:rPr>
            </w:pPr>
            <w:r>
              <w:rPr>
                <w:rFonts w:hint="eastAsia" w:cs="宋体" w:asciiTheme="minorEastAsia" w:hAnsiTheme="minorEastAsia"/>
                <w:szCs w:val="21"/>
              </w:rPr>
              <w:t>3、可靠性：支持虚拟化功能，实现设备堆叠、负载分担</w:t>
            </w:r>
          </w:p>
          <w:p>
            <w:pPr>
              <w:snapToGrid w:val="0"/>
              <w:spacing w:line="276" w:lineRule="auto"/>
              <w:rPr>
                <w:rFonts w:cs="宋体" w:asciiTheme="minorEastAsia" w:hAnsiTheme="minorEastAsia"/>
                <w:szCs w:val="21"/>
              </w:rPr>
            </w:pPr>
            <w:r>
              <w:rPr>
                <w:rFonts w:hint="eastAsia" w:cs="宋体" w:asciiTheme="minorEastAsia" w:hAnsiTheme="minorEastAsia"/>
                <w:szCs w:val="21"/>
              </w:rPr>
              <w:t>4、VLAN：支持基于端口、协议、MAC的VLAN</w:t>
            </w:r>
          </w:p>
          <w:p>
            <w:pPr>
              <w:snapToGrid w:val="0"/>
              <w:spacing w:line="276" w:lineRule="auto"/>
              <w:rPr>
                <w:rFonts w:cs="宋体" w:asciiTheme="minorEastAsia" w:hAnsiTheme="minorEastAsia"/>
                <w:szCs w:val="21"/>
              </w:rPr>
            </w:pPr>
            <w:r>
              <w:rPr>
                <w:rFonts w:hint="eastAsia" w:cs="宋体" w:asciiTheme="minorEastAsia" w:hAnsiTheme="minorEastAsia"/>
                <w:szCs w:val="21"/>
              </w:rPr>
              <w:t>5、链路聚合：支持链路聚合</w:t>
            </w:r>
          </w:p>
          <w:p>
            <w:pPr>
              <w:snapToGrid w:val="0"/>
              <w:spacing w:line="276" w:lineRule="auto"/>
              <w:rPr>
                <w:rFonts w:cs="宋体" w:asciiTheme="minorEastAsia" w:hAnsiTheme="minorEastAsia"/>
                <w:szCs w:val="21"/>
              </w:rPr>
            </w:pPr>
            <w:r>
              <w:rPr>
                <w:rFonts w:hint="eastAsia" w:cs="宋体" w:asciiTheme="minorEastAsia" w:hAnsiTheme="minorEastAsia"/>
                <w:szCs w:val="21"/>
              </w:rPr>
              <w:t>6、节能低碳：支持端口节能</w:t>
            </w:r>
          </w:p>
          <w:p>
            <w:pPr>
              <w:snapToGrid w:val="0"/>
              <w:spacing w:line="276" w:lineRule="auto"/>
              <w:rPr>
                <w:rFonts w:cs="宋体" w:asciiTheme="minorEastAsia" w:hAnsiTheme="minorEastAsia"/>
                <w:szCs w:val="21"/>
              </w:rPr>
            </w:pPr>
            <w:r>
              <w:rPr>
                <w:rFonts w:hint="eastAsia" w:cs="宋体" w:asciiTheme="minorEastAsia" w:hAnsiTheme="minorEastAsia"/>
                <w:szCs w:val="21"/>
              </w:rPr>
              <w:t>7、安全防雷：支持10KV业务端口防雷能力，以降低设备的损坏率</w:t>
            </w:r>
          </w:p>
          <w:p>
            <w:pPr>
              <w:snapToGrid w:val="0"/>
              <w:spacing w:line="276" w:lineRule="auto"/>
              <w:rPr>
                <w:rFonts w:cs="宋体" w:asciiTheme="minorEastAsia" w:hAnsiTheme="minorEastAsia"/>
                <w:szCs w:val="21"/>
              </w:rPr>
            </w:pPr>
            <w:r>
              <w:rPr>
                <w:rFonts w:hint="eastAsia" w:cs="宋体" w:asciiTheme="minorEastAsia" w:hAnsiTheme="minorEastAsia"/>
                <w:szCs w:val="21"/>
              </w:rPr>
              <w:t>8、成熟度：要求提供设备入网证</w:t>
            </w:r>
          </w:p>
          <w:p>
            <w:pPr>
              <w:snapToGrid w:val="0"/>
              <w:spacing w:line="276" w:lineRule="auto"/>
              <w:rPr>
                <w:rFonts w:asciiTheme="minorEastAsia" w:hAnsiTheme="minorEastAsia"/>
                <w:szCs w:val="21"/>
              </w:rPr>
            </w:pPr>
            <w:r>
              <w:rPr>
                <w:rFonts w:hint="eastAsia" w:cs="宋体" w:asciiTheme="minorEastAsia" w:hAnsiTheme="minorEastAsia"/>
                <w:szCs w:val="21"/>
              </w:rPr>
              <w:t>9、品牌要求：要求与核心交换机同一品牌</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36</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25</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24口接入交换机</w:t>
            </w:r>
          </w:p>
        </w:tc>
        <w:tc>
          <w:tcPr>
            <w:tcW w:w="9087" w:type="dxa"/>
            <w:vAlign w:val="center"/>
          </w:tcPr>
          <w:p>
            <w:pPr>
              <w:snapToGrid w:val="0"/>
              <w:spacing w:line="276" w:lineRule="auto"/>
              <w:rPr>
                <w:rFonts w:cs="宋体" w:asciiTheme="minorEastAsia" w:hAnsiTheme="minorEastAsia"/>
                <w:szCs w:val="21"/>
              </w:rPr>
            </w:pPr>
            <w:r>
              <w:rPr>
                <w:rFonts w:hint="eastAsia" w:cs="宋体" w:asciiTheme="minorEastAsia" w:hAnsiTheme="minorEastAsia"/>
                <w:szCs w:val="21"/>
              </w:rPr>
              <w:t>1、交换容量：≥330Gbps，包转发率≥100Mpps（若官网存在双标，以较小值为准）；接口：≥24个10/100/1000Base-T自适应以太网端口，4个万兆SFP+口</w:t>
            </w:r>
          </w:p>
          <w:p>
            <w:pPr>
              <w:snapToGrid w:val="0"/>
              <w:spacing w:line="276" w:lineRule="auto"/>
              <w:rPr>
                <w:rFonts w:cs="宋体" w:asciiTheme="minorEastAsia" w:hAnsiTheme="minorEastAsia"/>
                <w:szCs w:val="21"/>
              </w:rPr>
            </w:pPr>
            <w:r>
              <w:rPr>
                <w:rFonts w:hint="eastAsia" w:cs="宋体" w:asciiTheme="minorEastAsia" w:hAnsiTheme="minorEastAsia"/>
                <w:szCs w:val="21"/>
              </w:rPr>
              <w:t>2、网络防环：支持STP、RSTP、MSTP生成树协议</w:t>
            </w:r>
          </w:p>
          <w:p>
            <w:pPr>
              <w:snapToGrid w:val="0"/>
              <w:spacing w:line="276" w:lineRule="auto"/>
              <w:rPr>
                <w:rFonts w:cs="宋体" w:asciiTheme="minorEastAsia" w:hAnsiTheme="minorEastAsia"/>
                <w:szCs w:val="21"/>
              </w:rPr>
            </w:pPr>
            <w:r>
              <w:rPr>
                <w:rFonts w:hint="eastAsia" w:cs="宋体" w:asciiTheme="minorEastAsia" w:hAnsiTheme="minorEastAsia"/>
                <w:szCs w:val="21"/>
              </w:rPr>
              <w:t>3、可靠性：支持虚拟化功能，实现设备堆叠、负载分担</w:t>
            </w:r>
          </w:p>
          <w:p>
            <w:pPr>
              <w:snapToGrid w:val="0"/>
              <w:spacing w:line="276" w:lineRule="auto"/>
              <w:rPr>
                <w:rFonts w:cs="宋体" w:asciiTheme="minorEastAsia" w:hAnsiTheme="minorEastAsia"/>
                <w:szCs w:val="21"/>
              </w:rPr>
            </w:pPr>
            <w:r>
              <w:rPr>
                <w:rFonts w:hint="eastAsia" w:cs="宋体" w:asciiTheme="minorEastAsia" w:hAnsiTheme="minorEastAsia"/>
                <w:szCs w:val="21"/>
              </w:rPr>
              <w:t>4、VLAN：支持基于端口、协议、MAC的VLAN</w:t>
            </w:r>
          </w:p>
          <w:p>
            <w:pPr>
              <w:snapToGrid w:val="0"/>
              <w:spacing w:line="276" w:lineRule="auto"/>
              <w:rPr>
                <w:rFonts w:cs="宋体" w:asciiTheme="minorEastAsia" w:hAnsiTheme="minorEastAsia"/>
                <w:szCs w:val="21"/>
              </w:rPr>
            </w:pPr>
            <w:r>
              <w:rPr>
                <w:rFonts w:hint="eastAsia" w:cs="宋体" w:asciiTheme="minorEastAsia" w:hAnsiTheme="minorEastAsia"/>
                <w:szCs w:val="21"/>
              </w:rPr>
              <w:t>5、链路聚合：支持链路聚合</w:t>
            </w:r>
          </w:p>
          <w:p>
            <w:pPr>
              <w:snapToGrid w:val="0"/>
              <w:spacing w:line="276" w:lineRule="auto"/>
              <w:rPr>
                <w:rFonts w:cs="宋体" w:asciiTheme="minorEastAsia" w:hAnsiTheme="minorEastAsia"/>
                <w:szCs w:val="21"/>
              </w:rPr>
            </w:pPr>
            <w:r>
              <w:rPr>
                <w:rFonts w:hint="eastAsia" w:cs="宋体" w:asciiTheme="minorEastAsia" w:hAnsiTheme="minorEastAsia"/>
                <w:szCs w:val="21"/>
              </w:rPr>
              <w:t>6、节能低碳：支持端口节能</w:t>
            </w:r>
          </w:p>
          <w:p>
            <w:pPr>
              <w:snapToGrid w:val="0"/>
              <w:spacing w:line="276" w:lineRule="auto"/>
              <w:rPr>
                <w:rFonts w:cs="宋体" w:asciiTheme="minorEastAsia" w:hAnsiTheme="minorEastAsia"/>
                <w:szCs w:val="21"/>
              </w:rPr>
            </w:pPr>
            <w:r>
              <w:rPr>
                <w:rFonts w:hint="eastAsia" w:cs="宋体" w:asciiTheme="minorEastAsia" w:hAnsiTheme="minorEastAsia"/>
                <w:szCs w:val="21"/>
              </w:rPr>
              <w:t>7、安全防雷：支持10KV业务端口防雷能力，以降低设备的损坏率</w:t>
            </w:r>
          </w:p>
          <w:p>
            <w:pPr>
              <w:snapToGrid w:val="0"/>
              <w:spacing w:line="276" w:lineRule="auto"/>
              <w:rPr>
                <w:rFonts w:cs="宋体" w:asciiTheme="minorEastAsia" w:hAnsiTheme="minorEastAsia"/>
                <w:szCs w:val="21"/>
              </w:rPr>
            </w:pPr>
            <w:r>
              <w:rPr>
                <w:rFonts w:hint="eastAsia" w:cs="宋体" w:asciiTheme="minorEastAsia" w:hAnsiTheme="minorEastAsia"/>
                <w:szCs w:val="21"/>
              </w:rPr>
              <w:t>8、成熟度：要求提供设备入网证</w:t>
            </w:r>
          </w:p>
          <w:p>
            <w:pPr>
              <w:snapToGrid w:val="0"/>
              <w:spacing w:line="276" w:lineRule="auto"/>
              <w:rPr>
                <w:rFonts w:asciiTheme="minorEastAsia" w:hAnsiTheme="minorEastAsia"/>
                <w:szCs w:val="21"/>
              </w:rPr>
            </w:pPr>
            <w:r>
              <w:rPr>
                <w:rFonts w:hint="eastAsia" w:cs="宋体" w:asciiTheme="minorEastAsia" w:hAnsiTheme="minorEastAsia"/>
                <w:szCs w:val="21"/>
              </w:rPr>
              <w:t>9、品牌要求：要求与核心交换机同一品牌</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24</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26</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16口接入交换机</w:t>
            </w:r>
          </w:p>
        </w:tc>
        <w:tc>
          <w:tcPr>
            <w:tcW w:w="9087" w:type="dxa"/>
            <w:vAlign w:val="center"/>
          </w:tcPr>
          <w:p>
            <w:pPr>
              <w:snapToGrid w:val="0"/>
              <w:spacing w:line="276" w:lineRule="auto"/>
              <w:rPr>
                <w:rFonts w:cs="宋体" w:asciiTheme="minorEastAsia" w:hAnsiTheme="minorEastAsia"/>
                <w:szCs w:val="21"/>
              </w:rPr>
            </w:pPr>
            <w:r>
              <w:rPr>
                <w:rFonts w:hint="eastAsia" w:cs="宋体" w:asciiTheme="minorEastAsia" w:hAnsiTheme="minorEastAsia"/>
                <w:szCs w:val="21"/>
              </w:rPr>
              <w:t>1.固化10/100/1000M以太网电口≥16个，1G/10G SFP+光接口≥2个，交换容量≥330Gbps，包转发率≥40Mpps；</w:t>
            </w:r>
          </w:p>
          <w:p>
            <w:pPr>
              <w:snapToGrid w:val="0"/>
              <w:spacing w:line="276" w:lineRule="auto"/>
              <w:rPr>
                <w:rFonts w:cs="宋体" w:asciiTheme="minorEastAsia" w:hAnsiTheme="minorEastAsia"/>
                <w:szCs w:val="21"/>
              </w:rPr>
            </w:pPr>
            <w:r>
              <w:rPr>
                <w:rFonts w:cs="宋体" w:asciiTheme="minorEastAsia" w:hAnsiTheme="minorEastAsia"/>
                <w:szCs w:val="21"/>
              </w:rPr>
              <w:t>2</w:t>
            </w:r>
            <w:r>
              <w:rPr>
                <w:rFonts w:hint="eastAsia" w:cs="宋体" w:asciiTheme="minorEastAsia" w:hAnsiTheme="minorEastAsia"/>
                <w:szCs w:val="21"/>
              </w:rPr>
              <w:t>.要求设备采用静音设计；</w:t>
            </w:r>
          </w:p>
          <w:p>
            <w:pPr>
              <w:snapToGrid w:val="0"/>
              <w:spacing w:line="276" w:lineRule="auto"/>
              <w:rPr>
                <w:rFonts w:cs="宋体" w:asciiTheme="minorEastAsia" w:hAnsiTheme="minorEastAsia"/>
                <w:szCs w:val="21"/>
              </w:rPr>
            </w:pPr>
            <w:r>
              <w:rPr>
                <w:rFonts w:cs="宋体" w:asciiTheme="minorEastAsia" w:hAnsiTheme="minorEastAsia"/>
                <w:szCs w:val="21"/>
              </w:rPr>
              <w:t>3</w:t>
            </w:r>
            <w:r>
              <w:rPr>
                <w:rFonts w:hint="eastAsia" w:cs="宋体" w:asciiTheme="minorEastAsia" w:hAnsiTheme="minorEastAsia"/>
                <w:szCs w:val="21"/>
              </w:rPr>
              <w:t>.支持专门针对CPU的保护机制，能够针对发往CPU处理的各种报文进行流区分和优先级队列分级处理，保护交换机在各种环境下稳定工作；</w:t>
            </w:r>
          </w:p>
          <w:p>
            <w:pPr>
              <w:snapToGrid w:val="0"/>
              <w:spacing w:line="276" w:lineRule="auto"/>
              <w:rPr>
                <w:rFonts w:cs="宋体" w:asciiTheme="minorEastAsia" w:hAnsiTheme="minorEastAsia"/>
                <w:szCs w:val="21"/>
              </w:rPr>
            </w:pPr>
            <w:r>
              <w:rPr>
                <w:rFonts w:cs="宋体" w:asciiTheme="minorEastAsia" w:hAnsiTheme="minorEastAsia"/>
                <w:szCs w:val="21"/>
              </w:rPr>
              <w:t>4</w:t>
            </w:r>
            <w:r>
              <w:rPr>
                <w:rFonts w:hint="eastAsia" w:cs="宋体" w:asciiTheme="minorEastAsia" w:hAnsiTheme="minorEastAsia"/>
                <w:szCs w:val="21"/>
              </w:rPr>
              <w:t>.支持快速检测链路的通断和光纤链路的单向性，并支持端口下的环路检测功能；</w:t>
            </w:r>
          </w:p>
          <w:p>
            <w:pPr>
              <w:snapToGrid w:val="0"/>
              <w:spacing w:line="276" w:lineRule="auto"/>
              <w:rPr>
                <w:rFonts w:cs="宋体" w:asciiTheme="minorEastAsia" w:hAnsiTheme="minorEastAsia"/>
                <w:szCs w:val="21"/>
              </w:rPr>
            </w:pPr>
            <w:r>
              <w:rPr>
                <w:rFonts w:cs="宋体" w:asciiTheme="minorEastAsia" w:hAnsiTheme="minorEastAsia"/>
                <w:szCs w:val="21"/>
              </w:rPr>
              <w:t>5</w:t>
            </w:r>
            <w:r>
              <w:rPr>
                <w:rFonts w:hint="eastAsia" w:cs="宋体" w:asciiTheme="minorEastAsia" w:hAnsiTheme="minorEastAsia"/>
                <w:szCs w:val="21"/>
              </w:rPr>
              <w:t>.支持生成树协议STP(IEEE 802.1d)，RSTP(IEEE 802.1w)和MSTP(IEEE 802.1s)，完全保证快速收敛，提高容错能力，保证网络的稳定运行和链路的负载均衡，合理使用网络通道，提供冗余链路利用率；</w:t>
            </w:r>
          </w:p>
          <w:p>
            <w:pPr>
              <w:snapToGrid w:val="0"/>
              <w:spacing w:line="276" w:lineRule="auto"/>
              <w:rPr>
                <w:rFonts w:asciiTheme="minorEastAsia" w:hAnsiTheme="minorEastAsia"/>
                <w:szCs w:val="21"/>
              </w:rPr>
            </w:pPr>
            <w:r>
              <w:rPr>
                <w:rFonts w:asciiTheme="minorEastAsia" w:hAnsiTheme="minorEastAsia"/>
                <w:szCs w:val="21"/>
              </w:rPr>
              <w:t>6</w:t>
            </w:r>
            <w:r>
              <w:rPr>
                <w:rFonts w:hint="eastAsia" w:asciiTheme="minorEastAsia" w:hAnsiTheme="minorEastAsia"/>
                <w:szCs w:val="21"/>
              </w:rPr>
              <w:t>、品牌要求：要求与核心交换机同一品牌</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18</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27</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万兆模块</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10KM万兆单模,LC接口</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180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28</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室外8芯光纤</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符合标准：ISO/IEC 11801:2008；TIA/EIA-568-C.3；YD/T901-2009</w:t>
            </w:r>
            <w:r>
              <w:rPr>
                <w:rFonts w:hint="eastAsia" w:asciiTheme="minorEastAsia" w:hAnsiTheme="minorEastAsia"/>
                <w:szCs w:val="21"/>
              </w:rPr>
              <w:br w:type="textWrapping"/>
            </w:r>
            <w:r>
              <w:rPr>
                <w:rFonts w:hint="eastAsia" w:asciiTheme="minorEastAsia" w:hAnsiTheme="minorEastAsia"/>
                <w:szCs w:val="21"/>
              </w:rPr>
              <w:t>非金属结构，抗电磁、防静电。重量轻，敷设方便，适用于电力系统及多雷地区</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50000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29</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光纤熔接</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光纤终端盒、法兰、束状尾纤、熔接等</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30</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网线</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六类网线</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54000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31</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电源线</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RVV2*1.0</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54000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32</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电源线</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RVV2*1.5</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10000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33</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室外电源线</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RVV3*2.5</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8300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34</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立杆</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3米立杆，含地龙</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124</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35</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电缆线</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YJV3*20+1*20</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200</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36</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防水箱</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500*500*300mm</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15</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37</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室内箱</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600*800*450mm</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58</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38</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服务器机柜</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标准机柜约为高2000mm*深1000mm*宽600mm，厚度：方孔条约2.0mm，托盘约2.0mm，骨架和安装梁约1.5mm；</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39</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辅材</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光纤配线架、终端盒、ODF、PVC管、水晶头、钢丝、螺丝、RJ45接头等接插件等</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40</w:t>
            </w:r>
          </w:p>
        </w:tc>
        <w:tc>
          <w:tcPr>
            <w:tcW w:w="2029" w:type="dxa"/>
            <w:gridSpan w:val="3"/>
            <w:vAlign w:val="center"/>
          </w:tcPr>
          <w:p>
            <w:pPr>
              <w:snapToGrid w:val="0"/>
              <w:spacing w:line="276" w:lineRule="auto"/>
              <w:rPr>
                <w:rFonts w:asciiTheme="minorEastAsia" w:hAnsiTheme="minorEastAsia"/>
                <w:szCs w:val="21"/>
              </w:rPr>
            </w:pPr>
            <w:r>
              <w:rPr>
                <w:rFonts w:hint="eastAsia" w:asciiTheme="minorEastAsia" w:hAnsiTheme="minorEastAsia"/>
                <w:szCs w:val="21"/>
              </w:rPr>
              <w:t>安装调试费</w:t>
            </w:r>
          </w:p>
        </w:tc>
        <w:tc>
          <w:tcPr>
            <w:tcW w:w="9087" w:type="dxa"/>
            <w:vAlign w:val="center"/>
          </w:tcPr>
          <w:p>
            <w:pPr>
              <w:snapToGrid w:val="0"/>
              <w:spacing w:line="276" w:lineRule="auto"/>
              <w:rPr>
                <w:rFonts w:asciiTheme="minorEastAsia" w:hAnsiTheme="minorEastAsia"/>
                <w:szCs w:val="21"/>
              </w:rPr>
            </w:pPr>
            <w:r>
              <w:rPr>
                <w:rFonts w:hint="eastAsia" w:asciiTheme="minorEastAsia" w:hAnsiTheme="minorEastAsia"/>
                <w:szCs w:val="21"/>
              </w:rPr>
              <w:t>设备安装及调试、平台调试等</w:t>
            </w:r>
          </w:p>
        </w:tc>
        <w:tc>
          <w:tcPr>
            <w:tcW w:w="993"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asciiTheme="minorEastAsia" w:hAnsiTheme="minorEastAsia"/>
                <w:szCs w:val="21"/>
              </w:rPr>
              <w:t>入侵报警系统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总线报警主机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总线式网络报警主机（支持新国标GB12663-2019）；8个板载有线防区，可扩展至256个（其中64个可以为无线防区）支持8000条报警事件记录，2000条操作日志和1500条管理记录，支持远程搜索查询事件日志。</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控制键盘</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支持LED显示系统实时状态</w:t>
            </w:r>
            <w:r>
              <w:rPr>
                <w:rFonts w:hint="eastAsia" w:cs="Arial" w:asciiTheme="minorEastAsia" w:hAnsiTheme="minorEastAsia"/>
                <w:szCs w:val="21"/>
              </w:rPr>
              <w:br w:type="textWrapping"/>
            </w:r>
            <w:r>
              <w:rPr>
                <w:rFonts w:hint="eastAsia" w:cs="Arial" w:asciiTheme="minorEastAsia" w:hAnsiTheme="minorEastAsia"/>
                <w:szCs w:val="21"/>
              </w:rPr>
              <w:t>支持LCD显示自定义防区名称</w:t>
            </w:r>
            <w:r>
              <w:rPr>
                <w:rFonts w:hint="eastAsia" w:cs="Arial" w:asciiTheme="minorEastAsia" w:hAnsiTheme="minorEastAsia"/>
                <w:szCs w:val="21"/>
              </w:rPr>
              <w:br w:type="textWrapping"/>
            </w:r>
            <w:r>
              <w:rPr>
                <w:rFonts w:hint="eastAsia" w:cs="Arial" w:asciiTheme="minorEastAsia" w:hAnsiTheme="minorEastAsia"/>
                <w:szCs w:val="21"/>
              </w:rPr>
              <w:t>支持上下翻页查看事件信息</w:t>
            </w:r>
            <w:r>
              <w:rPr>
                <w:rFonts w:hint="eastAsia" w:cs="Arial" w:asciiTheme="minorEastAsia" w:hAnsiTheme="minorEastAsia"/>
                <w:szCs w:val="21"/>
              </w:rPr>
              <w:br w:type="textWrapping"/>
            </w:r>
            <w:r>
              <w:rPr>
                <w:rFonts w:hint="eastAsia" w:cs="Arial" w:asciiTheme="minorEastAsia" w:hAnsiTheme="minorEastAsia"/>
                <w:szCs w:val="21"/>
              </w:rPr>
              <w:t>支持背壳双面防拆</w:t>
            </w:r>
            <w:r>
              <w:rPr>
                <w:rFonts w:hint="eastAsia" w:cs="Arial" w:asciiTheme="minorEastAsia" w:hAnsiTheme="minorEastAsia"/>
                <w:szCs w:val="21"/>
              </w:rPr>
              <w:br w:type="textWrapping"/>
            </w:r>
            <w:r>
              <w:rPr>
                <w:rFonts w:hint="eastAsia" w:cs="Arial" w:asciiTheme="minorEastAsia" w:hAnsiTheme="minorEastAsia"/>
                <w:szCs w:val="21"/>
              </w:rPr>
              <w:t>支持刷卡布撤防，但刷卡不支持消警功能，卡片数量由主机限制，目前网络主机最大可添加32张卡片</w:t>
            </w:r>
            <w:r>
              <w:rPr>
                <w:rFonts w:hint="eastAsia" w:cs="Arial" w:asciiTheme="minorEastAsia" w:hAnsiTheme="minorEastAsia"/>
                <w:szCs w:val="21"/>
              </w:rPr>
              <w:br w:type="textWrapping"/>
            </w:r>
            <w:r>
              <w:rPr>
                <w:rFonts w:hint="eastAsia" w:cs="Arial" w:asciiTheme="minorEastAsia" w:hAnsiTheme="minorEastAsia"/>
                <w:szCs w:val="21"/>
              </w:rPr>
              <w:t>支持连接遥控器进行远程布撤防，键盘最多所能支持的无线遥控器数量由主机决定，最多支持32个遥控器</w:t>
            </w:r>
            <w:r>
              <w:rPr>
                <w:rFonts w:hint="eastAsia" w:cs="Arial" w:asciiTheme="minorEastAsia" w:hAnsiTheme="minorEastAsia"/>
                <w:szCs w:val="21"/>
              </w:rPr>
              <w:br w:type="textWrapping"/>
            </w:r>
            <w:r>
              <w:rPr>
                <w:rFonts w:hint="eastAsia" w:cs="Arial" w:asciiTheme="minorEastAsia" w:hAnsiTheme="minorEastAsia"/>
                <w:szCs w:val="21"/>
              </w:rPr>
              <w:t>支持双向遥控器，遥控器LED显示操作结果</w:t>
            </w:r>
            <w:r>
              <w:rPr>
                <w:rFonts w:hint="eastAsia" w:cs="Arial" w:asciiTheme="minorEastAsia" w:hAnsiTheme="minorEastAsia"/>
                <w:szCs w:val="21"/>
              </w:rPr>
              <w:br w:type="textWrapping"/>
            </w:r>
            <w:r>
              <w:rPr>
                <w:rFonts w:hint="eastAsia" w:cs="Arial" w:asciiTheme="minorEastAsia" w:hAnsiTheme="minorEastAsia"/>
                <w:szCs w:val="21"/>
              </w:rPr>
              <w:t>可针对单防区进行布撤防</w:t>
            </w:r>
            <w:r>
              <w:rPr>
                <w:rFonts w:hint="eastAsia" w:cs="Arial" w:asciiTheme="minorEastAsia" w:hAnsiTheme="minorEastAsia"/>
                <w:szCs w:val="21"/>
              </w:rPr>
              <w:br w:type="textWrapping"/>
            </w:r>
            <w:r>
              <w:rPr>
                <w:rFonts w:hint="eastAsia" w:cs="Arial" w:asciiTheme="minorEastAsia" w:hAnsiTheme="minorEastAsia"/>
                <w:szCs w:val="21"/>
              </w:rPr>
              <w:t>通过操作命令，在键盘上可显示GPRS信号强度</w:t>
            </w:r>
            <w:r>
              <w:rPr>
                <w:rFonts w:hint="eastAsia" w:cs="Arial" w:asciiTheme="minorEastAsia" w:hAnsiTheme="minorEastAsia"/>
                <w:szCs w:val="21"/>
              </w:rPr>
              <w:br w:type="textWrapping"/>
            </w:r>
            <w:r>
              <w:rPr>
                <w:rFonts w:hint="eastAsia" w:cs="Arial" w:asciiTheme="minorEastAsia" w:hAnsiTheme="minorEastAsia"/>
                <w:szCs w:val="21"/>
              </w:rPr>
              <w:t>支持在线编程</w:t>
            </w:r>
            <w:r>
              <w:rPr>
                <w:rFonts w:hint="eastAsia" w:cs="Arial" w:asciiTheme="minorEastAsia" w:hAnsiTheme="minorEastAsia"/>
                <w:szCs w:val="21"/>
              </w:rPr>
              <w:br w:type="textWrapping"/>
            </w:r>
            <w:r>
              <w:rPr>
                <w:rFonts w:hint="eastAsia" w:cs="Arial" w:asciiTheme="minorEastAsia" w:hAnsiTheme="minorEastAsia"/>
                <w:szCs w:val="21"/>
              </w:rPr>
              <w:t>支持防区状态实时显示</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报警主机蓄电池</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充电后备</w:t>
            </w:r>
            <w:r>
              <w:rPr>
                <w:rFonts w:hint="eastAsia" w:asciiTheme="minorEastAsia" w:hAnsiTheme="minorEastAsia"/>
                <w:szCs w:val="21"/>
              </w:rPr>
              <w:t>酸铅</w:t>
            </w:r>
            <w:r>
              <w:rPr>
                <w:rFonts w:hint="eastAsia" w:cs="Arial" w:asciiTheme="minorEastAsia" w:hAnsiTheme="minorEastAsia"/>
                <w:szCs w:val="21"/>
              </w:rPr>
              <w:t>电池（12V7AH，报警主机专用）</w:t>
            </w:r>
            <w:r>
              <w:rPr>
                <w:rFonts w:hint="eastAsia" w:cs="Arial" w:asciiTheme="minorEastAsia" w:hAnsiTheme="minorEastAsia"/>
                <w:szCs w:val="21"/>
              </w:rPr>
              <w:br w:type="textWrapping"/>
            </w:r>
            <w:r>
              <w:rPr>
                <w:rFonts w:hint="eastAsia" w:cs="Arial" w:asciiTheme="minorEastAsia" w:hAnsiTheme="minorEastAsia"/>
                <w:szCs w:val="21"/>
              </w:rPr>
              <w:t>标准电压 12V</w:t>
            </w:r>
            <w:r>
              <w:rPr>
                <w:rFonts w:hint="eastAsia" w:cs="Arial" w:asciiTheme="minorEastAsia" w:hAnsiTheme="minorEastAsia"/>
                <w:szCs w:val="21"/>
              </w:rPr>
              <w:br w:type="textWrapping"/>
            </w:r>
            <w:r>
              <w:rPr>
                <w:rFonts w:hint="eastAsia" w:cs="Arial" w:asciiTheme="minorEastAsia" w:hAnsiTheme="minorEastAsia"/>
                <w:szCs w:val="21"/>
              </w:rPr>
              <w:t>额定容量 7.0Ah</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声光警号</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警号（红白色）；</w:t>
            </w:r>
            <w:r>
              <w:rPr>
                <w:rFonts w:hint="eastAsia" w:cs="Arial" w:asciiTheme="minorEastAsia" w:hAnsiTheme="minorEastAsia"/>
                <w:szCs w:val="21"/>
              </w:rPr>
              <w:br w:type="textWrapping"/>
            </w:r>
            <w:r>
              <w:rPr>
                <w:rFonts w:hint="eastAsia" w:cs="Arial" w:asciiTheme="minorEastAsia" w:hAnsiTheme="minorEastAsia"/>
                <w:szCs w:val="21"/>
              </w:rPr>
              <w:t>报警音量: 105dB at 30cm</w:t>
            </w:r>
            <w:r>
              <w:rPr>
                <w:rFonts w:hint="eastAsia" w:cs="Arial" w:asciiTheme="minorEastAsia" w:hAnsiTheme="minorEastAsia"/>
                <w:szCs w:val="21"/>
              </w:rPr>
              <w:br w:type="textWrapping"/>
            </w:r>
            <w:r>
              <w:rPr>
                <w:rFonts w:hint="eastAsia" w:cs="Arial" w:asciiTheme="minorEastAsia" w:hAnsiTheme="minorEastAsia"/>
                <w:szCs w:val="21"/>
              </w:rPr>
              <w:t xml:space="preserve">防护等级：IP54，室外防水 </w:t>
            </w:r>
            <w:r>
              <w:rPr>
                <w:rFonts w:hint="eastAsia" w:cs="Arial" w:asciiTheme="minorEastAsia" w:hAnsiTheme="minorEastAsia"/>
                <w:szCs w:val="21"/>
              </w:rPr>
              <w:br w:type="textWrapping"/>
            </w:r>
            <w:r>
              <w:rPr>
                <w:rFonts w:hint="eastAsia" w:cs="Arial" w:asciiTheme="minorEastAsia" w:hAnsiTheme="minorEastAsia"/>
                <w:szCs w:val="21"/>
              </w:rPr>
              <w:t>内置水平仪，便于辅助安装</w:t>
            </w:r>
            <w:r>
              <w:rPr>
                <w:rFonts w:hint="eastAsia" w:cs="Arial" w:asciiTheme="minorEastAsia" w:hAnsiTheme="minorEastAsia"/>
                <w:szCs w:val="21"/>
              </w:rPr>
              <w:br w:type="textWrapping"/>
            </w:r>
            <w:r>
              <w:rPr>
                <w:rFonts w:hint="eastAsia" w:cs="Arial" w:asciiTheme="minorEastAsia" w:hAnsiTheme="minorEastAsia"/>
                <w:szCs w:val="21"/>
              </w:rPr>
              <w:t>支持关闭报警声音输出，实现声光报警模式和光闪模式切换</w:t>
            </w:r>
            <w:r>
              <w:rPr>
                <w:rFonts w:hint="eastAsia" w:cs="Arial" w:asciiTheme="minorEastAsia" w:hAnsiTheme="minorEastAsia"/>
                <w:szCs w:val="21"/>
              </w:rPr>
              <w:br w:type="textWrapping"/>
            </w:r>
            <w:r>
              <w:rPr>
                <w:rFonts w:hint="eastAsia" w:cs="Arial" w:asciiTheme="minorEastAsia" w:hAnsiTheme="minorEastAsia"/>
                <w:szCs w:val="21"/>
              </w:rPr>
              <w:t>工作湿度：10％～90％</w:t>
            </w:r>
            <w:r>
              <w:rPr>
                <w:rFonts w:hint="eastAsia" w:cs="Arial" w:asciiTheme="minorEastAsia" w:hAnsiTheme="minorEastAsia"/>
                <w:szCs w:val="21"/>
              </w:rPr>
              <w:br w:type="textWrapping"/>
            </w:r>
            <w:r>
              <w:rPr>
                <w:rFonts w:hint="eastAsia" w:cs="Arial" w:asciiTheme="minorEastAsia" w:hAnsiTheme="minorEastAsia"/>
                <w:szCs w:val="21"/>
              </w:rPr>
              <w:t>工作温度：-20℃～＋60℃</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双防区扩展模块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总线网络报警主机双防区扩展模块/2个扩展防区数/124最大级联数/1.0mA静态电流</w:t>
            </w:r>
            <w:r>
              <w:rPr>
                <w:rFonts w:hint="eastAsia" w:cs="Arial" w:asciiTheme="minorEastAsia" w:hAnsiTheme="minorEastAsia"/>
                <w:szCs w:val="21"/>
              </w:rPr>
              <w:br w:type="textWrapping"/>
            </w:r>
            <w:r>
              <w:rPr>
                <w:rFonts w:hint="eastAsia" w:cs="Arial" w:asciiTheme="minorEastAsia" w:hAnsiTheme="minorEastAsia"/>
                <w:szCs w:val="21"/>
              </w:rPr>
              <w:t>可以连接常开（NO）或常闭（NC）触点的受监测输入防区，使用终端（EOL）电阻监测触点。可与兼容的多路复用扩展模块配合使用，并且占用系统上的两个扩展防区。</w:t>
            </w:r>
          </w:p>
        </w:tc>
        <w:tc>
          <w:tcPr>
            <w:tcW w:w="993" w:type="dxa"/>
            <w:vAlign w:val="center"/>
          </w:tcPr>
          <w:p>
            <w:pPr>
              <w:snapToGrid w:val="0"/>
              <w:spacing w:line="276" w:lineRule="auto"/>
              <w:jc w:val="center"/>
              <w:rPr>
                <w:rFonts w:asciiTheme="minorEastAsia" w:hAnsiTheme="minorEastAsia"/>
                <w:szCs w:val="21"/>
              </w:rPr>
            </w:pPr>
            <w:r>
              <w:rPr>
                <w:rFonts w:cs="Arial" w:asciiTheme="minorEastAsia" w:hAnsiTheme="minorEastAsia"/>
                <w:szCs w:val="21"/>
              </w:rPr>
              <w:t>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八防区扩展模块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总线网络报警主机八防区扩展模块/8个扩展防区数/31最大级联数/2.7mA</w:t>
            </w:r>
            <w:r>
              <w:rPr>
                <w:rFonts w:hint="eastAsia" w:cs="Arial" w:asciiTheme="minorEastAsia" w:hAnsiTheme="minorEastAsia"/>
                <w:szCs w:val="21"/>
              </w:rPr>
              <w:br w:type="textWrapping"/>
            </w:r>
            <w:r>
              <w:rPr>
                <w:rFonts w:hint="eastAsia" w:cs="Arial" w:asciiTheme="minorEastAsia" w:hAnsiTheme="minorEastAsia"/>
                <w:szCs w:val="21"/>
              </w:rPr>
              <w:t>可以连接常开（NO）或常闭（NC）触点的受监测输入防区，使用终端（EOL）电阻监测触点。可与兼容的多路复用扩展模块配合使用，并且占用系统上的八个扩展防区。</w:t>
            </w:r>
          </w:p>
        </w:tc>
        <w:tc>
          <w:tcPr>
            <w:tcW w:w="993" w:type="dxa"/>
            <w:vAlign w:val="center"/>
          </w:tcPr>
          <w:p>
            <w:pPr>
              <w:snapToGrid w:val="0"/>
              <w:spacing w:line="276" w:lineRule="auto"/>
              <w:jc w:val="center"/>
              <w:rPr>
                <w:rFonts w:asciiTheme="minorEastAsia" w:hAnsiTheme="minorEastAsia"/>
                <w:szCs w:val="21"/>
              </w:rPr>
            </w:pPr>
            <w:r>
              <w:rPr>
                <w:rFonts w:cs="Arial" w:asciiTheme="minorEastAsia" w:hAnsiTheme="minorEastAsia"/>
                <w:szCs w:val="21"/>
              </w:rPr>
              <w:t>13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壁装红外微波探测</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探测范围：≥12m，检测角：≥85°</w:t>
            </w:r>
            <w:r>
              <w:rPr>
                <w:rFonts w:hint="eastAsia" w:cs="Arial" w:asciiTheme="minorEastAsia" w:hAnsiTheme="minorEastAsia"/>
                <w:szCs w:val="21"/>
              </w:rPr>
              <w:br w:type="textWrapping"/>
            </w:r>
            <w:r>
              <w:rPr>
                <w:rFonts w:hint="eastAsia" w:cs="Arial" w:asciiTheme="minorEastAsia" w:hAnsiTheme="minorEastAsia"/>
                <w:szCs w:val="21"/>
              </w:rPr>
              <w:t>自动温度补偿</w:t>
            </w:r>
            <w:r>
              <w:rPr>
                <w:rFonts w:hint="eastAsia" w:cs="Arial" w:asciiTheme="minorEastAsia" w:hAnsiTheme="minorEastAsia"/>
                <w:szCs w:val="21"/>
              </w:rPr>
              <w:br w:type="textWrapping"/>
            </w:r>
            <w:r>
              <w:rPr>
                <w:rFonts w:hint="eastAsia" w:cs="Arial" w:asciiTheme="minorEastAsia" w:hAnsiTheme="minorEastAsia"/>
                <w:szCs w:val="21"/>
              </w:rPr>
              <w:t>通信频率：433MHz，并具备防止无线数据冲突功能</w:t>
            </w:r>
            <w:r>
              <w:rPr>
                <w:rFonts w:hint="eastAsia" w:cs="Arial" w:asciiTheme="minorEastAsia" w:hAnsiTheme="minorEastAsia"/>
                <w:szCs w:val="21"/>
              </w:rPr>
              <w:br w:type="textWrapping"/>
            </w:r>
            <w:r>
              <w:rPr>
                <w:rFonts w:hint="eastAsia" w:cs="Arial" w:asciiTheme="minorEastAsia" w:hAnsiTheme="minorEastAsia"/>
                <w:szCs w:val="21"/>
              </w:rPr>
              <w:t>双向通信，通信距离≥800米（空旷）</w:t>
            </w:r>
            <w:r>
              <w:rPr>
                <w:rFonts w:hint="eastAsia" w:cs="Arial" w:asciiTheme="minorEastAsia" w:hAnsiTheme="minorEastAsia"/>
                <w:szCs w:val="21"/>
              </w:rPr>
              <w:br w:type="textWrapping"/>
            </w:r>
            <w:r>
              <w:rPr>
                <w:rFonts w:hint="eastAsia" w:cs="Arial" w:asciiTheme="minorEastAsia" w:hAnsiTheme="minorEastAsia"/>
                <w:szCs w:val="21"/>
              </w:rPr>
              <w:t>工作电压：9~16VDC（12V待机）</w:t>
            </w:r>
            <w:r>
              <w:rPr>
                <w:rFonts w:hint="eastAsia" w:cs="Arial" w:asciiTheme="minorEastAsia" w:hAnsiTheme="minorEastAsia"/>
                <w:szCs w:val="21"/>
              </w:rPr>
              <w:br w:type="textWrapping"/>
            </w:r>
            <w:r>
              <w:rPr>
                <w:rFonts w:hint="eastAsia" w:cs="Arial" w:asciiTheme="minorEastAsia" w:hAnsiTheme="minorEastAsia"/>
                <w:szCs w:val="21"/>
              </w:rPr>
              <w:t>探测速度：0.3~3m/s</w:t>
            </w:r>
            <w:r>
              <w:rPr>
                <w:rFonts w:hint="eastAsia" w:cs="Arial" w:asciiTheme="minorEastAsia" w:hAnsiTheme="minorEastAsia"/>
                <w:szCs w:val="21"/>
              </w:rPr>
              <w:br w:type="textWrapping"/>
            </w:r>
            <w:r>
              <w:rPr>
                <w:rFonts w:hint="eastAsia" w:cs="Arial" w:asciiTheme="minorEastAsia" w:hAnsiTheme="minorEastAsia"/>
                <w:szCs w:val="21"/>
              </w:rPr>
              <w:t>最佳安装高度：1.8~2.4m</w:t>
            </w:r>
            <w:r>
              <w:rPr>
                <w:rFonts w:hint="eastAsia" w:cs="Arial" w:asciiTheme="minorEastAsia" w:hAnsiTheme="minorEastAsia"/>
                <w:szCs w:val="21"/>
              </w:rPr>
              <w:br w:type="textWrapping"/>
            </w:r>
            <w:r>
              <w:rPr>
                <w:rFonts w:hint="eastAsia" w:cs="Arial" w:asciiTheme="minorEastAsia" w:hAnsiTheme="minorEastAsia"/>
                <w:szCs w:val="21"/>
              </w:rPr>
              <w:t>镜片：三维空间，内凹槽阵列式菲涅耳透镜</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r>
              <w:rPr>
                <w:rFonts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吸顶红外微波探测</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探测范围：≥10m，检测角：≥85°</w:t>
            </w:r>
            <w:r>
              <w:rPr>
                <w:rFonts w:hint="eastAsia" w:cs="Arial" w:asciiTheme="minorEastAsia" w:hAnsiTheme="minorEastAsia"/>
                <w:szCs w:val="21"/>
              </w:rPr>
              <w:br w:type="textWrapping"/>
            </w:r>
            <w:r>
              <w:rPr>
                <w:rFonts w:hint="eastAsia" w:cs="Arial" w:asciiTheme="minorEastAsia" w:hAnsiTheme="minorEastAsia"/>
                <w:szCs w:val="21"/>
              </w:rPr>
              <w:t>自动温度补偿</w:t>
            </w:r>
            <w:r>
              <w:rPr>
                <w:rFonts w:hint="eastAsia" w:cs="Arial" w:asciiTheme="minorEastAsia" w:hAnsiTheme="minorEastAsia"/>
                <w:szCs w:val="21"/>
              </w:rPr>
              <w:br w:type="textWrapping"/>
            </w:r>
            <w:r>
              <w:rPr>
                <w:rFonts w:hint="eastAsia" w:cs="Arial" w:asciiTheme="minorEastAsia" w:hAnsiTheme="minorEastAsia"/>
                <w:szCs w:val="21"/>
              </w:rPr>
              <w:t>通信频率：433MHz，并具备防止无线数据冲突功能</w:t>
            </w:r>
            <w:r>
              <w:rPr>
                <w:rFonts w:hint="eastAsia" w:cs="Arial" w:asciiTheme="minorEastAsia" w:hAnsiTheme="minorEastAsia"/>
                <w:szCs w:val="21"/>
              </w:rPr>
              <w:br w:type="textWrapping"/>
            </w:r>
            <w:r>
              <w:rPr>
                <w:rFonts w:hint="eastAsia" w:cs="Arial" w:asciiTheme="minorEastAsia" w:hAnsiTheme="minorEastAsia"/>
                <w:szCs w:val="21"/>
              </w:rPr>
              <w:t>双向通信，通信距离≥800米（空旷）</w:t>
            </w:r>
            <w:r>
              <w:rPr>
                <w:rFonts w:hint="eastAsia" w:cs="Arial" w:asciiTheme="minorEastAsia" w:hAnsiTheme="minorEastAsia"/>
                <w:szCs w:val="21"/>
              </w:rPr>
              <w:br w:type="textWrapping"/>
            </w:r>
            <w:r>
              <w:rPr>
                <w:rFonts w:hint="eastAsia" w:cs="Arial" w:asciiTheme="minorEastAsia" w:hAnsiTheme="minorEastAsia"/>
                <w:szCs w:val="21"/>
              </w:rPr>
              <w:t>工作电压：9~16VDC（12V待机）</w:t>
            </w:r>
            <w:r>
              <w:rPr>
                <w:rFonts w:hint="eastAsia" w:cs="Arial" w:asciiTheme="minorEastAsia" w:hAnsiTheme="minorEastAsia"/>
                <w:szCs w:val="21"/>
              </w:rPr>
              <w:br w:type="textWrapping"/>
            </w:r>
            <w:r>
              <w:rPr>
                <w:rFonts w:hint="eastAsia" w:cs="Arial" w:asciiTheme="minorEastAsia" w:hAnsiTheme="minorEastAsia"/>
                <w:szCs w:val="21"/>
              </w:rPr>
              <w:t>探测速度：0.3~3m/s</w:t>
            </w:r>
            <w:r>
              <w:rPr>
                <w:rFonts w:hint="eastAsia" w:cs="Arial" w:asciiTheme="minorEastAsia" w:hAnsiTheme="minorEastAsia"/>
                <w:szCs w:val="21"/>
              </w:rPr>
              <w:br w:type="textWrapping"/>
            </w:r>
            <w:r>
              <w:rPr>
                <w:rFonts w:hint="eastAsia" w:cs="Arial" w:asciiTheme="minorEastAsia" w:hAnsiTheme="minorEastAsia"/>
                <w:szCs w:val="21"/>
              </w:rPr>
              <w:t>最佳安装高度：1.8~2.4m</w:t>
            </w:r>
            <w:r>
              <w:rPr>
                <w:rFonts w:hint="eastAsia" w:cs="Arial" w:asciiTheme="minorEastAsia" w:hAnsiTheme="minorEastAsia"/>
                <w:szCs w:val="21"/>
              </w:rPr>
              <w:br w:type="textWrapping"/>
            </w:r>
            <w:r>
              <w:rPr>
                <w:rFonts w:hint="eastAsia" w:cs="Arial" w:asciiTheme="minorEastAsia" w:hAnsiTheme="minorEastAsia"/>
                <w:szCs w:val="21"/>
              </w:rPr>
              <w:t>镜片：三维空间，内凹槽阵列式菲涅耳透镜</w:t>
            </w:r>
          </w:p>
        </w:tc>
        <w:tc>
          <w:tcPr>
            <w:tcW w:w="993" w:type="dxa"/>
            <w:vAlign w:val="center"/>
          </w:tcPr>
          <w:p>
            <w:pPr>
              <w:snapToGrid w:val="0"/>
              <w:spacing w:line="276" w:lineRule="auto"/>
              <w:jc w:val="center"/>
              <w:rPr>
                <w:rFonts w:asciiTheme="minorEastAsia" w:hAnsiTheme="minorEastAsia"/>
                <w:szCs w:val="21"/>
              </w:rPr>
            </w:pPr>
            <w:r>
              <w:rPr>
                <w:rFonts w:cs="Arial" w:asciiTheme="minorEastAsia" w:hAnsiTheme="minorEastAsia"/>
                <w:szCs w:val="21"/>
              </w:rPr>
              <w:t>29</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手动报警按钮</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防火ABS阻燃外壳</w:t>
            </w:r>
            <w:r>
              <w:rPr>
                <w:rFonts w:hint="eastAsia" w:cs="Arial" w:asciiTheme="minorEastAsia" w:hAnsiTheme="minorEastAsia"/>
                <w:szCs w:val="21"/>
              </w:rPr>
              <w:br w:type="textWrapping"/>
            </w:r>
            <w:r>
              <w:rPr>
                <w:rFonts w:hint="eastAsia" w:cs="Arial" w:asciiTheme="minorEastAsia" w:hAnsiTheme="minorEastAsia"/>
                <w:szCs w:val="21"/>
              </w:rPr>
              <w:t>连接方式：常开，常闭</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脉冲主机包</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6线制双防区脉冲主机:1台/避雷器:2个/室外声光报警器:2个/涂塑主机防雨箱:1个</w:t>
            </w:r>
            <w:r>
              <w:rPr>
                <w:rFonts w:hint="eastAsia" w:cs="Arial" w:asciiTheme="minorEastAsia" w:hAnsiTheme="minorEastAsia"/>
                <w:szCs w:val="21"/>
              </w:rPr>
              <w:br w:type="textWrapping"/>
            </w:r>
            <w:r>
              <w:rPr>
                <w:rFonts w:hint="eastAsia" w:cs="Arial" w:asciiTheme="minorEastAsia" w:hAnsiTheme="minorEastAsia"/>
                <w:szCs w:val="21"/>
              </w:rPr>
              <w:t>每根合金线任意位置上测量电压为4.5KV—10KV的脉冲电压；</w:t>
            </w:r>
            <w:r>
              <w:rPr>
                <w:rFonts w:hint="eastAsia" w:cs="Arial" w:asciiTheme="minorEastAsia" w:hAnsiTheme="minorEastAsia"/>
                <w:szCs w:val="21"/>
              </w:rPr>
              <w:br w:type="textWrapping"/>
            </w:r>
            <w:r>
              <w:rPr>
                <w:rFonts w:hint="eastAsia" w:cs="Arial" w:asciiTheme="minorEastAsia" w:hAnsiTheme="minorEastAsia"/>
                <w:szCs w:val="21"/>
              </w:rPr>
              <w:t>能够检测出脉冲电子围栏前端每根金属导体断路、任意相邻两根导体断路的情况；</w:t>
            </w:r>
            <w:r>
              <w:rPr>
                <w:rFonts w:hint="eastAsia" w:cs="Arial" w:asciiTheme="minorEastAsia" w:hAnsiTheme="minorEastAsia"/>
                <w:szCs w:val="21"/>
              </w:rPr>
              <w:br w:type="textWrapping"/>
            </w:r>
            <w:r>
              <w:rPr>
                <w:rFonts w:hint="eastAsia" w:cs="Arial" w:asciiTheme="minorEastAsia" w:hAnsiTheme="minorEastAsia"/>
                <w:szCs w:val="21"/>
              </w:rPr>
              <w:t>报警输出端口符合GB12663-2001的规定；</w:t>
            </w:r>
            <w:r>
              <w:rPr>
                <w:rFonts w:hint="eastAsia" w:cs="Arial" w:asciiTheme="minorEastAsia" w:hAnsiTheme="minorEastAsia"/>
                <w:szCs w:val="21"/>
              </w:rPr>
              <w:br w:type="textWrapping"/>
            </w:r>
            <w:r>
              <w:rPr>
                <w:rFonts w:hint="eastAsia" w:cs="Arial" w:asciiTheme="minorEastAsia" w:hAnsiTheme="minorEastAsia"/>
                <w:szCs w:val="21"/>
              </w:rPr>
              <w:t>能够分辨出入侵报警盒设备故障报警；</w:t>
            </w:r>
            <w:r>
              <w:rPr>
                <w:rFonts w:hint="eastAsia" w:cs="Arial" w:asciiTheme="minorEastAsia" w:hAnsiTheme="minorEastAsia"/>
                <w:szCs w:val="21"/>
              </w:rPr>
              <w:br w:type="textWrapping"/>
            </w:r>
            <w:r>
              <w:rPr>
                <w:rFonts w:hint="eastAsia" w:cs="Arial" w:asciiTheme="minorEastAsia" w:hAnsiTheme="minorEastAsia"/>
                <w:szCs w:val="21"/>
              </w:rPr>
              <w:t>能够显示脉冲电子围栏前端每根金属导体实际运行的电压值；</w:t>
            </w:r>
            <w:r>
              <w:rPr>
                <w:rFonts w:hint="eastAsia" w:cs="Arial" w:asciiTheme="minorEastAsia" w:hAnsiTheme="minorEastAsia"/>
                <w:szCs w:val="21"/>
              </w:rPr>
              <w:br w:type="textWrapping"/>
            </w:r>
            <w:r>
              <w:rPr>
                <w:rFonts w:hint="eastAsia" w:cs="Arial" w:asciiTheme="minorEastAsia" w:hAnsiTheme="minorEastAsia"/>
                <w:szCs w:val="21"/>
              </w:rPr>
              <w:t>能具有通过通信网络远程开机、关机、布防、撤防等功能；</w:t>
            </w:r>
            <w:r>
              <w:rPr>
                <w:rFonts w:hint="eastAsia" w:cs="Arial" w:asciiTheme="minorEastAsia" w:hAnsiTheme="minorEastAsia"/>
                <w:szCs w:val="21"/>
              </w:rPr>
              <w:br w:type="textWrapping"/>
            </w:r>
            <w:r>
              <w:rPr>
                <w:rFonts w:hint="eastAsia" w:cs="Arial" w:asciiTheme="minorEastAsia" w:hAnsiTheme="minorEastAsia"/>
                <w:szCs w:val="21"/>
              </w:rPr>
              <w:t>应提供通信接口，并与智能控制终端或软件管理平台组成网络系统</w:t>
            </w:r>
          </w:p>
          <w:p>
            <w:pPr>
              <w:snapToGrid w:val="0"/>
              <w:spacing w:line="276" w:lineRule="auto"/>
              <w:rPr>
                <w:rFonts w:cs="Arial" w:asciiTheme="minorEastAsia" w:hAnsiTheme="minorEastAsia"/>
                <w:szCs w:val="21"/>
              </w:rPr>
            </w:pPr>
            <w:r>
              <w:rPr>
                <w:rFonts w:hint="eastAsia" w:cs="Arial" w:asciiTheme="minorEastAsia" w:hAnsiTheme="minorEastAsia"/>
                <w:szCs w:val="21"/>
              </w:rPr>
              <w:t>报警响应时间调控，继电器报警输出时间可调控</w:t>
            </w:r>
            <w:r>
              <w:rPr>
                <w:rFonts w:hint="eastAsia" w:cs="Arial" w:asciiTheme="minorEastAsia" w:hAnsiTheme="minorEastAsia"/>
                <w:szCs w:val="21"/>
              </w:rPr>
              <w:br w:type="textWrapping"/>
            </w:r>
            <w:r>
              <w:rPr>
                <w:rFonts w:hint="eastAsia" w:cs="Arial" w:asciiTheme="minorEastAsia" w:hAnsiTheme="minorEastAsia"/>
                <w:szCs w:val="21"/>
              </w:rPr>
              <w:t>内置拨码式单地址码模块，自带拨码开关，使用多防区时无须另外增加地址码模块，可以直接接入485总线与键盘通信。</w:t>
            </w:r>
            <w:r>
              <w:rPr>
                <w:rFonts w:hint="eastAsia" w:cs="Arial" w:asciiTheme="minorEastAsia" w:hAnsiTheme="minorEastAsia"/>
                <w:szCs w:val="21"/>
              </w:rPr>
              <w:br w:type="textWrapping"/>
            </w:r>
            <w:r>
              <w:rPr>
                <w:rFonts w:hint="eastAsia" w:cs="Arial" w:asciiTheme="minorEastAsia" w:hAnsiTheme="minorEastAsia"/>
                <w:szCs w:val="21"/>
              </w:rPr>
              <w:t>前端探测围栏发生短路、断路时，主机能立即发出报警信号</w:t>
            </w:r>
            <w:r>
              <w:rPr>
                <w:rFonts w:hint="eastAsia" w:cs="Arial" w:asciiTheme="minorEastAsia" w:hAnsiTheme="minorEastAsia"/>
                <w:szCs w:val="21"/>
              </w:rPr>
              <w:br w:type="textWrapping"/>
            </w:r>
            <w:r>
              <w:rPr>
                <w:rFonts w:hint="eastAsia" w:cs="Arial" w:asciiTheme="minorEastAsia" w:hAnsiTheme="minorEastAsia"/>
                <w:szCs w:val="21"/>
              </w:rPr>
              <w:t>脉冲间隔时间不大于1S</w:t>
            </w:r>
            <w:r>
              <w:rPr>
                <w:rFonts w:hint="eastAsia" w:cs="Arial" w:asciiTheme="minorEastAsia" w:hAnsiTheme="minorEastAsia"/>
                <w:szCs w:val="21"/>
              </w:rPr>
              <w:br w:type="textWrapping"/>
            </w:r>
            <w:r>
              <w:rPr>
                <w:rFonts w:hint="eastAsia" w:cs="Arial" w:asciiTheme="minorEastAsia" w:hAnsiTheme="minorEastAsia"/>
                <w:szCs w:val="21"/>
              </w:rPr>
              <w:t>脉冲持续时间≤0.1S</w:t>
            </w:r>
            <w:r>
              <w:rPr>
                <w:rFonts w:hint="eastAsia" w:cs="Arial" w:asciiTheme="minorEastAsia" w:hAnsiTheme="minorEastAsia"/>
                <w:szCs w:val="21"/>
              </w:rPr>
              <w:br w:type="textWrapping"/>
            </w:r>
            <w:r>
              <w:rPr>
                <w:rFonts w:hint="eastAsia" w:cs="Arial" w:asciiTheme="minorEastAsia" w:hAnsiTheme="minorEastAsia"/>
                <w:szCs w:val="21"/>
              </w:rPr>
              <w:t>每次脉冲输出能量≤5.0J</w:t>
            </w:r>
            <w:r>
              <w:rPr>
                <w:rFonts w:hint="eastAsia" w:cs="Arial" w:asciiTheme="minorEastAsia" w:hAnsiTheme="minorEastAsia"/>
                <w:szCs w:val="21"/>
              </w:rPr>
              <w:br w:type="textWrapping"/>
            </w:r>
            <w:r>
              <w:rPr>
                <w:rFonts w:hint="eastAsia" w:cs="Arial" w:asciiTheme="minorEastAsia" w:hAnsiTheme="minorEastAsia"/>
                <w:szCs w:val="21"/>
              </w:rPr>
              <w:t>静电放电抗干扰、电快速瞬变脉冲抗干扰、射频电磁场辐射抗干扰、电压暂降、短时中断和电压变化不误报不出现器件故障和损坏</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6线国标终端杆</w:t>
            </w:r>
            <w:r>
              <w:rPr>
                <w:rFonts w:hint="eastAsia" w:cs="Arial" w:asciiTheme="minorEastAsia" w:hAnsiTheme="minorEastAsia"/>
                <w:szCs w:val="21"/>
              </w:rPr>
              <w:br w:type="textWrapping"/>
            </w:r>
            <w:r>
              <w:rPr>
                <w:rFonts w:hint="eastAsia" w:cs="Arial" w:asciiTheme="minorEastAsia" w:hAnsiTheme="minorEastAsia"/>
                <w:szCs w:val="21"/>
              </w:rPr>
              <w:t>材质：铝合金</w:t>
            </w:r>
            <w:r>
              <w:rPr>
                <w:rFonts w:hint="eastAsia" w:cs="Arial" w:asciiTheme="minorEastAsia" w:hAnsiTheme="minorEastAsia"/>
                <w:szCs w:val="21"/>
              </w:rPr>
              <w:br w:type="textWrapping"/>
            </w:r>
            <w:r>
              <w:rPr>
                <w:rFonts w:hint="eastAsia" w:cs="Arial" w:asciiTheme="minorEastAsia" w:hAnsiTheme="minorEastAsia"/>
                <w:szCs w:val="21"/>
              </w:rPr>
              <w:t>表面氧化处理</w:t>
            </w:r>
            <w:r>
              <w:rPr>
                <w:rFonts w:hint="eastAsia" w:cs="Arial" w:asciiTheme="minorEastAsia" w:hAnsiTheme="minorEastAsia"/>
                <w:szCs w:val="21"/>
              </w:rPr>
              <w:br w:type="textWrapping"/>
            </w:r>
            <w:r>
              <w:rPr>
                <w:rFonts w:hint="eastAsia" w:cs="Arial" w:asciiTheme="minorEastAsia" w:hAnsiTheme="minorEastAsia"/>
                <w:szCs w:val="21"/>
              </w:rPr>
              <w:t>高度：≥850mm，口径≥32mm、方形、壁厚≥3mm厚</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6线国标终端杆附件包</w:t>
            </w:r>
            <w:r>
              <w:rPr>
                <w:rFonts w:hint="eastAsia" w:cs="Arial" w:asciiTheme="minorEastAsia" w:hAnsiTheme="minorEastAsia"/>
                <w:szCs w:val="21"/>
              </w:rPr>
              <w:br w:type="textWrapping"/>
            </w:r>
            <w:r>
              <w:rPr>
                <w:rFonts w:hint="eastAsia" w:cs="Arial" w:asciiTheme="minorEastAsia" w:hAnsiTheme="minorEastAsia"/>
                <w:szCs w:val="21"/>
              </w:rPr>
              <w:t>终端杆帽子（内塞27口径）1个</w:t>
            </w:r>
            <w:r>
              <w:rPr>
                <w:rFonts w:hint="eastAsia" w:cs="Arial" w:asciiTheme="minorEastAsia" w:hAnsiTheme="minorEastAsia"/>
                <w:szCs w:val="21"/>
              </w:rPr>
              <w:br w:type="textWrapping"/>
            </w:r>
            <w:r>
              <w:rPr>
                <w:rFonts w:hint="eastAsia" w:cs="Arial" w:asciiTheme="minorEastAsia" w:hAnsiTheme="minorEastAsia"/>
                <w:szCs w:val="21"/>
              </w:rPr>
              <w:t>终端杆绝缘子（方形32口径配插销）6个</w:t>
            </w:r>
            <w:r>
              <w:rPr>
                <w:rFonts w:hint="eastAsia" w:cs="Arial" w:asciiTheme="minorEastAsia" w:hAnsiTheme="minorEastAsia"/>
                <w:szCs w:val="21"/>
              </w:rPr>
              <w:br w:type="textWrapping"/>
            </w:r>
            <w:r>
              <w:rPr>
                <w:rFonts w:hint="eastAsia" w:cs="Arial" w:asciiTheme="minorEastAsia" w:hAnsiTheme="minorEastAsia"/>
                <w:szCs w:val="21"/>
              </w:rPr>
              <w:t>终端杆底座（铝合金）1套</w:t>
            </w:r>
            <w:r>
              <w:rPr>
                <w:rFonts w:hint="eastAsia" w:cs="Arial" w:asciiTheme="minorEastAsia" w:hAnsiTheme="minorEastAsia"/>
                <w:szCs w:val="21"/>
              </w:rPr>
              <w:br w:type="textWrapping"/>
            </w:r>
            <w:r>
              <w:rPr>
                <w:rFonts w:hint="eastAsia" w:cs="Arial" w:asciiTheme="minorEastAsia" w:hAnsiTheme="minorEastAsia"/>
                <w:szCs w:val="21"/>
              </w:rPr>
              <w:t>收紧器6个</w:t>
            </w:r>
            <w:r>
              <w:rPr>
                <w:rFonts w:hint="eastAsia" w:cs="Arial" w:asciiTheme="minorEastAsia" w:hAnsiTheme="minorEastAsia"/>
                <w:szCs w:val="21"/>
              </w:rPr>
              <w:br w:type="textWrapping"/>
            </w:r>
            <w:r>
              <w:rPr>
                <w:rFonts w:hint="eastAsia" w:cs="Arial" w:asciiTheme="minorEastAsia" w:hAnsiTheme="minorEastAsia"/>
                <w:szCs w:val="21"/>
              </w:rPr>
              <w:t>线线连接器12个</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6线国标承力杆</w:t>
            </w:r>
            <w:r>
              <w:rPr>
                <w:rFonts w:hint="eastAsia" w:cs="Arial" w:asciiTheme="minorEastAsia" w:hAnsiTheme="minorEastAsia"/>
                <w:szCs w:val="21"/>
              </w:rPr>
              <w:br w:type="textWrapping"/>
            </w:r>
            <w:r>
              <w:rPr>
                <w:rFonts w:hint="eastAsia" w:cs="Arial" w:asciiTheme="minorEastAsia" w:hAnsiTheme="minorEastAsia"/>
                <w:szCs w:val="21"/>
              </w:rPr>
              <w:t>材质：铝合金；表面氧化处理</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6线国标承力杆附件包：承力杆帽子（内塞21口径）1个、承力杆绝缘子（方形25口径配插销）6个、承力杆万向底座（铝合金）1个</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杆体配件，软性玻璃纤维；6线，口径≥10mm，杆长≥850mm</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264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前端杆件相关</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6线中间杆附件包； 含中间杆帽子（口径10）1个、中间杆绝缘子6个、中间杆底座（铝合金）1个</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264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前端其他组件</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20#合金线，优良导电率，抗氧化、耐腐蚀,去火功能，多股，每100米一欧姆阻值，400m一盘</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25</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前端其他组件</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高压绝缘导线；合金线为内芯/高压绝缘层抗脉冲电压&gt;10KV/考虑现场可能有出入口、或围墙不连续处，100米/盘</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前端其他组件</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警示牌；尺寸：100*200MM/采用稀土发光材料制造/在阴雨天气同样可吸光/双面印刷/夜光显示/每10米挂一块</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165</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接地桩</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可用于将电子围栏主机和避雷器的接地；角钢，厚度2mm，长1.5米</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中心点配置</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警号（红白色）</w:t>
            </w:r>
            <w:r>
              <w:rPr>
                <w:rFonts w:hint="eastAsia" w:cs="Arial" w:asciiTheme="minorEastAsia" w:hAnsiTheme="minorEastAsia"/>
                <w:szCs w:val="21"/>
              </w:rPr>
              <w:br w:type="textWrapping"/>
            </w:r>
            <w:r>
              <w:rPr>
                <w:rFonts w:hint="eastAsia" w:cs="Arial" w:asciiTheme="minorEastAsia" w:hAnsiTheme="minorEastAsia"/>
                <w:szCs w:val="21"/>
              </w:rPr>
              <w:t>报警音量: 105dB at 30cm</w:t>
            </w:r>
            <w:r>
              <w:rPr>
                <w:rFonts w:hint="eastAsia" w:cs="Arial" w:asciiTheme="minorEastAsia" w:hAnsiTheme="minorEastAsia"/>
                <w:szCs w:val="21"/>
              </w:rPr>
              <w:br w:type="textWrapping"/>
            </w:r>
            <w:r>
              <w:rPr>
                <w:rFonts w:hint="eastAsia" w:cs="Arial" w:asciiTheme="minorEastAsia" w:hAnsiTheme="minorEastAsia"/>
                <w:szCs w:val="21"/>
              </w:rPr>
              <w:t xml:space="preserve">防护等级：IP54或以上，室外防水 </w:t>
            </w:r>
            <w:r>
              <w:rPr>
                <w:rFonts w:hint="eastAsia" w:cs="Arial" w:asciiTheme="minorEastAsia" w:hAnsiTheme="minorEastAsia"/>
                <w:szCs w:val="21"/>
              </w:rPr>
              <w:br w:type="textWrapping"/>
            </w:r>
            <w:r>
              <w:rPr>
                <w:rFonts w:hint="eastAsia" w:cs="Arial" w:asciiTheme="minorEastAsia" w:hAnsiTheme="minorEastAsia"/>
                <w:szCs w:val="21"/>
              </w:rPr>
              <w:t>内置水平仪，便于辅助安装</w:t>
            </w:r>
            <w:r>
              <w:rPr>
                <w:rFonts w:hint="eastAsia" w:cs="Arial" w:asciiTheme="minorEastAsia" w:hAnsiTheme="minorEastAsia"/>
                <w:szCs w:val="21"/>
              </w:rPr>
              <w:br w:type="textWrapping"/>
            </w:r>
            <w:r>
              <w:rPr>
                <w:rFonts w:hint="eastAsia" w:cs="Arial" w:asciiTheme="minorEastAsia" w:hAnsiTheme="minorEastAsia"/>
                <w:szCs w:val="21"/>
              </w:rPr>
              <w:t>支持关闭报警声音输出，实现声光报警模式和光闪模式切换</w:t>
            </w:r>
            <w:r>
              <w:rPr>
                <w:rFonts w:hint="eastAsia" w:cs="Arial" w:asciiTheme="minorEastAsia" w:hAnsiTheme="minorEastAsia"/>
                <w:szCs w:val="21"/>
              </w:rPr>
              <w:br w:type="textWrapping"/>
            </w:r>
            <w:r>
              <w:rPr>
                <w:rFonts w:hint="eastAsia" w:cs="Arial" w:asciiTheme="minorEastAsia" w:hAnsiTheme="minorEastAsia"/>
                <w:szCs w:val="21"/>
              </w:rPr>
              <w:t>外壳材质：PC+ABS</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电子围栏控制键盘</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LCD键盘主机一体化结构/40个485方式防区输入/8个独立子系统1个公共子系统/支持有线电话通讯方式/支持短信布撤防/支持定时任务（时控输出、定时撤布防）//支持软件可视化编程，配置数据导入导出</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中继器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1路RS485双向数据中继器；数据接口：RS485；数据速率：0-115.2Kbps；工作模式：单工、半双工；信号电平：0.25Vp-p－10Vp； 传输波长：≥1310nm；以光纤延长RS485通讯距离，最远可达20KM（单模）；</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24</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线材一批</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RVV2*1.5电源线、光纤、RVV2*1.5或RVV2*1.0485信号线</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1815</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25</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施工集成费</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人工费、安装调试</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asciiTheme="minorEastAsia" w:hAnsiTheme="minorEastAsia"/>
                <w:szCs w:val="21"/>
              </w:rPr>
              <w:t>透明厨房系统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防油污红外定焦枪型网络摄像机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具有400万及以上像素</w:t>
            </w:r>
            <w:r>
              <w:rPr>
                <w:rFonts w:hint="eastAsia" w:cs="Arial" w:asciiTheme="minorEastAsia" w:hAnsiTheme="minorEastAsia"/>
                <w:szCs w:val="21"/>
              </w:rPr>
              <w:br w:type="textWrapping"/>
            </w:r>
            <w:r>
              <w:rPr>
                <w:rFonts w:hint="eastAsia" w:cs="Arial" w:asciiTheme="minorEastAsia" w:hAnsiTheme="minorEastAsia"/>
                <w:szCs w:val="21"/>
              </w:rPr>
              <w:t>筒机镜头护罩无需任何工具即可实现快速拆卸及安装，方便镜头护罩的清洗、更换。</w:t>
            </w:r>
            <w:r>
              <w:rPr>
                <w:rFonts w:hint="eastAsia" w:cs="Arial" w:asciiTheme="minorEastAsia" w:hAnsiTheme="minorEastAsia"/>
                <w:szCs w:val="21"/>
              </w:rPr>
              <w:br w:type="textWrapping"/>
            </w:r>
            <w:r>
              <w:rPr>
                <w:rFonts w:hint="eastAsia" w:cs="Arial" w:asciiTheme="minorEastAsia" w:hAnsiTheme="minorEastAsia"/>
                <w:szCs w:val="21"/>
              </w:rPr>
              <w:t>存储接口：具备USB接口或者存储卡接口连接外部存储介质</w:t>
            </w:r>
            <w:r>
              <w:rPr>
                <w:rFonts w:hint="eastAsia" w:cs="Arial" w:asciiTheme="minorEastAsia" w:hAnsiTheme="minorEastAsia"/>
                <w:szCs w:val="21"/>
              </w:rPr>
              <w:br w:type="textWrapping"/>
            </w:r>
            <w:r>
              <w:rPr>
                <w:rFonts w:hint="eastAsia" w:cs="Arial" w:asciiTheme="minorEastAsia" w:hAnsiTheme="minorEastAsia"/>
                <w:szCs w:val="21"/>
              </w:rPr>
              <w:t>具有时钟同步功能</w:t>
            </w:r>
            <w:r>
              <w:rPr>
                <w:rFonts w:hint="eastAsia" w:cs="Arial" w:asciiTheme="minorEastAsia" w:hAnsiTheme="minorEastAsia"/>
                <w:szCs w:val="21"/>
              </w:rPr>
              <w:br w:type="textWrapping"/>
            </w:r>
            <w:r>
              <w:rPr>
                <w:rFonts w:hint="eastAsia" w:cs="Arial" w:asciiTheme="minorEastAsia" w:hAnsiTheme="minorEastAsia"/>
                <w:szCs w:val="21"/>
              </w:rPr>
              <w:t>有视音频参数调节功能</w:t>
            </w:r>
            <w:r>
              <w:rPr>
                <w:rFonts w:hint="eastAsia" w:cs="Arial" w:asciiTheme="minorEastAsia" w:hAnsiTheme="minorEastAsia"/>
                <w:szCs w:val="21"/>
              </w:rPr>
              <w:br w:type="textWrapping"/>
            </w:r>
            <w:r>
              <w:rPr>
                <w:rFonts w:hint="eastAsia" w:cs="Arial" w:asciiTheme="minorEastAsia" w:hAnsiTheme="minorEastAsia"/>
                <w:szCs w:val="21"/>
              </w:rPr>
              <w:t>需具大于110dB宽动态，防护等级IP67及以上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网络硬盘录像机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3U标准机架式硬盘录像机</w:t>
            </w:r>
            <w:r>
              <w:rPr>
                <w:rFonts w:hint="eastAsia" w:cs="Arial" w:asciiTheme="minorEastAsia" w:hAnsiTheme="minorEastAsia"/>
                <w:szCs w:val="21"/>
              </w:rPr>
              <w:br w:type="textWrapping"/>
            </w:r>
            <w:r>
              <w:rPr>
                <w:rFonts w:hint="eastAsia" w:cs="Arial" w:asciiTheme="minorEastAsia" w:hAnsiTheme="minorEastAsia"/>
                <w:szCs w:val="21"/>
              </w:rPr>
              <w:t>支持最大32路网络视频接入，网络性能接入≥320Mbps，储存≥320Mbps，转发≥320Mbps</w:t>
            </w:r>
            <w:r>
              <w:rPr>
                <w:rFonts w:hint="eastAsia" w:cs="Arial" w:asciiTheme="minorEastAsia" w:hAnsiTheme="minorEastAsia"/>
                <w:szCs w:val="21"/>
              </w:rPr>
              <w:br w:type="textWrapping"/>
            </w:r>
            <w:r>
              <w:rPr>
                <w:rFonts w:hint="eastAsia" w:cs="Arial" w:asciiTheme="minorEastAsia" w:hAnsiTheme="minorEastAsia"/>
                <w:szCs w:val="21"/>
              </w:rPr>
              <w:t>支持12M/4K/6M/5M/4M/3M/1080P/1.3M/720PIPC分辨率接入</w:t>
            </w:r>
            <w:r>
              <w:rPr>
                <w:rFonts w:hint="eastAsia" w:cs="Arial" w:asciiTheme="minorEastAsia" w:hAnsiTheme="minorEastAsia"/>
                <w:szCs w:val="21"/>
              </w:rPr>
              <w:br w:type="textWrapping"/>
            </w:r>
            <w:r>
              <w:rPr>
                <w:rFonts w:hint="eastAsia" w:cs="Arial" w:asciiTheme="minorEastAsia" w:hAnsiTheme="minorEastAsia"/>
                <w:szCs w:val="21"/>
              </w:rPr>
              <w:t>支持2×12M/4×4K/6×5M/8×4M/11×3M/16×1080P/32×720P解码，最大支持16路视频回放</w:t>
            </w:r>
            <w:r>
              <w:rPr>
                <w:rFonts w:hint="eastAsia" w:cs="Arial" w:asciiTheme="minorEastAsia" w:hAnsiTheme="minorEastAsia"/>
                <w:szCs w:val="21"/>
              </w:rPr>
              <w:br w:type="textWrapping"/>
            </w:r>
            <w:r>
              <w:rPr>
                <w:rFonts w:hint="eastAsia" w:cs="Arial" w:asciiTheme="minorEastAsia" w:hAnsiTheme="minorEastAsia"/>
                <w:szCs w:val="21"/>
              </w:rPr>
              <w:t>支持2路及以上VGA输出，2路及以上HDMI输出，支持VGA1和HDMI1同源输出，双HDMI4K分辨率异源输出</w:t>
            </w:r>
            <w:r>
              <w:rPr>
                <w:rFonts w:hint="eastAsia" w:cs="Arial" w:asciiTheme="minorEastAsia" w:hAnsiTheme="minorEastAsia"/>
                <w:szCs w:val="21"/>
              </w:rPr>
              <w:br w:type="textWrapping"/>
            </w:r>
            <w:r>
              <w:rPr>
                <w:rFonts w:hint="eastAsia" w:cs="Arial" w:asciiTheme="minorEastAsia" w:hAnsiTheme="minorEastAsia"/>
                <w:szCs w:val="21"/>
              </w:rPr>
              <w:t>支持16个内置SATA接口，单盘容量支持8T，可配置成单盘，支持Raid0、Raid1、Raid5、Raid6、Raid10、JBOD等各种数据保护模式</w:t>
            </w:r>
            <w:r>
              <w:rPr>
                <w:rFonts w:hint="eastAsia" w:cs="Arial" w:asciiTheme="minorEastAsia" w:hAnsiTheme="minorEastAsia"/>
                <w:szCs w:val="21"/>
              </w:rPr>
              <w:br w:type="textWrapping"/>
            </w:r>
            <w:r>
              <w:rPr>
                <w:rFonts w:hint="eastAsia" w:cs="Arial" w:asciiTheme="minorEastAsia" w:hAnsiTheme="minorEastAsia"/>
                <w:szCs w:val="21"/>
              </w:rPr>
              <w:t>支持1个外置eSATA接口，用于录像和备份</w:t>
            </w:r>
            <w:r>
              <w:rPr>
                <w:rFonts w:hint="eastAsia" w:cs="Arial" w:asciiTheme="minorEastAsia" w:hAnsiTheme="minorEastAsia"/>
                <w:szCs w:val="21"/>
              </w:rPr>
              <w:br w:type="textWrapping"/>
            </w:r>
            <w:r>
              <w:rPr>
                <w:rFonts w:hint="eastAsia" w:cs="Arial" w:asciiTheme="minorEastAsia" w:hAnsiTheme="minorEastAsia"/>
                <w:szCs w:val="21"/>
              </w:rPr>
              <w:t>支持IPC复合音频1路输入，支持语音对讲2路输出，支持PC通过NVR与网络摄像机进行语音对讲</w:t>
            </w:r>
            <w:r>
              <w:rPr>
                <w:rFonts w:hint="eastAsia" w:cs="Arial" w:asciiTheme="minorEastAsia" w:hAnsiTheme="minorEastAsia"/>
                <w:szCs w:val="21"/>
              </w:rPr>
              <w:br w:type="textWrapping"/>
            </w:r>
            <w:r>
              <w:rPr>
                <w:rFonts w:hint="eastAsia" w:cs="Arial" w:asciiTheme="minorEastAsia" w:hAnsiTheme="minorEastAsia"/>
                <w:szCs w:val="21"/>
              </w:rPr>
              <w:t>支持16路报警输入、6路报警输出及以上，支持开关量输入输出模式</w:t>
            </w:r>
            <w:r>
              <w:rPr>
                <w:rFonts w:hint="eastAsia" w:cs="Arial" w:asciiTheme="minorEastAsia" w:hAnsiTheme="minorEastAsia"/>
                <w:szCs w:val="21"/>
              </w:rPr>
              <w:br w:type="textWrapping"/>
            </w:r>
            <w:r>
              <w:rPr>
                <w:rFonts w:hint="eastAsia" w:cs="Arial" w:asciiTheme="minorEastAsia" w:hAnsiTheme="minorEastAsia"/>
                <w:szCs w:val="21"/>
              </w:rPr>
              <w:t>支持4个USB接口及以上（2个前置USB2.0接口、2个后置USB3.0接口）</w:t>
            </w:r>
            <w:r>
              <w:rPr>
                <w:rFonts w:hint="eastAsia" w:cs="Arial" w:asciiTheme="minorEastAsia" w:hAnsiTheme="minorEastAsia"/>
                <w:szCs w:val="21"/>
              </w:rPr>
              <w:br w:type="textWrapping"/>
            </w:r>
            <w:r>
              <w:rPr>
                <w:rFonts w:hint="eastAsia" w:cs="Arial" w:asciiTheme="minorEastAsia" w:hAnsiTheme="minorEastAsia"/>
                <w:szCs w:val="21"/>
              </w:rPr>
              <w:t>支持2个千兆以太网口，支持2个不同段IP地址的IPC设备接入，支持将双网口设置同一个IP地址，实现数据链路冗余</w:t>
            </w:r>
            <w:r>
              <w:rPr>
                <w:rFonts w:hint="eastAsia" w:cs="Arial" w:asciiTheme="minorEastAsia" w:hAnsiTheme="minorEastAsia"/>
                <w:szCs w:val="21"/>
              </w:rPr>
              <w:br w:type="textWrapping"/>
            </w:r>
            <w:r>
              <w:rPr>
                <w:rFonts w:hint="eastAsia" w:cs="Arial" w:asciiTheme="minorEastAsia" w:hAnsiTheme="minorEastAsia"/>
                <w:szCs w:val="21"/>
              </w:rPr>
              <w:t>支持按时间、按事件等多种方式进行录像的检索、回放、备份，支持图片本地回放与查询</w:t>
            </w:r>
            <w:r>
              <w:rPr>
                <w:rFonts w:hint="eastAsia" w:cs="Arial" w:asciiTheme="minorEastAsia" w:hAnsiTheme="minorEastAsia"/>
                <w:szCs w:val="21"/>
              </w:rPr>
              <w:br w:type="textWrapping"/>
            </w:r>
            <w:r>
              <w:rPr>
                <w:rFonts w:hint="eastAsia" w:cs="Arial" w:asciiTheme="minorEastAsia" w:hAnsiTheme="minorEastAsia"/>
                <w:szCs w:val="21"/>
              </w:rPr>
              <w:t>支持标签自定义功能，设备支持对指定时间的录像进行标签并归档，便于后续査看</w:t>
            </w:r>
            <w:r>
              <w:rPr>
                <w:rFonts w:hint="eastAsia" w:cs="Arial" w:asciiTheme="minorEastAsia" w:hAnsiTheme="minorEastAsia"/>
                <w:szCs w:val="21"/>
              </w:rPr>
              <w:br w:type="textWrapping"/>
            </w:r>
            <w:r>
              <w:rPr>
                <w:rFonts w:hint="eastAsia" w:cs="Arial" w:asciiTheme="minorEastAsia" w:hAnsiTheme="minorEastAsia"/>
                <w:szCs w:val="21"/>
              </w:rPr>
              <w:t>支持硬盘、外接USB存储设备、DVD刻录等存储方式，支持U盘，eSATA方式，DVD刻录备份方式</w:t>
            </w:r>
            <w:r>
              <w:rPr>
                <w:rFonts w:hint="eastAsia" w:cs="Arial" w:asciiTheme="minorEastAsia" w:hAnsiTheme="minorEastAsia"/>
                <w:szCs w:val="21"/>
              </w:rPr>
              <w:br w:type="textWrapping"/>
            </w:r>
            <w:r>
              <w:rPr>
                <w:rFonts w:hint="eastAsia" w:cs="Arial" w:asciiTheme="minorEastAsia" w:hAnsiTheme="minorEastAsia"/>
                <w:szCs w:val="21"/>
              </w:rPr>
              <w:t>支持设备操作日志、报警日志、系统日志的记录与查询功能</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6TB硬盘</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3.5" 6TB SATA</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单路解码器</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支持1路HDMI信号或1路VGA输出</w:t>
            </w:r>
            <w:r>
              <w:rPr>
                <w:rFonts w:hint="eastAsia" w:cs="Arial" w:asciiTheme="minorEastAsia" w:hAnsiTheme="minorEastAsia"/>
                <w:szCs w:val="21"/>
              </w:rPr>
              <w:br w:type="textWrapping"/>
            </w:r>
            <w:r>
              <w:rPr>
                <w:rFonts w:hint="eastAsia" w:cs="Arial" w:asciiTheme="minorEastAsia" w:hAnsiTheme="minorEastAsia"/>
                <w:szCs w:val="21"/>
              </w:rPr>
              <w:t>支持1路HDMI音频输出</w:t>
            </w:r>
            <w:r>
              <w:rPr>
                <w:rFonts w:hint="eastAsia" w:cs="Arial" w:asciiTheme="minorEastAsia" w:hAnsiTheme="minorEastAsia"/>
                <w:szCs w:val="21"/>
              </w:rPr>
              <w:br w:type="textWrapping"/>
            </w:r>
            <w:r>
              <w:rPr>
                <w:rFonts w:hint="eastAsia" w:cs="Arial" w:asciiTheme="minorEastAsia" w:hAnsiTheme="minorEastAsia"/>
                <w:szCs w:val="21"/>
              </w:rPr>
              <w:t>支持SVAC/MPEG4/MPEG2/H.264/H.265/MJPEG标准网络视频流解码</w:t>
            </w:r>
            <w:r>
              <w:rPr>
                <w:rFonts w:hint="eastAsia" w:cs="Arial" w:asciiTheme="minorEastAsia" w:hAnsiTheme="minorEastAsia"/>
                <w:szCs w:val="21"/>
              </w:rPr>
              <w:br w:type="textWrapping"/>
            </w:r>
            <w:r>
              <w:rPr>
                <w:rFonts w:hint="eastAsia" w:cs="Arial" w:asciiTheme="minorEastAsia" w:hAnsiTheme="minorEastAsia"/>
                <w:szCs w:val="21"/>
              </w:rPr>
              <w:t>QCIF/CIF/2CIF/HD1/D1/720P/1080P/300W/500W/600W/800W/1200W视频解码</w:t>
            </w:r>
            <w:r>
              <w:rPr>
                <w:rFonts w:hint="eastAsia" w:cs="Arial" w:asciiTheme="minorEastAsia" w:hAnsiTheme="minorEastAsia"/>
                <w:szCs w:val="21"/>
              </w:rPr>
              <w:br w:type="textWrapping"/>
            </w:r>
            <w:r>
              <w:rPr>
                <w:rFonts w:hint="eastAsia" w:cs="Arial" w:asciiTheme="minorEastAsia" w:hAnsiTheme="minorEastAsia"/>
                <w:szCs w:val="21"/>
              </w:rPr>
              <w:t>支持通过串口控制屏幕开关</w:t>
            </w:r>
            <w:r>
              <w:rPr>
                <w:rFonts w:hint="eastAsia" w:cs="Arial" w:asciiTheme="minorEastAsia" w:hAnsiTheme="minorEastAsia"/>
                <w:szCs w:val="21"/>
              </w:rPr>
              <w:br w:type="textWrapping"/>
            </w:r>
            <w:r>
              <w:rPr>
                <w:rFonts w:hint="eastAsia" w:cs="Arial" w:asciiTheme="minorEastAsia" w:hAnsiTheme="minorEastAsia"/>
                <w:szCs w:val="21"/>
              </w:rPr>
              <w:t>支持支持3路1200W@25fps(4000*3000）4路800W@30fps，(3840*2160)，6路600W@25fps (3392*2008)，8路500W @25fps(2560*1920)，9路400W @25fps(2688*1520)，10路300W@30fps(2048*1536)，12路300W@25fps(2048*1536)，16路1080P @30fps(1920*1080)，支持8路1080P@60fps解码H264和H265解码能力相同</w:t>
            </w:r>
            <w:r>
              <w:rPr>
                <w:rFonts w:hint="eastAsia" w:cs="Arial" w:asciiTheme="minorEastAsia" w:hAnsiTheme="minorEastAsia"/>
                <w:szCs w:val="21"/>
              </w:rPr>
              <w:br w:type="textWrapping"/>
            </w:r>
            <w:r>
              <w:rPr>
                <w:rFonts w:hint="eastAsia" w:cs="Arial" w:asciiTheme="minorEastAsia" w:hAnsiTheme="minorEastAsia"/>
                <w:szCs w:val="21"/>
              </w:rPr>
              <w:t>支持1/4/9/16/25/36/64画面分割切换</w:t>
            </w:r>
            <w:r>
              <w:rPr>
                <w:rFonts w:hint="eastAsia" w:cs="Arial" w:asciiTheme="minorEastAsia" w:hAnsiTheme="minorEastAsia"/>
                <w:szCs w:val="21"/>
              </w:rPr>
              <w:br w:type="textWrapping"/>
            </w:r>
            <w:r>
              <w:rPr>
                <w:rFonts w:hint="eastAsia" w:cs="Arial" w:asciiTheme="minorEastAsia" w:hAnsiTheme="minorEastAsia"/>
                <w:szCs w:val="21"/>
              </w:rPr>
              <w:t>HDMI输出接口支持3840x2160，1920x1080，1280x1024，1280x720，1024x768五种显示分辨率</w:t>
            </w:r>
            <w:r>
              <w:rPr>
                <w:rFonts w:hint="eastAsia" w:cs="Arial" w:asciiTheme="minorEastAsia" w:hAnsiTheme="minorEastAsia"/>
                <w:szCs w:val="21"/>
              </w:rPr>
              <w:br w:type="textWrapping"/>
            </w:r>
            <w:r>
              <w:rPr>
                <w:rFonts w:hint="eastAsia" w:cs="Arial" w:asciiTheme="minorEastAsia" w:hAnsiTheme="minorEastAsia"/>
                <w:szCs w:val="21"/>
              </w:rPr>
              <w:t>支持Onvif、RTSP协议接入，支持国标GB28181接入 ，支持私有协议接入</w:t>
            </w:r>
            <w:r>
              <w:rPr>
                <w:rFonts w:hint="eastAsia" w:cs="Arial" w:asciiTheme="minorEastAsia" w:hAnsiTheme="minorEastAsia"/>
                <w:szCs w:val="21"/>
              </w:rPr>
              <w:br w:type="textWrapping"/>
            </w:r>
            <w:r>
              <w:rPr>
                <w:rFonts w:hint="eastAsia" w:cs="Arial" w:asciiTheme="minorEastAsia" w:hAnsiTheme="minorEastAsia"/>
                <w:szCs w:val="21"/>
              </w:rPr>
              <w:t>支持远程录像文件的解码输出</w:t>
            </w:r>
            <w:r>
              <w:rPr>
                <w:rFonts w:hint="eastAsia" w:cs="Arial" w:asciiTheme="minorEastAsia" w:hAnsiTheme="minorEastAsia"/>
                <w:szCs w:val="21"/>
              </w:rPr>
              <w:br w:type="textWrapping"/>
            </w:r>
            <w:r>
              <w:rPr>
                <w:rFonts w:hint="eastAsia" w:cs="Arial" w:asciiTheme="minorEastAsia" w:hAnsiTheme="minorEastAsia"/>
                <w:szCs w:val="21"/>
              </w:rPr>
              <w:t>支持解码轮巡</w:t>
            </w:r>
          </w:p>
          <w:p>
            <w:pPr>
              <w:snapToGrid w:val="0"/>
              <w:spacing w:line="276" w:lineRule="auto"/>
              <w:rPr>
                <w:rFonts w:asciiTheme="minorEastAsia" w:hAnsiTheme="minorEastAsia"/>
                <w:szCs w:val="21"/>
              </w:rPr>
            </w:pPr>
            <w:r>
              <w:rPr>
                <w:rFonts w:hint="eastAsia" w:cs="Arial" w:asciiTheme="minorEastAsia" w:hAnsiTheme="minorEastAsia"/>
                <w:szCs w:val="21"/>
              </w:rPr>
              <w:t>支持smart IPC</w:t>
            </w:r>
            <w:r>
              <w:rPr>
                <w:rFonts w:hint="eastAsia" w:cs="Arial" w:asciiTheme="minorEastAsia" w:hAnsiTheme="minorEastAsia"/>
                <w:szCs w:val="21"/>
              </w:rPr>
              <w:br w:type="textWrapping"/>
            </w:r>
            <w:r>
              <w:rPr>
                <w:rFonts w:hint="eastAsia" w:cs="Arial" w:asciiTheme="minorEastAsia" w:hAnsiTheme="minorEastAsia"/>
                <w:szCs w:val="21"/>
              </w:rPr>
              <w:t>支持底色选择</w:t>
            </w:r>
            <w:r>
              <w:rPr>
                <w:rFonts w:hint="eastAsia" w:cs="Arial" w:asciiTheme="minorEastAsia" w:hAnsiTheme="minorEastAsia"/>
                <w:szCs w:val="21"/>
              </w:rPr>
              <w:br w:type="textWrapping"/>
            </w:r>
            <w:r>
              <w:rPr>
                <w:rFonts w:hint="eastAsia" w:cs="Arial" w:asciiTheme="minorEastAsia" w:hAnsiTheme="minorEastAsia"/>
                <w:szCs w:val="21"/>
              </w:rPr>
              <w:t>支持1个以上10M/100M/1000M自适应以太网接口</w:t>
            </w:r>
            <w:r>
              <w:rPr>
                <w:rFonts w:hint="eastAsia" w:cs="Arial" w:asciiTheme="minorEastAsia" w:hAnsiTheme="minorEastAsia"/>
                <w:szCs w:val="21"/>
              </w:rPr>
              <w:br w:type="textWrapping"/>
            </w:r>
            <w:r>
              <w:rPr>
                <w:rFonts w:hint="eastAsia" w:cs="Arial" w:asciiTheme="minorEastAsia" w:hAnsiTheme="minorEastAsia"/>
                <w:szCs w:val="21"/>
              </w:rPr>
              <w:t>高清视音频解码器，采用Linux操作系统，运行稳定可靠</w:t>
            </w:r>
            <w:r>
              <w:rPr>
                <w:rFonts w:hint="eastAsia" w:cs="Arial" w:asciiTheme="minorEastAsia" w:hAnsiTheme="minorEastAsia"/>
                <w:szCs w:val="21"/>
              </w:rPr>
              <w:br w:type="textWrapping"/>
            </w:r>
            <w:r>
              <w:rPr>
                <w:rFonts w:hint="eastAsia" w:cs="Arial" w:asciiTheme="minorEastAsia" w:hAnsiTheme="minorEastAsia"/>
                <w:szCs w:val="21"/>
              </w:rPr>
              <w:t>采用嵌入式架构，专用Linux系统，使用DSP解码。为了设备稳定可靠运行，不得采用工控机或者PC机的X86架构</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 xml:space="preserve">监控控制终端 </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亮度：≥380cd/m²</w:t>
            </w:r>
            <w:r>
              <w:rPr>
                <w:rFonts w:hint="eastAsia" w:cs="Arial" w:asciiTheme="minorEastAsia" w:hAnsiTheme="minorEastAsia"/>
                <w:szCs w:val="21"/>
              </w:rPr>
              <w:br w:type="textWrapping"/>
            </w:r>
            <w:r>
              <w:rPr>
                <w:rFonts w:hint="eastAsia" w:cs="Arial" w:asciiTheme="minorEastAsia" w:hAnsiTheme="minorEastAsia"/>
                <w:szCs w:val="21"/>
              </w:rPr>
              <w:t>安装方式：底座、壁挂</w:t>
            </w:r>
            <w:r>
              <w:rPr>
                <w:rFonts w:hint="eastAsia" w:cs="Arial" w:asciiTheme="minorEastAsia" w:hAnsiTheme="minorEastAsia"/>
                <w:szCs w:val="21"/>
              </w:rPr>
              <w:br w:type="textWrapping"/>
            </w:r>
            <w:r>
              <w:rPr>
                <w:rFonts w:hint="eastAsia" w:cs="Arial" w:asciiTheme="minorEastAsia" w:hAnsiTheme="minorEastAsia"/>
                <w:szCs w:val="21"/>
              </w:rPr>
              <w:t>信号输出：Coaxial×1、Earphone×1、内置喇叭×2及以上</w:t>
            </w:r>
            <w:r>
              <w:rPr>
                <w:rFonts w:hint="eastAsia" w:cs="Arial" w:asciiTheme="minorEastAsia" w:hAnsiTheme="minorEastAsia"/>
                <w:szCs w:val="21"/>
              </w:rPr>
              <w:br w:type="textWrapping"/>
            </w:r>
            <w:r>
              <w:rPr>
                <w:rFonts w:hint="eastAsia" w:cs="Arial" w:asciiTheme="minorEastAsia" w:hAnsiTheme="minorEastAsia"/>
                <w:szCs w:val="21"/>
              </w:rPr>
              <w:t>信号输入：HDMI 2.0×3、USB 2.0×1、AV×1、Component×1及以上</w:t>
            </w:r>
            <w:r>
              <w:rPr>
                <w:rFonts w:hint="eastAsia" w:cs="Arial" w:asciiTheme="minorEastAsia" w:hAnsiTheme="minorEastAsia"/>
                <w:szCs w:val="21"/>
              </w:rPr>
              <w:br w:type="textWrapping"/>
            </w:r>
            <w:r>
              <w:rPr>
                <w:rFonts w:hint="eastAsia" w:cs="Arial" w:asciiTheme="minorEastAsia" w:hAnsiTheme="minorEastAsia"/>
                <w:szCs w:val="21"/>
              </w:rPr>
              <w:t>支持的分辨率：3840×2160及以上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asciiTheme="minorEastAsia" w:hAnsiTheme="minorEastAsia"/>
                <w:szCs w:val="21"/>
              </w:rPr>
              <w:t>智慧消防系统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智慧消防硬件服务器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2U双路标准机架式服务器</w:t>
            </w:r>
            <w:r>
              <w:rPr>
                <w:rFonts w:hint="eastAsia" w:cs="Arial" w:asciiTheme="minorEastAsia" w:hAnsiTheme="minorEastAsia"/>
                <w:szCs w:val="21"/>
              </w:rPr>
              <w:br w:type="textWrapping"/>
            </w:r>
            <w:r>
              <w:rPr>
                <w:rFonts w:hint="eastAsia" w:cs="Arial" w:asciiTheme="minorEastAsia" w:hAnsiTheme="minorEastAsia"/>
                <w:szCs w:val="21"/>
              </w:rPr>
              <w:t>CPU：1颗intel至强系列处理器，核数≥10核，主频≥2.4GHz</w:t>
            </w:r>
            <w:r>
              <w:rPr>
                <w:rFonts w:hint="eastAsia" w:cs="Arial" w:asciiTheme="minorEastAsia" w:hAnsiTheme="minorEastAsia"/>
                <w:szCs w:val="21"/>
              </w:rPr>
              <w:br w:type="textWrapping"/>
            </w:r>
            <w:r>
              <w:rPr>
                <w:rFonts w:hint="eastAsia" w:cs="Arial" w:asciiTheme="minorEastAsia" w:hAnsiTheme="minorEastAsia"/>
                <w:szCs w:val="21"/>
              </w:rPr>
              <w:t>内存：16G*2 DDR4，16根内存插槽，最大支持扩展至2TB内存</w:t>
            </w:r>
            <w:r>
              <w:rPr>
                <w:rFonts w:hint="eastAsia" w:cs="Arial" w:asciiTheme="minorEastAsia" w:hAnsiTheme="minorEastAsia"/>
                <w:szCs w:val="21"/>
              </w:rPr>
              <w:br w:type="textWrapping"/>
            </w:r>
            <w:r>
              <w:rPr>
                <w:rFonts w:hint="eastAsia" w:cs="Arial" w:asciiTheme="minorEastAsia" w:hAnsiTheme="minorEastAsia"/>
                <w:szCs w:val="21"/>
              </w:rPr>
              <w:t>硬盘：2块1.2T 10K 2.5寸 SAS硬盘</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用户信息传输装置</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用户信息传输装置，采用高性能4G无线模块，支持移动、联通或电信网络制式；</w:t>
            </w:r>
            <w:r>
              <w:rPr>
                <w:rFonts w:hint="eastAsia" w:cs="Arial" w:asciiTheme="minorEastAsia" w:hAnsiTheme="minorEastAsia"/>
                <w:szCs w:val="21"/>
              </w:rPr>
              <w:br w:type="textWrapping"/>
            </w:r>
            <w:r>
              <w:rPr>
                <w:rFonts w:hint="eastAsia" w:cs="Arial" w:asciiTheme="minorEastAsia" w:hAnsiTheme="minorEastAsia"/>
                <w:szCs w:val="21"/>
              </w:rPr>
              <w:t>符合GB26875.1-2011《城市消防远程监控系统第1部分:用户信息传输装置》要求，并取得国家消防电子产品质量监督检验中心出具的检验报告。</w:t>
            </w:r>
          </w:p>
          <w:p>
            <w:pPr>
              <w:snapToGrid w:val="0"/>
              <w:spacing w:line="276" w:lineRule="auto"/>
              <w:rPr>
                <w:rFonts w:cs="Arial" w:asciiTheme="minorEastAsia" w:hAnsiTheme="minorEastAsia"/>
                <w:szCs w:val="21"/>
              </w:rPr>
            </w:pPr>
            <w:r>
              <w:rPr>
                <w:rFonts w:hint="eastAsia" w:cs="Arial" w:asciiTheme="minorEastAsia" w:hAnsiTheme="minorEastAsia"/>
                <w:szCs w:val="21"/>
              </w:rPr>
              <w:t>取得应急管理部消防产品合格评定中心执行国家标准GB 26875.1-2011《城市消防远程监控系统第1部分:用户信息传输装置》的消防产品认证证书</w:t>
            </w:r>
            <w:r>
              <w:rPr>
                <w:rFonts w:hint="eastAsia" w:cs="Arial" w:asciiTheme="minorEastAsia" w:hAnsiTheme="minorEastAsia"/>
                <w:szCs w:val="21"/>
              </w:rPr>
              <w:br w:type="textWrapping"/>
            </w:r>
            <w:r>
              <w:rPr>
                <w:rFonts w:hint="eastAsia" w:cs="Arial" w:asciiTheme="minorEastAsia" w:hAnsiTheme="minorEastAsia"/>
                <w:szCs w:val="21"/>
              </w:rPr>
              <w:t>设备具有2路RS232，2路485，1路CAN通信口，1路RJ45口，2路开关量输出，1路开关量输入。设备通过增加输入输出模块，可拓展5路开关量输入和2路5V电源输出接口；通过增加串口模块，可拓展至4路RS232和4路RS485接口。</w:t>
            </w:r>
            <w:r>
              <w:rPr>
                <w:rFonts w:hint="eastAsia" w:cs="Arial" w:asciiTheme="minorEastAsia" w:hAnsiTheme="minorEastAsia"/>
                <w:szCs w:val="21"/>
              </w:rPr>
              <w:br w:type="textWrapping"/>
            </w:r>
            <w:r>
              <w:rPr>
                <w:rFonts w:hint="eastAsia" w:cs="Arial" w:asciiTheme="minorEastAsia" w:hAnsiTheme="minorEastAsia"/>
                <w:szCs w:val="21"/>
              </w:rPr>
              <w:t>具有日志存储功能，支持存储历史火警、历史请求/反馈、历史操作、历史故障等至少10000条日志。</w:t>
            </w:r>
            <w:r>
              <w:rPr>
                <w:rFonts w:hint="eastAsia" w:cs="Arial" w:asciiTheme="minorEastAsia" w:hAnsiTheme="minorEastAsia"/>
                <w:szCs w:val="21"/>
              </w:rPr>
              <w:br w:type="textWrapping"/>
            </w:r>
            <w:r>
              <w:rPr>
                <w:rFonts w:hint="eastAsia" w:cs="Arial" w:asciiTheme="minorEastAsia" w:hAnsiTheme="minorEastAsia"/>
                <w:szCs w:val="21"/>
              </w:rPr>
              <w:t>◆投标人所投消防主机联网装置在主机与消防报警主机通讯延迟不大于1秒，主机与软件平台通讯延迟不大于1秒。（</w:t>
            </w:r>
            <w:r>
              <w:rPr>
                <w:rFonts w:hint="eastAsia"/>
              </w:rPr>
              <w:t>具有国家认可检测资质的第三方机构出具的</w:t>
            </w:r>
            <w:r>
              <w:rPr>
                <w:rFonts w:hint="eastAsia" w:cs="Arial" w:asciiTheme="minorEastAsia" w:hAnsiTheme="minorEastAsia"/>
                <w:szCs w:val="21"/>
              </w:rPr>
              <w:t>检测、检验报告）</w:t>
            </w:r>
          </w:p>
          <w:p>
            <w:pPr>
              <w:snapToGrid w:val="0"/>
              <w:spacing w:line="276" w:lineRule="auto"/>
              <w:rPr>
                <w:rFonts w:cs="Arial" w:asciiTheme="minorEastAsia" w:hAnsiTheme="minorEastAsia"/>
                <w:szCs w:val="21"/>
              </w:rPr>
            </w:pPr>
            <w:r>
              <w:rPr>
                <w:rFonts w:hint="eastAsia" w:cs="Arial" w:asciiTheme="minorEastAsia" w:hAnsiTheme="minorEastAsia"/>
                <w:szCs w:val="21"/>
              </w:rPr>
              <w:t>投标人所投消防主机联网装置的电路有亚克力板保护，印有警示提示语。</w:t>
            </w:r>
          </w:p>
          <w:p>
            <w:pPr>
              <w:snapToGrid w:val="0"/>
              <w:spacing w:line="276" w:lineRule="auto"/>
              <w:rPr>
                <w:rFonts w:asciiTheme="minorEastAsia" w:hAnsiTheme="minorEastAsia"/>
                <w:szCs w:val="21"/>
              </w:rPr>
            </w:pPr>
            <w:r>
              <w:rPr>
                <w:rFonts w:hint="eastAsia" w:cs="Arial" w:asciiTheme="minorEastAsia" w:hAnsiTheme="minorEastAsia"/>
                <w:szCs w:val="21"/>
              </w:rPr>
              <w:t>设备应能接受火警信号，并在5s内发出声、光报警，可扩展语音提示功能。</w:t>
            </w:r>
            <w:r>
              <w:rPr>
                <w:rFonts w:hint="eastAsia" w:cs="Arial" w:asciiTheme="minorEastAsia" w:hAnsiTheme="minorEastAsia"/>
                <w:szCs w:val="21"/>
              </w:rPr>
              <w:br w:type="textWrapping"/>
            </w:r>
            <w:r>
              <w:rPr>
                <w:rFonts w:hint="eastAsia" w:cs="Arial" w:asciiTheme="minorEastAsia" w:hAnsiTheme="minorEastAsia"/>
                <w:szCs w:val="21"/>
              </w:rPr>
              <w:t>设备应能采集与其连接的火灾报警设备及其他设备的报警及运行状态信息，并上传至远程管理平台。</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铅酸蓄电池</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专用备电蓄电池。</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物联网信息采集设备</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4G 智慧用水采集终端</w:t>
            </w:r>
            <w:r>
              <w:rPr>
                <w:rFonts w:hint="eastAsia" w:cs="Arial" w:asciiTheme="minorEastAsia" w:hAnsiTheme="minorEastAsia"/>
                <w:szCs w:val="21"/>
              </w:rPr>
              <w:br w:type="textWrapping"/>
            </w:r>
            <w:r>
              <w:rPr>
                <w:rFonts w:hint="eastAsia" w:cs="Arial" w:asciiTheme="minorEastAsia" w:hAnsiTheme="minorEastAsia"/>
                <w:szCs w:val="21"/>
              </w:rPr>
              <w:t>接口：10路模拟量输入、8路开关量输入、4路开关量输出、2路RS485及以上；</w:t>
            </w:r>
            <w:r>
              <w:rPr>
                <w:rFonts w:hint="eastAsia" w:cs="Arial" w:asciiTheme="minorEastAsia" w:hAnsiTheme="minorEastAsia"/>
                <w:szCs w:val="21"/>
              </w:rPr>
              <w:br w:type="textWrapping"/>
            </w:r>
            <w:r>
              <w:rPr>
                <w:rFonts w:hint="eastAsia" w:cs="Arial" w:asciiTheme="minorEastAsia" w:hAnsiTheme="minorEastAsia"/>
                <w:szCs w:val="21"/>
              </w:rPr>
              <w:t>安装方式：壁挂式</w:t>
            </w:r>
            <w:r>
              <w:rPr>
                <w:rFonts w:hint="eastAsia" w:cs="Arial" w:asciiTheme="minorEastAsia" w:hAnsiTheme="minorEastAsia"/>
                <w:szCs w:val="21"/>
              </w:rPr>
              <w:br w:type="textWrapping"/>
            </w:r>
            <w:r>
              <w:rPr>
                <w:rFonts w:hint="eastAsia" w:cs="Arial" w:asciiTheme="minorEastAsia" w:hAnsiTheme="minorEastAsia"/>
                <w:szCs w:val="21"/>
              </w:rPr>
              <w:t>设备内置软件需获得软件著作权证书及国家级检验中心的软件评测报告。</w:t>
            </w:r>
            <w:r>
              <w:rPr>
                <w:rFonts w:hint="eastAsia" w:cs="Arial" w:asciiTheme="minorEastAsia" w:hAnsiTheme="minorEastAsia"/>
                <w:szCs w:val="21"/>
              </w:rPr>
              <w:br w:type="textWrapping"/>
            </w:r>
            <w:r>
              <w:rPr>
                <w:rFonts w:hint="eastAsia" w:cs="Arial" w:asciiTheme="minorEastAsia" w:hAnsiTheme="minorEastAsia"/>
                <w:szCs w:val="21"/>
              </w:rPr>
              <w:t>支持主备电供电方式，主电异常，备电充满时，系统可正常工作12h</w:t>
            </w:r>
            <w:r>
              <w:rPr>
                <w:rFonts w:hint="eastAsia" w:cs="Arial" w:asciiTheme="minorEastAsia" w:hAnsiTheme="minorEastAsia"/>
                <w:szCs w:val="21"/>
              </w:rPr>
              <w:br w:type="textWrapping"/>
            </w:r>
            <w:r>
              <w:rPr>
                <w:rFonts w:hint="eastAsia" w:cs="Arial" w:asciiTheme="minorEastAsia" w:hAnsiTheme="minorEastAsia"/>
                <w:szCs w:val="21"/>
              </w:rPr>
              <w:t>◆10路及以上模拟量输入、8路及以上开关量输入、4路及以上干接点输出，2路及以上485通信接口（</w:t>
            </w:r>
            <w:r>
              <w:rPr>
                <w:rFonts w:hint="eastAsia"/>
              </w:rPr>
              <w:t>具有国家认可检测资质的第三方机构出具的</w:t>
            </w:r>
            <w:r>
              <w:rPr>
                <w:rFonts w:hint="eastAsia" w:cs="Arial" w:asciiTheme="minorEastAsia" w:hAnsiTheme="minorEastAsia"/>
                <w:szCs w:val="21"/>
              </w:rPr>
              <w:t>检测、检验报告）</w:t>
            </w:r>
          </w:p>
          <w:p>
            <w:pPr>
              <w:snapToGrid w:val="0"/>
              <w:spacing w:line="276" w:lineRule="auto"/>
              <w:rPr>
                <w:rFonts w:asciiTheme="minorEastAsia" w:hAnsiTheme="minorEastAsia"/>
                <w:szCs w:val="21"/>
              </w:rPr>
            </w:pPr>
            <w:r>
              <w:rPr>
                <w:rFonts w:hint="eastAsia" w:cs="Arial" w:asciiTheme="minorEastAsia" w:hAnsiTheme="minorEastAsia"/>
                <w:szCs w:val="21"/>
              </w:rPr>
              <w:t>支持数码管显示设备不同状态，便于设备状态定位。</w:t>
            </w:r>
            <w:r>
              <w:rPr>
                <w:rFonts w:hint="eastAsia" w:cs="Arial" w:asciiTheme="minorEastAsia" w:hAnsiTheme="minorEastAsia"/>
                <w:szCs w:val="21"/>
              </w:rPr>
              <w:br w:type="textWrapping"/>
            </w:r>
            <w:r>
              <w:rPr>
                <w:rFonts w:hint="eastAsia" w:cs="Arial" w:asciiTheme="minorEastAsia" w:hAnsiTheme="minorEastAsia"/>
                <w:szCs w:val="21"/>
              </w:rPr>
              <w:t>获取水泵控制柜的启停、手自动、电源状态。</w:t>
            </w:r>
            <w:r>
              <w:rPr>
                <w:rFonts w:hint="eastAsia" w:cs="Arial" w:asciiTheme="minorEastAsia" w:hAnsiTheme="minorEastAsia"/>
                <w:szCs w:val="21"/>
              </w:rPr>
              <w:br w:type="textWrapping"/>
            </w:r>
            <w:r>
              <w:rPr>
                <w:rFonts w:hint="eastAsia" w:cs="Arial" w:asciiTheme="minorEastAsia" w:hAnsiTheme="minorEastAsia"/>
                <w:szCs w:val="21"/>
              </w:rPr>
              <w:t>支持远程控制水泵控制柜的启动和停止。</w:t>
            </w:r>
            <w:r>
              <w:rPr>
                <w:rFonts w:hint="eastAsia" w:cs="Arial" w:asciiTheme="minorEastAsia" w:hAnsiTheme="minorEastAsia"/>
                <w:szCs w:val="21"/>
              </w:rPr>
              <w:br w:type="textWrapping"/>
            </w:r>
            <w:r>
              <w:rPr>
                <w:rFonts w:hint="eastAsia" w:cs="Arial" w:asciiTheme="minorEastAsia" w:hAnsiTheme="minorEastAsia"/>
                <w:szCs w:val="21"/>
              </w:rPr>
              <w:t>支持有线网络、4G通讯方式。</w:t>
            </w:r>
            <w:r>
              <w:rPr>
                <w:rFonts w:hint="eastAsia" w:cs="Arial" w:asciiTheme="minorEastAsia" w:hAnsiTheme="minorEastAsia"/>
                <w:szCs w:val="21"/>
              </w:rPr>
              <w:br w:type="textWrapping"/>
            </w:r>
            <w:r>
              <w:rPr>
                <w:rFonts w:hint="eastAsia" w:cs="Arial" w:asciiTheme="minorEastAsia" w:hAnsiTheme="minorEastAsia"/>
                <w:szCs w:val="21"/>
              </w:rPr>
              <w:t>故障、报警、操作等各500条日志。</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铅酸蓄电池</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蓄电池-2.5Ah-12V-13.8V</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液位传感器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液位变送器</w:t>
            </w:r>
            <w:r>
              <w:rPr>
                <w:rFonts w:hint="eastAsia" w:cs="Arial" w:asciiTheme="minorEastAsia" w:hAnsiTheme="minorEastAsia"/>
                <w:szCs w:val="21"/>
              </w:rPr>
              <w:br w:type="textWrapping"/>
            </w:r>
            <w:r>
              <w:rPr>
                <w:rFonts w:hint="eastAsia" w:cs="Arial" w:asciiTheme="minorEastAsia" w:hAnsiTheme="minorEastAsia"/>
                <w:szCs w:val="21"/>
              </w:rPr>
              <w:t>量程：0~5m</w:t>
            </w:r>
            <w:r>
              <w:rPr>
                <w:rFonts w:hint="eastAsia" w:cs="Arial" w:asciiTheme="minorEastAsia" w:hAnsiTheme="minorEastAsia"/>
                <w:szCs w:val="21"/>
              </w:rPr>
              <w:br w:type="textWrapping"/>
            </w:r>
            <w:r>
              <w:rPr>
                <w:rFonts w:hint="eastAsia" w:cs="Arial" w:asciiTheme="minorEastAsia" w:hAnsiTheme="minorEastAsia"/>
                <w:szCs w:val="21"/>
              </w:rPr>
              <w:t>允许输入电压范围：12-30V</w:t>
            </w:r>
            <w:r>
              <w:rPr>
                <w:rFonts w:hint="eastAsia" w:cs="Arial" w:asciiTheme="minorEastAsia" w:hAnsiTheme="minorEastAsia"/>
                <w:szCs w:val="21"/>
              </w:rPr>
              <w:br w:type="textWrapping"/>
            </w:r>
            <w:r>
              <w:rPr>
                <w:rFonts w:hint="eastAsia" w:cs="Arial" w:asciiTheme="minorEastAsia" w:hAnsiTheme="minorEastAsia"/>
                <w:szCs w:val="21"/>
              </w:rPr>
              <w:t>绝缘：≤200MΩ/250V</w:t>
            </w:r>
            <w:r>
              <w:rPr>
                <w:rFonts w:hint="eastAsia" w:cs="Arial" w:asciiTheme="minorEastAsia" w:hAnsiTheme="minorEastAsia"/>
                <w:szCs w:val="21"/>
              </w:rPr>
              <w:br w:type="textWrapping"/>
            </w:r>
            <w:r>
              <w:rPr>
                <w:rFonts w:hint="eastAsia" w:cs="Arial" w:asciiTheme="minorEastAsia" w:hAnsiTheme="minorEastAsia"/>
                <w:szCs w:val="21"/>
              </w:rPr>
              <w:t>响应时间：≤6mS</w:t>
            </w:r>
            <w:r>
              <w:rPr>
                <w:rFonts w:hint="eastAsia" w:cs="Arial" w:asciiTheme="minorEastAsia" w:hAnsiTheme="minorEastAsia"/>
                <w:szCs w:val="21"/>
              </w:rPr>
              <w:br w:type="textWrapping"/>
            </w:r>
            <w:r>
              <w:rPr>
                <w:rFonts w:hint="eastAsia" w:cs="Arial" w:asciiTheme="minorEastAsia" w:hAnsiTheme="minorEastAsia"/>
                <w:szCs w:val="21"/>
              </w:rPr>
              <w:t>温度漂移：3%FS</w:t>
            </w:r>
            <w:r>
              <w:rPr>
                <w:rFonts w:hint="eastAsia" w:cs="Arial" w:asciiTheme="minorEastAsia" w:hAnsiTheme="minorEastAsia"/>
                <w:szCs w:val="21"/>
              </w:rPr>
              <w:br w:type="textWrapping"/>
            </w:r>
            <w:r>
              <w:rPr>
                <w:rFonts w:hint="eastAsia" w:cs="Arial" w:asciiTheme="minorEastAsia" w:hAnsiTheme="minorEastAsia"/>
                <w:szCs w:val="21"/>
              </w:rPr>
              <w:t>零点漂移：0.2%/年</w:t>
            </w:r>
            <w:r>
              <w:rPr>
                <w:rFonts w:hint="eastAsia" w:cs="Arial" w:asciiTheme="minorEastAsia" w:hAnsiTheme="minorEastAsia"/>
                <w:szCs w:val="21"/>
              </w:rPr>
              <w:br w:type="textWrapping"/>
            </w:r>
            <w:r>
              <w:rPr>
                <w:rFonts w:hint="eastAsia" w:cs="Arial" w:asciiTheme="minorEastAsia" w:hAnsiTheme="minorEastAsia"/>
                <w:szCs w:val="21"/>
              </w:rPr>
              <w:t>过载压力：300%FS及以上</w:t>
            </w:r>
            <w:r>
              <w:rPr>
                <w:rFonts w:hint="eastAsia" w:cs="Arial" w:asciiTheme="minorEastAsia" w:hAnsiTheme="minorEastAsia"/>
                <w:szCs w:val="21"/>
              </w:rPr>
              <w:br w:type="textWrapping"/>
            </w:r>
            <w:r>
              <w:rPr>
                <w:rFonts w:hint="eastAsia" w:cs="Arial" w:asciiTheme="minorEastAsia" w:hAnsiTheme="minorEastAsia"/>
                <w:szCs w:val="21"/>
              </w:rPr>
              <w:t>爆破压力：600%FS及以上</w:t>
            </w:r>
            <w:r>
              <w:rPr>
                <w:rFonts w:hint="eastAsia" w:cs="Arial" w:asciiTheme="minorEastAsia" w:hAnsiTheme="minorEastAsia"/>
                <w:szCs w:val="21"/>
              </w:rPr>
              <w:br w:type="textWrapping"/>
            </w:r>
            <w:r>
              <w:rPr>
                <w:rFonts w:hint="eastAsia" w:cs="Arial" w:asciiTheme="minorEastAsia" w:hAnsiTheme="minorEastAsia"/>
                <w:szCs w:val="21"/>
              </w:rPr>
              <w:t>防护等级：IP68及以上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液压变送器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压力变送器</w:t>
            </w:r>
            <w:r>
              <w:rPr>
                <w:rFonts w:hint="eastAsia" w:cs="Arial" w:asciiTheme="minorEastAsia" w:hAnsiTheme="minorEastAsia"/>
                <w:szCs w:val="21"/>
              </w:rPr>
              <w:br w:type="textWrapping"/>
            </w:r>
            <w:r>
              <w:rPr>
                <w:rFonts w:hint="eastAsia" w:cs="Arial" w:asciiTheme="minorEastAsia" w:hAnsiTheme="minorEastAsia"/>
                <w:szCs w:val="21"/>
              </w:rPr>
              <w:t>测量范围：0~2.5MPa</w:t>
            </w:r>
            <w:r>
              <w:rPr>
                <w:rFonts w:hint="eastAsia" w:cs="Arial" w:asciiTheme="minorEastAsia" w:hAnsiTheme="minorEastAsia"/>
                <w:szCs w:val="21"/>
              </w:rPr>
              <w:br w:type="textWrapping"/>
            </w:r>
            <w:r>
              <w:rPr>
                <w:rFonts w:hint="eastAsia" w:cs="Arial" w:asciiTheme="minorEastAsia" w:hAnsiTheme="minorEastAsia"/>
                <w:szCs w:val="21"/>
              </w:rPr>
              <w:t>输出：4-20mA</w:t>
            </w:r>
            <w:r>
              <w:rPr>
                <w:rFonts w:hint="eastAsia" w:cs="Arial" w:asciiTheme="minorEastAsia" w:hAnsiTheme="minorEastAsia"/>
                <w:szCs w:val="21"/>
              </w:rPr>
              <w:br w:type="textWrapping"/>
            </w:r>
            <w:r>
              <w:rPr>
                <w:rFonts w:hint="eastAsia" w:cs="Arial" w:asciiTheme="minorEastAsia" w:hAnsiTheme="minorEastAsia"/>
                <w:szCs w:val="21"/>
              </w:rPr>
              <w:t>响应时间：≤6mS</w:t>
            </w:r>
            <w:r>
              <w:rPr>
                <w:rFonts w:hint="eastAsia" w:cs="Arial" w:asciiTheme="minorEastAsia" w:hAnsiTheme="minorEastAsia"/>
                <w:szCs w:val="21"/>
              </w:rPr>
              <w:br w:type="textWrapping"/>
            </w:r>
            <w:r>
              <w:rPr>
                <w:rFonts w:hint="eastAsia" w:cs="Arial" w:asciiTheme="minorEastAsia" w:hAnsiTheme="minorEastAsia"/>
                <w:szCs w:val="21"/>
              </w:rPr>
              <w:t>测量精度：±0.5%FS</w:t>
            </w:r>
            <w:r>
              <w:rPr>
                <w:rFonts w:hint="eastAsia" w:cs="Arial" w:asciiTheme="minorEastAsia" w:hAnsiTheme="minorEastAsia"/>
                <w:szCs w:val="21"/>
              </w:rPr>
              <w:br w:type="textWrapping"/>
            </w:r>
            <w:r>
              <w:rPr>
                <w:rFonts w:hint="eastAsia" w:cs="Arial" w:asciiTheme="minorEastAsia" w:hAnsiTheme="minorEastAsia"/>
                <w:szCs w:val="21"/>
              </w:rPr>
              <w:t>温度漂移：3%FS</w:t>
            </w:r>
            <w:r>
              <w:rPr>
                <w:rFonts w:hint="eastAsia" w:cs="Arial" w:asciiTheme="minorEastAsia" w:hAnsiTheme="minorEastAsia"/>
                <w:szCs w:val="21"/>
              </w:rPr>
              <w:br w:type="textWrapping"/>
            </w:r>
            <w:r>
              <w:rPr>
                <w:rFonts w:hint="eastAsia" w:cs="Arial" w:asciiTheme="minorEastAsia" w:hAnsiTheme="minorEastAsia"/>
                <w:szCs w:val="21"/>
              </w:rPr>
              <w:t>零点漂移：0.2%/年</w:t>
            </w:r>
            <w:r>
              <w:rPr>
                <w:rFonts w:hint="eastAsia" w:cs="Arial" w:asciiTheme="minorEastAsia" w:hAnsiTheme="minorEastAsia"/>
                <w:szCs w:val="21"/>
              </w:rPr>
              <w:br w:type="textWrapping"/>
            </w:r>
            <w:r>
              <w:rPr>
                <w:rFonts w:hint="eastAsia" w:cs="Arial" w:asciiTheme="minorEastAsia" w:hAnsiTheme="minorEastAsia"/>
                <w:szCs w:val="21"/>
              </w:rPr>
              <w:t>绝缘：200MΩ/500V</w:t>
            </w:r>
            <w:r>
              <w:rPr>
                <w:rFonts w:hint="eastAsia" w:cs="Arial" w:asciiTheme="minorEastAsia" w:hAnsiTheme="minorEastAsia"/>
                <w:szCs w:val="21"/>
              </w:rPr>
              <w:br w:type="textWrapping"/>
            </w:r>
            <w:r>
              <w:rPr>
                <w:rFonts w:hint="eastAsia" w:cs="Arial" w:asciiTheme="minorEastAsia" w:hAnsiTheme="minorEastAsia"/>
                <w:szCs w:val="21"/>
              </w:rPr>
              <w:t>过载压力：200%FS及以上</w:t>
            </w:r>
            <w:r>
              <w:rPr>
                <w:rFonts w:hint="eastAsia" w:cs="Arial" w:asciiTheme="minorEastAsia" w:hAnsiTheme="minorEastAsia"/>
                <w:szCs w:val="21"/>
              </w:rPr>
              <w:br w:type="textWrapping"/>
            </w:r>
            <w:r>
              <w:rPr>
                <w:rFonts w:hint="eastAsia" w:cs="Arial" w:asciiTheme="minorEastAsia" w:hAnsiTheme="minorEastAsia"/>
                <w:szCs w:val="21"/>
              </w:rPr>
              <w:t>爆破压力：500%FS及以上</w:t>
            </w:r>
            <w:r>
              <w:rPr>
                <w:rFonts w:hint="eastAsia" w:cs="Arial" w:asciiTheme="minorEastAsia" w:hAnsiTheme="minorEastAsia"/>
                <w:szCs w:val="21"/>
              </w:rPr>
              <w:br w:type="textWrapping"/>
            </w:r>
            <w:r>
              <w:rPr>
                <w:rFonts w:hint="eastAsia" w:cs="Arial" w:asciiTheme="minorEastAsia" w:hAnsiTheme="minorEastAsia"/>
                <w:szCs w:val="21"/>
              </w:rPr>
              <w:t>防护等级：IP65及以上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温湿度传感器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高精度带显示温湿度传感器</w:t>
            </w:r>
            <w:r>
              <w:rPr>
                <w:rFonts w:hint="eastAsia" w:cs="Arial" w:asciiTheme="minorEastAsia" w:hAnsiTheme="minorEastAsia"/>
                <w:szCs w:val="21"/>
              </w:rPr>
              <w:br w:type="textWrapping"/>
            </w:r>
            <w:r>
              <w:rPr>
                <w:rFonts w:hint="eastAsia" w:cs="Arial" w:asciiTheme="minorEastAsia" w:hAnsiTheme="minorEastAsia"/>
                <w:szCs w:val="21"/>
              </w:rPr>
              <w:t>湿度范围: 0-100%RH</w:t>
            </w:r>
            <w:r>
              <w:rPr>
                <w:rFonts w:hint="eastAsia" w:cs="Arial" w:asciiTheme="minorEastAsia" w:hAnsiTheme="minorEastAsia"/>
                <w:szCs w:val="21"/>
              </w:rPr>
              <w:br w:type="textWrapping"/>
            </w:r>
            <w:r>
              <w:rPr>
                <w:rFonts w:hint="eastAsia" w:cs="Arial" w:asciiTheme="minorEastAsia" w:hAnsiTheme="minorEastAsia"/>
                <w:szCs w:val="21"/>
              </w:rPr>
              <w:t>温度范围: 外置常温：-40—80℃</w:t>
            </w:r>
            <w:r>
              <w:rPr>
                <w:rFonts w:hint="eastAsia" w:cs="Arial" w:asciiTheme="minorEastAsia" w:hAnsiTheme="minorEastAsia"/>
                <w:szCs w:val="21"/>
              </w:rPr>
              <w:br w:type="textWrapping"/>
            </w:r>
            <w:r>
              <w:rPr>
                <w:rFonts w:hint="eastAsia" w:cs="Arial" w:asciiTheme="minorEastAsia" w:hAnsiTheme="minorEastAsia"/>
                <w:szCs w:val="21"/>
              </w:rPr>
              <w:t>设备精度: 湿度: ±3% : 10—90%  ±4% : 0--10% / 90--100%； 温度: ±0.3ºC : 0--60ºC  ±0.4ºC : -20--0ºC / 60--80ºC；±0.5ºC : -40 -- -20ºC / 80--120ºC</w:t>
            </w:r>
            <w:r>
              <w:rPr>
                <w:rFonts w:hint="eastAsia" w:cs="Arial" w:asciiTheme="minorEastAsia" w:hAnsiTheme="minorEastAsia"/>
                <w:szCs w:val="21"/>
              </w:rPr>
              <w:br w:type="textWrapping"/>
            </w:r>
            <w:r>
              <w:rPr>
                <w:rFonts w:hint="eastAsia" w:cs="Arial" w:asciiTheme="minorEastAsia" w:hAnsiTheme="minorEastAsia"/>
                <w:szCs w:val="21"/>
              </w:rPr>
              <w:t>输出: 三线制电流4-20mA,精度1‰,负载500Ω，三线制电压10V / 5V，精度1‰</w:t>
            </w:r>
            <w:r>
              <w:rPr>
                <w:rFonts w:hint="eastAsia" w:cs="Arial" w:asciiTheme="minorEastAsia" w:hAnsiTheme="minorEastAsia"/>
                <w:szCs w:val="21"/>
              </w:rPr>
              <w:br w:type="textWrapping"/>
            </w:r>
            <w:r>
              <w:rPr>
                <w:rFonts w:hint="eastAsia" w:cs="Arial" w:asciiTheme="minorEastAsia" w:hAnsiTheme="minorEastAsia"/>
                <w:szCs w:val="21"/>
              </w:rPr>
              <w:t>通讯协议: RS485接口,标准Modbus RTU协议</w:t>
            </w:r>
            <w:r>
              <w:rPr>
                <w:rFonts w:hint="eastAsia" w:cs="Arial" w:asciiTheme="minorEastAsia" w:hAnsiTheme="minorEastAsia"/>
                <w:szCs w:val="21"/>
              </w:rPr>
              <w:br w:type="textWrapping"/>
            </w:r>
            <w:r>
              <w:rPr>
                <w:rFonts w:hint="eastAsia" w:cs="Arial" w:asciiTheme="minorEastAsia" w:hAnsiTheme="minorEastAsia"/>
                <w:szCs w:val="21"/>
              </w:rPr>
              <w:t>电源: 24VDC±10%,功耗2.5W</w:t>
            </w:r>
            <w:r>
              <w:rPr>
                <w:rFonts w:hint="eastAsia" w:cs="Arial" w:asciiTheme="minorEastAsia" w:hAnsiTheme="minorEastAsia"/>
                <w:szCs w:val="21"/>
              </w:rPr>
              <w:br w:type="textWrapping"/>
            </w:r>
            <w:r>
              <w:rPr>
                <w:rFonts w:hint="eastAsia" w:cs="Arial" w:asciiTheme="minorEastAsia" w:hAnsiTheme="minorEastAsia"/>
                <w:szCs w:val="21"/>
              </w:rPr>
              <w:t>防水等级: 主机防水等级 IP65及以上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烟感探测报警器</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独立式光电感烟火灾探测报警器</w:t>
            </w:r>
            <w:r>
              <w:rPr>
                <w:rFonts w:hint="eastAsia" w:cs="Arial" w:asciiTheme="minorEastAsia" w:hAnsiTheme="minorEastAsia"/>
                <w:szCs w:val="21"/>
              </w:rPr>
              <w:br w:type="textWrapping"/>
            </w:r>
            <w:r>
              <w:rPr>
                <w:rFonts w:hint="eastAsia" w:cs="Arial" w:asciiTheme="minorEastAsia" w:hAnsiTheme="minorEastAsia"/>
                <w:szCs w:val="21"/>
              </w:rPr>
              <w:t>产品认证：CCCF强制认证 （需提供证书复印件并加盖公章）</w:t>
            </w:r>
            <w:r>
              <w:rPr>
                <w:rFonts w:hint="eastAsia" w:cs="Arial" w:asciiTheme="minorEastAsia" w:hAnsiTheme="minorEastAsia"/>
                <w:szCs w:val="21"/>
              </w:rPr>
              <w:br w:type="textWrapping"/>
            </w:r>
            <w:r>
              <w:rPr>
                <w:rFonts w:hint="eastAsia" w:cs="Arial" w:asciiTheme="minorEastAsia" w:hAnsiTheme="minorEastAsia"/>
                <w:szCs w:val="21"/>
              </w:rPr>
              <w:t>通讯模块：NB-Iot通讯</w:t>
            </w:r>
            <w:r>
              <w:rPr>
                <w:rFonts w:hint="eastAsia" w:cs="Arial" w:asciiTheme="minorEastAsia" w:hAnsiTheme="minorEastAsia"/>
                <w:szCs w:val="21"/>
              </w:rPr>
              <w:br w:type="textWrapping"/>
            </w:r>
            <w:r>
              <w:rPr>
                <w:rFonts w:hint="eastAsia" w:cs="Arial" w:asciiTheme="minorEastAsia" w:hAnsiTheme="minorEastAsia"/>
                <w:szCs w:val="21"/>
              </w:rPr>
              <w:t>工作原理：光电式、热敏元件感温</w:t>
            </w:r>
            <w:r>
              <w:rPr>
                <w:rFonts w:hint="eastAsia" w:cs="Arial" w:asciiTheme="minorEastAsia" w:hAnsiTheme="minorEastAsia"/>
                <w:szCs w:val="21"/>
              </w:rPr>
              <w:br w:type="textWrapping"/>
            </w:r>
            <w:r>
              <w:rPr>
                <w:rFonts w:hint="eastAsia" w:cs="Arial" w:asciiTheme="minorEastAsia" w:hAnsiTheme="minorEastAsia"/>
                <w:szCs w:val="21"/>
              </w:rPr>
              <w:t>报警方式：声光报警</w:t>
            </w:r>
            <w:r>
              <w:rPr>
                <w:rFonts w:hint="eastAsia" w:cs="Arial" w:asciiTheme="minorEastAsia" w:hAnsiTheme="minorEastAsia"/>
                <w:szCs w:val="21"/>
              </w:rPr>
              <w:br w:type="textWrapping"/>
            </w:r>
            <w:r>
              <w:rPr>
                <w:rFonts w:hint="eastAsia" w:cs="Arial" w:asciiTheme="minorEastAsia" w:hAnsiTheme="minorEastAsia"/>
                <w:szCs w:val="21"/>
              </w:rPr>
              <w:t>报警音量：≥85dB@3m（A计权）</w:t>
            </w:r>
            <w:r>
              <w:rPr>
                <w:rFonts w:hint="eastAsia" w:cs="Arial" w:asciiTheme="minorEastAsia" w:hAnsiTheme="minorEastAsia"/>
                <w:szCs w:val="21"/>
              </w:rPr>
              <w:br w:type="textWrapping"/>
            </w:r>
            <w:r>
              <w:rPr>
                <w:rFonts w:hint="eastAsia" w:cs="Arial" w:asciiTheme="minorEastAsia" w:hAnsiTheme="minorEastAsia"/>
                <w:szCs w:val="21"/>
              </w:rPr>
              <w:t>报警分类：火灾报警、低压报警、故障报警、防拆报警</w:t>
            </w:r>
            <w:r>
              <w:rPr>
                <w:rFonts w:hint="eastAsia" w:cs="Arial" w:asciiTheme="minorEastAsia" w:hAnsiTheme="minorEastAsia"/>
                <w:szCs w:val="21"/>
              </w:rPr>
              <w:br w:type="textWrapping"/>
            </w:r>
            <w:r>
              <w:rPr>
                <w:rFonts w:hint="eastAsia" w:cs="Arial" w:asciiTheme="minorEastAsia" w:hAnsiTheme="minorEastAsia"/>
                <w:szCs w:val="21"/>
              </w:rPr>
              <w:t>电池寿命：3年</w:t>
            </w:r>
            <w:r>
              <w:rPr>
                <w:rFonts w:hint="eastAsia" w:cs="Arial" w:asciiTheme="minorEastAsia" w:hAnsiTheme="minorEastAsia"/>
                <w:szCs w:val="21"/>
              </w:rPr>
              <w:br w:type="textWrapping"/>
            </w:r>
            <w:r>
              <w:rPr>
                <w:rFonts w:hint="eastAsia" w:cs="Arial" w:asciiTheme="minorEastAsia" w:hAnsiTheme="minorEastAsia"/>
                <w:szCs w:val="21"/>
              </w:rPr>
              <w:t>产品具有有效期内产品责任险，产品投保金额大于4000万人民币的。</w:t>
            </w:r>
          </w:p>
          <w:p>
            <w:pPr>
              <w:snapToGrid w:val="0"/>
              <w:spacing w:line="276" w:lineRule="auto"/>
              <w:rPr>
                <w:rFonts w:asciiTheme="minorEastAsia" w:hAnsiTheme="minorEastAsia"/>
                <w:szCs w:val="21"/>
              </w:rPr>
            </w:pPr>
            <w:r>
              <w:rPr>
                <w:rFonts w:hint="eastAsia" w:cs="Arial" w:asciiTheme="minorEastAsia" w:hAnsiTheme="minorEastAsia"/>
                <w:szCs w:val="21"/>
              </w:rPr>
              <w:t>在进行温度探测报警时，支持差温和定温报警功能。当环境温度达到57℃时或环境空气温度变化≥8℃/min,会发生报警。</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650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智慧用电系统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监控报警项目 剩余电流、相线温度、环境温度、故障电弧、相电压、相电流、脱扣联动、故障联动、报警联动、联动输入报警。</w:t>
            </w:r>
            <w:r>
              <w:rPr>
                <w:rFonts w:hint="eastAsia" w:cs="Arial" w:asciiTheme="minorEastAsia" w:hAnsiTheme="minorEastAsia"/>
                <w:szCs w:val="21"/>
              </w:rPr>
              <w:br w:type="textWrapping"/>
            </w:r>
            <w:r>
              <w:rPr>
                <w:rFonts w:hint="eastAsia" w:cs="Arial" w:asciiTheme="minorEastAsia" w:hAnsiTheme="minorEastAsia"/>
                <w:szCs w:val="21"/>
              </w:rPr>
              <w:t>计量相关监测 过压报警、欠压报警、过流报警、有功功率、无功功率、视在功率、功率因素、有功电能、箱体湿度检测。</w:t>
            </w:r>
            <w:r>
              <w:rPr>
                <w:rFonts w:hint="eastAsia" w:cs="Arial" w:asciiTheme="minorEastAsia" w:hAnsiTheme="minorEastAsia"/>
                <w:szCs w:val="21"/>
              </w:rPr>
              <w:br w:type="textWrapping"/>
            </w:r>
            <w:r>
              <w:rPr>
                <w:rFonts w:hint="eastAsia" w:cs="Arial" w:asciiTheme="minorEastAsia" w:hAnsiTheme="minorEastAsia"/>
                <w:szCs w:val="21"/>
              </w:rPr>
              <w:t>产品需符合GB14287.2-2014：电气火灾监控系统 第2部分：剩余电流式电气火灾监控探测器、GB14287.3-2014：电气火灾监控系统 第3部分：测温式电气火灾监控探测器的要求，并取得国家消防电子产品质量监督检验中心出具的型式试验报告。可以对至少12路用电回路的短路、相电流（过载/过流）、相电压（过压、欠压）、漏电流（漏电）、功率（有功/无功/视在功率）、自身电量、温度过高、打火（电弧）、缺相等数据进行检测分析与报警，并可提供一路输出信号，检测报警信息可上传中心管理平台软件。</w:t>
            </w:r>
            <w:r>
              <w:rPr>
                <w:rFonts w:hint="eastAsia" w:cs="Arial" w:asciiTheme="minorEastAsia" w:hAnsiTheme="minorEastAsia"/>
                <w:szCs w:val="21"/>
              </w:rPr>
              <w:br w:type="textWrapping"/>
            </w:r>
            <w:r>
              <w:rPr>
                <w:rFonts w:hint="eastAsia" w:cs="Arial" w:asciiTheme="minorEastAsia" w:hAnsiTheme="minorEastAsia"/>
                <w:szCs w:val="21"/>
              </w:rPr>
              <w:t>投标人所投的用电监测设备需采用一体化设计，其中剩余电流和温度探测接口可复用；支持脱扣、报警联动、故障联动；支持设备状态、故障、报警、网络、消音状态显示；支持通道实时值、通道显示单位、通道号显示；支持设备状态查询和显示，多个多功能按键，支持设备查询切换、消音操作、复位操作、状态切换多种组合操作</w:t>
            </w:r>
          </w:p>
          <w:p>
            <w:pPr>
              <w:snapToGrid w:val="0"/>
              <w:spacing w:line="276" w:lineRule="auto"/>
              <w:rPr>
                <w:rFonts w:asciiTheme="minorEastAsia" w:hAnsiTheme="minorEastAsia"/>
                <w:szCs w:val="21"/>
              </w:rPr>
            </w:pPr>
            <w:r>
              <w:rPr>
                <w:rFonts w:hint="eastAsia" w:cs="Arial" w:asciiTheme="minorEastAsia" w:hAnsiTheme="minorEastAsia"/>
                <w:szCs w:val="21"/>
              </w:rPr>
              <w:t>外接端口：3路 相电压、3路 相电流、1路 零线电流、1路 故障电弧、4路 剩余电流\温度混接、1路 温度、1路 RS485、1路 百兆网口、1路 联动输入、3路 联动输出、1路 DC12V输出（带负载短路保护）</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剩余电流互感器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剩余电流互感器（开口式、线缆式）</w:t>
            </w:r>
            <w:r>
              <w:rPr>
                <w:rFonts w:hint="eastAsia" w:cs="Arial" w:asciiTheme="minorEastAsia" w:hAnsiTheme="minorEastAsia"/>
                <w:szCs w:val="21"/>
              </w:rPr>
              <w:br w:type="textWrapping"/>
            </w:r>
            <w:r>
              <w:rPr>
                <w:rFonts w:hint="eastAsia" w:cs="Arial" w:asciiTheme="minorEastAsia" w:hAnsiTheme="minorEastAsia"/>
                <w:szCs w:val="21"/>
              </w:rPr>
              <w:t>过线孔径：φ65mm</w:t>
            </w:r>
            <w:r>
              <w:rPr>
                <w:rFonts w:hint="eastAsia" w:cs="Arial" w:asciiTheme="minorEastAsia" w:hAnsiTheme="minorEastAsia"/>
                <w:szCs w:val="21"/>
              </w:rPr>
              <w:br w:type="textWrapping"/>
            </w:r>
            <w:r>
              <w:rPr>
                <w:rFonts w:hint="eastAsia" w:cs="Arial" w:asciiTheme="minorEastAsia" w:hAnsiTheme="minorEastAsia"/>
                <w:szCs w:val="21"/>
              </w:rPr>
              <w:t>检测对象：剩余电流</w:t>
            </w:r>
            <w:r>
              <w:rPr>
                <w:rFonts w:hint="eastAsia" w:cs="Arial" w:asciiTheme="minorEastAsia" w:hAnsiTheme="minorEastAsia"/>
                <w:szCs w:val="21"/>
              </w:rPr>
              <w:br w:type="textWrapping"/>
            </w:r>
            <w:r>
              <w:rPr>
                <w:rFonts w:hint="eastAsia" w:cs="Arial" w:asciiTheme="minorEastAsia" w:hAnsiTheme="minorEastAsia"/>
                <w:szCs w:val="21"/>
              </w:rPr>
              <w:t>额定输入：0-1A</w:t>
            </w:r>
            <w:r>
              <w:rPr>
                <w:rFonts w:hint="eastAsia" w:cs="Arial" w:asciiTheme="minorEastAsia" w:hAnsiTheme="minorEastAsia"/>
                <w:szCs w:val="21"/>
              </w:rPr>
              <w:br w:type="textWrapping"/>
            </w:r>
            <w:r>
              <w:rPr>
                <w:rFonts w:hint="eastAsia" w:cs="Arial" w:asciiTheme="minorEastAsia" w:hAnsiTheme="minorEastAsia"/>
                <w:szCs w:val="21"/>
              </w:rPr>
              <w:t>额定输出：0-0.5mA</w:t>
            </w:r>
            <w:r>
              <w:rPr>
                <w:rFonts w:hint="eastAsia" w:cs="Arial" w:asciiTheme="minorEastAsia" w:hAnsiTheme="minorEastAsia"/>
                <w:szCs w:val="21"/>
              </w:rPr>
              <w:br w:type="textWrapping"/>
            </w:r>
            <w:r>
              <w:rPr>
                <w:rFonts w:hint="eastAsia" w:cs="Arial" w:asciiTheme="minorEastAsia" w:hAnsiTheme="minorEastAsia"/>
                <w:szCs w:val="21"/>
              </w:rPr>
              <w:t>精度等级：0.5及以上</w:t>
            </w:r>
            <w:r>
              <w:rPr>
                <w:rFonts w:hint="eastAsia" w:cs="Arial" w:asciiTheme="minorEastAsia" w:hAnsiTheme="minorEastAsia"/>
                <w:szCs w:val="21"/>
              </w:rPr>
              <w:br w:type="textWrapping"/>
            </w:r>
            <w:r>
              <w:rPr>
                <w:rFonts w:hint="eastAsia" w:cs="Arial" w:asciiTheme="minorEastAsia" w:hAnsiTheme="minorEastAsia"/>
                <w:szCs w:val="21"/>
              </w:rPr>
              <w:t>工作温度：-25℃～+75℃</w:t>
            </w:r>
            <w:r>
              <w:rPr>
                <w:rFonts w:hint="eastAsia" w:cs="Arial" w:asciiTheme="minorEastAsia" w:hAnsiTheme="minorEastAsia"/>
                <w:szCs w:val="21"/>
              </w:rPr>
              <w:br w:type="textWrapping"/>
            </w:r>
            <w:r>
              <w:rPr>
                <w:rFonts w:hint="eastAsia" w:cs="Arial" w:asciiTheme="minorEastAsia" w:hAnsiTheme="minorEastAsia"/>
                <w:szCs w:val="21"/>
              </w:rPr>
              <w:t>工作湿度：≤85%RH</w:t>
            </w:r>
            <w:r>
              <w:rPr>
                <w:rFonts w:hint="eastAsia" w:cs="Arial" w:asciiTheme="minorEastAsia" w:hAnsiTheme="minorEastAsia"/>
                <w:szCs w:val="21"/>
              </w:rPr>
              <w:br w:type="textWrapping"/>
            </w:r>
            <w:r>
              <w:rPr>
                <w:rFonts w:hint="eastAsia" w:cs="Arial" w:asciiTheme="minorEastAsia" w:hAnsiTheme="minorEastAsia"/>
                <w:szCs w:val="21"/>
              </w:rPr>
              <w:t>输出连接：端子或屏蔽双绞线</w:t>
            </w:r>
            <w:r>
              <w:rPr>
                <w:rFonts w:hint="eastAsia" w:cs="Arial" w:asciiTheme="minorEastAsia" w:hAnsiTheme="minorEastAsia"/>
                <w:szCs w:val="21"/>
              </w:rPr>
              <w:br w:type="textWrapping"/>
            </w:r>
            <w:r>
              <w:rPr>
                <w:rFonts w:hint="eastAsia" w:cs="Arial" w:asciiTheme="minorEastAsia" w:hAnsiTheme="minorEastAsia"/>
                <w:szCs w:val="21"/>
              </w:rPr>
              <w:t>安装方式：螺丝固定</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180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电流互感器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额定频率 50/60 Hz</w:t>
            </w:r>
            <w:r>
              <w:rPr>
                <w:rFonts w:hint="eastAsia" w:cs="Arial" w:asciiTheme="minorEastAsia" w:hAnsiTheme="minorEastAsia"/>
                <w:szCs w:val="21"/>
              </w:rPr>
              <w:br w:type="textWrapping"/>
            </w:r>
            <w:r>
              <w:rPr>
                <w:rFonts w:hint="eastAsia" w:cs="Arial" w:asciiTheme="minorEastAsia" w:hAnsiTheme="minorEastAsia"/>
                <w:szCs w:val="21"/>
              </w:rPr>
              <w:t>工作温度 -20℃~70℃</w:t>
            </w:r>
            <w:r>
              <w:rPr>
                <w:rFonts w:hint="eastAsia" w:cs="Arial" w:asciiTheme="minorEastAsia" w:hAnsiTheme="minorEastAsia"/>
                <w:szCs w:val="21"/>
              </w:rPr>
              <w:br w:type="textWrapping"/>
            </w:r>
            <w:r>
              <w:rPr>
                <w:rFonts w:hint="eastAsia" w:cs="Arial" w:asciiTheme="minorEastAsia" w:hAnsiTheme="minorEastAsia"/>
                <w:szCs w:val="21"/>
              </w:rPr>
              <w:t>相对湿度 ≤90%</w:t>
            </w:r>
            <w:r>
              <w:rPr>
                <w:rFonts w:hint="eastAsia" w:cs="Arial" w:asciiTheme="minorEastAsia" w:hAnsiTheme="minorEastAsia"/>
                <w:szCs w:val="21"/>
              </w:rPr>
              <w:br w:type="textWrapping"/>
            </w:r>
            <w:r>
              <w:rPr>
                <w:rFonts w:hint="eastAsia" w:cs="Arial" w:asciiTheme="minorEastAsia" w:hAnsiTheme="minorEastAsia"/>
                <w:szCs w:val="21"/>
              </w:rPr>
              <w:t>额定一次电流 0-200A</w:t>
            </w:r>
            <w:r>
              <w:rPr>
                <w:rFonts w:hint="eastAsia" w:cs="Arial" w:asciiTheme="minorEastAsia" w:hAnsiTheme="minorEastAsia"/>
                <w:szCs w:val="21"/>
              </w:rPr>
              <w:br w:type="textWrapping"/>
            </w:r>
            <w:r>
              <w:rPr>
                <w:rFonts w:hint="eastAsia" w:cs="Arial" w:asciiTheme="minorEastAsia" w:hAnsiTheme="minorEastAsia"/>
                <w:szCs w:val="21"/>
              </w:rPr>
              <w:t>额定二次电流 0-40mA</w:t>
            </w:r>
            <w:r>
              <w:rPr>
                <w:rFonts w:hint="eastAsia" w:cs="Arial" w:asciiTheme="minorEastAsia" w:hAnsiTheme="minorEastAsia"/>
                <w:szCs w:val="21"/>
              </w:rPr>
              <w:br w:type="textWrapping"/>
            </w:r>
            <w:r>
              <w:rPr>
                <w:rFonts w:hint="eastAsia" w:cs="Arial" w:asciiTheme="minorEastAsia" w:hAnsiTheme="minorEastAsia"/>
                <w:szCs w:val="21"/>
              </w:rPr>
              <w:t>额定负荷b R 20Ω</w:t>
            </w:r>
            <w:r>
              <w:rPr>
                <w:rFonts w:hint="eastAsia" w:cs="Arial" w:asciiTheme="minorEastAsia" w:hAnsiTheme="minorEastAsia"/>
                <w:szCs w:val="21"/>
              </w:rPr>
              <w:br w:type="textWrapping"/>
            </w:r>
            <w:r>
              <w:rPr>
                <w:rFonts w:hint="eastAsia" w:cs="Arial" w:asciiTheme="minorEastAsia" w:hAnsiTheme="minorEastAsia"/>
                <w:szCs w:val="21"/>
              </w:rPr>
              <w:t>准确级 0.5及以上</w:t>
            </w:r>
            <w:r>
              <w:rPr>
                <w:rFonts w:hint="eastAsia" w:cs="Arial" w:asciiTheme="minorEastAsia" w:hAnsiTheme="minorEastAsia"/>
                <w:szCs w:val="21"/>
              </w:rPr>
              <w:br w:type="textWrapping"/>
            </w:r>
            <w:r>
              <w:rPr>
                <w:rFonts w:hint="eastAsia" w:cs="Arial" w:asciiTheme="minorEastAsia" w:hAnsiTheme="minorEastAsia"/>
                <w:szCs w:val="21"/>
              </w:rPr>
              <w:t>交流耐压</w:t>
            </w:r>
            <w:r>
              <w:rPr>
                <w:rFonts w:hint="eastAsia" w:cs="Arial" w:asciiTheme="minorEastAsia" w:hAnsiTheme="minorEastAsia"/>
                <w:szCs w:val="21"/>
              </w:rPr>
              <w:br w:type="textWrapping"/>
            </w:r>
            <w:r>
              <w:rPr>
                <w:rFonts w:hint="eastAsia" w:cs="Arial" w:asciiTheme="minorEastAsia" w:hAnsiTheme="minorEastAsia"/>
                <w:szCs w:val="21"/>
              </w:rPr>
              <w:t>一次绕组与二次绕组间工频电压3.0KV/min，无击穿、</w:t>
            </w:r>
            <w:r>
              <w:rPr>
                <w:rFonts w:hint="eastAsia" w:cs="Arial" w:asciiTheme="minorEastAsia" w:hAnsiTheme="minorEastAsia"/>
                <w:szCs w:val="21"/>
              </w:rPr>
              <w:br w:type="textWrapping"/>
            </w:r>
            <w:r>
              <w:rPr>
                <w:rFonts w:hint="eastAsia" w:cs="Arial" w:asciiTheme="minorEastAsia" w:hAnsiTheme="minorEastAsia"/>
                <w:szCs w:val="21"/>
              </w:rPr>
              <w:t>飞弧现象，漏电流＜1mA</w:t>
            </w:r>
            <w:r>
              <w:rPr>
                <w:rFonts w:hint="eastAsia" w:cs="Arial" w:asciiTheme="minorEastAsia" w:hAnsiTheme="minorEastAsia"/>
                <w:szCs w:val="21"/>
              </w:rPr>
              <w:br w:type="textWrapping"/>
            </w:r>
            <w:r>
              <w:rPr>
                <w:rFonts w:hint="eastAsia" w:cs="Arial" w:asciiTheme="minorEastAsia" w:hAnsiTheme="minorEastAsia"/>
                <w:szCs w:val="21"/>
              </w:rPr>
              <w:t>绝缘电阻 一次绕组与二次绕组之间≥100MΩ/500Vdc</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NTC测温线</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 xml:space="preserve"> 温度传感器</w:t>
            </w:r>
            <w:r>
              <w:rPr>
                <w:rFonts w:hint="eastAsia" w:cs="Arial" w:asciiTheme="minorEastAsia" w:hAnsiTheme="minorEastAsia"/>
                <w:szCs w:val="21"/>
              </w:rPr>
              <w:br w:type="textWrapping"/>
            </w:r>
            <w:r>
              <w:rPr>
                <w:rFonts w:hint="eastAsia" w:cs="Arial" w:asciiTheme="minorEastAsia" w:hAnsiTheme="minorEastAsia"/>
                <w:szCs w:val="21"/>
              </w:rPr>
              <w:t>探测器种类：NTC热敏电阻</w:t>
            </w:r>
            <w:r>
              <w:rPr>
                <w:rFonts w:hint="eastAsia" w:cs="Arial" w:asciiTheme="minorEastAsia" w:hAnsiTheme="minorEastAsia"/>
                <w:szCs w:val="21"/>
              </w:rPr>
              <w:br w:type="textWrapping"/>
            </w:r>
            <w:r>
              <w:rPr>
                <w:rFonts w:hint="eastAsia" w:cs="Arial" w:asciiTheme="minorEastAsia" w:hAnsiTheme="minorEastAsia"/>
                <w:szCs w:val="21"/>
              </w:rPr>
              <w:t>测量范围：-40℃～150℃</w:t>
            </w:r>
            <w:r>
              <w:rPr>
                <w:rFonts w:hint="eastAsia" w:cs="Arial" w:asciiTheme="minorEastAsia" w:hAnsiTheme="minorEastAsia"/>
                <w:szCs w:val="21"/>
              </w:rPr>
              <w:br w:type="textWrapping"/>
            </w:r>
            <w:r>
              <w:rPr>
                <w:rFonts w:hint="eastAsia" w:cs="Arial" w:asciiTheme="minorEastAsia" w:hAnsiTheme="minorEastAsia"/>
                <w:szCs w:val="21"/>
              </w:rPr>
              <w:t>精度：1%及以上</w:t>
            </w:r>
            <w:r>
              <w:rPr>
                <w:rFonts w:hint="eastAsia" w:cs="Arial" w:asciiTheme="minorEastAsia" w:hAnsiTheme="minorEastAsia"/>
                <w:szCs w:val="21"/>
              </w:rPr>
              <w:br w:type="textWrapping"/>
            </w:r>
            <w:r>
              <w:rPr>
                <w:rFonts w:hint="eastAsia" w:cs="Arial" w:asciiTheme="minorEastAsia" w:hAnsiTheme="minorEastAsia"/>
                <w:szCs w:val="21"/>
              </w:rPr>
              <w:t>工作温度：-50℃～260℃</w:t>
            </w:r>
            <w:r>
              <w:rPr>
                <w:rFonts w:hint="eastAsia" w:cs="Arial" w:asciiTheme="minorEastAsia" w:hAnsiTheme="minorEastAsia"/>
                <w:szCs w:val="21"/>
              </w:rPr>
              <w:br w:type="textWrapping"/>
            </w:r>
            <w:r>
              <w:rPr>
                <w:rFonts w:hint="eastAsia" w:cs="Arial" w:asciiTheme="minorEastAsia" w:hAnsiTheme="minorEastAsia"/>
                <w:szCs w:val="21"/>
              </w:rPr>
              <w:t>传感器线长：1m及以上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240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施工集成费</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人工费、安装调试</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asciiTheme="minorEastAsia" w:hAnsiTheme="minorEastAsia"/>
                <w:szCs w:val="21"/>
              </w:rPr>
              <w:t>出入口管理系统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出入口控制终端</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br w:type="textWrapping"/>
            </w:r>
            <w:r>
              <w:rPr>
                <w:rFonts w:hint="eastAsia" w:cs="Arial" w:asciiTheme="minorEastAsia" w:hAnsiTheme="minorEastAsia"/>
                <w:szCs w:val="21"/>
              </w:rPr>
              <w:t>处理器：高性能linux处理器</w:t>
            </w:r>
            <w:r>
              <w:rPr>
                <w:rFonts w:hint="eastAsia" w:cs="Arial" w:asciiTheme="minorEastAsia" w:hAnsiTheme="minorEastAsia"/>
                <w:szCs w:val="21"/>
              </w:rPr>
              <w:br w:type="textWrapping"/>
            </w:r>
            <w:r>
              <w:rPr>
                <w:rFonts w:hint="eastAsia" w:cs="Arial" w:asciiTheme="minorEastAsia" w:hAnsiTheme="minorEastAsia"/>
                <w:szCs w:val="21"/>
              </w:rPr>
              <w:t>存储功能：支持对车辆出入记录的本地存储：≥1500万辆通行车辆信息 和 400万辆的过车通行图片 ；</w:t>
            </w:r>
            <w:r>
              <w:rPr>
                <w:rFonts w:hint="eastAsia" w:cs="Arial" w:asciiTheme="minorEastAsia" w:hAnsiTheme="minorEastAsia"/>
                <w:szCs w:val="21"/>
              </w:rPr>
              <w:br w:type="textWrapping"/>
            </w:r>
            <w:r>
              <w:rPr>
                <w:rFonts w:hint="eastAsia" w:cs="Arial" w:asciiTheme="minorEastAsia" w:hAnsiTheme="minorEastAsia"/>
                <w:szCs w:val="21"/>
              </w:rPr>
              <w:t>本地管理：支持VGA、HDMI显示控制，配合鼠标键盘即可使用，无需额外配置电脑</w:t>
            </w:r>
            <w:r>
              <w:rPr>
                <w:rFonts w:hint="eastAsia" w:cs="Arial" w:asciiTheme="minorEastAsia" w:hAnsiTheme="minorEastAsia"/>
                <w:szCs w:val="21"/>
              </w:rPr>
              <w:br w:type="textWrapping"/>
            </w:r>
            <w:r>
              <w:rPr>
                <w:rFonts w:hint="eastAsia" w:cs="Arial" w:asciiTheme="minorEastAsia" w:hAnsiTheme="minorEastAsia"/>
                <w:szCs w:val="21"/>
              </w:rPr>
              <w:t>远程管理：支持网页访问，简单易用；支持多用户、多权限控制，支持嵌入式加密认证机制，确保网络上安全使用；</w:t>
            </w:r>
            <w:r>
              <w:rPr>
                <w:rFonts w:hint="eastAsia" w:cs="Arial" w:asciiTheme="minorEastAsia" w:hAnsiTheme="minorEastAsia"/>
                <w:szCs w:val="21"/>
              </w:rPr>
              <w:br w:type="textWrapping"/>
            </w:r>
            <w:r>
              <w:rPr>
                <w:rFonts w:hint="eastAsia" w:cs="Arial" w:asciiTheme="minorEastAsia" w:hAnsiTheme="minorEastAsia"/>
                <w:szCs w:val="21"/>
              </w:rPr>
              <w:t>丰富的出入权限配置：支持自定义车辆类型配置出入权限，支持按照时间计划配置出入权限。支持对无牌车、新能源车、车牌颜色、特定字符车、自定义车辆类型单独配置出入权限。</w:t>
            </w:r>
          </w:p>
          <w:p>
            <w:pPr>
              <w:snapToGrid w:val="0"/>
              <w:spacing w:line="276" w:lineRule="auto"/>
              <w:rPr>
                <w:rFonts w:cs="Arial" w:asciiTheme="minorEastAsia" w:hAnsiTheme="minorEastAsia"/>
                <w:szCs w:val="21"/>
              </w:rPr>
            </w:pP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出入口道闸一体机</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抓拍显示道闸一体机，4米栅栏杆，由快速道闸、智能抓拍机、补光灯、LED屏、防砸雷达、求助按钮、语音播报、语音对讲于一体等组成。</w:t>
            </w:r>
            <w:r>
              <w:rPr>
                <w:rFonts w:hint="eastAsia" w:cs="Arial" w:asciiTheme="minorEastAsia" w:hAnsiTheme="minorEastAsia"/>
                <w:szCs w:val="21"/>
              </w:rPr>
              <w:br w:type="textWrapping"/>
            </w:r>
            <w:r>
              <w:rPr>
                <w:rFonts w:hint="eastAsia" w:cs="Arial" w:asciiTheme="minorEastAsia" w:hAnsiTheme="minorEastAsia"/>
                <w:szCs w:val="21"/>
              </w:rPr>
              <w:t>最低照度：0.002lx（F=1.5，AGC ON，彩色模式），能基本分辨被摄目标的轮廓特征和色彩。</w:t>
            </w:r>
            <w:r>
              <w:rPr>
                <w:rFonts w:hint="eastAsia" w:cs="Arial" w:asciiTheme="minorEastAsia" w:hAnsiTheme="minorEastAsia"/>
                <w:szCs w:val="21"/>
              </w:rPr>
              <w:br w:type="textWrapping"/>
            </w:r>
            <w:r>
              <w:rPr>
                <w:rFonts w:hint="eastAsia" w:cs="Arial" w:asciiTheme="minorEastAsia" w:hAnsiTheme="minorEastAsia"/>
                <w:szCs w:val="21"/>
              </w:rPr>
              <w:t>亮度自适应：当环境照度在最高值≥30000Lx、最低值≤200Lx之间变化时，视频图像均具有尚好的清晰度、层次感和色彩还原度。</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地感线圈</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0.75mm²，绞合导体，镀锡铜，绝缘蓝色PVC外被，1捆线圈50米。</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9</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车检器</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独立式车检器,支持接入的最大线圈数2,继电器输出</w:t>
            </w:r>
            <w:r>
              <w:rPr>
                <w:rFonts w:hint="eastAsia" w:cs="Arial" w:asciiTheme="minorEastAsia" w:hAnsiTheme="minorEastAsia"/>
                <w:szCs w:val="21"/>
              </w:rPr>
              <w:br w:type="textWrapping"/>
            </w:r>
            <w:r>
              <w:rPr>
                <w:rFonts w:hint="eastAsia" w:cs="Arial" w:asciiTheme="minorEastAsia" w:hAnsiTheme="minorEastAsia"/>
                <w:szCs w:val="21"/>
              </w:rPr>
              <w:t>具有485接口、2路继电器开关量输出接口；线圈工作频率：28KHz～120KHz；</w:t>
            </w:r>
            <w:r>
              <w:rPr>
                <w:rFonts w:hint="eastAsia" w:cs="Arial" w:asciiTheme="minorEastAsia" w:hAnsiTheme="minorEastAsia"/>
                <w:szCs w:val="21"/>
              </w:rPr>
              <w:br w:type="textWrapping"/>
            </w:r>
            <w:r>
              <w:rPr>
                <w:rFonts w:hint="eastAsia" w:cs="Arial" w:asciiTheme="minorEastAsia" w:hAnsiTheme="minorEastAsia"/>
                <w:szCs w:val="21"/>
              </w:rPr>
              <w:t>支持灵敏度可调：有4级可设（高、中高、中低、低）；</w:t>
            </w:r>
          </w:p>
          <w:p>
            <w:pPr>
              <w:snapToGrid w:val="0"/>
              <w:spacing w:line="276" w:lineRule="auto"/>
              <w:rPr>
                <w:rFonts w:asciiTheme="minorEastAsia" w:hAnsiTheme="minorEastAsia"/>
                <w:szCs w:val="21"/>
              </w:rPr>
            </w:pPr>
            <w:r>
              <w:rPr>
                <w:rFonts w:hint="eastAsia" w:cs="Arial" w:asciiTheme="minorEastAsia" w:hAnsiTheme="minorEastAsia"/>
                <w:szCs w:val="21"/>
              </w:rPr>
              <w:t>最快响应时间：3.5ms</w:t>
            </w:r>
            <w:r>
              <w:rPr>
                <w:rFonts w:hint="eastAsia" w:cs="Arial" w:asciiTheme="minorEastAsia" w:hAnsiTheme="minorEastAsia"/>
                <w:szCs w:val="21"/>
              </w:rPr>
              <w:br w:type="textWrapping"/>
            </w:r>
            <w:r>
              <w:rPr>
                <w:rFonts w:hint="eastAsia" w:cs="Arial" w:asciiTheme="minorEastAsia" w:hAnsiTheme="minorEastAsia"/>
                <w:szCs w:val="21"/>
              </w:rPr>
              <w:t>线圈故障自恢复：在线圈故障排除后，检测器能够自行恢复到检测状态</w:t>
            </w:r>
            <w:r>
              <w:rPr>
                <w:rFonts w:hint="eastAsia" w:cs="Arial" w:asciiTheme="minorEastAsia" w:hAnsiTheme="minorEastAsia"/>
                <w:szCs w:val="21"/>
              </w:rPr>
              <w:br w:type="textWrapping"/>
            </w:r>
            <w:r>
              <w:rPr>
                <w:rFonts w:hint="eastAsia" w:cs="Arial" w:asciiTheme="minorEastAsia" w:hAnsiTheme="minorEastAsia"/>
                <w:szCs w:val="21"/>
              </w:rPr>
              <w:t>线圈故障恢复时间：≤100ms；</w:t>
            </w:r>
            <w:r>
              <w:rPr>
                <w:rFonts w:hint="eastAsia" w:cs="Arial" w:asciiTheme="minorEastAsia" w:hAnsiTheme="minorEastAsia"/>
                <w:szCs w:val="21"/>
              </w:rPr>
              <w:br w:type="textWrapping"/>
            </w:r>
            <w:r>
              <w:rPr>
                <w:rFonts w:hint="eastAsia" w:cs="Arial" w:asciiTheme="minorEastAsia" w:hAnsiTheme="minorEastAsia"/>
                <w:szCs w:val="21"/>
              </w:rPr>
              <w:t>线圈故障检测时间：＜10ms；</w:t>
            </w:r>
            <w:r>
              <w:rPr>
                <w:rFonts w:hint="eastAsia" w:cs="Arial" w:asciiTheme="minorEastAsia" w:hAnsiTheme="minorEastAsia"/>
                <w:szCs w:val="21"/>
              </w:rPr>
              <w:br w:type="textWrapping"/>
            </w:r>
            <w:r>
              <w:rPr>
                <w:rFonts w:hint="eastAsia" w:cs="Arial" w:asciiTheme="minorEastAsia" w:hAnsiTheme="minorEastAsia"/>
                <w:szCs w:val="21"/>
              </w:rPr>
              <w:t>输出IO方式：继电器开关量输出；</w:t>
            </w:r>
            <w:r>
              <w:rPr>
                <w:rFonts w:hint="eastAsia" w:cs="Arial" w:asciiTheme="minorEastAsia" w:hAnsiTheme="minorEastAsia"/>
                <w:szCs w:val="21"/>
              </w:rPr>
              <w:br w:type="textWrapping"/>
            </w:r>
            <w:r>
              <w:rPr>
                <w:rFonts w:hint="eastAsia" w:cs="Arial" w:asciiTheme="minorEastAsia" w:hAnsiTheme="minorEastAsia"/>
                <w:szCs w:val="21"/>
              </w:rPr>
              <w:t xml:space="preserve">工作电压：AC220V； </w:t>
            </w:r>
            <w:r>
              <w:rPr>
                <w:rFonts w:hint="eastAsia" w:cs="Arial" w:asciiTheme="minorEastAsia" w:hAnsiTheme="minorEastAsia"/>
                <w:szCs w:val="21"/>
              </w:rPr>
              <w:br w:type="textWrapping"/>
            </w:r>
            <w:r>
              <w:rPr>
                <w:rFonts w:hint="eastAsia" w:cs="Arial" w:asciiTheme="minorEastAsia" w:hAnsiTheme="minorEastAsia"/>
                <w:szCs w:val="21"/>
              </w:rPr>
              <w:t>工作环境温度：-40℃～80℃；工作环境湿度：＜93%，无冷凝；</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全自动液压一体升降柱</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采用液压驱动方式，易于维护，可靠性高，使用寿命长</w:t>
            </w:r>
            <w:r>
              <w:rPr>
                <w:rFonts w:hint="eastAsia" w:cs="Arial" w:asciiTheme="minorEastAsia" w:hAnsiTheme="minorEastAsia"/>
                <w:szCs w:val="21"/>
              </w:rPr>
              <w:br w:type="textWrapping"/>
            </w:r>
            <w:r>
              <w:rPr>
                <w:rFonts w:hint="eastAsia" w:cs="Arial" w:asciiTheme="minorEastAsia" w:hAnsiTheme="minorEastAsia"/>
                <w:szCs w:val="21"/>
              </w:rPr>
              <w:t>采取综合控制，系统运行性能稳定可靠，方便集成到用户系统中</w:t>
            </w:r>
            <w:r>
              <w:rPr>
                <w:rFonts w:hint="eastAsia" w:cs="Arial" w:asciiTheme="minorEastAsia" w:hAnsiTheme="minorEastAsia"/>
                <w:szCs w:val="21"/>
              </w:rPr>
              <w:br w:type="textWrapping"/>
            </w:r>
            <w:r>
              <w:rPr>
                <w:rFonts w:hint="eastAsia" w:cs="Arial" w:asciiTheme="minorEastAsia" w:hAnsiTheme="minorEastAsia"/>
                <w:szCs w:val="21"/>
              </w:rPr>
              <w:t>具有开闸、关闸以及停闸的功能，且具有开优先的特点</w:t>
            </w:r>
            <w:r>
              <w:rPr>
                <w:rFonts w:hint="eastAsia" w:cs="Arial" w:asciiTheme="minorEastAsia" w:hAnsiTheme="minorEastAsia"/>
                <w:szCs w:val="21"/>
              </w:rPr>
              <w:br w:type="textWrapping"/>
            </w:r>
            <w:r>
              <w:rPr>
                <w:rFonts w:hint="eastAsia" w:cs="Arial" w:asciiTheme="minorEastAsia" w:hAnsiTheme="minorEastAsia"/>
                <w:szCs w:val="21"/>
              </w:rPr>
              <w:t>应急释放，防止断电情况下柱体不能下降</w:t>
            </w:r>
            <w:r>
              <w:rPr>
                <w:rFonts w:hint="eastAsia" w:cs="Arial" w:asciiTheme="minorEastAsia" w:hAnsiTheme="minorEastAsia"/>
                <w:szCs w:val="21"/>
              </w:rPr>
              <w:br w:type="textWrapping"/>
            </w:r>
            <w:r>
              <w:rPr>
                <w:rFonts w:hint="eastAsia" w:cs="Arial" w:asciiTheme="minorEastAsia" w:hAnsiTheme="minorEastAsia"/>
                <w:szCs w:val="21"/>
              </w:rPr>
              <w:t>驱动方式：液压驱动</w:t>
            </w:r>
            <w:r>
              <w:rPr>
                <w:rFonts w:hint="eastAsia" w:cs="Arial" w:asciiTheme="minorEastAsia" w:hAnsiTheme="minorEastAsia"/>
                <w:szCs w:val="21"/>
              </w:rPr>
              <w:br w:type="textWrapping"/>
            </w:r>
            <w:r>
              <w:rPr>
                <w:rFonts w:hint="eastAsia" w:cs="Arial" w:asciiTheme="minorEastAsia" w:hAnsiTheme="minorEastAsia"/>
                <w:szCs w:val="21"/>
              </w:rPr>
              <w:t>应急方式：后备电源控制电磁阀释放</w:t>
            </w:r>
            <w:r>
              <w:rPr>
                <w:rFonts w:hint="eastAsia" w:cs="Arial" w:asciiTheme="minorEastAsia" w:hAnsiTheme="minorEastAsia"/>
                <w:szCs w:val="21"/>
              </w:rPr>
              <w:br w:type="textWrapping"/>
            </w:r>
            <w:r>
              <w:rPr>
                <w:rFonts w:hint="eastAsia" w:cs="Arial" w:asciiTheme="minorEastAsia" w:hAnsiTheme="minorEastAsia"/>
                <w:szCs w:val="21"/>
              </w:rPr>
              <w:t>升/降时间：3S±0.2</w:t>
            </w:r>
            <w:r>
              <w:rPr>
                <w:rFonts w:hint="eastAsia" w:cs="Arial" w:asciiTheme="minorEastAsia" w:hAnsiTheme="minorEastAsia"/>
                <w:szCs w:val="21"/>
              </w:rPr>
              <w:br w:type="textWrapping"/>
            </w:r>
            <w:r>
              <w:rPr>
                <w:rFonts w:hint="eastAsia" w:cs="Arial" w:asciiTheme="minorEastAsia" w:hAnsiTheme="minorEastAsia"/>
                <w:szCs w:val="21"/>
              </w:rPr>
              <w:t>警示方式：LED指示灯/3M反光带</w:t>
            </w:r>
            <w:r>
              <w:rPr>
                <w:rFonts w:hint="eastAsia" w:cs="Arial" w:asciiTheme="minorEastAsia" w:hAnsiTheme="minorEastAsia"/>
                <w:szCs w:val="21"/>
              </w:rPr>
              <w:br w:type="textWrapping"/>
            </w:r>
            <w:r>
              <w:rPr>
                <w:rFonts w:hint="eastAsia" w:cs="Arial" w:asciiTheme="minorEastAsia" w:hAnsiTheme="minorEastAsia"/>
                <w:szCs w:val="21"/>
              </w:rPr>
              <w:t xml:space="preserve">湿度：5%~95% </w:t>
            </w:r>
            <w:r>
              <w:rPr>
                <w:rFonts w:hint="eastAsia" w:cs="Arial" w:asciiTheme="minorEastAsia" w:hAnsiTheme="minorEastAsia"/>
                <w:szCs w:val="21"/>
              </w:rPr>
              <w:br w:type="textWrapping"/>
            </w:r>
            <w:r>
              <w:rPr>
                <w:rFonts w:hint="eastAsia" w:cs="Arial" w:asciiTheme="minorEastAsia" w:hAnsiTheme="minorEastAsia"/>
                <w:szCs w:val="21"/>
              </w:rPr>
              <w:t>柱体材质：304不锈钢</w:t>
            </w:r>
            <w:r>
              <w:rPr>
                <w:rFonts w:hint="eastAsia" w:cs="Arial" w:asciiTheme="minorEastAsia" w:hAnsiTheme="minorEastAsia"/>
                <w:szCs w:val="21"/>
              </w:rPr>
              <w:br w:type="textWrapping"/>
            </w:r>
            <w:r>
              <w:rPr>
                <w:rFonts w:hint="eastAsia" w:cs="Arial" w:asciiTheme="minorEastAsia" w:hAnsiTheme="minorEastAsia"/>
                <w:szCs w:val="21"/>
              </w:rPr>
              <w:t>地基盒材质：Q235（电泳：黑色）</w:t>
            </w:r>
            <w:r>
              <w:rPr>
                <w:rFonts w:hint="eastAsia" w:cs="Arial" w:asciiTheme="minorEastAsia" w:hAnsiTheme="minorEastAsia"/>
                <w:szCs w:val="21"/>
              </w:rPr>
              <w:br w:type="textWrapping"/>
            </w:r>
            <w:r>
              <w:rPr>
                <w:rFonts w:hint="eastAsia" w:cs="Arial" w:asciiTheme="minorEastAsia" w:hAnsiTheme="minorEastAsia"/>
                <w:szCs w:val="21"/>
              </w:rPr>
              <w:t>控制方式：控制盒/遥控器</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液压升降柱控制器（一拖三）</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工作温度：-20℃~+50℃</w:t>
            </w:r>
            <w:r>
              <w:rPr>
                <w:rFonts w:hint="eastAsia" w:cs="Arial" w:asciiTheme="minorEastAsia" w:hAnsiTheme="minorEastAsia"/>
                <w:szCs w:val="21"/>
              </w:rPr>
              <w:br w:type="textWrapping"/>
            </w:r>
            <w:r>
              <w:rPr>
                <w:rFonts w:hint="eastAsia" w:cs="Arial" w:asciiTheme="minorEastAsia" w:hAnsiTheme="minorEastAsia"/>
                <w:szCs w:val="21"/>
              </w:rPr>
              <w:t>遥控频率：433.92Mhz</w:t>
            </w:r>
            <w:r>
              <w:rPr>
                <w:rFonts w:hint="eastAsia" w:cs="Arial" w:asciiTheme="minorEastAsia" w:hAnsiTheme="minorEastAsia"/>
                <w:szCs w:val="21"/>
              </w:rPr>
              <w:br w:type="textWrapping"/>
            </w:r>
            <w:r>
              <w:rPr>
                <w:rFonts w:hint="eastAsia" w:cs="Arial" w:asciiTheme="minorEastAsia" w:hAnsiTheme="minorEastAsia"/>
                <w:szCs w:val="21"/>
              </w:rPr>
              <w:t>应急方式：后备电源控制电磁阀释放</w:t>
            </w:r>
            <w:r>
              <w:rPr>
                <w:rFonts w:hint="eastAsia" w:cs="Arial" w:asciiTheme="minorEastAsia" w:hAnsiTheme="minorEastAsia"/>
                <w:szCs w:val="21"/>
              </w:rPr>
              <w:br w:type="textWrapping"/>
            </w:r>
            <w:r>
              <w:rPr>
                <w:rFonts w:hint="eastAsia" w:cs="Arial" w:asciiTheme="minorEastAsia" w:hAnsiTheme="minorEastAsia"/>
                <w:szCs w:val="21"/>
              </w:rPr>
              <w:t>控制方式：手动、遥控</w:t>
            </w:r>
            <w:r>
              <w:rPr>
                <w:rFonts w:hint="eastAsia" w:cs="Arial" w:asciiTheme="minorEastAsia" w:hAnsiTheme="minorEastAsia"/>
                <w:szCs w:val="21"/>
              </w:rPr>
              <w:br w:type="textWrapping"/>
            </w:r>
            <w:r>
              <w:rPr>
                <w:rFonts w:hint="eastAsia" w:cs="Arial" w:asciiTheme="minorEastAsia" w:hAnsiTheme="minorEastAsia"/>
                <w:szCs w:val="21"/>
              </w:rPr>
              <w:t>控制数量：最多能控制6台中速升降柱</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岗亭</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包含岗亭、安全岛水泥浇筑等，尺寸根据现场情况定制；</w:t>
            </w:r>
          </w:p>
        </w:tc>
        <w:tc>
          <w:tcPr>
            <w:tcW w:w="993" w:type="dxa"/>
            <w:vAlign w:val="center"/>
          </w:tcPr>
          <w:p>
            <w:pPr>
              <w:snapToGrid w:val="0"/>
              <w:spacing w:line="276" w:lineRule="auto"/>
              <w:jc w:val="center"/>
              <w:rPr>
                <w:rFonts w:asciiTheme="minorEastAsia" w:hAnsiTheme="minorEastAsia"/>
                <w:szCs w:val="21"/>
              </w:rPr>
            </w:pPr>
            <w:r>
              <w:rPr>
                <w:rFonts w:cs="Arial" w:asciiTheme="minorEastAsia" w:hAnsiTheme="minorEastAsia"/>
                <w:szCs w:val="21"/>
              </w:rPr>
              <w:t>3</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门禁一体机</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7寸及以上电容触摸屏，分辨率不应低于600*1024，设备应能显示时间、日期、星期，刷卡/脸时显示用户名、用户照片信息、用户编号等。</w:t>
            </w:r>
            <w:r>
              <w:rPr>
                <w:rFonts w:hint="eastAsia" w:cs="Arial" w:asciiTheme="minorEastAsia" w:hAnsiTheme="minorEastAsia"/>
                <w:szCs w:val="21"/>
              </w:rPr>
              <w:br w:type="textWrapping"/>
            </w:r>
            <w:r>
              <w:rPr>
                <w:rFonts w:hint="eastAsia" w:cs="Arial" w:asciiTheme="minorEastAsia" w:hAnsiTheme="minorEastAsia"/>
                <w:szCs w:val="21"/>
              </w:rPr>
              <w:t>摄像头：设备应采用高清双目相机，≥1路200W可见光摄像头，≥1路200W红外补光摄像头。</w:t>
            </w:r>
            <w:r>
              <w:rPr>
                <w:rFonts w:hint="eastAsia" w:cs="Arial" w:asciiTheme="minorEastAsia" w:hAnsiTheme="minorEastAsia"/>
                <w:szCs w:val="21"/>
              </w:rPr>
              <w:br w:type="textWrapping"/>
            </w:r>
            <w:r>
              <w:rPr>
                <w:rFonts w:hint="eastAsia" w:cs="Arial" w:asciiTheme="minorEastAsia" w:hAnsiTheme="minorEastAsia"/>
                <w:szCs w:val="21"/>
              </w:rPr>
              <w:t>存储容量：系统应支持最多50000张卡片管理；50000张人脸容量，最大支持50000条含抓拍图的事件存储。</w:t>
            </w:r>
            <w:r>
              <w:rPr>
                <w:rFonts w:hint="eastAsia" w:cs="Arial" w:asciiTheme="minorEastAsia" w:hAnsiTheme="minorEastAsia"/>
                <w:szCs w:val="21"/>
              </w:rPr>
              <w:br w:type="textWrapping"/>
            </w:r>
            <w:r>
              <w:rPr>
                <w:rFonts w:hint="eastAsia" w:cs="Arial" w:asciiTheme="minorEastAsia" w:hAnsiTheme="minorEastAsia"/>
                <w:szCs w:val="21"/>
              </w:rPr>
              <w:t>工作模式：支持本地单机管理；支持远程中心远程管理等多种方式。</w:t>
            </w:r>
            <w:r>
              <w:rPr>
                <w:rFonts w:hint="eastAsia" w:cs="Arial" w:asciiTheme="minorEastAsia" w:hAnsiTheme="minorEastAsia"/>
                <w:szCs w:val="21"/>
              </w:rPr>
              <w:br w:type="textWrapping"/>
            </w:r>
            <w:r>
              <w:rPr>
                <w:rFonts w:hint="eastAsia" w:cs="Arial" w:asciiTheme="minorEastAsia" w:hAnsiTheme="minorEastAsia"/>
                <w:szCs w:val="21"/>
              </w:rPr>
              <w:t>识别模式：支持单人识别和多人识别模式。</w:t>
            </w:r>
            <w:r>
              <w:rPr>
                <w:rFonts w:hint="eastAsia" w:cs="Arial" w:asciiTheme="minorEastAsia" w:hAnsiTheme="minorEastAsia"/>
                <w:szCs w:val="21"/>
              </w:rPr>
              <w:br w:type="textWrapping"/>
            </w:r>
            <w:r>
              <w:rPr>
                <w:rFonts w:hint="eastAsia" w:cs="Arial" w:asciiTheme="minorEastAsia" w:hAnsiTheme="minorEastAsia"/>
                <w:szCs w:val="21"/>
              </w:rPr>
              <w:br w:type="textWrapping"/>
            </w:r>
            <w:r>
              <w:rPr>
                <w:rFonts w:hint="eastAsia" w:cs="Arial" w:asciiTheme="minorEastAsia" w:hAnsiTheme="minorEastAsia"/>
                <w:szCs w:val="21"/>
              </w:rPr>
              <w:t>人员识别精度：50000张底库照片下，准确率≥99.8%，误识率≤0.5%。</w:t>
            </w:r>
          </w:p>
          <w:p>
            <w:pPr>
              <w:snapToGrid w:val="0"/>
              <w:spacing w:line="276" w:lineRule="auto"/>
              <w:rPr>
                <w:rFonts w:cs="Arial" w:asciiTheme="minorEastAsia" w:hAnsiTheme="minorEastAsia"/>
                <w:szCs w:val="21"/>
              </w:rPr>
            </w:pPr>
            <w:r>
              <w:rPr>
                <w:rFonts w:hint="eastAsia" w:cs="Arial" w:asciiTheme="minorEastAsia" w:hAnsiTheme="minorEastAsia"/>
                <w:szCs w:val="21"/>
              </w:rPr>
              <w:t>人员识别速度：单次识别时间&lt;150ms。</w:t>
            </w:r>
          </w:p>
          <w:p>
            <w:pPr>
              <w:snapToGrid w:val="0"/>
              <w:spacing w:line="276" w:lineRule="auto"/>
              <w:rPr>
                <w:rFonts w:cs="Arial" w:asciiTheme="minorEastAsia" w:hAnsiTheme="minorEastAsia"/>
                <w:szCs w:val="21"/>
              </w:rPr>
            </w:pPr>
            <w:r>
              <w:rPr>
                <w:rFonts w:hint="eastAsia" w:cs="Arial" w:asciiTheme="minorEastAsia" w:hAnsiTheme="minorEastAsia"/>
                <w:szCs w:val="21"/>
              </w:rPr>
              <w:t>支持双目活体，可有效防御屏幕或纸片非活体攻击。</w:t>
            </w:r>
            <w:r>
              <w:rPr>
                <w:rFonts w:hint="eastAsia" w:cs="Arial" w:asciiTheme="minorEastAsia" w:hAnsiTheme="minorEastAsia"/>
                <w:szCs w:val="21"/>
              </w:rPr>
              <w:br w:type="textWrapping"/>
            </w:r>
            <w:r>
              <w:rPr>
                <w:rFonts w:hint="eastAsia" w:cs="Arial" w:asciiTheme="minorEastAsia" w:hAnsiTheme="minorEastAsia"/>
                <w:szCs w:val="21"/>
              </w:rPr>
              <w:t>环保补光：夜间通行，采用屏幕环保补光方案，无需补光灯补光，避免光线刺眼和光污染。</w:t>
            </w:r>
            <w:r>
              <w:rPr>
                <w:rFonts w:hint="eastAsia" w:cs="Arial" w:asciiTheme="minorEastAsia" w:hAnsiTheme="minorEastAsia"/>
                <w:szCs w:val="21"/>
              </w:rPr>
              <w:br w:type="textWrapping"/>
            </w:r>
            <w:r>
              <w:rPr>
                <w:rFonts w:hint="eastAsia" w:cs="Arial" w:asciiTheme="minorEastAsia" w:hAnsiTheme="minorEastAsia"/>
                <w:szCs w:val="21"/>
              </w:rPr>
              <w:t>防假体攻击准确率：防假体攻击准确率≥99.8%。</w:t>
            </w:r>
            <w:r>
              <w:rPr>
                <w:rFonts w:hint="eastAsia" w:cs="Arial" w:asciiTheme="minorEastAsia" w:hAnsiTheme="minorEastAsia"/>
                <w:szCs w:val="21"/>
              </w:rPr>
              <w:br w:type="textWrapping"/>
            </w:r>
            <w:r>
              <w:rPr>
                <w:rFonts w:hint="eastAsia" w:cs="Arial" w:asciiTheme="minorEastAsia" w:hAnsiTheme="minorEastAsia"/>
                <w:szCs w:val="21"/>
              </w:rPr>
              <w:t>支持口罩识别，口罩识别准确率：50000张底库照片下，准确率≥98%。</w:t>
            </w:r>
          </w:p>
          <w:p>
            <w:pPr>
              <w:snapToGrid w:val="0"/>
              <w:spacing w:line="276" w:lineRule="auto"/>
              <w:rPr>
                <w:rFonts w:asciiTheme="minorEastAsia" w:hAnsiTheme="minorEastAsia"/>
                <w:szCs w:val="21"/>
              </w:rPr>
            </w:pPr>
            <w:r>
              <w:rPr>
                <w:rFonts w:hint="eastAsia" w:cs="Arial" w:asciiTheme="minorEastAsia" w:hAnsiTheme="minorEastAsia"/>
                <w:szCs w:val="21"/>
              </w:rPr>
              <w:t>数据管理：1）持本地或远程中心下发或U盘导入；2）支持比对结果、抓拍图本地存储；3）实时上传中心及断网续传功能；4）支持本地U盘导出对比事件及人脸注册照片。</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45</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出门按钮</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红外感应出门开关</w:t>
            </w:r>
            <w:r>
              <w:rPr>
                <w:rFonts w:hint="eastAsia" w:cs="Arial" w:asciiTheme="minorEastAsia" w:hAnsiTheme="minorEastAsia"/>
                <w:szCs w:val="21"/>
              </w:rPr>
              <w:br w:type="textWrapping"/>
            </w:r>
            <w:r>
              <w:rPr>
                <w:rFonts w:hint="eastAsia" w:cs="Arial" w:asciiTheme="minorEastAsia" w:hAnsiTheme="minorEastAsia"/>
                <w:szCs w:val="21"/>
              </w:rPr>
              <w:t>一款基于红外技术的自动控制开关门产品，通过感应外界散发的红外热量实现其自动控制功能，能够快速开启自动门、防盗报警器等各种电器设备。采用超低功耗设计，可以串联在灯具照明回路，单极性控制。</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单门磁力锁</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280KG单门磁力锁</w:t>
            </w:r>
            <w:r>
              <w:rPr>
                <w:rFonts w:hint="eastAsia" w:cs="Arial" w:asciiTheme="minorEastAsia" w:hAnsiTheme="minorEastAsia"/>
                <w:szCs w:val="21"/>
              </w:rPr>
              <w:br w:type="textWrapping"/>
            </w:r>
            <w:r>
              <w:rPr>
                <w:rFonts w:hint="eastAsia" w:cs="Arial" w:asciiTheme="minorEastAsia" w:hAnsiTheme="minorEastAsia"/>
                <w:szCs w:val="21"/>
              </w:rPr>
              <w:t xml:space="preserve">工作电压：DC12V/DC24V          </w:t>
            </w:r>
            <w:r>
              <w:rPr>
                <w:rFonts w:hint="eastAsia" w:cs="Arial" w:asciiTheme="minorEastAsia" w:hAnsiTheme="minorEastAsia"/>
                <w:szCs w:val="21"/>
              </w:rPr>
              <w:br w:type="textWrapping"/>
            </w:r>
            <w:r>
              <w:rPr>
                <w:rFonts w:hint="eastAsia" w:cs="Arial" w:asciiTheme="minorEastAsia" w:hAnsiTheme="minorEastAsia"/>
                <w:szCs w:val="21"/>
              </w:rPr>
              <w:t xml:space="preserve">工作电流：480mA/240mA                                                              </w:t>
            </w:r>
          </w:p>
          <w:p>
            <w:pPr>
              <w:snapToGrid w:val="0"/>
              <w:spacing w:line="276" w:lineRule="auto"/>
              <w:rPr>
                <w:rFonts w:asciiTheme="minorEastAsia" w:hAnsiTheme="minorEastAsia"/>
                <w:szCs w:val="21"/>
              </w:rPr>
            </w:pPr>
            <w:r>
              <w:rPr>
                <w:rFonts w:hint="eastAsia" w:cs="Arial" w:asciiTheme="minorEastAsia" w:hAnsiTheme="minorEastAsia"/>
                <w:szCs w:val="21"/>
              </w:rPr>
              <w:t>适用门型：木门\玻璃门\金属门\防火门                                                      质量认证：CE/FCC/CMA                                                                        选配支架：ZVI-28L/28U/28ZL</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磁力锁支架</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280KG磁力锁支架（L型）</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门禁电源</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墙插式, 12V/2A, 圆头, 5.5-2.1mm，线长：1.5米</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45</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磁力锁电源</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电磁锁电源</w:t>
            </w:r>
            <w:r>
              <w:rPr>
                <w:rFonts w:hint="eastAsia" w:cs="Arial" w:asciiTheme="minorEastAsia" w:hAnsiTheme="minorEastAsia"/>
                <w:szCs w:val="21"/>
              </w:rPr>
              <w:br w:type="textWrapping"/>
            </w:r>
            <w:r>
              <w:rPr>
                <w:rFonts w:hint="eastAsia" w:cs="Arial" w:asciiTheme="minorEastAsia" w:hAnsiTheme="minorEastAsia"/>
                <w:szCs w:val="21"/>
              </w:rPr>
              <w:t>输入市电：AC200V—240V；</w:t>
            </w:r>
            <w:r>
              <w:rPr>
                <w:rFonts w:hint="eastAsia" w:cs="Arial" w:asciiTheme="minorEastAsia" w:hAnsiTheme="minorEastAsia"/>
                <w:szCs w:val="21"/>
              </w:rPr>
              <w:br w:type="textWrapping"/>
            </w:r>
            <w:r>
              <w:rPr>
                <w:rFonts w:hint="eastAsia" w:cs="Arial" w:asciiTheme="minorEastAsia" w:hAnsiTheme="minorEastAsia"/>
                <w:szCs w:val="21"/>
              </w:rPr>
              <w:t>DC12V电压：12V</w:t>
            </w:r>
            <w:r>
              <w:rPr>
                <w:rFonts w:hint="eastAsia" w:cs="Arial" w:asciiTheme="minorEastAsia" w:hAnsiTheme="minorEastAsia"/>
                <w:szCs w:val="21"/>
              </w:rPr>
              <w:br w:type="textWrapping"/>
            </w:r>
            <w:r>
              <w:rPr>
                <w:rFonts w:hint="eastAsia" w:cs="Arial" w:asciiTheme="minorEastAsia" w:hAnsiTheme="minorEastAsia"/>
                <w:szCs w:val="21"/>
              </w:rPr>
              <w:t>NC/NO输出电压：17V不 稳 压 ；</w:t>
            </w:r>
            <w:r>
              <w:rPr>
                <w:rFonts w:hint="eastAsia" w:cs="Arial" w:asciiTheme="minorEastAsia" w:hAnsiTheme="minorEastAsia"/>
                <w:szCs w:val="21"/>
              </w:rPr>
              <w:br w:type="textWrapping"/>
            </w:r>
            <w:r>
              <w:rPr>
                <w:rFonts w:hint="eastAsia" w:cs="Arial" w:asciiTheme="minorEastAsia" w:hAnsiTheme="minorEastAsia"/>
                <w:szCs w:val="21"/>
              </w:rPr>
              <w:t>NC/NO最大带3A负荷 ；</w:t>
            </w:r>
            <w:r>
              <w:rPr>
                <w:rFonts w:hint="eastAsia" w:cs="Arial" w:asciiTheme="minorEastAsia" w:hAnsiTheme="minorEastAsia"/>
                <w:szCs w:val="21"/>
              </w:rPr>
              <w:br w:type="textWrapping"/>
            </w:r>
            <w:r>
              <w:rPr>
                <w:rFonts w:hint="eastAsia" w:cs="Arial" w:asciiTheme="minorEastAsia" w:hAnsiTheme="minorEastAsia"/>
                <w:szCs w:val="21"/>
              </w:rPr>
              <w:t>DC12V最大带3A负荷 ；</w:t>
            </w:r>
            <w:r>
              <w:rPr>
                <w:rFonts w:hint="eastAsia" w:cs="Arial" w:asciiTheme="minorEastAsia" w:hAnsiTheme="minorEastAsia"/>
                <w:szCs w:val="21"/>
              </w:rPr>
              <w:br w:type="textWrapping"/>
            </w:r>
            <w:r>
              <w:rPr>
                <w:rFonts w:hint="eastAsia" w:cs="Arial" w:asciiTheme="minorEastAsia" w:hAnsiTheme="minorEastAsia"/>
                <w:szCs w:val="21"/>
              </w:rPr>
              <w:t>温度在-20℃—50C℃</w:t>
            </w:r>
            <w:r>
              <w:rPr>
                <w:rFonts w:hint="eastAsia" w:cs="Arial" w:asciiTheme="minorEastAsia" w:hAnsiTheme="minorEastAsia"/>
                <w:szCs w:val="21"/>
              </w:rPr>
              <w:br w:type="textWrapping"/>
            </w:r>
            <w:r>
              <w:rPr>
                <w:rFonts w:hint="eastAsia" w:cs="Arial" w:asciiTheme="minorEastAsia" w:hAnsiTheme="minorEastAsia"/>
                <w:szCs w:val="21"/>
              </w:rPr>
              <w:t>PUSH可接开关信号；</w:t>
            </w:r>
            <w:r>
              <w:rPr>
                <w:rFonts w:hint="eastAsia" w:cs="Arial" w:asciiTheme="minorEastAsia" w:hAnsiTheme="minorEastAsia"/>
                <w:szCs w:val="21"/>
              </w:rPr>
              <w:br w:type="textWrapping"/>
            </w:r>
            <w:r>
              <w:rPr>
                <w:rFonts w:hint="eastAsia" w:cs="Arial" w:asciiTheme="minorEastAsia" w:hAnsiTheme="minorEastAsia"/>
                <w:szCs w:val="21"/>
              </w:rPr>
              <w:t>CONTROL可接+-5V至+-15V电信号 ；</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CPU卡</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CPU卡</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1000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发卡器</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IC卡和普通CPU卡发卡器</w:t>
            </w:r>
            <w:r>
              <w:rPr>
                <w:rFonts w:hint="eastAsia" w:cs="Arial" w:asciiTheme="minorEastAsia" w:hAnsiTheme="minorEastAsia"/>
                <w:szCs w:val="21"/>
              </w:rPr>
              <w:br w:type="textWrapping"/>
            </w:r>
            <w:r>
              <w:rPr>
                <w:rFonts w:hint="eastAsia" w:cs="Arial" w:asciiTheme="minorEastAsia" w:hAnsiTheme="minorEastAsia"/>
                <w:szCs w:val="21"/>
              </w:rPr>
              <w:t>支持符合ISO1443A协议的卡片的物理卡号</w:t>
            </w:r>
            <w:r>
              <w:rPr>
                <w:rFonts w:hint="eastAsia" w:cs="Arial" w:asciiTheme="minorEastAsia" w:hAnsiTheme="minorEastAsia"/>
                <w:szCs w:val="21"/>
              </w:rPr>
              <w:br w:type="textWrapping"/>
            </w:r>
            <w:r>
              <w:rPr>
                <w:rFonts w:hint="eastAsia" w:cs="Arial" w:asciiTheme="minorEastAsia" w:hAnsiTheme="minorEastAsia"/>
                <w:szCs w:val="21"/>
              </w:rPr>
              <w:t>支持读写MF卡扇区内容和卡号</w:t>
            </w:r>
            <w:r>
              <w:rPr>
                <w:rFonts w:hint="eastAsia" w:cs="Arial" w:asciiTheme="minorEastAsia" w:hAnsiTheme="minorEastAsia"/>
                <w:szCs w:val="21"/>
              </w:rPr>
              <w:br w:type="textWrapping"/>
            </w:r>
            <w:r>
              <w:rPr>
                <w:rFonts w:hint="eastAsia" w:cs="Arial" w:asciiTheme="minorEastAsia" w:hAnsiTheme="minorEastAsia"/>
                <w:szCs w:val="21"/>
              </w:rPr>
              <w:t>支持读写CPU卡目录结构和密钥</w:t>
            </w:r>
            <w:r>
              <w:rPr>
                <w:rFonts w:hint="eastAsia" w:cs="Arial" w:asciiTheme="minorEastAsia" w:hAnsiTheme="minorEastAsia"/>
                <w:szCs w:val="21"/>
              </w:rPr>
              <w:br w:type="textWrapping"/>
            </w:r>
            <w:r>
              <w:rPr>
                <w:rFonts w:hint="eastAsia" w:cs="Arial" w:asciiTheme="minorEastAsia" w:hAnsiTheme="minorEastAsia"/>
                <w:szCs w:val="21"/>
              </w:rPr>
              <w:t>读卡距离大于4CM</w:t>
            </w:r>
            <w:r>
              <w:rPr>
                <w:rFonts w:hint="eastAsia" w:cs="Arial" w:asciiTheme="minorEastAsia" w:hAnsiTheme="minorEastAsia"/>
                <w:szCs w:val="21"/>
              </w:rPr>
              <w:br w:type="textWrapping"/>
            </w:r>
            <w:r>
              <w:rPr>
                <w:rFonts w:hint="eastAsia" w:cs="Arial" w:asciiTheme="minorEastAsia" w:hAnsiTheme="minorEastAsia"/>
                <w:szCs w:val="21"/>
              </w:rPr>
              <w:t xml:space="preserve">USB 标准键盘输出 </w:t>
            </w:r>
            <w:r>
              <w:rPr>
                <w:rFonts w:hint="eastAsia" w:cs="Arial" w:asciiTheme="minorEastAsia" w:hAnsiTheme="minorEastAsia"/>
                <w:szCs w:val="21"/>
              </w:rPr>
              <w:br w:type="textWrapping"/>
            </w:r>
            <w:r>
              <w:rPr>
                <w:rFonts w:hint="eastAsia" w:cs="Arial" w:asciiTheme="minorEastAsia" w:hAnsiTheme="minorEastAsia"/>
                <w:szCs w:val="21"/>
              </w:rPr>
              <w:t>金属材质</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闸机（双机芯）</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1500mm*200mm*990mm/20-60人每分钟，受人员情况和通行模式影响</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闸机（单机芯）</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通道宽度550mm-1100mm，500万次无障碍运行次数/翻越报警/分时段管控，最多支持8个时段常开、常闭模式设定/反潜回功能，单通道反潜回</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18</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自动排水泵</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功率：300~800W；功能：带浮球，水位达到一定高度后自行启动，进行排水。</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r>
              <w:rPr>
                <w:rFonts w:cs="Arial" w:asciiTheme="minorEastAsia" w:hAnsiTheme="minorEastAsia"/>
                <w:szCs w:val="21"/>
              </w:rPr>
              <w:t>9</w:t>
            </w:r>
          </w:p>
        </w:tc>
        <w:tc>
          <w:tcPr>
            <w:tcW w:w="2029" w:type="dxa"/>
            <w:gridSpan w:val="3"/>
            <w:vAlign w:val="center"/>
          </w:tcPr>
          <w:p>
            <w:pPr>
              <w:snapToGrid w:val="0"/>
              <w:spacing w:line="276" w:lineRule="auto"/>
              <w:rPr>
                <w:rFonts w:cs="Arial" w:asciiTheme="minorEastAsia" w:hAnsiTheme="minorEastAsia"/>
                <w:szCs w:val="21"/>
              </w:rPr>
            </w:pPr>
            <w:r>
              <w:rPr>
                <w:rFonts w:hint="eastAsia" w:cs="仿宋" w:asciiTheme="minorEastAsia" w:hAnsiTheme="minorEastAsia"/>
                <w:szCs w:val="21"/>
              </w:rPr>
              <w:t>高端智能片状门</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24V直流电机技术参数：</w:t>
            </w:r>
          </w:p>
          <w:p>
            <w:pPr>
              <w:snapToGrid w:val="0"/>
              <w:spacing w:line="276" w:lineRule="auto"/>
              <w:rPr>
                <w:rFonts w:cs="Arial" w:asciiTheme="minorEastAsia" w:hAnsiTheme="minorEastAsia"/>
                <w:szCs w:val="21"/>
              </w:rPr>
            </w:pPr>
            <w:r>
              <w:rPr>
                <w:rFonts w:hint="eastAsia" w:cs="Arial" w:asciiTheme="minorEastAsia" w:hAnsiTheme="minorEastAsia"/>
                <w:szCs w:val="21"/>
              </w:rPr>
              <w:t xml:space="preserve">额定电压： DC24V         </w:t>
            </w:r>
          </w:p>
          <w:p>
            <w:pPr>
              <w:snapToGrid w:val="0"/>
              <w:spacing w:line="276" w:lineRule="auto"/>
              <w:rPr>
                <w:rFonts w:cs="Arial" w:asciiTheme="minorEastAsia" w:hAnsiTheme="minorEastAsia"/>
                <w:szCs w:val="21"/>
              </w:rPr>
            </w:pPr>
            <w:r>
              <w:rPr>
                <w:rFonts w:hint="eastAsia" w:cs="Arial" w:asciiTheme="minorEastAsia" w:hAnsiTheme="minorEastAsia"/>
                <w:szCs w:val="21"/>
              </w:rPr>
              <w:t>额定输出功率：150W</w:t>
            </w:r>
          </w:p>
          <w:p>
            <w:pPr>
              <w:snapToGrid w:val="0"/>
              <w:spacing w:line="276" w:lineRule="auto"/>
              <w:rPr>
                <w:rFonts w:cs="Arial" w:asciiTheme="minorEastAsia" w:hAnsiTheme="minorEastAsia"/>
                <w:szCs w:val="21"/>
              </w:rPr>
            </w:pPr>
            <w:r>
              <w:rPr>
                <w:rFonts w:hint="eastAsia" w:cs="Arial" w:asciiTheme="minorEastAsia" w:hAnsiTheme="minorEastAsia"/>
                <w:szCs w:val="21"/>
              </w:rPr>
              <w:t xml:space="preserve">额定转速: 1800r/min       </w:t>
            </w:r>
          </w:p>
          <w:p>
            <w:pPr>
              <w:snapToGrid w:val="0"/>
              <w:spacing w:line="276" w:lineRule="auto"/>
              <w:rPr>
                <w:rFonts w:cs="Arial" w:asciiTheme="minorEastAsia" w:hAnsiTheme="minorEastAsia"/>
                <w:szCs w:val="21"/>
              </w:rPr>
            </w:pPr>
            <w:r>
              <w:rPr>
                <w:rFonts w:hint="eastAsia" w:cs="Arial" w:asciiTheme="minorEastAsia" w:hAnsiTheme="minorEastAsia"/>
                <w:szCs w:val="21"/>
              </w:rPr>
              <w:t>环境温度： -40℃～80℃</w:t>
            </w:r>
          </w:p>
          <w:p>
            <w:pPr>
              <w:snapToGrid w:val="0"/>
              <w:spacing w:line="276" w:lineRule="auto"/>
              <w:rPr>
                <w:rFonts w:cs="Arial" w:asciiTheme="minorEastAsia" w:hAnsiTheme="minorEastAsia"/>
                <w:szCs w:val="21"/>
              </w:rPr>
            </w:pPr>
            <w:r>
              <w:rPr>
                <w:rFonts w:hint="eastAsia" w:cs="Arial" w:asciiTheme="minorEastAsia" w:hAnsiTheme="minorEastAsia"/>
                <w:szCs w:val="21"/>
              </w:rPr>
              <w:t xml:space="preserve">绝缘等级： F级            </w:t>
            </w:r>
          </w:p>
          <w:p>
            <w:pPr>
              <w:snapToGrid w:val="0"/>
              <w:spacing w:line="276" w:lineRule="auto"/>
              <w:rPr>
                <w:rFonts w:cs="Arial" w:asciiTheme="minorEastAsia" w:hAnsiTheme="minorEastAsia"/>
                <w:szCs w:val="21"/>
              </w:rPr>
            </w:pPr>
            <w:r>
              <w:rPr>
                <w:rFonts w:hint="eastAsia" w:cs="Arial" w:asciiTheme="minorEastAsia" w:hAnsiTheme="minorEastAsia"/>
                <w:szCs w:val="21"/>
              </w:rPr>
              <w:t>防护等级： IP44</w:t>
            </w:r>
          </w:p>
          <w:p>
            <w:pPr>
              <w:snapToGrid w:val="0"/>
              <w:spacing w:line="276" w:lineRule="auto"/>
              <w:rPr>
                <w:rFonts w:cs="Arial" w:asciiTheme="minorEastAsia" w:hAnsiTheme="minorEastAsia"/>
                <w:szCs w:val="21"/>
              </w:rPr>
            </w:pPr>
            <w:r>
              <w:rPr>
                <w:rFonts w:hint="eastAsia" w:cs="Arial" w:asciiTheme="minorEastAsia" w:hAnsiTheme="minorEastAsia"/>
                <w:szCs w:val="21"/>
              </w:rPr>
              <w:t xml:space="preserve">空载噪音： ≤57dB         </w:t>
            </w:r>
          </w:p>
          <w:p>
            <w:pPr>
              <w:snapToGrid w:val="0"/>
              <w:spacing w:line="276" w:lineRule="auto"/>
              <w:rPr>
                <w:rFonts w:cs="Arial" w:asciiTheme="minorEastAsia" w:hAnsiTheme="minorEastAsia"/>
                <w:szCs w:val="21"/>
              </w:rPr>
            </w:pPr>
            <w:r>
              <w:rPr>
                <w:rFonts w:hint="eastAsia" w:cs="Arial" w:asciiTheme="minorEastAsia" w:hAnsiTheme="minorEastAsia"/>
                <w:szCs w:val="21"/>
              </w:rPr>
              <w:t xml:space="preserve">减速比：35：1      </w:t>
            </w:r>
          </w:p>
          <w:p>
            <w:pPr>
              <w:snapToGrid w:val="0"/>
              <w:spacing w:line="276" w:lineRule="auto"/>
              <w:rPr>
                <w:rFonts w:cs="Arial" w:asciiTheme="minorEastAsia" w:hAnsiTheme="minorEastAsia"/>
                <w:szCs w:val="21"/>
              </w:rPr>
            </w:pPr>
            <w:r>
              <w:rPr>
                <w:rFonts w:hint="eastAsia" w:cs="Arial" w:asciiTheme="minorEastAsia" w:hAnsiTheme="minorEastAsia"/>
                <w:szCs w:val="21"/>
              </w:rPr>
              <w:t>锂离子电池尺寸：215.5mm*150mm*68mm</w:t>
            </w:r>
          </w:p>
          <w:p>
            <w:pPr>
              <w:snapToGrid w:val="0"/>
              <w:spacing w:line="276" w:lineRule="auto"/>
              <w:rPr>
                <w:rFonts w:cs="Arial" w:asciiTheme="minorEastAsia" w:hAnsiTheme="minorEastAsia"/>
                <w:szCs w:val="21"/>
              </w:rPr>
            </w:pPr>
            <w:r>
              <w:rPr>
                <w:rFonts w:hint="eastAsia" w:cs="Arial" w:asciiTheme="minorEastAsia" w:hAnsiTheme="minorEastAsia"/>
                <w:szCs w:val="21"/>
              </w:rPr>
              <w:t>锂离子电池重量：7S1P:0.7KG; 7S2P:1KG</w:t>
            </w:r>
          </w:p>
          <w:p>
            <w:pPr>
              <w:snapToGrid w:val="0"/>
              <w:spacing w:line="276" w:lineRule="auto"/>
              <w:rPr>
                <w:rFonts w:cs="Arial" w:asciiTheme="minorEastAsia" w:hAnsiTheme="minorEastAsia"/>
                <w:szCs w:val="21"/>
              </w:rPr>
            </w:pPr>
            <w:r>
              <w:rPr>
                <w:rFonts w:hint="eastAsia" w:cs="Arial" w:asciiTheme="minorEastAsia" w:hAnsiTheme="minorEastAsia"/>
                <w:szCs w:val="21"/>
              </w:rPr>
              <w:t>锂离子电池输入：恒流恒压充电、充电限制电压DC29V、充电电流≤2A</w:t>
            </w:r>
            <w:r>
              <w:rPr>
                <w:rFonts w:hint="eastAsia" w:cs="Arial" w:asciiTheme="minorEastAsia" w:hAnsiTheme="minorEastAsia"/>
                <w:szCs w:val="21"/>
              </w:rPr>
              <w:tab/>
            </w:r>
          </w:p>
          <w:p>
            <w:pPr>
              <w:snapToGrid w:val="0"/>
              <w:spacing w:line="276" w:lineRule="auto"/>
              <w:rPr>
                <w:rFonts w:cs="Arial" w:asciiTheme="minorEastAsia" w:hAnsiTheme="minorEastAsia"/>
                <w:szCs w:val="21"/>
              </w:rPr>
            </w:pPr>
            <w:r>
              <w:rPr>
                <w:rFonts w:hint="eastAsia" w:cs="Arial" w:asciiTheme="minorEastAsia" w:hAnsiTheme="minorEastAsia"/>
                <w:szCs w:val="21"/>
              </w:rPr>
              <w:t>锂离子电池输出：19.6～29VDC、输出电流≤10A</w:t>
            </w:r>
          </w:p>
          <w:p>
            <w:pPr>
              <w:snapToGrid w:val="0"/>
              <w:spacing w:line="276" w:lineRule="auto"/>
              <w:rPr>
                <w:rFonts w:cs="Arial" w:asciiTheme="minorEastAsia" w:hAnsiTheme="minorEastAsia"/>
                <w:szCs w:val="21"/>
              </w:rPr>
            </w:pPr>
            <w:r>
              <w:rPr>
                <w:rFonts w:hint="eastAsia" w:cs="Arial" w:asciiTheme="minorEastAsia" w:hAnsiTheme="minorEastAsia"/>
                <w:szCs w:val="21"/>
              </w:rPr>
              <w:t>锂离子电池完全充满时间：29V2A充电时间为3个小时。</w:t>
            </w:r>
          </w:p>
          <w:p>
            <w:pPr>
              <w:snapToGrid w:val="0"/>
              <w:spacing w:line="276" w:lineRule="auto"/>
              <w:rPr>
                <w:rFonts w:cs="Arial" w:asciiTheme="minorEastAsia" w:hAnsiTheme="minorEastAsia"/>
                <w:szCs w:val="21"/>
              </w:rPr>
            </w:pPr>
            <w:r>
              <w:rPr>
                <w:rFonts w:hint="eastAsia" w:cs="Arial" w:asciiTheme="minorEastAsia" w:hAnsiTheme="minorEastAsia"/>
                <w:szCs w:val="21"/>
              </w:rPr>
              <w:t>具体大小：根据学校大门规格现场定；</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安装调试费</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安装调试</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snapToGrid w:val="0"/>
              <w:spacing w:line="276" w:lineRule="auto"/>
              <w:jc w:val="center"/>
              <w:rPr>
                <w:rFonts w:cs="Arial" w:asciiTheme="minorEastAsia" w:hAnsiTheme="minorEastAsia"/>
                <w:szCs w:val="21"/>
              </w:rPr>
            </w:pPr>
          </w:p>
        </w:tc>
        <w:tc>
          <w:tcPr>
            <w:tcW w:w="2029" w:type="dxa"/>
            <w:gridSpan w:val="3"/>
            <w:vAlign w:val="center"/>
          </w:tcPr>
          <w:p>
            <w:pPr>
              <w:snapToGrid w:val="0"/>
              <w:spacing w:line="276" w:lineRule="auto"/>
              <w:rPr>
                <w:rFonts w:cs="Arial" w:asciiTheme="minorEastAsia" w:hAnsiTheme="minorEastAsia"/>
                <w:szCs w:val="21"/>
              </w:rPr>
            </w:pPr>
          </w:p>
        </w:tc>
        <w:tc>
          <w:tcPr>
            <w:tcW w:w="9087" w:type="dxa"/>
            <w:vAlign w:val="center"/>
          </w:tcPr>
          <w:p>
            <w:pPr>
              <w:snapToGrid w:val="0"/>
              <w:spacing w:line="276" w:lineRule="auto"/>
              <w:rPr>
                <w:rFonts w:cs="Arial" w:asciiTheme="minorEastAsia" w:hAnsiTheme="minorEastAsia"/>
                <w:szCs w:val="21"/>
              </w:rPr>
            </w:pPr>
          </w:p>
        </w:tc>
        <w:tc>
          <w:tcPr>
            <w:tcW w:w="993" w:type="dxa"/>
            <w:vAlign w:val="center"/>
          </w:tcPr>
          <w:p>
            <w:pPr>
              <w:snapToGrid w:val="0"/>
              <w:spacing w:line="276" w:lineRule="auto"/>
              <w:jc w:val="center"/>
              <w:rPr>
                <w:rFonts w:cs="Arial" w:asciiTheme="minorEastAsia" w:hAnsiTheme="minorEastAsia"/>
                <w:szCs w:val="21"/>
              </w:rPr>
            </w:pPr>
          </w:p>
        </w:tc>
        <w:tc>
          <w:tcPr>
            <w:tcW w:w="811" w:type="dxa"/>
            <w:vAlign w:val="center"/>
          </w:tcPr>
          <w:p>
            <w:pPr>
              <w:snapToGrid w:val="0"/>
              <w:spacing w:line="276" w:lineRule="auto"/>
              <w:jc w:val="center"/>
              <w:rPr>
                <w:rFonts w:cs="Arial"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shd w:val="clear" w:color="auto" w:fill="EEECE1" w:themeFill="background2"/>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智慧校园可视化安防平台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人员轨迹及分析系统</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系统应具备用户管理和权限管理功能。</w:t>
            </w:r>
            <w:r>
              <w:rPr>
                <w:rFonts w:hint="eastAsia" w:cs="Arial" w:asciiTheme="minorEastAsia" w:hAnsiTheme="minorEastAsia"/>
                <w:szCs w:val="21"/>
              </w:rPr>
              <w:br w:type="textWrapping"/>
            </w:r>
            <w:r>
              <w:rPr>
                <w:rFonts w:hint="eastAsia" w:cs="Arial" w:asciiTheme="minorEastAsia" w:hAnsiTheme="minorEastAsia"/>
                <w:szCs w:val="21"/>
              </w:rPr>
              <w:t>支持查看通行、综合管控、周界警戒、行为检测的记录统计数据</w:t>
            </w:r>
            <w:r>
              <w:rPr>
                <w:rFonts w:hint="eastAsia" w:cs="Arial" w:asciiTheme="minorEastAsia" w:hAnsiTheme="minorEastAsia"/>
                <w:szCs w:val="21"/>
              </w:rPr>
              <w:br w:type="textWrapping"/>
            </w:r>
            <w:r>
              <w:rPr>
                <w:rFonts w:hint="eastAsia" w:cs="Arial" w:asciiTheme="minorEastAsia" w:hAnsiTheme="minorEastAsia"/>
                <w:szCs w:val="21"/>
              </w:rPr>
              <w:t>支持趋势图、折线图、饼图等展示形式</w:t>
            </w:r>
            <w:r>
              <w:rPr>
                <w:rFonts w:hint="eastAsia" w:cs="Arial" w:asciiTheme="minorEastAsia" w:hAnsiTheme="minorEastAsia"/>
                <w:szCs w:val="21"/>
              </w:rPr>
              <w:br w:type="textWrapping"/>
            </w:r>
            <w:r>
              <w:rPr>
                <w:rFonts w:hint="eastAsia" w:cs="Arial" w:asciiTheme="minorEastAsia" w:hAnsiTheme="minorEastAsia"/>
                <w:szCs w:val="21"/>
              </w:rPr>
              <w:t>支持按照权限分配数据看板内容</w:t>
            </w:r>
            <w:r>
              <w:rPr>
                <w:rFonts w:hint="eastAsia" w:cs="Arial" w:asciiTheme="minorEastAsia" w:hAnsiTheme="minorEastAsia"/>
                <w:szCs w:val="21"/>
              </w:rPr>
              <w:br w:type="textWrapping"/>
            </w:r>
            <w:r>
              <w:rPr>
                <w:rFonts w:hint="eastAsia" w:cs="Arial" w:asciiTheme="minorEastAsia" w:hAnsiTheme="minorEastAsia"/>
                <w:szCs w:val="21"/>
              </w:rPr>
              <w:t>支持事件联调推送展示</w:t>
            </w:r>
            <w:r>
              <w:rPr>
                <w:rFonts w:hint="eastAsia" w:cs="Arial" w:asciiTheme="minorEastAsia" w:hAnsiTheme="minorEastAsia"/>
                <w:szCs w:val="21"/>
              </w:rPr>
              <w:br w:type="textWrapping"/>
            </w:r>
            <w:r>
              <w:rPr>
                <w:rFonts w:hint="eastAsia" w:cs="Arial" w:asciiTheme="minorEastAsia" w:hAnsiTheme="minorEastAsia"/>
                <w:szCs w:val="21"/>
              </w:rPr>
              <w:t>支持对通行、综合管控、周界警戒、行为检测的记录配置多种的联动方式</w:t>
            </w:r>
            <w:r>
              <w:rPr>
                <w:rFonts w:hint="eastAsia" w:cs="Arial" w:asciiTheme="minorEastAsia" w:hAnsiTheme="minorEastAsia"/>
                <w:szCs w:val="21"/>
              </w:rPr>
              <w:br w:type="textWrapping"/>
            </w:r>
            <w:r>
              <w:rPr>
                <w:rFonts w:hint="eastAsia" w:cs="Arial" w:asciiTheme="minorEastAsia" w:hAnsiTheme="minorEastAsia"/>
                <w:szCs w:val="21"/>
              </w:rPr>
              <w:t>支持定义事件优先级，支持联动推送、联动弹窗、联动数据看板</w:t>
            </w:r>
            <w:r>
              <w:rPr>
                <w:rFonts w:hint="eastAsia" w:cs="Arial" w:asciiTheme="minorEastAsia" w:hAnsiTheme="minorEastAsia"/>
                <w:szCs w:val="21"/>
              </w:rPr>
              <w:br w:type="textWrapping"/>
            </w:r>
            <w:r>
              <w:rPr>
                <w:rFonts w:hint="eastAsia" w:cs="Arial" w:asciiTheme="minorEastAsia" w:hAnsiTheme="minorEastAsia"/>
                <w:szCs w:val="21"/>
              </w:rPr>
              <w:t>支持对事件进行处理操作</w:t>
            </w:r>
            <w:r>
              <w:rPr>
                <w:rFonts w:hint="eastAsia" w:cs="Arial" w:asciiTheme="minorEastAsia" w:hAnsiTheme="minorEastAsia"/>
                <w:szCs w:val="21"/>
              </w:rPr>
              <w:br w:type="textWrapping"/>
            </w:r>
            <w:r>
              <w:rPr>
                <w:rFonts w:hint="eastAsia" w:cs="Arial" w:asciiTheme="minorEastAsia" w:hAnsiTheme="minorEastAsia"/>
                <w:szCs w:val="21"/>
              </w:rPr>
              <w:t>支持实时结构化预览，实时推送人机非的结构化属性</w:t>
            </w:r>
            <w:r>
              <w:rPr>
                <w:rFonts w:hint="eastAsia" w:cs="Arial" w:asciiTheme="minorEastAsia" w:hAnsiTheme="minorEastAsia"/>
                <w:szCs w:val="21"/>
              </w:rPr>
              <w:br w:type="textWrapping"/>
            </w:r>
            <w:r>
              <w:rPr>
                <w:rFonts w:hint="eastAsia" w:cs="Arial" w:asciiTheme="minorEastAsia" w:hAnsiTheme="minorEastAsia"/>
                <w:szCs w:val="21"/>
              </w:rPr>
              <w:t>支持实时周界警戒/行为检测预览，实时推送预警和报警事件</w:t>
            </w:r>
            <w:r>
              <w:rPr>
                <w:rFonts w:hint="eastAsia" w:cs="Arial" w:asciiTheme="minorEastAsia" w:hAnsiTheme="minorEastAsia"/>
                <w:szCs w:val="21"/>
              </w:rPr>
              <w:br w:type="textWrapping"/>
            </w:r>
            <w:r>
              <w:rPr>
                <w:rFonts w:hint="eastAsia" w:cs="Arial" w:asciiTheme="minorEastAsia" w:hAnsiTheme="minorEastAsia"/>
                <w:szCs w:val="21"/>
              </w:rPr>
              <w:t>告警输出功能：系统应根据告警信息，输出告警现场图像、现场人脸图像和对应的监视名单中目标人</w:t>
            </w:r>
            <w:r>
              <w:rPr>
                <w:rFonts w:hint="eastAsia" w:cs="Arial" w:asciiTheme="minorEastAsia" w:hAnsiTheme="minorEastAsia"/>
                <w:szCs w:val="21"/>
              </w:rPr>
              <w:br w:type="textWrapping"/>
            </w:r>
            <w:r>
              <w:rPr>
                <w:rFonts w:hint="eastAsia" w:cs="Arial" w:asciiTheme="minorEastAsia" w:hAnsiTheme="minorEastAsia"/>
                <w:szCs w:val="21"/>
              </w:rPr>
              <w:t>事件管理功能：支持展示事件记录，可查看事件详情，包括事件抓拍图，全景图，事件类型，抓拍设备，抓拍时间，事件等级和事件状态，对配置录像功能的抓拍点位查看录像。支持填写事件处理备注</w:t>
            </w:r>
            <w:r>
              <w:rPr>
                <w:rFonts w:hint="eastAsia" w:cs="Arial" w:asciiTheme="minorEastAsia" w:hAnsiTheme="minorEastAsia"/>
                <w:szCs w:val="21"/>
              </w:rPr>
              <w:br w:type="textWrapping"/>
            </w:r>
            <w:r>
              <w:rPr>
                <w:rFonts w:hint="eastAsia" w:cs="Arial" w:asciiTheme="minorEastAsia" w:hAnsiTheme="minorEastAsia"/>
                <w:szCs w:val="21"/>
              </w:rPr>
              <w:t>支持区域管理、用户管理、角色管理、地图管理、操作日志、参数配置等功能</w:t>
            </w:r>
            <w:r>
              <w:rPr>
                <w:rFonts w:hint="eastAsia" w:cs="Arial" w:asciiTheme="minorEastAsia" w:hAnsiTheme="minorEastAsia"/>
                <w:szCs w:val="21"/>
              </w:rPr>
              <w:br w:type="textWrapping"/>
            </w:r>
            <w:r>
              <w:rPr>
                <w:rFonts w:hint="eastAsia" w:cs="Arial" w:asciiTheme="minorEastAsia" w:hAnsiTheme="minorEastAsia"/>
                <w:szCs w:val="21"/>
              </w:rPr>
              <w:t>最大同时在线用户数：1000"</w:t>
            </w:r>
            <w:r>
              <w:rPr>
                <w:rFonts w:hint="eastAsia" w:cs="Arial" w:asciiTheme="minorEastAsia" w:hAnsiTheme="minorEastAsia"/>
                <w:szCs w:val="21"/>
              </w:rPr>
              <w:br w:type="textWrapping"/>
            </w:r>
            <w:r>
              <w:rPr>
                <w:rFonts w:hint="eastAsia" w:cs="Arial" w:asciiTheme="minorEastAsia" w:hAnsiTheme="minorEastAsia"/>
                <w:szCs w:val="21"/>
              </w:rPr>
              <w:t>支持设备、组织、人员、人员组、车辆等功能</w:t>
            </w:r>
            <w:r>
              <w:rPr>
                <w:rFonts w:hint="eastAsia" w:cs="Arial" w:asciiTheme="minorEastAsia" w:hAnsiTheme="minorEastAsia"/>
                <w:szCs w:val="21"/>
              </w:rPr>
              <w:br w:type="textWrapping"/>
            </w:r>
            <w:r>
              <w:rPr>
                <w:rFonts w:hint="eastAsia" w:cs="Arial" w:asciiTheme="minorEastAsia" w:hAnsiTheme="minorEastAsia"/>
                <w:szCs w:val="21"/>
              </w:rPr>
              <w:t>◆人脸库容量支持200万及以上（</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◆支持进行入库参数配置，参数信息包括入库标准、垂直角度、水平角度、模糊度、旋转角度、亮度标准差、最小人脸、最小平均亮度、最大平均亮度。（</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 xml:space="preserve">支持JPG、JPEG、PNG、BMP、JPG、TIF、WEBP格式的人员图片入库功能。 </w:t>
            </w:r>
            <w:r>
              <w:rPr>
                <w:rFonts w:hint="eastAsia" w:cs="Arial" w:asciiTheme="minorEastAsia" w:hAnsiTheme="minorEastAsia"/>
                <w:szCs w:val="21"/>
              </w:rPr>
              <w:br w:type="textWrapping"/>
            </w:r>
            <w:r>
              <w:rPr>
                <w:rFonts w:hint="eastAsia" w:cs="Arial" w:asciiTheme="minorEastAsia" w:hAnsiTheme="minorEastAsia"/>
                <w:szCs w:val="21"/>
              </w:rPr>
              <w:t>支持在数据库中加密存储手机号、证件号、邮箱、用户登录密码。</w:t>
            </w:r>
            <w:r>
              <w:rPr>
                <w:rFonts w:hint="eastAsia" w:cs="Arial" w:asciiTheme="minorEastAsia" w:hAnsiTheme="minorEastAsia"/>
                <w:szCs w:val="21"/>
              </w:rPr>
              <w:br w:type="textWrapping"/>
            </w:r>
            <w:r>
              <w:rPr>
                <w:rFonts w:hint="eastAsia" w:cs="Arial" w:asciiTheme="minorEastAsia" w:hAnsiTheme="minorEastAsia"/>
                <w:szCs w:val="21"/>
              </w:rPr>
              <w:t>人员比对功能：系统应能从获取的人脸图像中提取人员特征，并与监视名单中所有目标人特征进行比对，生成相似度值。</w:t>
            </w:r>
            <w:r>
              <w:rPr>
                <w:rFonts w:hint="eastAsia" w:cs="Arial" w:asciiTheme="minorEastAsia" w:hAnsiTheme="minorEastAsia"/>
                <w:szCs w:val="21"/>
              </w:rPr>
              <w:br w:type="textWrapping"/>
            </w:r>
            <w:r>
              <w:rPr>
                <w:rFonts w:hint="eastAsia" w:cs="Arial" w:asciiTheme="minorEastAsia" w:hAnsiTheme="minorEastAsia"/>
                <w:szCs w:val="21"/>
              </w:rPr>
              <w:t>系统应能从获取的人员图像中提取特征，并与监视名单中所有目标人特征进行比对，生成相似度值。</w:t>
            </w:r>
            <w:r>
              <w:rPr>
                <w:rFonts w:hint="eastAsia" w:cs="Arial" w:asciiTheme="minorEastAsia" w:hAnsiTheme="minorEastAsia"/>
                <w:szCs w:val="21"/>
              </w:rPr>
              <w:br w:type="textWrapping"/>
            </w:r>
            <w:r>
              <w:rPr>
                <w:rFonts w:hint="eastAsia" w:cs="Arial" w:asciiTheme="minorEastAsia" w:hAnsiTheme="minorEastAsia"/>
                <w:szCs w:val="21"/>
              </w:rPr>
              <w:t>支持上传图片、设置底库和阈值进行人员比对。底库包括人员库、访客库、关注人员库和陌生人库。</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通行管理模块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支持门禁点管理、时间计划设置</w:t>
            </w:r>
            <w:r>
              <w:rPr>
                <w:rFonts w:hint="eastAsia" w:cs="Arial" w:asciiTheme="minorEastAsia" w:hAnsiTheme="minorEastAsia"/>
                <w:szCs w:val="21"/>
              </w:rPr>
              <w:br w:type="textWrapping"/>
            </w:r>
            <w:r>
              <w:rPr>
                <w:rFonts w:hint="eastAsia" w:cs="Arial" w:asciiTheme="minorEastAsia" w:hAnsiTheme="minorEastAsia"/>
                <w:szCs w:val="21"/>
              </w:rPr>
              <w:t>支持设置门禁权限，包括设备、人员组、时间计划等</w:t>
            </w:r>
            <w:r>
              <w:rPr>
                <w:rFonts w:hint="eastAsia" w:cs="Arial" w:asciiTheme="minorEastAsia" w:hAnsiTheme="minorEastAsia"/>
                <w:szCs w:val="21"/>
              </w:rPr>
              <w:br w:type="textWrapping"/>
            </w:r>
            <w:r>
              <w:rPr>
                <w:rFonts w:hint="eastAsia" w:cs="Arial" w:asciiTheme="minorEastAsia" w:hAnsiTheme="minorEastAsia"/>
                <w:szCs w:val="21"/>
              </w:rPr>
              <w:t>支持对不同身份、是否佩戴口罩、测温结果配置门禁权限</w:t>
            </w:r>
            <w:r>
              <w:rPr>
                <w:rFonts w:hint="eastAsia" w:cs="Arial" w:asciiTheme="minorEastAsia" w:hAnsiTheme="minorEastAsia"/>
                <w:szCs w:val="21"/>
              </w:rPr>
              <w:br w:type="textWrapping"/>
            </w:r>
            <w:r>
              <w:rPr>
                <w:rFonts w:hint="eastAsia" w:cs="Arial" w:asciiTheme="minorEastAsia" w:hAnsiTheme="minorEastAsia"/>
                <w:szCs w:val="21"/>
              </w:rPr>
              <w:t>支持通行记录查看、门禁事件告警</w:t>
            </w:r>
            <w:r>
              <w:rPr>
                <w:rFonts w:hint="eastAsia" w:cs="Arial" w:asciiTheme="minorEastAsia" w:hAnsiTheme="minorEastAsia"/>
                <w:szCs w:val="21"/>
              </w:rPr>
              <w:br w:type="textWrapping"/>
            </w:r>
            <w:r>
              <w:rPr>
                <w:rFonts w:hint="eastAsia" w:cs="Arial" w:asciiTheme="minorEastAsia" w:hAnsiTheme="minorEastAsia"/>
                <w:szCs w:val="21"/>
              </w:rPr>
              <w:t>支持门禁设备的远程开门操作</w:t>
            </w:r>
            <w:r>
              <w:rPr>
                <w:rFonts w:hint="eastAsia" w:cs="Arial" w:asciiTheme="minorEastAsia" w:hAnsiTheme="minorEastAsia"/>
                <w:szCs w:val="21"/>
              </w:rPr>
              <w:br w:type="textWrapping"/>
            </w:r>
            <w:r>
              <w:rPr>
                <w:rFonts w:hint="eastAsia" w:cs="Arial" w:asciiTheme="minorEastAsia" w:hAnsiTheme="minorEastAsia"/>
                <w:szCs w:val="21"/>
              </w:rPr>
              <w:t>考勤管理功能：支持展示考勤设备信息，包括设备名称、设备类型、设备型号。 支持按设备名称、设备位置、设备类型、设备型号检索考勤设备。支持新建考勤组，包括名称，考勤人员，考勤时段和考勤周期。支持按区域、姓名、员工编号、开始结束时间检索考勤记录，并导出检索记录。支持在考勤记录上进行出勤调整操作。支持按区域、部门、姓名、员工编号、考勤组名称、开始结束时间检索考勤统计结果，并导出检索结果。支持增加出勤调整信息。调整类型包括补卡，请假，调休，调班。支持检索并导出出勤调整信息。</w:t>
            </w:r>
            <w:r>
              <w:rPr>
                <w:rFonts w:hint="eastAsia" w:cs="Arial" w:asciiTheme="minorEastAsia" w:hAnsiTheme="minorEastAsia"/>
                <w:szCs w:val="21"/>
              </w:rPr>
              <w:br w:type="textWrapping"/>
            </w:r>
            <w:r>
              <w:rPr>
                <w:rFonts w:hint="eastAsia" w:cs="Arial" w:asciiTheme="minorEastAsia" w:hAnsiTheme="minorEastAsia"/>
                <w:szCs w:val="21"/>
              </w:rPr>
              <w:t>访客记录展示和检索功能：支持展示访客记录。支持按区域、姓名、受访员工、设备、识别方式、通行状态、开始时间、结束时间、口罩状态、访客类型检索访客记录，并导出检索结果。</w:t>
            </w:r>
            <w:r>
              <w:rPr>
                <w:rFonts w:hint="eastAsia" w:cs="Arial" w:asciiTheme="minorEastAsia" w:hAnsiTheme="minorEastAsia"/>
                <w:szCs w:val="21"/>
              </w:rPr>
              <w:br w:type="textWrapping"/>
            </w:r>
            <w:r>
              <w:rPr>
                <w:rFonts w:hint="eastAsia" w:cs="Arial" w:asciiTheme="minorEastAsia" w:hAnsiTheme="minorEastAsia"/>
                <w:szCs w:val="21"/>
              </w:rPr>
              <w:t>◆迎宾管理功能： 支持增加，修改，删除和绑定迎宾设备。支持修改主题，包括主题背景，是否允许同人同屏多次弹窗、弹窗停留时间、陌生人提醒设置、关注人员提醒设置、上传显示公司logo。迎宾设备支持绑定摄像机和识别平台操作。（</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支持增加、修改、删除设备。设备类型包括智能摄像机、网络摄像机、智能服务器、存储服务器。支持发现注册的识别门禁一体机设备，可添加、删除、修改设备。支持按设备名称检索设备。</w:t>
            </w:r>
            <w:r>
              <w:rPr>
                <w:rFonts w:hint="eastAsia" w:cs="Arial" w:asciiTheme="minorEastAsia" w:hAnsiTheme="minorEastAsia"/>
                <w:szCs w:val="21"/>
              </w:rPr>
              <w:br w:type="textWrapping"/>
            </w:r>
            <w:r>
              <w:rPr>
                <w:rFonts w:hint="eastAsia" w:cs="Arial" w:asciiTheme="minorEastAsia" w:hAnsiTheme="minorEastAsia"/>
                <w:szCs w:val="21"/>
              </w:rPr>
              <w:t>支持展示门禁告警记录。告警类型包括存储空间占用超过90%报警、防拆报警、胁迫报警、密码破解报警、门禁开放超时报警、消防报警、测温模块失效报警。支持按区域、设备名称、告警类型、开始时间、结束时间检索门禁告警记录，并导出检索结果。</w:t>
            </w:r>
            <w:r>
              <w:rPr>
                <w:rFonts w:hint="eastAsia" w:cs="Arial" w:asciiTheme="minorEastAsia" w:hAnsiTheme="minorEastAsia"/>
                <w:szCs w:val="21"/>
              </w:rPr>
              <w:br w:type="textWrapping"/>
            </w:r>
            <w:r>
              <w:rPr>
                <w:rFonts w:hint="eastAsia" w:cs="Arial" w:asciiTheme="minorEastAsia" w:hAnsiTheme="minorEastAsia"/>
                <w:szCs w:val="21"/>
              </w:rPr>
              <w:t>支持开启胁迫开关，设置胁迫密码。 配合识别门禁一体机，输入胁迫密码后，可在平台弹窗提示，并在通行记录中查看胁迫记录。（</w:t>
            </w:r>
            <w:r>
              <w:rPr>
                <w:rFonts w:hint="eastAsia"/>
              </w:rPr>
              <w:t>具有国家认可检测资质的第三方机构出具的</w:t>
            </w:r>
            <w:r>
              <w:rPr>
                <w:rFonts w:hint="eastAsia" w:cs="Arial" w:asciiTheme="minorEastAsia" w:hAnsiTheme="minorEastAsia"/>
                <w:szCs w:val="21"/>
              </w:rPr>
              <w:t>检测、检验报告）</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轨迹追踪模块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支持对重点人员、员工、访客、全局陌生人配置布控规则</w:t>
            </w:r>
            <w:r>
              <w:rPr>
                <w:rFonts w:hint="eastAsia" w:cs="Arial" w:asciiTheme="minorEastAsia" w:hAnsiTheme="minorEastAsia"/>
                <w:szCs w:val="21"/>
              </w:rPr>
              <w:br w:type="textWrapping"/>
            </w:r>
            <w:r>
              <w:rPr>
                <w:rFonts w:hint="eastAsia" w:cs="Arial" w:asciiTheme="minorEastAsia" w:hAnsiTheme="minorEastAsia"/>
                <w:szCs w:val="21"/>
              </w:rPr>
              <w:t>支持查看布控记录和全局陌生人识别记录</w:t>
            </w:r>
            <w:r>
              <w:rPr>
                <w:rFonts w:hint="eastAsia" w:cs="Arial" w:asciiTheme="minorEastAsia" w:hAnsiTheme="minorEastAsia"/>
                <w:szCs w:val="21"/>
              </w:rPr>
              <w:br w:type="textWrapping"/>
            </w:r>
            <w:r>
              <w:rPr>
                <w:rFonts w:hint="eastAsia" w:cs="Arial" w:asciiTheme="minorEastAsia" w:hAnsiTheme="minorEastAsia"/>
                <w:szCs w:val="21"/>
              </w:rPr>
              <w:t>支持对重点人员和陌生人的出现次数进行统计，查看高频重点人员</w:t>
            </w:r>
            <w:r>
              <w:rPr>
                <w:rFonts w:hint="eastAsia" w:cs="Arial" w:asciiTheme="minorEastAsia" w:hAnsiTheme="minorEastAsia"/>
                <w:szCs w:val="21"/>
              </w:rPr>
              <w:br w:type="textWrapping"/>
            </w:r>
            <w:r>
              <w:rPr>
                <w:rFonts w:hint="eastAsia" w:cs="Arial" w:asciiTheme="minorEastAsia" w:hAnsiTheme="minorEastAsia"/>
                <w:szCs w:val="21"/>
              </w:rPr>
              <w:t>支持以脸搜脸、人员轨迹检索查询"</w:t>
            </w:r>
            <w:r>
              <w:rPr>
                <w:rFonts w:hint="eastAsia" w:cs="Arial" w:asciiTheme="minorEastAsia" w:hAnsiTheme="minorEastAsia"/>
                <w:szCs w:val="21"/>
              </w:rPr>
              <w:br w:type="textWrapping"/>
            </w:r>
            <w:r>
              <w:rPr>
                <w:rFonts w:hint="eastAsia" w:cs="Arial" w:asciiTheme="minorEastAsia" w:hAnsiTheme="minorEastAsia"/>
                <w:szCs w:val="21"/>
              </w:rPr>
              <w:t>支持对车辆配置布控规则</w:t>
            </w:r>
            <w:r>
              <w:rPr>
                <w:rFonts w:hint="eastAsia" w:cs="Arial" w:asciiTheme="minorEastAsia" w:hAnsiTheme="minorEastAsia"/>
                <w:szCs w:val="21"/>
              </w:rPr>
              <w:br w:type="textWrapping"/>
            </w:r>
            <w:r>
              <w:rPr>
                <w:rFonts w:hint="eastAsia" w:cs="Arial" w:asciiTheme="minorEastAsia" w:hAnsiTheme="minorEastAsia"/>
                <w:szCs w:val="21"/>
              </w:rPr>
              <w:t>支持查看车辆识别记录，包含车辆身份和车辆属性</w:t>
            </w:r>
            <w:r>
              <w:rPr>
                <w:rFonts w:hint="eastAsia" w:cs="Arial" w:asciiTheme="minorEastAsia" w:hAnsiTheme="minorEastAsia"/>
                <w:szCs w:val="21"/>
              </w:rPr>
              <w:br w:type="textWrapping"/>
            </w:r>
            <w:r>
              <w:rPr>
                <w:rFonts w:hint="eastAsia" w:cs="Arial" w:asciiTheme="minorEastAsia" w:hAnsiTheme="minorEastAsia"/>
                <w:szCs w:val="21"/>
              </w:rPr>
              <w:t>支持车辆轨迹检索查询"</w:t>
            </w:r>
            <w:r>
              <w:rPr>
                <w:rFonts w:hint="eastAsia" w:cs="Arial" w:asciiTheme="minorEastAsia" w:hAnsiTheme="minorEastAsia"/>
                <w:szCs w:val="21"/>
              </w:rPr>
              <w:br w:type="textWrapping"/>
            </w:r>
            <w:r>
              <w:rPr>
                <w:rFonts w:hint="eastAsia" w:cs="Arial" w:asciiTheme="minorEastAsia" w:hAnsiTheme="minorEastAsia"/>
                <w:szCs w:val="21"/>
              </w:rPr>
              <w:t>支持配置结构化布控规则</w:t>
            </w:r>
            <w:r>
              <w:rPr>
                <w:rFonts w:hint="eastAsia" w:cs="Arial" w:asciiTheme="minorEastAsia" w:hAnsiTheme="minorEastAsia"/>
                <w:szCs w:val="21"/>
              </w:rPr>
              <w:br w:type="textWrapping"/>
            </w:r>
            <w:r>
              <w:rPr>
                <w:rFonts w:hint="eastAsia" w:cs="Arial" w:asciiTheme="minorEastAsia" w:hAnsiTheme="minorEastAsia"/>
                <w:szCs w:val="21"/>
              </w:rPr>
              <w:t>支持属性检索，ReID检索"</w:t>
            </w:r>
            <w:r>
              <w:rPr>
                <w:rFonts w:hint="eastAsia" w:cs="Arial" w:asciiTheme="minorEastAsia" w:hAnsiTheme="minorEastAsia"/>
                <w:szCs w:val="21"/>
              </w:rPr>
              <w:br w:type="textWrapping"/>
            </w:r>
            <w:r>
              <w:rPr>
                <w:rFonts w:hint="eastAsia" w:cs="Arial" w:asciiTheme="minorEastAsia" w:hAnsiTheme="minorEastAsia"/>
                <w:szCs w:val="21"/>
              </w:rPr>
              <w:t>◆支持在预览画面对人体、车辆、非机动车叠加检测框和结构化属性信息，可在预览画面下方展示抓拍图和结构化属性信息（</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支持展示陌生人识别结果，包括抓拍图、设备、归属区域、抓拍时间。（需提供公安部检测、检验报告复印件并加盖公章）</w:t>
            </w:r>
            <w:r>
              <w:rPr>
                <w:rFonts w:hint="eastAsia" w:cs="Arial" w:asciiTheme="minorEastAsia" w:hAnsiTheme="minorEastAsia"/>
                <w:szCs w:val="21"/>
              </w:rPr>
              <w:br w:type="textWrapping"/>
            </w:r>
            <w:r>
              <w:rPr>
                <w:rFonts w:hint="eastAsia" w:cs="Arial" w:asciiTheme="minorEastAsia" w:hAnsiTheme="minorEastAsia"/>
                <w:szCs w:val="21"/>
              </w:rPr>
              <w:t>◆支持查看陌生人识别详情，包括抓拍图、全景图、设备、归属区域、抓拍时间、人员类型，对配置录像功能的抓拍点位查看录像。（</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◆支持在陌生人识别详情中点击“查看轨迹”跳转展示人员轨迹，可对轨迹进行播放、暂停、快进、快退、重播操作。支持导出陌生人识别结果。（</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支持按最近出现时间和抓拍次数排序展示高频关注人员识别结果。</w:t>
            </w:r>
            <w:r>
              <w:rPr>
                <w:rFonts w:hint="eastAsia" w:cs="Arial" w:asciiTheme="minorEastAsia" w:hAnsiTheme="minorEastAsia"/>
                <w:szCs w:val="21"/>
              </w:rPr>
              <w:br w:type="textWrapping"/>
            </w:r>
            <w:r>
              <w:rPr>
                <w:rFonts w:hint="eastAsia" w:cs="Arial" w:asciiTheme="minorEastAsia" w:hAnsiTheme="minorEastAsia"/>
                <w:szCs w:val="21"/>
              </w:rPr>
              <w:t>支持地图管理，可上传地图图片，支持在地图图片中标记设备位置</w:t>
            </w:r>
            <w:r>
              <w:rPr>
                <w:rFonts w:hint="eastAsia" w:cs="Arial" w:asciiTheme="minorEastAsia" w:hAnsiTheme="minorEastAsia"/>
                <w:szCs w:val="21"/>
              </w:rPr>
              <w:br w:type="textWrapping"/>
            </w:r>
            <w:r>
              <w:rPr>
                <w:rFonts w:hint="eastAsia" w:cs="Arial" w:asciiTheme="minorEastAsia" w:hAnsiTheme="minorEastAsia"/>
                <w:szCs w:val="21"/>
              </w:rPr>
              <w:t>抓拍库容量最大支持6亿张，包括人体/机动车/非机动车抓拍图片。</w:t>
            </w:r>
            <w:r>
              <w:rPr>
                <w:rFonts w:hint="eastAsia" w:cs="Arial" w:asciiTheme="minorEastAsia" w:hAnsiTheme="minorEastAsia"/>
                <w:szCs w:val="21"/>
              </w:rPr>
              <w:br w:type="textWrapping"/>
            </w:r>
            <w:r>
              <w:rPr>
                <w:rFonts w:hint="eastAsia" w:cs="Arial" w:asciiTheme="minorEastAsia" w:hAnsiTheme="minorEastAsia"/>
                <w:szCs w:val="21"/>
              </w:rPr>
              <w:t>支持上传人员图片进行轨迹检索，包括员工、关注人员、访客、陌生人。</w:t>
            </w:r>
            <w:r>
              <w:rPr>
                <w:rFonts w:hint="eastAsia" w:cs="Arial" w:asciiTheme="minorEastAsia" w:hAnsiTheme="minorEastAsia"/>
                <w:szCs w:val="21"/>
              </w:rPr>
              <w:br w:type="textWrapping"/>
            </w:r>
            <w:r>
              <w:rPr>
                <w:rFonts w:hint="eastAsia" w:cs="Arial" w:asciiTheme="minorEastAsia" w:hAnsiTheme="minorEastAsia"/>
                <w:szCs w:val="21"/>
              </w:rPr>
              <w:t>支持上传一张图片对图片库进行1：N比对，结果返回相似度最高的1000张人员图片。</w:t>
            </w:r>
            <w:r>
              <w:rPr>
                <w:rFonts w:hint="eastAsia" w:cs="Arial" w:asciiTheme="minorEastAsia" w:hAnsiTheme="minorEastAsia"/>
                <w:szCs w:val="21"/>
              </w:rPr>
              <w:br w:type="textWrapping"/>
            </w:r>
            <w:r>
              <w:rPr>
                <w:rFonts w:hint="eastAsia" w:cs="Arial" w:asciiTheme="minorEastAsia" w:hAnsiTheme="minorEastAsia"/>
                <w:szCs w:val="21"/>
              </w:rPr>
              <w:t>支持上传一张人体图片对抓拍库人体进行1：N比对，结果返回相似度最高的1000张抓拍库图片。</w:t>
            </w:r>
            <w:r>
              <w:rPr>
                <w:rFonts w:hint="eastAsia" w:cs="Arial" w:asciiTheme="minorEastAsia" w:hAnsiTheme="minorEastAsia"/>
                <w:szCs w:val="21"/>
              </w:rPr>
              <w:br w:type="textWrapping"/>
            </w:r>
            <w:r>
              <w:rPr>
                <w:rFonts w:hint="eastAsia" w:cs="Arial" w:asciiTheme="minorEastAsia" w:hAnsiTheme="minorEastAsia"/>
                <w:szCs w:val="21"/>
              </w:rPr>
              <w:t>支持展示抓拍记录，可查看抓拍详情。抓拍详情可包括抓拍图、人体关联图、全景图、抓拍类型、抓拍设备、抓拍时间、性别、年龄、口罩状态、眼镜状态、胡子特征、发型、鼻子有无遮挡。</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行为分析模块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支持行为检测类型：抽烟、奔跑、摔倒、扭打、打电话、看手机、值岗-离岗/少员/超员、人员聚众</w:t>
            </w:r>
            <w:r>
              <w:rPr>
                <w:rFonts w:hint="eastAsia" w:cs="Arial" w:asciiTheme="minorEastAsia" w:hAnsiTheme="minorEastAsia"/>
                <w:szCs w:val="21"/>
              </w:rPr>
              <w:br w:type="textWrapping"/>
            </w:r>
            <w:r>
              <w:rPr>
                <w:rFonts w:hint="eastAsia" w:cs="Arial" w:asciiTheme="minorEastAsia" w:hAnsiTheme="minorEastAsia"/>
                <w:szCs w:val="21"/>
              </w:rPr>
              <w:t>支持支持对单个设备同时布控两种行为类型</w:t>
            </w:r>
            <w:r>
              <w:rPr>
                <w:rFonts w:hint="eastAsia" w:cs="Arial" w:asciiTheme="minorEastAsia" w:hAnsiTheme="minorEastAsia"/>
                <w:szCs w:val="21"/>
              </w:rPr>
              <w:br w:type="textWrapping"/>
            </w:r>
            <w:r>
              <w:rPr>
                <w:rFonts w:hint="eastAsia" w:cs="Arial" w:asciiTheme="minorEastAsia" w:hAnsiTheme="minorEastAsia"/>
                <w:szCs w:val="21"/>
              </w:rPr>
              <w:t>支持对视频流设置人员奔跑行为检测规则，包括绘制禁跑区域、设置检测目标大小、时间计划和报警间隔。 禁跑区域支持全局或多区域，多区域时支持绘制 4 个禁跑区域</w:t>
            </w:r>
            <w:r>
              <w:rPr>
                <w:rFonts w:hint="eastAsia" w:cs="Arial" w:asciiTheme="minorEastAsia" w:hAnsiTheme="minorEastAsia"/>
                <w:szCs w:val="21"/>
              </w:rPr>
              <w:br w:type="textWrapping"/>
            </w:r>
            <w:r>
              <w:rPr>
                <w:rFonts w:hint="eastAsia" w:cs="Arial" w:asciiTheme="minorEastAsia" w:hAnsiTheme="minorEastAsia" w:eastAsiaTheme="minorEastAsia"/>
                <w:bCs/>
                <w:szCs w:val="21"/>
              </w:rPr>
              <w:t>◆支持对视频流设置人员跌倒行为检测规则，包括绘制检测区域、设置检测目标大小、时间计划和报警间隔。</w:t>
            </w:r>
            <w:r>
              <w:rPr>
                <w:rFonts w:cs="Arial" w:asciiTheme="minorEastAsia" w:hAnsiTheme="minorEastAsia" w:eastAsiaTheme="minorEastAsia"/>
                <w:bCs/>
                <w:szCs w:val="21"/>
              </w:rPr>
              <w:t xml:space="preserve"> </w:t>
            </w:r>
            <w:r>
              <w:rPr>
                <w:rFonts w:hint="eastAsia" w:cs="Arial" w:asciiTheme="minorEastAsia" w:hAnsiTheme="minorEastAsia" w:eastAsiaTheme="minorEastAsia"/>
                <w:bCs/>
                <w:szCs w:val="21"/>
              </w:rPr>
              <w:t>检测区域支持全局或多区域，多区域时支持绘制</w:t>
            </w:r>
            <w:r>
              <w:rPr>
                <w:rFonts w:cs="Arial" w:asciiTheme="minorEastAsia" w:hAnsiTheme="minorEastAsia" w:eastAsiaTheme="minorEastAsia"/>
                <w:bCs/>
                <w:szCs w:val="21"/>
              </w:rPr>
              <w:t xml:space="preserve"> 4 </w:t>
            </w:r>
            <w:r>
              <w:rPr>
                <w:rFonts w:hint="eastAsia" w:cs="Arial" w:asciiTheme="minorEastAsia" w:hAnsiTheme="minorEastAsia" w:eastAsiaTheme="minorEastAsia"/>
                <w:bCs/>
                <w:szCs w:val="21"/>
              </w:rPr>
              <w:t>个检测区域。支持对视频流设置人车防碰撞预警行为检测规则，包括绘制检测区域、设置检测目标大小、时间计划。支持后台设置人车在视频画面中的距离阈值。（</w:t>
            </w:r>
            <w:r>
              <w:rPr>
                <w:rFonts w:hint="eastAsia"/>
                <w:bCs/>
              </w:rPr>
              <w:t>具有国家认可检测资质的第三方机构出具的</w:t>
            </w:r>
            <w:r>
              <w:rPr>
                <w:rFonts w:hint="eastAsia" w:cs="Arial" w:asciiTheme="minorEastAsia" w:hAnsiTheme="minorEastAsia"/>
                <w:bCs/>
                <w:szCs w:val="21"/>
              </w:rPr>
              <w:t>检测、检验报告</w:t>
            </w:r>
            <w:r>
              <w:rPr>
                <w:rFonts w:hint="eastAsia" w:cs="Arial" w:asciiTheme="minorEastAsia" w:hAnsiTheme="minorEastAsia" w:eastAsiaTheme="minorEastAsia"/>
                <w:bCs/>
                <w:szCs w:val="21"/>
              </w:rPr>
              <w:t>）</w:t>
            </w:r>
            <w:r>
              <w:rPr>
                <w:rFonts w:hint="eastAsia" w:cs="Arial" w:asciiTheme="minorEastAsia" w:hAnsiTheme="minorEastAsia"/>
                <w:szCs w:val="21"/>
              </w:rPr>
              <w:br w:type="textWrapping"/>
            </w:r>
            <w:r>
              <w:rPr>
                <w:rFonts w:hint="eastAsia" w:cs="Arial" w:asciiTheme="minorEastAsia" w:hAnsiTheme="minorEastAsia"/>
                <w:szCs w:val="21"/>
              </w:rPr>
              <w:br w:type="textWrapping"/>
            </w:r>
            <w:r>
              <w:rPr>
                <w:rFonts w:hint="eastAsia" w:cs="Arial" w:asciiTheme="minorEastAsia" w:hAnsiTheme="minorEastAsia"/>
                <w:szCs w:val="21"/>
              </w:rPr>
              <w:t>支持对视频流设置人员打架行为检测规则，包括设置检测目标大小、时间计划和报警间隔。检测区域支持全局区域。</w:t>
            </w:r>
            <w:r>
              <w:rPr>
                <w:rFonts w:hint="eastAsia" w:cs="Arial" w:asciiTheme="minorEastAsia" w:hAnsiTheme="minorEastAsia"/>
                <w:szCs w:val="21"/>
              </w:rPr>
              <w:br w:type="textWrapping"/>
            </w:r>
            <w:r>
              <w:rPr>
                <w:rFonts w:hint="eastAsia" w:cs="Arial" w:asciiTheme="minorEastAsia" w:hAnsiTheme="minorEastAsia"/>
                <w:szCs w:val="21"/>
              </w:rPr>
              <w:t>支持对视频流设置人员看手机行为检测规则，包括绘制检测区域、设置检测目标大小、时间计划、延迟报警和报警间隔。 检测区域支持全局或多区域，多区域时最多可支持绘制 8 个区域。</w:t>
            </w:r>
            <w:r>
              <w:rPr>
                <w:rFonts w:hint="eastAsia" w:cs="Arial" w:asciiTheme="minorEastAsia" w:hAnsiTheme="minorEastAsia"/>
                <w:szCs w:val="21"/>
              </w:rPr>
              <w:br w:type="textWrapping"/>
            </w:r>
            <w:r>
              <w:rPr>
                <w:rFonts w:hint="eastAsia" w:cs="Arial" w:asciiTheme="minorEastAsia" w:hAnsiTheme="minorEastAsia"/>
                <w:szCs w:val="21"/>
              </w:rPr>
              <w:t>支持人员抽烟行为告警功能检查，当检测到视频画面中人员在设定区域内具有手持烟在嘴边姿态时可进行抓拍和告警。</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5</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周界警戒模块</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支持周界类型：人员越界、人员越界-翻墙、人员入侵、人员徘徊、车辆越界、车辆禁停、车辆离开、车辆逆行、防碰撞预警</w:t>
            </w:r>
            <w:r>
              <w:rPr>
                <w:rFonts w:hint="eastAsia" w:cs="Arial" w:asciiTheme="minorEastAsia" w:hAnsiTheme="minorEastAsia"/>
                <w:szCs w:val="21"/>
              </w:rPr>
              <w:br w:type="textWrapping"/>
            </w:r>
            <w:r>
              <w:rPr>
                <w:rFonts w:hint="eastAsia" w:cs="Arial" w:asciiTheme="minorEastAsia" w:hAnsiTheme="minorEastAsia"/>
                <w:szCs w:val="21"/>
              </w:rPr>
              <w:t>支持对单个设备同时布控两种周界类型</w:t>
            </w:r>
            <w:r>
              <w:rPr>
                <w:rFonts w:hint="eastAsia" w:cs="Arial" w:asciiTheme="minorEastAsia" w:hAnsiTheme="minorEastAsia"/>
                <w:szCs w:val="21"/>
              </w:rPr>
              <w:br w:type="textWrapping"/>
            </w:r>
            <w:r>
              <w:rPr>
                <w:rFonts w:hint="eastAsia" w:cs="Arial" w:asciiTheme="minorEastAsia" w:hAnsiTheme="minorEastAsia"/>
                <w:szCs w:val="21"/>
              </w:rPr>
              <w:t>支持查询周界警戒记录</w:t>
            </w:r>
            <w:r>
              <w:rPr>
                <w:rFonts w:hint="eastAsia" w:cs="Arial" w:asciiTheme="minorEastAsia" w:hAnsiTheme="minorEastAsia"/>
                <w:szCs w:val="21"/>
              </w:rPr>
              <w:br w:type="textWrapping"/>
            </w:r>
            <w:r>
              <w:rPr>
                <w:rFonts w:hint="eastAsia" w:cs="Arial" w:asciiTheme="minorEastAsia" w:hAnsiTheme="minorEastAsia"/>
                <w:szCs w:val="21"/>
              </w:rPr>
              <w:t>支持人体越线行为告警功能。支持查看人体越线告警记录，记录包括抓拍图、设备、归属区域、警戒开始时间。</w:t>
            </w:r>
            <w:r>
              <w:rPr>
                <w:rFonts w:hint="eastAsia" w:cs="Arial" w:asciiTheme="minorEastAsia" w:hAnsiTheme="minorEastAsia"/>
                <w:szCs w:val="21"/>
              </w:rPr>
              <w:br w:type="textWrapping"/>
            </w:r>
            <w:r>
              <w:rPr>
                <w:rFonts w:hint="eastAsia" w:cs="Arial" w:asciiTheme="minorEastAsia" w:hAnsiTheme="minorEastAsia"/>
                <w:szCs w:val="21"/>
              </w:rPr>
              <w:t>支持人体徘徊行为告警功能。支持60分钟人体徘徊行为告警。支持查看人体徘徊告警记录，记录包括抓拍图、设备、归属区域、警戒开始时间、警戒结束时间、持续时间。</w:t>
            </w:r>
            <w:r>
              <w:rPr>
                <w:rFonts w:hint="eastAsia" w:cs="Arial" w:asciiTheme="minorEastAsia" w:hAnsiTheme="minorEastAsia"/>
                <w:szCs w:val="21"/>
              </w:rPr>
              <w:br w:type="textWrapping"/>
            </w:r>
            <w:r>
              <w:rPr>
                <w:rFonts w:hint="eastAsia" w:cs="Arial" w:asciiTheme="minorEastAsia" w:hAnsiTheme="minorEastAsia"/>
                <w:szCs w:val="21"/>
              </w:rPr>
              <w:t>支持人体区域入侵行为告警功能。支持查看人体区域入侵告警记录，记录包括抓拍图、设备、归属区域、警戒开始时间、警戒结束时间、持续时间。</w:t>
            </w:r>
            <w:r>
              <w:rPr>
                <w:rFonts w:hint="eastAsia" w:cs="Arial" w:asciiTheme="minorEastAsia" w:hAnsiTheme="minorEastAsia"/>
                <w:szCs w:val="21"/>
              </w:rPr>
              <w:br w:type="textWrapping"/>
            </w:r>
            <w:r>
              <w:rPr>
                <w:rFonts w:hint="eastAsia" w:cs="Arial" w:asciiTheme="minorEastAsia" w:hAnsiTheme="minorEastAsia" w:eastAsiaTheme="minorEastAsia"/>
                <w:bCs/>
                <w:szCs w:val="21"/>
              </w:rPr>
              <w:t>◆支持人体翻墙行为告警功能。支持对墙体正拍、墙体斜拍、墙头俯拍监控角度的人体翻墙行为进行告警。</w:t>
            </w:r>
            <w:r>
              <w:rPr>
                <w:rFonts w:cs="Arial" w:asciiTheme="minorEastAsia" w:hAnsiTheme="minorEastAsia" w:eastAsiaTheme="minorEastAsia"/>
                <w:bCs/>
                <w:szCs w:val="21"/>
              </w:rPr>
              <w:t xml:space="preserve"> </w:t>
            </w:r>
            <w:r>
              <w:rPr>
                <w:rFonts w:hint="eastAsia" w:cs="Arial" w:asciiTheme="minorEastAsia" w:hAnsiTheme="minorEastAsia" w:eastAsiaTheme="minorEastAsia"/>
                <w:bCs/>
                <w:szCs w:val="21"/>
              </w:rPr>
              <w:t>支持查看人体翻墙告警记录，记录包括抓拍图、设备、归属区域、警戒开始时间。（</w:t>
            </w:r>
            <w:r>
              <w:rPr>
                <w:rFonts w:hint="eastAsia"/>
                <w:bCs/>
              </w:rPr>
              <w:t>具有国家认可检测资质的第三方机构出具的</w:t>
            </w:r>
            <w:r>
              <w:rPr>
                <w:rFonts w:hint="eastAsia" w:cs="Arial" w:asciiTheme="minorEastAsia" w:hAnsiTheme="minorEastAsia"/>
                <w:bCs/>
                <w:szCs w:val="21"/>
              </w:rPr>
              <w:t>检测、检验报告</w:t>
            </w:r>
            <w:r>
              <w:rPr>
                <w:rFonts w:hint="eastAsia" w:cs="Arial" w:asciiTheme="minorEastAsia" w:hAnsiTheme="minorEastAsia" w:eastAsiaTheme="minorEastAsia"/>
                <w:bCs/>
                <w:szCs w:val="21"/>
              </w:rPr>
              <w:t>）</w:t>
            </w:r>
            <w:r>
              <w:rPr>
                <w:rFonts w:hint="eastAsia" w:cs="Arial" w:asciiTheme="minorEastAsia" w:hAnsiTheme="minorEastAsia"/>
                <w:szCs w:val="21"/>
              </w:rPr>
              <w:br w:type="textWrapping"/>
            </w:r>
            <w:r>
              <w:rPr>
                <w:rFonts w:hint="eastAsia" w:cs="Arial" w:asciiTheme="minorEastAsia" w:hAnsiTheme="minorEastAsia"/>
                <w:szCs w:val="21"/>
              </w:rPr>
              <w:t>支持车辆违停行为告警功能，车辆遮挡面积最大不超过1/2。支持查看车辆违停记录，记录包括抓拍图、设备、归属区域、警戒开始时间、警戒结束时间、持续时间。</w:t>
            </w:r>
            <w:r>
              <w:rPr>
                <w:rFonts w:hint="eastAsia" w:cs="Arial" w:asciiTheme="minorEastAsia" w:hAnsiTheme="minorEastAsia"/>
                <w:szCs w:val="21"/>
              </w:rPr>
              <w:br w:type="textWrapping"/>
            </w:r>
            <w:r>
              <w:rPr>
                <w:rFonts w:hint="eastAsia" w:cs="Arial" w:asciiTheme="minorEastAsia" w:hAnsiTheme="minorEastAsia"/>
                <w:szCs w:val="21"/>
              </w:rPr>
              <w:t>支持车辆离开行为告警功能，车辆遮挡面积最大不超过1/2。支持查看车辆离开告警记录，记录包括抓拍图、设备、归属区域、警戒开始时间。</w:t>
            </w:r>
            <w:r>
              <w:rPr>
                <w:rFonts w:hint="eastAsia" w:cs="Arial" w:asciiTheme="minorEastAsia" w:hAnsiTheme="minorEastAsia"/>
                <w:szCs w:val="21"/>
              </w:rPr>
              <w:br w:type="textWrapping"/>
            </w:r>
            <w:r>
              <w:rPr>
                <w:rFonts w:hint="eastAsia" w:cs="Arial" w:asciiTheme="minorEastAsia" w:hAnsiTheme="minorEastAsia" w:eastAsiaTheme="minorEastAsia"/>
                <w:bCs/>
                <w:szCs w:val="21"/>
              </w:rPr>
              <w:t>◆视频中人体越线行为清晰可辨的情况下、日间人体越线告警准确率≥</w:t>
            </w:r>
            <w:r>
              <w:rPr>
                <w:rFonts w:cs="Arial" w:asciiTheme="minorEastAsia" w:hAnsiTheme="minorEastAsia" w:eastAsiaTheme="minorEastAsia"/>
                <w:bCs/>
                <w:szCs w:val="21"/>
              </w:rPr>
              <w:t>99%</w:t>
            </w:r>
            <w:r>
              <w:rPr>
                <w:rFonts w:hint="eastAsia" w:cs="Arial" w:asciiTheme="minorEastAsia" w:hAnsiTheme="minorEastAsia" w:eastAsiaTheme="minorEastAsia"/>
                <w:bCs/>
                <w:szCs w:val="21"/>
              </w:rPr>
              <w:t>，夜间人体越线告警准确率≥</w:t>
            </w:r>
            <w:r>
              <w:rPr>
                <w:rFonts w:cs="Arial" w:asciiTheme="minorEastAsia" w:hAnsiTheme="minorEastAsia" w:eastAsiaTheme="minorEastAsia"/>
                <w:bCs/>
                <w:szCs w:val="21"/>
              </w:rPr>
              <w:t>90%</w:t>
            </w:r>
            <w:r>
              <w:rPr>
                <w:rFonts w:hint="eastAsia" w:cs="Arial" w:asciiTheme="minorEastAsia" w:hAnsiTheme="minorEastAsia" w:eastAsiaTheme="minorEastAsia"/>
                <w:bCs/>
                <w:szCs w:val="21"/>
              </w:rPr>
              <w:t>。（</w:t>
            </w:r>
            <w:r>
              <w:rPr>
                <w:rFonts w:hint="eastAsia"/>
                <w:bCs/>
              </w:rPr>
              <w:t>具有国家认可检测资质的第三方机构出具的</w:t>
            </w:r>
            <w:r>
              <w:rPr>
                <w:rFonts w:hint="eastAsia" w:cs="Arial" w:asciiTheme="minorEastAsia" w:hAnsiTheme="minorEastAsia"/>
                <w:bCs/>
                <w:szCs w:val="21"/>
              </w:rPr>
              <w:t>检测、检验报告</w:t>
            </w:r>
            <w:r>
              <w:rPr>
                <w:rFonts w:hint="eastAsia" w:cs="Arial" w:asciiTheme="minorEastAsia" w:hAnsiTheme="minorEastAsia" w:eastAsiaTheme="minorEastAsia"/>
                <w:bCs/>
                <w:szCs w:val="21"/>
              </w:rPr>
              <w:t>）</w:t>
            </w:r>
            <w:r>
              <w:rPr>
                <w:rFonts w:cs="Arial" w:asciiTheme="minorEastAsia" w:hAnsiTheme="minorEastAsia" w:eastAsiaTheme="minorEastAsia"/>
                <w:bCs/>
                <w:szCs w:val="21"/>
              </w:rPr>
              <w:br w:type="textWrapping"/>
            </w:r>
            <w:r>
              <w:rPr>
                <w:rFonts w:hint="eastAsia" w:cs="Arial" w:asciiTheme="minorEastAsia" w:hAnsiTheme="minorEastAsia" w:eastAsiaTheme="minorEastAsia"/>
                <w:bCs/>
                <w:szCs w:val="21"/>
              </w:rPr>
              <w:t>◆视频中人体翻墙行为清晰可辨的情况下、</w:t>
            </w:r>
            <w:r>
              <w:rPr>
                <w:rFonts w:cs="Arial" w:asciiTheme="minorEastAsia" w:hAnsiTheme="minorEastAsia" w:eastAsiaTheme="minorEastAsia"/>
                <w:bCs/>
                <w:szCs w:val="21"/>
              </w:rPr>
              <w:t xml:space="preserve">   </w:t>
            </w:r>
            <w:r>
              <w:rPr>
                <w:rFonts w:hint="eastAsia" w:cs="Arial" w:asciiTheme="minorEastAsia" w:hAnsiTheme="minorEastAsia" w:eastAsiaTheme="minorEastAsia"/>
                <w:bCs/>
                <w:szCs w:val="21"/>
              </w:rPr>
              <w:t>日间人体翻墙告警准确率≥</w:t>
            </w:r>
            <w:r>
              <w:rPr>
                <w:rFonts w:cs="Arial" w:asciiTheme="minorEastAsia" w:hAnsiTheme="minorEastAsia" w:eastAsiaTheme="minorEastAsia"/>
                <w:bCs/>
                <w:szCs w:val="21"/>
              </w:rPr>
              <w:t>98%</w:t>
            </w:r>
            <w:r>
              <w:rPr>
                <w:rFonts w:hint="eastAsia" w:cs="Arial" w:asciiTheme="minorEastAsia" w:hAnsiTheme="minorEastAsia" w:eastAsiaTheme="minorEastAsia"/>
                <w:bCs/>
                <w:szCs w:val="21"/>
              </w:rPr>
              <w:t>，夜间人体翻墙告警准确率≥</w:t>
            </w:r>
            <w:r>
              <w:rPr>
                <w:rFonts w:cs="Arial" w:asciiTheme="minorEastAsia" w:hAnsiTheme="minorEastAsia" w:eastAsiaTheme="minorEastAsia"/>
                <w:bCs/>
                <w:szCs w:val="21"/>
              </w:rPr>
              <w:t>90%</w:t>
            </w:r>
            <w:r>
              <w:rPr>
                <w:rFonts w:hint="eastAsia" w:cs="Arial" w:asciiTheme="minorEastAsia" w:hAnsiTheme="minorEastAsia" w:eastAsiaTheme="minorEastAsia"/>
                <w:bCs/>
                <w:szCs w:val="21"/>
              </w:rPr>
              <w:t>（</w:t>
            </w:r>
            <w:r>
              <w:rPr>
                <w:rFonts w:hint="eastAsia"/>
                <w:bCs/>
              </w:rPr>
              <w:t>具有国家认可检测资质的第三方机构出具的</w:t>
            </w:r>
            <w:r>
              <w:rPr>
                <w:rFonts w:hint="eastAsia" w:cs="Arial" w:asciiTheme="minorEastAsia" w:hAnsiTheme="minorEastAsia"/>
                <w:bCs/>
                <w:szCs w:val="21"/>
              </w:rPr>
              <w:t>检测、检验报告</w:t>
            </w:r>
            <w:r>
              <w:rPr>
                <w:rFonts w:hint="eastAsia" w:cs="Arial" w:asciiTheme="minorEastAsia" w:hAnsiTheme="minorEastAsia" w:eastAsiaTheme="minorEastAsia"/>
                <w:bCs/>
                <w:szCs w:val="21"/>
              </w:rPr>
              <w:t>）</w:t>
            </w:r>
            <w:r>
              <w:rPr>
                <w:rFonts w:cs="Arial" w:asciiTheme="minorEastAsia" w:hAnsiTheme="minorEastAsia" w:eastAsiaTheme="minorEastAsia"/>
                <w:bCs/>
                <w:szCs w:val="21"/>
              </w:rPr>
              <w:br w:type="textWrapping"/>
            </w:r>
            <w:r>
              <w:rPr>
                <w:rFonts w:hint="eastAsia" w:cs="Arial" w:asciiTheme="minorEastAsia" w:hAnsiTheme="minorEastAsia" w:eastAsiaTheme="minorEastAsia"/>
                <w:bCs/>
                <w:szCs w:val="21"/>
              </w:rPr>
              <w:t>◆视频中机动车违停行为清晰可辨的情况下、日间机动车违停告警准确率≥</w:t>
            </w:r>
            <w:r>
              <w:rPr>
                <w:rFonts w:cs="Arial" w:asciiTheme="minorEastAsia" w:hAnsiTheme="minorEastAsia" w:eastAsiaTheme="minorEastAsia"/>
                <w:bCs/>
                <w:szCs w:val="21"/>
              </w:rPr>
              <w:t>99%</w:t>
            </w:r>
            <w:r>
              <w:rPr>
                <w:rFonts w:hint="eastAsia" w:cs="Arial" w:asciiTheme="minorEastAsia" w:hAnsiTheme="minorEastAsia" w:eastAsiaTheme="minorEastAsia"/>
                <w:bCs/>
                <w:szCs w:val="21"/>
              </w:rPr>
              <w:t>，夜间机动车违停告警准确率≥</w:t>
            </w:r>
            <w:r>
              <w:rPr>
                <w:rFonts w:cs="Arial" w:asciiTheme="minorEastAsia" w:hAnsiTheme="minorEastAsia" w:eastAsiaTheme="minorEastAsia"/>
                <w:bCs/>
                <w:szCs w:val="21"/>
              </w:rPr>
              <w:t>90%</w:t>
            </w:r>
            <w:r>
              <w:rPr>
                <w:rFonts w:hint="eastAsia" w:cs="Arial" w:asciiTheme="minorEastAsia" w:hAnsiTheme="minorEastAsia" w:eastAsiaTheme="minorEastAsia"/>
                <w:bCs/>
                <w:szCs w:val="21"/>
              </w:rPr>
              <w:t>。（</w:t>
            </w:r>
            <w:r>
              <w:rPr>
                <w:rFonts w:hint="eastAsia"/>
                <w:bCs/>
              </w:rPr>
              <w:t>具有国家认可检测资质的第三方机构出具的</w:t>
            </w:r>
            <w:r>
              <w:rPr>
                <w:rFonts w:hint="eastAsia" w:cs="Arial" w:asciiTheme="minorEastAsia" w:hAnsiTheme="minorEastAsia"/>
                <w:bCs/>
                <w:szCs w:val="21"/>
              </w:rPr>
              <w:t>检测、检验报告</w:t>
            </w:r>
            <w:r>
              <w:rPr>
                <w:rFonts w:hint="eastAsia" w:cs="Arial" w:asciiTheme="minorEastAsia" w:hAnsiTheme="minorEastAsia" w:eastAsiaTheme="minorEastAsia"/>
                <w:bCs/>
                <w:szCs w:val="21"/>
              </w:rPr>
              <w:t>）</w:t>
            </w:r>
            <w:r>
              <w:rPr>
                <w:rFonts w:hint="eastAsia" w:cs="Arial" w:asciiTheme="minorEastAsia" w:hAnsiTheme="minorEastAsia"/>
                <w:szCs w:val="21"/>
              </w:rPr>
              <w:br w:type="textWrapping"/>
            </w:r>
            <w:r>
              <w:rPr>
                <w:rFonts w:hint="eastAsia" w:cs="Arial" w:asciiTheme="minorEastAsia" w:hAnsiTheme="minorEastAsia"/>
                <w:szCs w:val="21"/>
              </w:rPr>
              <w:t>支持对视频流设置机动车逆行行为检测规则，包括绘制绊线、设置检测目标大小、时间计划。支持绘制 4 条绊线，可设置绊线方向。</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人员轨迹应用授权</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包含用于轨迹追踪的面板机、抓拍机、视频流相机；</w:t>
            </w:r>
            <w:r>
              <w:rPr>
                <w:rFonts w:hint="eastAsia" w:cs="Arial" w:asciiTheme="minorEastAsia" w:hAnsiTheme="minorEastAsia"/>
                <w:szCs w:val="21"/>
              </w:rPr>
              <w:br w:type="textWrapping"/>
            </w:r>
            <w:r>
              <w:rPr>
                <w:rFonts w:hint="eastAsia" w:cs="Arial" w:asciiTheme="minorEastAsia" w:hAnsiTheme="minorEastAsia"/>
                <w:szCs w:val="21"/>
              </w:rPr>
              <w:t>包含视频监控授权</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400</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7</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周界警戒应用授权</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包含用于周界警戒的视频流相机、警戒相机；</w:t>
            </w:r>
            <w:r>
              <w:rPr>
                <w:rFonts w:hint="eastAsia" w:cs="Arial" w:asciiTheme="minorEastAsia" w:hAnsiTheme="minorEastAsia"/>
                <w:szCs w:val="21"/>
              </w:rPr>
              <w:br w:type="textWrapping"/>
            </w:r>
            <w:r>
              <w:rPr>
                <w:rFonts w:hint="eastAsia" w:cs="Arial" w:asciiTheme="minorEastAsia" w:hAnsiTheme="minorEastAsia"/>
                <w:szCs w:val="21"/>
              </w:rPr>
              <w:t>包含视频监控授权</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8</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行为检测应用授权</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包含用于行为检测的视频流相机；</w:t>
            </w:r>
            <w:r>
              <w:rPr>
                <w:rFonts w:hint="eastAsia" w:cs="Arial" w:asciiTheme="minorEastAsia" w:hAnsiTheme="minorEastAsia"/>
                <w:szCs w:val="21"/>
              </w:rPr>
              <w:br w:type="textWrapping"/>
            </w:r>
            <w:r>
              <w:rPr>
                <w:rFonts w:hint="eastAsia" w:cs="Arial" w:asciiTheme="minorEastAsia" w:hAnsiTheme="minorEastAsia"/>
                <w:szCs w:val="21"/>
              </w:rPr>
              <w:t>包含视频监控授权</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64</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9</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人员轨迹追踪控制终端</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CPU:1*Intel E5-2630V4/10C/20T/25M cache/2.2GHz--3.1GHz/85W</w:t>
            </w:r>
            <w:r>
              <w:rPr>
                <w:rFonts w:hint="eastAsia" w:cs="Arial" w:asciiTheme="minorEastAsia" w:hAnsiTheme="minorEastAsia"/>
                <w:szCs w:val="21"/>
              </w:rPr>
              <w:br w:type="textWrapping"/>
            </w:r>
            <w:r>
              <w:rPr>
                <w:rFonts w:hint="eastAsia" w:cs="Arial" w:asciiTheme="minorEastAsia" w:hAnsiTheme="minorEastAsia"/>
                <w:szCs w:val="21"/>
              </w:rPr>
              <w:t>内存：4 * 16G/DDR4/RECC/2666/2933/2Rank</w:t>
            </w:r>
            <w:r>
              <w:rPr>
                <w:rFonts w:hint="eastAsia" w:cs="Arial" w:asciiTheme="minorEastAsia" w:hAnsiTheme="minorEastAsia"/>
                <w:szCs w:val="21"/>
              </w:rPr>
              <w:br w:type="textWrapping"/>
            </w:r>
            <w:r>
              <w:rPr>
                <w:rFonts w:hint="eastAsia" w:cs="Arial" w:asciiTheme="minorEastAsia" w:hAnsiTheme="minorEastAsia"/>
                <w:szCs w:val="21"/>
              </w:rPr>
              <w:t>SATA SSD：1 * SSD/480GB/SATA 6Gb/2.5寸/S4500/S4510或5200 ECO/直连主板</w:t>
            </w:r>
            <w:r>
              <w:rPr>
                <w:rFonts w:hint="eastAsia" w:cs="Arial" w:asciiTheme="minorEastAsia" w:hAnsiTheme="minorEastAsia"/>
                <w:szCs w:val="21"/>
              </w:rPr>
              <w:br w:type="textWrapping"/>
            </w:r>
            <w:r>
              <w:rPr>
                <w:rFonts w:hint="eastAsia" w:cs="Arial" w:asciiTheme="minorEastAsia" w:hAnsiTheme="minorEastAsia"/>
                <w:szCs w:val="21"/>
              </w:rPr>
              <w:t>HDD：1*4T</w:t>
            </w:r>
            <w:r>
              <w:rPr>
                <w:rFonts w:hint="eastAsia" w:cs="Arial" w:asciiTheme="minorEastAsia" w:hAnsiTheme="minorEastAsia"/>
                <w:szCs w:val="21"/>
              </w:rPr>
              <w:br w:type="textWrapping"/>
            </w:r>
            <w:r>
              <w:rPr>
                <w:rFonts w:hint="eastAsia" w:cs="Arial" w:asciiTheme="minorEastAsia" w:hAnsiTheme="minorEastAsia"/>
                <w:szCs w:val="21"/>
              </w:rPr>
              <w:t>RAID卡：1 * Raid卡/8口/SAS 12Gb/半高/PCIe 3.0x8/1GB缓存/支持RAID 0,1,5,6,10,50,60,JBOD/超级电容BBU</w:t>
            </w:r>
            <w:r>
              <w:rPr>
                <w:rFonts w:hint="eastAsia" w:cs="Arial" w:asciiTheme="minorEastAsia" w:hAnsiTheme="minorEastAsia"/>
                <w:szCs w:val="21"/>
              </w:rPr>
              <w:br w:type="textWrapping"/>
            </w:r>
            <w:r>
              <w:rPr>
                <w:rFonts w:hint="eastAsia" w:cs="Arial" w:asciiTheme="minorEastAsia" w:hAnsiTheme="minorEastAsia"/>
                <w:szCs w:val="21"/>
              </w:rPr>
              <w:t>网络：1 * 双口千兆网卡电口RJ45/板载</w:t>
            </w:r>
            <w:r>
              <w:rPr>
                <w:rFonts w:hint="eastAsia" w:cs="Arial" w:asciiTheme="minorEastAsia" w:hAnsiTheme="minorEastAsia"/>
                <w:szCs w:val="21"/>
              </w:rPr>
              <w:br w:type="textWrapping"/>
            </w:r>
            <w:r>
              <w:rPr>
                <w:rFonts w:hint="eastAsia" w:cs="Arial" w:asciiTheme="minorEastAsia" w:hAnsiTheme="minorEastAsia"/>
                <w:szCs w:val="21"/>
              </w:rPr>
              <w:t>电源：1 * 550W冗余电源1+1双模块</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10</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行为分析控制终端</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CPU：Intel Core i7及以上</w:t>
            </w:r>
            <w:r>
              <w:rPr>
                <w:rFonts w:hint="eastAsia" w:cs="Arial" w:asciiTheme="minorEastAsia" w:hAnsiTheme="minorEastAsia"/>
                <w:szCs w:val="21"/>
              </w:rPr>
              <w:br w:type="textWrapping"/>
            </w:r>
            <w:r>
              <w:rPr>
                <w:rFonts w:hint="eastAsia" w:cs="Arial" w:asciiTheme="minorEastAsia" w:hAnsiTheme="minorEastAsia"/>
                <w:szCs w:val="21"/>
              </w:rPr>
              <w:t>内存：32GB 显卡：显存≥8G</w:t>
            </w:r>
            <w:r>
              <w:rPr>
                <w:rFonts w:hint="eastAsia" w:cs="Arial" w:asciiTheme="minorEastAsia" w:hAnsiTheme="minorEastAsia"/>
                <w:szCs w:val="21"/>
              </w:rPr>
              <w:br w:type="textWrapping"/>
            </w:r>
            <w:r>
              <w:rPr>
                <w:rFonts w:hint="eastAsia" w:cs="Arial" w:asciiTheme="minorEastAsia" w:hAnsiTheme="minorEastAsia"/>
                <w:szCs w:val="21"/>
              </w:rPr>
              <w:t>硬盘：480G SSD + 2T机械盘</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11</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智能分析盒</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16路视频流多算法混合并行智能分析盒：</w:t>
            </w:r>
            <w:r>
              <w:rPr>
                <w:rFonts w:hint="eastAsia" w:cs="Arial" w:asciiTheme="minorEastAsia" w:hAnsiTheme="minorEastAsia"/>
                <w:szCs w:val="21"/>
              </w:rPr>
              <w:br w:type="textWrapping"/>
            </w:r>
            <w:r>
              <w:rPr>
                <w:rFonts w:hint="eastAsia" w:cs="Arial" w:asciiTheme="minorEastAsia" w:hAnsiTheme="minorEastAsia"/>
                <w:szCs w:val="21"/>
              </w:rPr>
              <w:t>支持脸人，结构化，周界警戒等智能分析</w:t>
            </w:r>
            <w:r>
              <w:rPr>
                <w:rFonts w:hint="eastAsia" w:cs="Arial" w:asciiTheme="minorEastAsia" w:hAnsiTheme="minorEastAsia"/>
                <w:szCs w:val="21"/>
              </w:rPr>
              <w:br w:type="textWrapping"/>
            </w:r>
            <w:r>
              <w:rPr>
                <w:rFonts w:hint="eastAsia" w:cs="Arial" w:asciiTheme="minorEastAsia" w:hAnsiTheme="minorEastAsia"/>
                <w:szCs w:val="21"/>
              </w:rPr>
              <w:t>脸人：抓拍/属性/识别，人体抓拍/属性，脸人绑定</w:t>
            </w:r>
            <w:r>
              <w:rPr>
                <w:rFonts w:hint="eastAsia" w:cs="Arial" w:asciiTheme="minorEastAsia" w:hAnsiTheme="minorEastAsia"/>
                <w:szCs w:val="21"/>
              </w:rPr>
              <w:br w:type="textWrapping"/>
            </w:r>
            <w:r>
              <w:rPr>
                <w:rFonts w:hint="eastAsia" w:cs="Arial" w:asciiTheme="minorEastAsia" w:hAnsiTheme="minorEastAsia"/>
                <w:szCs w:val="21"/>
              </w:rPr>
              <w:t>结构化能力：脸人机非牌抓拍/属性，车牌识别，面部-人/车-车牌/人-非机动车绑定等</w:t>
            </w:r>
            <w:r>
              <w:rPr>
                <w:rFonts w:hint="eastAsia" w:cs="Arial" w:asciiTheme="minorEastAsia" w:hAnsiTheme="minorEastAsia"/>
                <w:szCs w:val="21"/>
              </w:rPr>
              <w:br w:type="textWrapping"/>
            </w:r>
            <w:r>
              <w:rPr>
                <w:rFonts w:hint="eastAsia" w:cs="Arial" w:asciiTheme="minorEastAsia" w:hAnsiTheme="minorEastAsia"/>
                <w:szCs w:val="21"/>
              </w:rPr>
              <w:t>周界警戒：人员越界/翻墙/入侵/徘徊，车辆越界/禁停/离开</w:t>
            </w:r>
            <w:r>
              <w:rPr>
                <w:rFonts w:hint="eastAsia" w:cs="Arial" w:asciiTheme="minorEastAsia" w:hAnsiTheme="minorEastAsia"/>
                <w:szCs w:val="21"/>
              </w:rPr>
              <w:br w:type="textWrapping"/>
            </w:r>
            <w:r>
              <w:rPr>
                <w:rFonts w:hint="eastAsia" w:cs="Arial" w:asciiTheme="minorEastAsia" w:hAnsiTheme="minorEastAsia"/>
                <w:szCs w:val="21"/>
              </w:rPr>
              <w:t>支持30万底库，通过率≥99.5%；支持活体识别</w:t>
            </w:r>
            <w:r>
              <w:rPr>
                <w:rFonts w:hint="eastAsia" w:cs="Arial" w:asciiTheme="minorEastAsia" w:hAnsiTheme="minorEastAsia"/>
                <w:szCs w:val="21"/>
              </w:rPr>
              <w:br w:type="textWrapping"/>
            </w:r>
            <w:r>
              <w:rPr>
                <w:rFonts w:hint="eastAsia" w:cs="Arial" w:asciiTheme="minorEastAsia" w:hAnsiTheme="minorEastAsia"/>
                <w:szCs w:val="21"/>
              </w:rPr>
              <w:t>工作电压：DC12V/2A</w:t>
            </w:r>
            <w:r>
              <w:rPr>
                <w:rFonts w:hint="eastAsia" w:cs="Arial" w:asciiTheme="minorEastAsia" w:hAnsiTheme="minorEastAsia"/>
                <w:szCs w:val="21"/>
              </w:rPr>
              <w:br w:type="textWrapping"/>
            </w:r>
            <w:r>
              <w:rPr>
                <w:rFonts w:hint="eastAsia" w:cs="Arial" w:asciiTheme="minorEastAsia" w:hAnsiTheme="minorEastAsia"/>
                <w:szCs w:val="21"/>
              </w:rPr>
              <w:t>工作温度：- 20℃~65℃</w:t>
            </w:r>
            <w:r>
              <w:rPr>
                <w:rFonts w:hint="eastAsia" w:cs="Arial" w:asciiTheme="minorEastAsia" w:hAnsiTheme="minorEastAsia"/>
                <w:szCs w:val="21"/>
              </w:rPr>
              <w:br w:type="textWrapping"/>
            </w:r>
            <w:r>
              <w:rPr>
                <w:rFonts w:hint="eastAsia" w:cs="Arial" w:asciiTheme="minorEastAsia" w:hAnsiTheme="minorEastAsia"/>
                <w:szCs w:val="21"/>
              </w:rPr>
              <w:t>不少于2个千兆以太网口、2个RS485接口、1个HDMI接口、1个USB3.0，3个USB2.0)、4个ALARM IN接口、4个ALARM OUT接口1个AUDIO IN接口、1个AUDIO OUT接口、1个电源输入接口。（</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支持PC端通过浏览器远程访问设备WEB端（</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在WEB主界面，用户可进行视频浏览,抓拍浏览以及记录的实时查看◆支持接入不少于同时对16路1080P的视频流进行智能解析，可对每路视频流同时解析人体，机动车，非机动车，车牌，安全帽，周界警戒，行为警戒等（</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支持识别不少于30万人员图片，64个底库比对</w:t>
            </w:r>
          </w:p>
          <w:p>
            <w:pPr>
              <w:snapToGrid w:val="0"/>
              <w:spacing w:line="276" w:lineRule="auto"/>
              <w:rPr>
                <w:rFonts w:cs="Arial" w:asciiTheme="minorEastAsia" w:hAnsiTheme="minorEastAsia"/>
                <w:szCs w:val="21"/>
              </w:rPr>
            </w:pPr>
            <w:r>
              <w:rPr>
                <w:rFonts w:hint="eastAsia" w:cs="Arial" w:asciiTheme="minorEastAsia" w:hAnsiTheme="minorEastAsia"/>
                <w:szCs w:val="21"/>
              </w:rPr>
              <w:t>支持性别，年龄，发型(光头、少量头发(包含秃顶)、短发、长发)，胡子类型(无胡子或者胡子不明显、嘴唇上面的胡子、腮须)，帽子有无&amp;类型(安全帽、厨师帽、学生帽 、头盔 、安防白帽 、头巾)&amp;颜色(白色)口罩有无&amp;类型(医用口罩 、雾霾口罩 、普通口罩 、厨房透明口罩)眼镜有无&amp;类型(左/右眼深色框透明眼镜 、左/右眼普通透明眼镜 、左/右眼太阳墨镜)等属性特征提取</w:t>
            </w:r>
          </w:p>
          <w:p>
            <w:pPr>
              <w:snapToGrid w:val="0"/>
              <w:spacing w:line="276" w:lineRule="auto"/>
              <w:rPr>
                <w:rFonts w:cs="Arial" w:asciiTheme="minorEastAsia" w:hAnsiTheme="minorEastAsia"/>
                <w:szCs w:val="21"/>
              </w:rPr>
            </w:pPr>
            <w:r>
              <w:rPr>
                <w:rFonts w:hint="eastAsia" w:cs="Arial" w:asciiTheme="minorEastAsia" w:hAnsiTheme="minorEastAsia"/>
                <w:szCs w:val="21"/>
              </w:rPr>
              <w:t>支持面部和人体绑定</w:t>
            </w:r>
            <w:r>
              <w:rPr>
                <w:rFonts w:hint="eastAsia" w:cs="Arial" w:asciiTheme="minorEastAsia" w:hAnsiTheme="minorEastAsia"/>
                <w:szCs w:val="21"/>
              </w:rPr>
              <w:br w:type="textWrapping"/>
            </w:r>
            <w:r>
              <w:rPr>
                <w:rFonts w:hint="eastAsia" w:cs="Arial" w:asciiTheme="minorEastAsia" w:hAnsiTheme="minorEastAsia"/>
                <w:szCs w:val="21"/>
              </w:rPr>
              <w:t>支持人员越界、人员越界-翻墙、人员入侵、人员徘徊、车辆越界、车辆禁停、车辆离开、值岗-离岗等周界警戒规则智能分析</w:t>
            </w:r>
            <w:r>
              <w:rPr>
                <w:rFonts w:hint="eastAsia" w:cs="Arial" w:asciiTheme="minorEastAsia" w:hAnsiTheme="minorEastAsia"/>
                <w:szCs w:val="21"/>
              </w:rPr>
              <w:br w:type="textWrapping"/>
            </w:r>
            <w:r>
              <w:rPr>
                <w:rFonts w:hint="eastAsia" w:cs="Arial" w:asciiTheme="minorEastAsia" w:hAnsiTheme="minorEastAsia"/>
                <w:szCs w:val="21"/>
              </w:rPr>
              <w:t>支持人体属性提取包含性别，发型（长发&amp;短发），帽子有无，上身颜色&amp;类型(长袖 、短袖），下身颜色&amp;类型(长裤 、短裤、裙子 )，背包有无&amp;类型(双肩背包、单肩包、手提包、拉杆箱），打伞有无等（</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支持图片模式不少于32路、视频模式不少于16路的面部识别布控告警（</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支持1400协议对接上层平台或采集设备</w:t>
            </w:r>
          </w:p>
          <w:p>
            <w:pPr>
              <w:snapToGrid w:val="0"/>
              <w:spacing w:line="276" w:lineRule="auto"/>
              <w:rPr>
                <w:rFonts w:cs="Arial" w:asciiTheme="minorEastAsia" w:hAnsiTheme="minorEastAsia"/>
                <w:szCs w:val="21"/>
              </w:rPr>
            </w:pPr>
            <w:r>
              <w:rPr>
                <w:rFonts w:hint="eastAsia" w:cs="Arial" w:asciiTheme="minorEastAsia" w:hAnsiTheme="minorEastAsia"/>
                <w:szCs w:val="21"/>
              </w:rPr>
              <w:t>支持对通道设置识别或抓拍联动继电器</w:t>
            </w:r>
          </w:p>
          <w:p>
            <w:pPr>
              <w:snapToGrid w:val="0"/>
              <w:spacing w:line="276" w:lineRule="auto"/>
              <w:rPr>
                <w:rFonts w:asciiTheme="minorEastAsia" w:hAnsiTheme="minorEastAsia"/>
                <w:szCs w:val="21"/>
              </w:rPr>
            </w:pPr>
            <w:r>
              <w:rPr>
                <w:rFonts w:hint="eastAsia" w:cs="Arial" w:asciiTheme="minorEastAsia" w:hAnsiTheme="minorEastAsia"/>
                <w:szCs w:val="21"/>
              </w:rPr>
              <w:t>支持人体属性提取包含性别，发型（长发&amp;短发），帽子有无，上身颜色&amp;类型(长袖 、短袖），下身颜色&amp;类型(长裤 、短裤、裙子 )，背包有无&amp;类型(双肩背包、单肩包、手提包、拉杆箱），打伞有无等</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32</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12</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考勤显示终端</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43寸，分辨率1080P，带HDMI接口，支持吊装支架。</w:t>
            </w:r>
          </w:p>
          <w:p>
            <w:pPr>
              <w:snapToGrid w:val="0"/>
              <w:spacing w:line="276" w:lineRule="auto"/>
              <w:rPr>
                <w:rFonts w:asciiTheme="minorEastAsia" w:hAnsiTheme="minorEastAsia"/>
                <w:szCs w:val="21"/>
              </w:rPr>
            </w:pPr>
            <w:r>
              <w:rPr>
                <w:rFonts w:hint="eastAsia" w:cs="Arial" w:asciiTheme="minorEastAsia" w:hAnsiTheme="minorEastAsia"/>
                <w:szCs w:val="21"/>
              </w:rPr>
              <w:t>实现人员识别弹窗功能</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18</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13</w:t>
            </w:r>
          </w:p>
        </w:tc>
        <w:tc>
          <w:tcPr>
            <w:tcW w:w="2029" w:type="dxa"/>
            <w:gridSpan w:val="3"/>
            <w:vAlign w:val="center"/>
          </w:tcPr>
          <w:p>
            <w:pPr>
              <w:snapToGrid w:val="0"/>
              <w:spacing w:line="276" w:lineRule="auto"/>
              <w:rPr>
                <w:rFonts w:asciiTheme="minorEastAsia" w:hAnsiTheme="minorEastAsia"/>
                <w:szCs w:val="21"/>
              </w:rPr>
            </w:pPr>
            <w:r>
              <w:rPr>
                <w:rFonts w:hint="eastAsia" w:cs="Arial" w:asciiTheme="minorEastAsia" w:hAnsiTheme="minorEastAsia"/>
                <w:szCs w:val="21"/>
              </w:rPr>
              <w:t>▼智慧校园可视化综合管理平台</w:t>
            </w:r>
          </w:p>
        </w:tc>
        <w:tc>
          <w:tcPr>
            <w:tcW w:w="9087" w:type="dxa"/>
            <w:vAlign w:val="center"/>
          </w:tcPr>
          <w:p>
            <w:pPr>
              <w:snapToGrid w:val="0"/>
              <w:spacing w:line="276" w:lineRule="auto"/>
              <w:rPr>
                <w:rFonts w:asciiTheme="minorEastAsia" w:hAnsiTheme="minorEastAsia"/>
                <w:szCs w:val="21"/>
              </w:rPr>
            </w:pPr>
            <w:r>
              <w:rPr>
                <w:rFonts w:hint="eastAsia" w:cs="Arial" w:asciiTheme="minorEastAsia" w:hAnsiTheme="minorEastAsia"/>
                <w:szCs w:val="21"/>
              </w:rPr>
              <w:t>1）视频监控：</w:t>
            </w:r>
            <w:r>
              <w:rPr>
                <w:rFonts w:hint="eastAsia" w:cs="Arial" w:asciiTheme="minorEastAsia" w:hAnsiTheme="minorEastAsia"/>
                <w:szCs w:val="21"/>
              </w:rPr>
              <w:br w:type="textWrapping"/>
            </w:r>
            <w:r>
              <w:rPr>
                <w:rFonts w:hint="eastAsia" w:cs="Arial" w:asciiTheme="minorEastAsia" w:hAnsiTheme="minorEastAsia"/>
                <w:szCs w:val="21"/>
              </w:rPr>
              <w:t>能针对连接上来的终端和系统进行有效监控，提高用户使用便利性和管理效率，降低对人员操作及人为管理的负担及依赖。</w:t>
            </w:r>
            <w:r>
              <w:rPr>
                <w:rFonts w:cs="Arial" w:asciiTheme="minorEastAsia" w:hAnsiTheme="minorEastAsia"/>
                <w:szCs w:val="21"/>
              </w:rPr>
              <w:br w:type="textWrapping"/>
            </w:r>
            <w:r>
              <w:rPr>
                <w:rFonts w:hint="eastAsia" w:cs="Arial" w:asciiTheme="minorEastAsia" w:hAnsiTheme="minorEastAsia"/>
                <w:szCs w:val="21"/>
              </w:rPr>
              <w:t>监控服务是异步的，不会对任何业务处理能力造成堵塞。</w:t>
            </w:r>
            <w:r>
              <w:rPr>
                <w:rFonts w:cs="Arial" w:asciiTheme="minorEastAsia" w:hAnsiTheme="minorEastAsia"/>
                <w:szCs w:val="21"/>
              </w:rPr>
              <w:br w:type="textWrapping"/>
            </w:r>
            <w:r>
              <w:rPr>
                <w:rFonts w:hint="eastAsia" w:cs="Arial" w:asciiTheme="minorEastAsia" w:hAnsiTheme="minorEastAsia"/>
                <w:szCs w:val="21"/>
              </w:rPr>
              <w:t>支持连接进来的终端和系统对需要监控的数据进行自定义。</w:t>
            </w:r>
            <w:r>
              <w:rPr>
                <w:rFonts w:cs="Arial" w:asciiTheme="minorEastAsia" w:hAnsiTheme="minorEastAsia"/>
                <w:szCs w:val="21"/>
              </w:rPr>
              <w:br w:type="textWrapping"/>
            </w:r>
            <w:r>
              <w:rPr>
                <w:rFonts w:hint="eastAsia" w:cs="Arial" w:asciiTheme="minorEastAsia" w:hAnsiTheme="minorEastAsia"/>
                <w:szCs w:val="21"/>
              </w:rPr>
              <w:t>系统监控的数据内容分为基础数据和业务数据两种类型，需要同时记录内容以及数据产生的时间。</w:t>
            </w:r>
            <w:r>
              <w:rPr>
                <w:rFonts w:cs="Arial" w:asciiTheme="minorEastAsia" w:hAnsiTheme="minorEastAsia"/>
                <w:szCs w:val="21"/>
              </w:rPr>
              <w:br w:type="textWrapping"/>
            </w:r>
            <w:r>
              <w:rPr>
                <w:rFonts w:hint="eastAsia" w:cs="Arial" w:asciiTheme="minorEastAsia" w:hAnsiTheme="minorEastAsia"/>
                <w:szCs w:val="21"/>
              </w:rPr>
              <w:t>系统在监控到需要告警级别的数据时，能够在</w:t>
            </w:r>
            <w:r>
              <w:rPr>
                <w:rFonts w:cs="Arial" w:asciiTheme="minorEastAsia" w:hAnsiTheme="minorEastAsia"/>
                <w:szCs w:val="21"/>
              </w:rPr>
              <w:t>5</w:t>
            </w:r>
            <w:r>
              <w:rPr>
                <w:rFonts w:hint="eastAsia" w:cs="Arial" w:asciiTheme="minorEastAsia" w:hAnsiTheme="minorEastAsia"/>
                <w:szCs w:val="21"/>
              </w:rPr>
              <w:t>分钟内自动向相关责任人发送告警通知，为及时处理事件提供支撑。</w:t>
            </w:r>
            <w:r>
              <w:rPr>
                <w:rFonts w:cs="Arial" w:asciiTheme="minorEastAsia" w:hAnsiTheme="minorEastAsia"/>
                <w:szCs w:val="21"/>
              </w:rPr>
              <w:br w:type="textWrapping"/>
            </w:r>
            <w:r>
              <w:rPr>
                <w:rFonts w:hint="eastAsia" w:cs="Arial" w:asciiTheme="minorEastAsia" w:hAnsiTheme="minorEastAsia"/>
                <w:szCs w:val="21"/>
              </w:rPr>
              <w:t>系统提供所有终端和系统工作状态的界面展示，对于正常流水数据保存一个月，重要监控数据永久保存。</w:t>
            </w:r>
            <w:r>
              <w:rPr>
                <w:rFonts w:cs="Arial" w:asciiTheme="minorEastAsia" w:hAnsiTheme="minorEastAsia"/>
                <w:szCs w:val="21"/>
              </w:rPr>
              <w:br w:type="textWrapping"/>
            </w:r>
            <w:r>
              <w:rPr>
                <w:rFonts w:hint="eastAsia" w:cs="Arial" w:asciiTheme="minorEastAsia" w:hAnsiTheme="minorEastAsia"/>
                <w:szCs w:val="21"/>
              </w:rPr>
              <w:t>支持市场主流通用视频集成。</w:t>
            </w:r>
            <w:r>
              <w:rPr>
                <w:rFonts w:hint="eastAsia" w:cs="Arial" w:asciiTheme="minorEastAsia" w:hAnsiTheme="minorEastAsia"/>
                <w:szCs w:val="21"/>
              </w:rPr>
              <w:br w:type="textWrapping"/>
            </w:r>
            <w:r>
              <w:rPr>
                <w:rFonts w:hint="eastAsia" w:cs="Arial" w:asciiTheme="minorEastAsia" w:hAnsiTheme="minorEastAsia"/>
                <w:szCs w:val="21"/>
              </w:rPr>
              <w:t>2）预警信息</w:t>
            </w:r>
            <w:r>
              <w:rPr>
                <w:rFonts w:hint="eastAsia" w:cs="Arial" w:asciiTheme="minorEastAsia" w:hAnsiTheme="minorEastAsia"/>
                <w:szCs w:val="21"/>
              </w:rPr>
              <w:br w:type="textWrapping"/>
            </w:r>
            <w:r>
              <w:rPr>
                <w:rFonts w:hint="eastAsia" w:cs="Arial" w:asciiTheme="minorEastAsia" w:hAnsiTheme="minorEastAsia"/>
                <w:szCs w:val="21"/>
              </w:rPr>
              <w:t>具备智能化视频监控管理能力。可对接安防智能监测算法和设备输出结果，通过平台实现安防管理联动，实时监测报警、安防事件工单响应、安防视频移动端推送等功能。（提供演示视频）</w:t>
            </w:r>
            <w:r>
              <w:rPr>
                <w:rFonts w:hint="eastAsia" w:cs="Arial" w:asciiTheme="minorEastAsia" w:hAnsiTheme="minorEastAsia"/>
                <w:szCs w:val="21"/>
              </w:rPr>
              <w:br w:type="textWrapping"/>
            </w:r>
            <w:r>
              <w:rPr>
                <w:rFonts w:hint="eastAsia" w:cs="Arial" w:asciiTheme="minorEastAsia" w:hAnsiTheme="minorEastAsia"/>
                <w:szCs w:val="21"/>
              </w:rPr>
              <w:t>3）工单管理</w:t>
            </w:r>
            <w:r>
              <w:rPr>
                <w:rFonts w:hint="eastAsia" w:cs="Arial" w:asciiTheme="minorEastAsia" w:hAnsiTheme="minorEastAsia"/>
                <w:szCs w:val="21"/>
              </w:rPr>
              <w:br w:type="textWrapping"/>
            </w:r>
            <w:r>
              <w:rPr>
                <w:rFonts w:hint="eastAsia" w:cs="Arial" w:asciiTheme="minorEastAsia" w:hAnsiTheme="minorEastAsia"/>
                <w:szCs w:val="21"/>
              </w:rPr>
              <w:t>建立工单系统，当校园出现告警事件时系统生成工单，并派发给对于的维护人员，全程跟踪督办工单流程，工单档案自动生成、提供工单数据查询、分析等功能。（提供演示视频）</w:t>
            </w:r>
            <w:r>
              <w:rPr>
                <w:rFonts w:hint="eastAsia" w:cs="Arial" w:asciiTheme="minorEastAsia" w:hAnsiTheme="minorEastAsia"/>
                <w:szCs w:val="21"/>
              </w:rPr>
              <w:br w:type="textWrapping"/>
            </w:r>
            <w:r>
              <w:rPr>
                <w:rFonts w:hint="eastAsia" w:cs="Arial" w:asciiTheme="minorEastAsia" w:hAnsiTheme="minorEastAsia"/>
                <w:szCs w:val="21"/>
              </w:rPr>
              <w:t>支持多层级处理及审核功能，覆盖展示大屏/PC端/移动端，按需自定义工单页面样式及内容，支持按用户权限分配不同类型工单处理流程等功能。（提供演示视频）</w:t>
            </w:r>
            <w:r>
              <w:rPr>
                <w:rFonts w:hint="eastAsia" w:cs="Arial" w:asciiTheme="minorEastAsia" w:hAnsiTheme="minorEastAsia"/>
                <w:szCs w:val="21"/>
              </w:rPr>
              <w:br w:type="textWrapping"/>
            </w:r>
            <w:r>
              <w:rPr>
                <w:rFonts w:hint="eastAsia" w:cs="Arial" w:asciiTheme="minorEastAsia" w:hAnsiTheme="minorEastAsia"/>
                <w:szCs w:val="21"/>
              </w:rPr>
              <w:t>4）数据大屏</w:t>
            </w:r>
            <w:r>
              <w:rPr>
                <w:rFonts w:hint="eastAsia" w:cs="Arial" w:asciiTheme="minorEastAsia" w:hAnsiTheme="minorEastAsia"/>
                <w:szCs w:val="21"/>
              </w:rPr>
              <w:br w:type="textWrapping"/>
            </w:r>
            <w:r>
              <w:rPr>
                <w:rFonts w:hint="eastAsia" w:cs="Arial" w:asciiTheme="minorEastAsia" w:hAnsiTheme="minorEastAsia"/>
                <w:szCs w:val="21"/>
              </w:rPr>
              <w:t>数据大屏呈现汇总平台传输的数据和视频内容。完成动态数据的展示，定位匹配空间编码数据和监控设备位置信息。</w:t>
            </w:r>
            <w:r>
              <w:rPr>
                <w:rFonts w:hint="eastAsia" w:cs="Arial" w:asciiTheme="minorEastAsia" w:hAnsiTheme="minorEastAsia"/>
                <w:szCs w:val="21"/>
              </w:rPr>
              <w:br w:type="textWrapping"/>
            </w:r>
            <w:r>
              <w:rPr>
                <w:rFonts w:hint="eastAsia" w:cs="Arial" w:asciiTheme="minorEastAsia" w:hAnsiTheme="minorEastAsia"/>
                <w:szCs w:val="21"/>
              </w:rPr>
              <w:t>数据大屏基础功能模块：包含显示静态数据、动态数据、监控设备数据，工单数据，实时数据，告警联动服务数据等。（提供演示视频）</w:t>
            </w:r>
            <w:r>
              <w:rPr>
                <w:rFonts w:hint="eastAsia" w:cs="Arial" w:asciiTheme="minorEastAsia" w:hAnsiTheme="minorEastAsia"/>
                <w:szCs w:val="21"/>
              </w:rPr>
              <w:br w:type="textWrapping"/>
            </w:r>
            <w:r>
              <w:rPr>
                <w:rFonts w:hint="eastAsia" w:cs="Arial" w:asciiTheme="minorEastAsia" w:hAnsiTheme="minorEastAsia"/>
                <w:szCs w:val="21"/>
              </w:rPr>
              <w:t>5）移动端应用</w:t>
            </w:r>
            <w:r>
              <w:rPr>
                <w:rFonts w:hint="eastAsia" w:cs="Arial" w:asciiTheme="minorEastAsia" w:hAnsiTheme="minorEastAsia"/>
                <w:szCs w:val="21"/>
              </w:rPr>
              <w:br w:type="textWrapping"/>
            </w:r>
            <w:r>
              <w:rPr>
                <w:rFonts w:hint="eastAsia" w:cs="Arial" w:asciiTheme="minorEastAsia" w:hAnsiTheme="minorEastAsia"/>
                <w:szCs w:val="21"/>
              </w:rPr>
              <w:t>按权限为用户提供校园监控视频查看和工单管理的功能，提高学校对于校内视频和事件管理能力。</w:t>
            </w:r>
            <w:r>
              <w:rPr>
                <w:rFonts w:hint="eastAsia" w:cs="Arial" w:asciiTheme="minorEastAsia" w:hAnsiTheme="minorEastAsia"/>
                <w:szCs w:val="21"/>
              </w:rPr>
              <w:br w:type="textWrapping"/>
            </w:r>
            <w:r>
              <w:rPr>
                <w:rFonts w:hint="eastAsia" w:cs="Arial" w:asciiTheme="minorEastAsia" w:hAnsiTheme="minorEastAsia"/>
                <w:szCs w:val="21"/>
              </w:rPr>
              <w:t>支持接入钉钉客户端。</w:t>
            </w:r>
            <w:r>
              <w:rPr>
                <w:rFonts w:hint="eastAsia" w:cs="Arial" w:asciiTheme="minorEastAsia" w:hAnsiTheme="minorEastAsia"/>
                <w:szCs w:val="21"/>
              </w:rPr>
              <w:br w:type="textWrapping"/>
            </w:r>
            <w:r>
              <w:rPr>
                <w:rFonts w:hint="eastAsia" w:cs="Arial" w:asciiTheme="minorEastAsia" w:hAnsiTheme="minorEastAsia"/>
                <w:szCs w:val="21"/>
              </w:rPr>
              <w:t>6）系统集成</w:t>
            </w:r>
            <w:r>
              <w:rPr>
                <w:rFonts w:hint="eastAsia" w:cs="Arial" w:asciiTheme="minorEastAsia" w:hAnsiTheme="minorEastAsia"/>
                <w:szCs w:val="21"/>
              </w:rPr>
              <w:br w:type="textWrapping"/>
            </w:r>
            <w:r>
              <w:rPr>
                <w:rFonts w:hint="eastAsia" w:cs="Arial" w:asciiTheme="minorEastAsia" w:hAnsiTheme="minorEastAsia"/>
                <w:szCs w:val="21"/>
              </w:rPr>
              <w:t xml:space="preserve">与校园数据中台、安防、门禁、消防等系统对接 (包含各类子系统的深化调研、数据对接、数据解析等定制工作: </w:t>
            </w:r>
          </w:p>
        </w:tc>
        <w:tc>
          <w:tcPr>
            <w:tcW w:w="993"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14</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教育综合安防系统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教育综合安防管理平台软件面向学校及教育局用户，依托视频智能，从多个业务维度对校园工作进行管理。</w:t>
            </w:r>
            <w:r>
              <w:rPr>
                <w:rFonts w:hint="eastAsia" w:cs="Arial" w:asciiTheme="minorEastAsia" w:hAnsiTheme="minorEastAsia"/>
                <w:szCs w:val="21"/>
              </w:rPr>
              <w:br w:type="textWrapping"/>
            </w:r>
            <w:r>
              <w:rPr>
                <w:rFonts w:hint="eastAsia" w:cs="Arial" w:asciiTheme="minorEastAsia" w:hAnsiTheme="minorEastAsia"/>
                <w:szCs w:val="21"/>
              </w:rPr>
              <w:t>支持对用户、角色、组织、区域、人员、车辆、卡片、设备等基础资源进行管理调配</w:t>
            </w:r>
            <w:r>
              <w:rPr>
                <w:rFonts w:hint="eastAsia" w:cs="Arial" w:asciiTheme="minorEastAsia" w:hAnsiTheme="minorEastAsia"/>
                <w:szCs w:val="21"/>
              </w:rPr>
              <w:br w:type="textWrapping"/>
            </w:r>
            <w:r>
              <w:rPr>
                <w:rFonts w:hint="eastAsia" w:cs="Arial" w:asciiTheme="minorEastAsia" w:hAnsiTheme="minorEastAsia"/>
                <w:szCs w:val="21"/>
              </w:rPr>
              <w:t xml:space="preserve"> 要求支持区域、人员、组织、车辆通过资源包方式扩展自定义属性</w:t>
            </w:r>
            <w:r>
              <w:rPr>
                <w:rFonts w:hint="eastAsia" w:cs="Arial" w:asciiTheme="minorEastAsia" w:hAnsiTheme="minorEastAsia"/>
                <w:szCs w:val="21"/>
              </w:rPr>
              <w:br w:type="textWrapping"/>
            </w:r>
            <w:r>
              <w:rPr>
                <w:rFonts w:hint="eastAsia" w:cs="Arial" w:asciiTheme="minorEastAsia" w:hAnsiTheme="minorEastAsia"/>
                <w:szCs w:val="21"/>
              </w:rPr>
              <w:t>要求支持用户多级权限管理</w:t>
            </w:r>
            <w:r>
              <w:rPr>
                <w:rFonts w:hint="eastAsia" w:cs="Arial" w:asciiTheme="minorEastAsia" w:hAnsiTheme="minorEastAsia"/>
                <w:szCs w:val="21"/>
              </w:rPr>
              <w:br w:type="textWrapping"/>
            </w:r>
            <w:r>
              <w:rPr>
                <w:rFonts w:hint="eastAsia" w:cs="Arial" w:asciiTheme="minorEastAsia" w:hAnsiTheme="minorEastAsia"/>
                <w:szCs w:val="21"/>
              </w:rPr>
              <w:t>要求系统支持国标协议上下级平台级联，支持流媒体集群配置</w:t>
            </w:r>
            <w:r>
              <w:rPr>
                <w:rFonts w:hint="eastAsia" w:cs="Arial" w:asciiTheme="minorEastAsia" w:hAnsiTheme="minorEastAsia"/>
                <w:szCs w:val="21"/>
              </w:rPr>
              <w:br w:type="textWrapping"/>
            </w:r>
            <w:r>
              <w:rPr>
                <w:rFonts w:hint="eastAsia" w:cs="Arial" w:asciiTheme="minorEastAsia" w:hAnsiTheme="minorEastAsia"/>
                <w:szCs w:val="21"/>
              </w:rPr>
              <w:t>◆要求支持监控点的批量迁移（</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◆要求最大支持管理电视墙100个，监控点上墙出图像耗时小于3秒（</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要求支持门禁权限自动下发更新数据到设备，可配置固定时间、固定次数自动下发异动的门禁权限，包含卡、面部、指纹</w:t>
            </w:r>
            <w:r>
              <w:rPr>
                <w:rFonts w:hint="eastAsia" w:cs="Arial" w:asciiTheme="minorEastAsia" w:hAnsiTheme="minorEastAsia"/>
                <w:szCs w:val="21"/>
              </w:rPr>
              <w:br w:type="textWrapping"/>
            </w:r>
            <w:r>
              <w:rPr>
                <w:rFonts w:hint="eastAsia" w:cs="Arial" w:asciiTheme="minorEastAsia" w:hAnsiTheme="minorEastAsia"/>
                <w:szCs w:val="21"/>
              </w:rPr>
              <w:t>◆要求支持纯车牌，车主卡辅，纯卡片，卡主车辅四种识别模式；支持新能源车牌识别（</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r>
              <w:rPr>
                <w:rFonts w:hint="eastAsia" w:cs="Arial" w:asciiTheme="minorEastAsia" w:hAnsiTheme="minorEastAsia"/>
                <w:szCs w:val="21"/>
              </w:rPr>
              <w:t>要求支持黑名单车辆管控，黑名单车辆进出报警提醒</w:t>
            </w:r>
            <w:r>
              <w:rPr>
                <w:rFonts w:hint="eastAsia" w:cs="Arial" w:asciiTheme="minorEastAsia" w:hAnsiTheme="minorEastAsia"/>
                <w:szCs w:val="21"/>
              </w:rPr>
              <w:br w:type="textWrapping"/>
            </w:r>
            <w:r>
              <w:rPr>
                <w:rFonts w:hint="eastAsia" w:cs="Arial" w:asciiTheme="minorEastAsia" w:hAnsiTheme="minorEastAsia"/>
                <w:szCs w:val="21"/>
              </w:rPr>
              <w:t>要求支持在访客平台中登记过的访客车辆进入停车场时自动放行</w:t>
            </w:r>
            <w:r>
              <w:rPr>
                <w:rFonts w:hint="eastAsia" w:cs="Arial" w:asciiTheme="minorEastAsia" w:hAnsiTheme="minorEastAsia"/>
                <w:szCs w:val="21"/>
              </w:rPr>
              <w:br w:type="textWrapping"/>
            </w:r>
            <w:r>
              <w:rPr>
                <w:rFonts w:hint="eastAsia" w:cs="Arial" w:asciiTheme="minorEastAsia" w:hAnsiTheme="minorEastAsia"/>
                <w:szCs w:val="21"/>
              </w:rPr>
              <w:t>◆要求支持人员的卡权限在平台进行权限认证，当卡权限还未下发到设备时，平台可以根据刷卡事件进行人员权限判断并进行反控开门（</w:t>
            </w:r>
            <w:r>
              <w:rPr>
                <w:rFonts w:hint="eastAsia"/>
              </w:rPr>
              <w:t>具有国家认可检测资质的第三方机构出具的</w:t>
            </w:r>
            <w:r>
              <w:rPr>
                <w:rFonts w:hint="eastAsia" w:cs="Arial" w:asciiTheme="minorEastAsia" w:hAnsiTheme="minorEastAsia"/>
                <w:szCs w:val="21"/>
              </w:rPr>
              <w:t>检测、检验报告）</w:t>
            </w:r>
            <w:r>
              <w:rPr>
                <w:rFonts w:hint="eastAsia" w:cs="Arial" w:asciiTheme="minorEastAsia" w:hAnsiTheme="minorEastAsia"/>
                <w:szCs w:val="21"/>
              </w:rPr>
              <w:br w:type="textWrapping"/>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15</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教育行业AR模块</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1、支持标签管理，以及标签内图像、录像、实时视频的关联管理</w:t>
            </w:r>
            <w:r>
              <w:rPr>
                <w:rFonts w:hint="eastAsia" w:cs="Arial" w:asciiTheme="minorEastAsia" w:hAnsiTheme="minorEastAsia"/>
                <w:szCs w:val="21"/>
              </w:rPr>
              <w:br w:type="textWrapping"/>
            </w:r>
            <w:r>
              <w:rPr>
                <w:rFonts w:hint="eastAsia" w:cs="Arial" w:asciiTheme="minorEastAsia" w:hAnsiTheme="minorEastAsia"/>
                <w:szCs w:val="21"/>
              </w:rPr>
              <w:t>2、支持联动视频小窗口画面的手动追踪和自动追踪</w:t>
            </w:r>
            <w:r>
              <w:rPr>
                <w:rFonts w:hint="eastAsia" w:cs="Arial" w:asciiTheme="minorEastAsia" w:hAnsiTheme="minorEastAsia"/>
                <w:szCs w:val="21"/>
              </w:rPr>
              <w:br w:type="textWrapping"/>
            </w:r>
            <w:r>
              <w:rPr>
                <w:rFonts w:hint="eastAsia" w:cs="Arial" w:asciiTheme="minorEastAsia" w:hAnsiTheme="minorEastAsia"/>
                <w:szCs w:val="21"/>
              </w:rPr>
              <w:t>3、支持全景中标签的快速闪烁定位</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16</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消防物联网综合管理系统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支持接入100个TCP设备【通讯方式为：2G/3G/4G/以太网，含最多5个“用户信息传输装置”接入或2000个UDP设备【通讯方式为：NB-IoT的主机类产品接入；</w:t>
            </w:r>
            <w:r>
              <w:rPr>
                <w:rFonts w:hint="eastAsia" w:cs="Arial" w:asciiTheme="minorEastAsia" w:hAnsiTheme="minorEastAsia"/>
                <w:szCs w:val="21"/>
              </w:rPr>
              <w:br w:type="textWrapping"/>
            </w:r>
            <w:r>
              <w:rPr>
                <w:rFonts w:hint="eastAsia" w:cs="Arial" w:asciiTheme="minorEastAsia" w:hAnsiTheme="minorEastAsia"/>
                <w:szCs w:val="21"/>
              </w:rPr>
              <w:t>要求支持对设备、报警、隐患数据进行统计</w:t>
            </w:r>
          </w:p>
          <w:p>
            <w:pPr>
              <w:snapToGrid w:val="0"/>
              <w:spacing w:line="276" w:lineRule="auto"/>
              <w:rPr>
                <w:rFonts w:asciiTheme="minorEastAsia" w:hAnsiTheme="minorEastAsia"/>
                <w:szCs w:val="21"/>
              </w:rPr>
            </w:pPr>
            <w:r>
              <w:rPr>
                <w:rFonts w:hint="eastAsia" w:cs="Arial" w:asciiTheme="minorEastAsia" w:hAnsiTheme="minorEastAsia"/>
                <w:szCs w:val="21"/>
              </w:rPr>
              <w:t>要求支持饼图方式展示消防报警处理、隐患巡查完成情况的数据</w:t>
            </w:r>
          </w:p>
          <w:p>
            <w:pPr>
              <w:snapToGrid w:val="0"/>
              <w:spacing w:line="276" w:lineRule="auto"/>
              <w:rPr>
                <w:rFonts w:cs="Arial" w:asciiTheme="minorEastAsia" w:hAnsiTheme="minorEastAsia"/>
                <w:szCs w:val="21"/>
              </w:rPr>
            </w:pPr>
            <w:r>
              <w:rPr>
                <w:rFonts w:hint="eastAsia" w:cs="Arial" w:asciiTheme="minorEastAsia" w:hAnsiTheme="minorEastAsia"/>
                <w:szCs w:val="21"/>
              </w:rPr>
              <w:t>要求支持平台收到报警后，地图上进行报警信息弹框，并联动显示视频、回放、抓图、平面图</w:t>
            </w:r>
            <w:r>
              <w:rPr>
                <w:rFonts w:hint="eastAsia" w:cs="Arial" w:asciiTheme="minorEastAsia" w:hAnsiTheme="minorEastAsia"/>
                <w:szCs w:val="21"/>
              </w:rPr>
              <w:br w:type="textWrapping"/>
            </w:r>
            <w:r>
              <w:rPr>
                <w:rFonts w:hint="eastAsia" w:cs="Arial" w:asciiTheme="minorEastAsia" w:hAnsiTheme="minorEastAsia"/>
                <w:szCs w:val="21"/>
              </w:rPr>
              <w:t>要求支持接收消防设备离线、故障事件信息展示在告警中心</w:t>
            </w:r>
            <w:r>
              <w:rPr>
                <w:rFonts w:hint="eastAsia" w:cs="Arial" w:asciiTheme="minorEastAsia" w:hAnsiTheme="minorEastAsia"/>
                <w:szCs w:val="21"/>
              </w:rPr>
              <w:br w:type="textWrapping"/>
            </w:r>
            <w:r>
              <w:rPr>
                <w:rFonts w:hint="eastAsia" w:cs="Arial" w:asciiTheme="minorEastAsia" w:hAnsiTheme="minorEastAsia"/>
                <w:szCs w:val="21"/>
              </w:rPr>
              <w:t>要求支持消防设备及传感器资源上图并能展示相关资源数据及报警信息，支持一张图呈现报警点的详细信息、位置信息、联动预览回放和联动抓图功能</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17</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车辆管理系统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支持停车场收费、出入口管理、立体车库等业务场景。</w:t>
            </w:r>
            <w:r>
              <w:rPr>
                <w:rFonts w:hint="eastAsia" w:cs="Arial" w:asciiTheme="minorEastAsia" w:hAnsiTheme="minorEastAsia"/>
                <w:szCs w:val="21"/>
              </w:rPr>
              <w:br w:type="textWrapping"/>
            </w:r>
            <w:r>
              <w:rPr>
                <w:rFonts w:hint="eastAsia" w:cs="Arial" w:asciiTheme="minorEastAsia" w:hAnsiTheme="minorEastAsia"/>
                <w:szCs w:val="21"/>
              </w:rPr>
              <w:t>支持搭配停车云平台微信、支付宝缴费功能。</w:t>
            </w:r>
            <w:r>
              <w:rPr>
                <w:rFonts w:hint="eastAsia" w:cs="Arial" w:asciiTheme="minorEastAsia" w:hAnsiTheme="minorEastAsia"/>
                <w:szCs w:val="21"/>
              </w:rPr>
              <w:br w:type="textWrapping"/>
            </w:r>
            <w:r>
              <w:rPr>
                <w:rFonts w:hint="eastAsia" w:cs="Arial" w:asciiTheme="minorEastAsia" w:hAnsiTheme="minorEastAsia"/>
                <w:szCs w:val="21"/>
              </w:rPr>
              <w:t>支持道闸一体机接入，支持出入口LED显示以及语音播报。</w:t>
            </w:r>
            <w:r>
              <w:rPr>
                <w:rFonts w:hint="eastAsia" w:cs="Arial" w:asciiTheme="minorEastAsia" w:hAnsiTheme="minorEastAsia"/>
                <w:szCs w:val="21"/>
              </w:rPr>
              <w:br w:type="textWrapping"/>
            </w:r>
            <w:r>
              <w:rPr>
                <w:rFonts w:hint="eastAsia" w:cs="Arial" w:asciiTheme="minorEastAsia" w:hAnsiTheme="minorEastAsia"/>
                <w:szCs w:val="21"/>
              </w:rPr>
              <w:t>针对收费问题支持出场车牌矫正，收费记录展示以及历史信息核查等。提供第三方业务接口。</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18</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▼宿舍管理系统</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管理功能 人员档案信息导入、部门组织管理、分配人员、批量分配人员、部门/班级分配人员、批量取消分配、人员请假登记、寝室维修登记、物品领用登记、通行时段管理。</w:t>
            </w:r>
            <w:r>
              <w:rPr>
                <w:rFonts w:hint="eastAsia" w:cs="Arial" w:asciiTheme="minorEastAsia" w:hAnsiTheme="minorEastAsia"/>
                <w:szCs w:val="21"/>
              </w:rPr>
              <w:br w:type="textWrapping"/>
            </w:r>
            <w:r>
              <w:rPr>
                <w:rFonts w:hint="eastAsia" w:cs="Arial" w:asciiTheme="minorEastAsia" w:hAnsiTheme="minorEastAsia"/>
                <w:szCs w:val="21"/>
              </w:rPr>
              <w:t>批量人员信息变更 系统支持批量人员信息变更。系统支持从 Excel 批量复制学号进行人员查找和信息变更。当人员宿舍变更楼宇后，系统自动分配该人员通行权限，则自动具有该楼宇通行权限，无需二次划分。</w:t>
            </w:r>
            <w:r>
              <w:rPr>
                <w:rFonts w:hint="eastAsia" w:cs="Arial" w:asciiTheme="minorEastAsia" w:hAnsiTheme="minorEastAsia"/>
                <w:szCs w:val="21"/>
              </w:rPr>
              <w:br w:type="textWrapping"/>
            </w:r>
            <w:r>
              <w:rPr>
                <w:rFonts w:hint="eastAsia" w:cs="Arial" w:asciiTheme="minorEastAsia" w:hAnsiTheme="minorEastAsia"/>
                <w:szCs w:val="21"/>
              </w:rPr>
              <w:t>查询统计 系统 B/S 端所有查询和管理模块均在一个软件实现，不允许用多个软件实现查询要求。所包括的查询模块包括但不限于：人员通行明细查询、实时在寝查询、未归寝查询、晚归寝查询、剩余床位查询。</w:t>
            </w:r>
            <w:r>
              <w:rPr>
                <w:rFonts w:hint="eastAsia" w:cs="Arial" w:asciiTheme="minorEastAsia" w:hAnsiTheme="minorEastAsia"/>
                <w:szCs w:val="21"/>
              </w:rPr>
              <w:br w:type="textWrapping"/>
            </w:r>
            <w:r>
              <w:rPr>
                <w:rFonts w:hint="eastAsia" w:cs="Arial" w:asciiTheme="minorEastAsia" w:hAnsiTheme="minorEastAsia"/>
                <w:szCs w:val="21"/>
              </w:rPr>
              <w:t>多种查询条件 系统提供多种查询条件进行组合查询以供查询的多样化输入要求，以下字段有但不限于：姓名、性别、学院、班级、生活区、楼宇、楼层、房间、性别、权限组别。</w:t>
            </w:r>
            <w:r>
              <w:rPr>
                <w:rFonts w:hint="eastAsia" w:cs="Arial" w:asciiTheme="minorEastAsia" w:hAnsiTheme="minorEastAsia"/>
                <w:szCs w:val="21"/>
              </w:rPr>
              <w:br w:type="textWrapping"/>
            </w:r>
            <w:r>
              <w:rPr>
                <w:rFonts w:hint="eastAsia" w:cs="Arial" w:asciiTheme="minorEastAsia" w:hAnsiTheme="minorEastAsia"/>
                <w:szCs w:val="21"/>
              </w:rPr>
              <w:t>报表导出功能 查询报表支持导出到 Excel，以供二次编辑。查询报表可以网页直接打印。</w:t>
            </w:r>
            <w:r>
              <w:rPr>
                <w:rFonts w:hint="eastAsia" w:cs="Arial" w:asciiTheme="minorEastAsia" w:hAnsiTheme="minorEastAsia"/>
                <w:szCs w:val="21"/>
              </w:rPr>
              <w:br w:type="textWrapping"/>
            </w:r>
            <w:r>
              <w:rPr>
                <w:rFonts w:hint="eastAsia" w:cs="Arial" w:asciiTheme="minorEastAsia" w:hAnsiTheme="minorEastAsia"/>
                <w:szCs w:val="21"/>
              </w:rPr>
              <w:t>异常一览 一个报表展现所有异常信息，包括汇总和明细；</w:t>
            </w:r>
            <w:r>
              <w:rPr>
                <w:rFonts w:hint="eastAsia" w:cs="Arial" w:asciiTheme="minorEastAsia" w:hAnsiTheme="minorEastAsia"/>
                <w:szCs w:val="21"/>
              </w:rPr>
              <w:br w:type="textWrapping"/>
            </w:r>
            <w:r>
              <w:rPr>
                <w:rFonts w:hint="eastAsia" w:cs="Arial" w:asciiTheme="minorEastAsia" w:hAnsiTheme="minorEastAsia"/>
                <w:szCs w:val="21"/>
              </w:rPr>
              <w:t>宿舍入住管理 人员，寝室，床位分配/调换</w:t>
            </w:r>
            <w:r>
              <w:rPr>
                <w:rFonts w:hint="eastAsia" w:cs="Arial" w:asciiTheme="minorEastAsia" w:hAnsiTheme="minorEastAsia"/>
                <w:szCs w:val="21"/>
              </w:rPr>
              <w:br w:type="textWrapping"/>
            </w:r>
            <w:r>
              <w:rPr>
                <w:rFonts w:hint="eastAsia" w:cs="Arial" w:asciiTheme="minorEastAsia" w:hAnsiTheme="minorEastAsia"/>
                <w:szCs w:val="21"/>
              </w:rPr>
              <w:t>请假管理 人员请假登记，请假补填管理，请假记录查询</w:t>
            </w:r>
            <w:r>
              <w:rPr>
                <w:rFonts w:hint="eastAsia" w:cs="Arial" w:asciiTheme="minorEastAsia" w:hAnsiTheme="minorEastAsia"/>
                <w:szCs w:val="21"/>
              </w:rPr>
              <w:br w:type="textWrapping"/>
            </w:r>
            <w:r>
              <w:rPr>
                <w:rFonts w:hint="eastAsia" w:cs="Arial" w:asciiTheme="minorEastAsia" w:hAnsiTheme="minorEastAsia"/>
                <w:szCs w:val="21"/>
              </w:rPr>
              <w:t>寝室维修管理 维修信息登记，维修记录查询</w:t>
            </w:r>
            <w:r>
              <w:rPr>
                <w:rFonts w:hint="eastAsia" w:cs="Arial" w:asciiTheme="minorEastAsia" w:hAnsiTheme="minorEastAsia"/>
                <w:szCs w:val="21"/>
              </w:rPr>
              <w:br w:type="textWrapping"/>
            </w:r>
            <w:r>
              <w:rPr>
                <w:rFonts w:hint="eastAsia" w:cs="Arial" w:asciiTheme="minorEastAsia" w:hAnsiTheme="minorEastAsia"/>
                <w:szCs w:val="21"/>
              </w:rPr>
              <w:t>物品领用管理 物品领用登记，领用记录查询</w:t>
            </w:r>
            <w:r>
              <w:rPr>
                <w:rFonts w:hint="eastAsia" w:cs="Arial" w:asciiTheme="minorEastAsia" w:hAnsiTheme="minorEastAsia"/>
                <w:szCs w:val="21"/>
              </w:rPr>
              <w:br w:type="textWrapping"/>
            </w:r>
            <w:r>
              <w:rPr>
                <w:rFonts w:hint="eastAsia" w:cs="Arial" w:asciiTheme="minorEastAsia" w:hAnsiTheme="minorEastAsia"/>
                <w:szCs w:val="21"/>
              </w:rPr>
              <w:t>访客管理 访客信息登记，访客记录查询</w:t>
            </w:r>
            <w:r>
              <w:rPr>
                <w:rFonts w:hint="eastAsia" w:cs="Arial" w:asciiTheme="minorEastAsia" w:hAnsiTheme="minorEastAsia"/>
                <w:szCs w:val="21"/>
              </w:rPr>
              <w:br w:type="textWrapping"/>
            </w:r>
            <w:r>
              <w:rPr>
                <w:rFonts w:hint="eastAsia" w:cs="Arial" w:asciiTheme="minorEastAsia" w:hAnsiTheme="minorEastAsia"/>
                <w:szCs w:val="21"/>
              </w:rPr>
              <w:t>人员识别通行 系统采用面部识别方式通行，人员面部识别通过闸机时，识别终端显示人员照片和姓名、学院等信息，并且有语音提示是否识别成功。</w:t>
            </w:r>
            <w:r>
              <w:rPr>
                <w:rFonts w:hint="eastAsia" w:cs="Arial" w:asciiTheme="minorEastAsia" w:hAnsiTheme="minorEastAsia"/>
                <w:szCs w:val="21"/>
              </w:rPr>
              <w:br w:type="textWrapping"/>
            </w:r>
            <w:r>
              <w:rPr>
                <w:rFonts w:hint="eastAsia" w:cs="Arial" w:asciiTheme="minorEastAsia" w:hAnsiTheme="minorEastAsia"/>
                <w:szCs w:val="21"/>
              </w:rPr>
              <w:t>移动端查看：全校学生统计：总人数、在寝、不在寝、请假、多日无记录数量显示。学生离寝到寝钉钉或微信推送。</w:t>
            </w:r>
            <w:r>
              <w:rPr>
                <w:rFonts w:hint="eastAsia" w:cs="Arial" w:asciiTheme="minorEastAsia" w:hAnsiTheme="minorEastAsia"/>
                <w:szCs w:val="21"/>
              </w:rPr>
              <w:br w:type="textWrapping"/>
            </w:r>
            <w:r>
              <w:rPr>
                <w:rFonts w:hint="eastAsia" w:cs="Arial" w:asciiTheme="minorEastAsia" w:hAnsiTheme="minorEastAsia"/>
                <w:szCs w:val="21"/>
              </w:rPr>
              <w:t>异常人员信息：今日访客数量、今日黑名单数量、今日无记录学生、昨日未归学生。</w:t>
            </w:r>
            <w:r>
              <w:rPr>
                <w:rFonts w:hint="eastAsia" w:cs="Arial" w:asciiTheme="minorEastAsia" w:hAnsiTheme="minorEastAsia"/>
                <w:szCs w:val="21"/>
              </w:rPr>
              <w:br w:type="textWrapping"/>
            </w:r>
            <w:r>
              <w:rPr>
                <w:rFonts w:hint="eastAsia" w:cs="Arial" w:asciiTheme="minorEastAsia" w:hAnsiTheme="minorEastAsia"/>
                <w:szCs w:val="21"/>
              </w:rPr>
              <w:t>寝室异常统计：未处理维修数量、设备异常数量、电费不足房间数、水费不足房间数量。</w:t>
            </w:r>
            <w:r>
              <w:rPr>
                <w:rFonts w:hint="eastAsia" w:cs="Arial" w:asciiTheme="minorEastAsia" w:hAnsiTheme="minorEastAsia"/>
                <w:szCs w:val="21"/>
              </w:rPr>
              <w:br w:type="textWrapping"/>
            </w:r>
            <w:r>
              <w:rPr>
                <w:rFonts w:hint="eastAsia" w:cs="Arial" w:asciiTheme="minorEastAsia" w:hAnsiTheme="minorEastAsia"/>
                <w:szCs w:val="21"/>
              </w:rPr>
              <w:t>今天通行次数统计：每小时人员进出次数统计。</w:t>
            </w:r>
            <w:r>
              <w:rPr>
                <w:rFonts w:hint="eastAsia" w:cs="Arial" w:asciiTheme="minorEastAsia" w:hAnsiTheme="minorEastAsia"/>
                <w:szCs w:val="21"/>
              </w:rPr>
              <w:br w:type="textWrapping"/>
            </w:r>
            <w:r>
              <w:rPr>
                <w:rFonts w:hint="eastAsia" w:cs="Arial" w:asciiTheme="minorEastAsia" w:hAnsiTheme="minorEastAsia"/>
                <w:szCs w:val="21"/>
              </w:rPr>
              <w:t>支持学生请假审批等便捷功能。</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6"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19</w:t>
            </w:r>
          </w:p>
        </w:tc>
        <w:tc>
          <w:tcPr>
            <w:tcW w:w="2029" w:type="dxa"/>
            <w:gridSpan w:val="3"/>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集成调试费</w:t>
            </w:r>
          </w:p>
        </w:tc>
        <w:tc>
          <w:tcPr>
            <w:tcW w:w="9087" w:type="dxa"/>
            <w:vAlign w:val="center"/>
          </w:tcPr>
          <w:p>
            <w:pPr>
              <w:snapToGrid w:val="0"/>
              <w:spacing w:line="276" w:lineRule="auto"/>
              <w:rPr>
                <w:rFonts w:cs="Arial" w:asciiTheme="minorEastAsia" w:hAnsiTheme="minorEastAsia"/>
                <w:szCs w:val="21"/>
              </w:rPr>
            </w:pPr>
            <w:r>
              <w:rPr>
                <w:rFonts w:hint="eastAsia" w:cs="Arial" w:asciiTheme="minorEastAsia" w:hAnsiTheme="minorEastAsia"/>
                <w:szCs w:val="21"/>
              </w:rPr>
              <w:t>安装调试、配置等</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706" w:type="dxa"/>
            <w:gridSpan w:val="7"/>
            <w:vAlign w:val="center"/>
          </w:tcPr>
          <w:p>
            <w:pPr>
              <w:snapToGrid w:val="0"/>
              <w:spacing w:line="276" w:lineRule="auto"/>
              <w:jc w:val="center"/>
              <w:rPr>
                <w:rFonts w:asciiTheme="minorEastAsia" w:hAnsiTheme="minorEastAsia"/>
                <w:szCs w:val="21"/>
              </w:rPr>
            </w:pPr>
            <w:r>
              <w:rPr>
                <w:rFonts w:hint="eastAsia" w:asciiTheme="minorEastAsia" w:hAnsiTheme="minorEastAsia"/>
                <w:szCs w:val="21"/>
              </w:rPr>
              <w:t>访客+巡更系统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1" w:type="dxa"/>
            <w:gridSpan w:val="2"/>
            <w:vAlign w:val="center"/>
          </w:tcPr>
          <w:p>
            <w:pPr>
              <w:snapToGrid w:val="0"/>
              <w:spacing w:line="276" w:lineRule="auto"/>
              <w:jc w:val="center"/>
              <w:rPr>
                <w:rFonts w:cs="Arial" w:asciiTheme="minorEastAsia" w:hAnsiTheme="minorEastAsia"/>
                <w:szCs w:val="21"/>
              </w:rPr>
            </w:pPr>
          </w:p>
          <w:p>
            <w:pPr>
              <w:snapToGrid w:val="0"/>
              <w:spacing w:line="276" w:lineRule="auto"/>
              <w:jc w:val="center"/>
              <w:rPr>
                <w:rFonts w:cs="Arial" w:asciiTheme="minorEastAsia" w:hAnsiTheme="minorEastAsia"/>
                <w:szCs w:val="21"/>
              </w:rPr>
            </w:pPr>
            <w:r>
              <w:rPr>
                <w:rFonts w:hint="eastAsia" w:cs="Arial" w:asciiTheme="minorEastAsia" w:hAnsiTheme="minorEastAsia"/>
                <w:szCs w:val="21"/>
              </w:rPr>
              <w:t>1</w:t>
            </w:r>
          </w:p>
        </w:tc>
        <w:tc>
          <w:tcPr>
            <w:tcW w:w="2001" w:type="dxa"/>
            <w:vAlign w:val="center"/>
          </w:tcPr>
          <w:p>
            <w:pPr>
              <w:snapToGrid w:val="0"/>
              <w:spacing w:line="276" w:lineRule="auto"/>
              <w:rPr>
                <w:rFonts w:cs="Arial" w:asciiTheme="minorEastAsia" w:hAnsiTheme="minorEastAsia"/>
                <w:szCs w:val="21"/>
              </w:rPr>
            </w:pPr>
            <w:r>
              <w:rPr>
                <w:rFonts w:hint="eastAsia" w:cs="仿宋" w:asciiTheme="minorEastAsia" w:hAnsiTheme="minorEastAsia"/>
                <w:kern w:val="0"/>
                <w:szCs w:val="21"/>
              </w:rPr>
              <w:t>访客机</w:t>
            </w:r>
          </w:p>
        </w:tc>
        <w:tc>
          <w:tcPr>
            <w:tcW w:w="9100" w:type="dxa"/>
            <w:gridSpan w:val="2"/>
            <w:vAlign w:val="center"/>
          </w:tcPr>
          <w:p>
            <w:pPr>
              <w:snapToGrid w:val="0"/>
              <w:spacing w:line="276" w:lineRule="auto"/>
              <w:rPr>
                <w:rFonts w:cs="Arial" w:asciiTheme="minorEastAsia" w:hAnsiTheme="minorEastAsia"/>
                <w:szCs w:val="21"/>
              </w:rPr>
            </w:pPr>
            <w:r>
              <w:rPr>
                <w:rFonts w:hint="eastAsia" w:cs="仿宋" w:asciiTheme="minorEastAsia" w:hAnsiTheme="minorEastAsia"/>
                <w:kern w:val="0"/>
                <w:szCs w:val="21"/>
              </w:rPr>
              <w:t>10.1英寸及以上双屏（管理员方向为触摸屏，访客方向为显示屏），200万及以上像素双目摄像头，面部识别距离0.5m-1.5m，人证比对时间≤1s/人；</w:t>
            </w:r>
            <w:r>
              <w:rPr>
                <w:rFonts w:hint="eastAsia" w:cs="仿宋" w:asciiTheme="minorEastAsia" w:hAnsiTheme="minorEastAsia"/>
                <w:kern w:val="0"/>
                <w:szCs w:val="21"/>
              </w:rPr>
              <w:br w:type="textWrapping"/>
            </w:r>
            <w:r>
              <w:rPr>
                <w:rFonts w:hint="eastAsia" w:cs="仿宋" w:asciiTheme="minorEastAsia" w:hAnsiTheme="minorEastAsia"/>
                <w:kern w:val="0"/>
                <w:szCs w:val="21"/>
              </w:rPr>
              <w:t xml:space="preserve"> 操作系统：设备采用Android7.1.2操作系统；</w:t>
            </w:r>
            <w:r>
              <w:rPr>
                <w:rFonts w:hint="eastAsia" w:cs="仿宋" w:asciiTheme="minorEastAsia" w:hAnsiTheme="minorEastAsia"/>
                <w:kern w:val="0"/>
                <w:szCs w:val="21"/>
              </w:rPr>
              <w:br w:type="textWrapping"/>
            </w:r>
            <w:r>
              <w:rPr>
                <w:rFonts w:hint="eastAsia" w:cs="仿宋" w:asciiTheme="minorEastAsia" w:hAnsiTheme="minorEastAsia"/>
                <w:kern w:val="0"/>
                <w:szCs w:val="21"/>
              </w:rPr>
              <w:t>设备容量：内存2G,存储16G；</w:t>
            </w:r>
          </w:p>
        </w:tc>
        <w:tc>
          <w:tcPr>
            <w:tcW w:w="993"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2</w:t>
            </w:r>
          </w:p>
        </w:tc>
        <w:tc>
          <w:tcPr>
            <w:tcW w:w="811" w:type="dxa"/>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1" w:type="dxa"/>
            <w:gridSpan w:val="2"/>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2</w:t>
            </w:r>
          </w:p>
          <w:p>
            <w:pPr>
              <w:snapToGrid w:val="0"/>
              <w:spacing w:line="276" w:lineRule="auto"/>
              <w:jc w:val="center"/>
              <w:rPr>
                <w:rFonts w:cs="Arial" w:asciiTheme="minorEastAsia" w:hAnsiTheme="minorEastAsia"/>
                <w:szCs w:val="21"/>
              </w:rPr>
            </w:pPr>
          </w:p>
        </w:tc>
        <w:tc>
          <w:tcPr>
            <w:tcW w:w="2001" w:type="dxa"/>
            <w:vAlign w:val="center"/>
          </w:tcPr>
          <w:p>
            <w:pPr>
              <w:snapToGrid w:val="0"/>
              <w:spacing w:line="276" w:lineRule="auto"/>
              <w:rPr>
                <w:rFonts w:cs="Arial" w:asciiTheme="minorEastAsia" w:hAnsiTheme="minorEastAsia"/>
                <w:szCs w:val="21"/>
              </w:rPr>
            </w:pPr>
            <w:r>
              <w:rPr>
                <w:rFonts w:cs="仿宋" w:asciiTheme="minorEastAsia" w:hAnsiTheme="minorEastAsia"/>
                <w:kern w:val="0"/>
                <w:szCs w:val="21"/>
              </w:rPr>
              <w:t>NFC卡</w:t>
            </w:r>
          </w:p>
        </w:tc>
        <w:tc>
          <w:tcPr>
            <w:tcW w:w="9100" w:type="dxa"/>
            <w:gridSpan w:val="2"/>
            <w:vAlign w:val="center"/>
          </w:tcPr>
          <w:p>
            <w:pPr>
              <w:snapToGrid w:val="0"/>
              <w:spacing w:line="276" w:lineRule="auto"/>
              <w:rPr>
                <w:rFonts w:cs="Arial" w:asciiTheme="minorEastAsia" w:hAnsiTheme="minorEastAsia"/>
                <w:szCs w:val="21"/>
              </w:rPr>
            </w:pPr>
            <w:r>
              <w:rPr>
                <w:rFonts w:cs="仿宋" w:asciiTheme="minorEastAsia" w:hAnsiTheme="minorEastAsia"/>
                <w:kern w:val="0"/>
                <w:szCs w:val="21"/>
              </w:rPr>
              <w:t>3M背胶设计，可直接粘贴于墙面，也可通过中间固定孔进行螺丝固定</w:t>
            </w:r>
            <w:r>
              <w:rPr>
                <w:rFonts w:cs="仿宋" w:asciiTheme="minorEastAsia" w:hAnsiTheme="minorEastAsia"/>
                <w:kern w:val="0"/>
                <w:szCs w:val="21"/>
              </w:rPr>
              <w:br w:type="textWrapping"/>
            </w:r>
            <w:r>
              <w:rPr>
                <w:rFonts w:hint="eastAsia" w:cs="仿宋" w:asciiTheme="minorEastAsia" w:hAnsiTheme="minorEastAsia"/>
                <w:kern w:val="0"/>
                <w:szCs w:val="21"/>
              </w:rPr>
              <w:t>识别距离：近距离</w:t>
            </w:r>
            <w:r>
              <w:rPr>
                <w:rFonts w:cs="仿宋" w:asciiTheme="minorEastAsia" w:hAnsiTheme="minorEastAsia"/>
                <w:kern w:val="0"/>
                <w:szCs w:val="21"/>
              </w:rPr>
              <w:br w:type="textWrapping"/>
            </w:r>
            <w:r>
              <w:rPr>
                <w:rFonts w:hint="eastAsia" w:cs="仿宋" w:asciiTheme="minorEastAsia" w:hAnsiTheme="minorEastAsia"/>
                <w:kern w:val="0"/>
                <w:szCs w:val="21"/>
              </w:rPr>
              <w:t>工作频率：</w:t>
            </w:r>
            <w:r>
              <w:rPr>
                <w:rFonts w:cs="仿宋" w:asciiTheme="minorEastAsia" w:hAnsiTheme="minorEastAsia"/>
                <w:kern w:val="0"/>
                <w:szCs w:val="21"/>
              </w:rPr>
              <w:t>13.56M</w:t>
            </w:r>
            <w:r>
              <w:rPr>
                <w:rFonts w:cs="仿宋" w:asciiTheme="minorEastAsia" w:hAnsiTheme="minorEastAsia"/>
                <w:kern w:val="0"/>
                <w:szCs w:val="21"/>
              </w:rPr>
              <w:br w:type="textWrapping"/>
            </w:r>
            <w:r>
              <w:rPr>
                <w:rFonts w:hint="eastAsia" w:cs="仿宋" w:asciiTheme="minorEastAsia" w:hAnsiTheme="minorEastAsia"/>
                <w:kern w:val="0"/>
                <w:szCs w:val="21"/>
              </w:rPr>
              <w:t>信号类别：无源</w:t>
            </w:r>
          </w:p>
        </w:tc>
        <w:tc>
          <w:tcPr>
            <w:tcW w:w="993" w:type="dxa"/>
            <w:vAlign w:val="center"/>
          </w:tcPr>
          <w:p>
            <w:pPr>
              <w:snapToGrid w:val="0"/>
              <w:spacing w:line="276" w:lineRule="auto"/>
              <w:jc w:val="center"/>
              <w:rPr>
                <w:rFonts w:cs="Arial" w:asciiTheme="minorEastAsia" w:hAnsiTheme="minorEastAsia"/>
                <w:szCs w:val="21"/>
              </w:rPr>
            </w:pPr>
            <w:r>
              <w:rPr>
                <w:rFonts w:cs="仿宋" w:asciiTheme="minorEastAsia" w:hAnsiTheme="minorEastAsia"/>
                <w:kern w:val="0"/>
                <w:szCs w:val="21"/>
              </w:rPr>
              <w:t>50</w:t>
            </w:r>
          </w:p>
        </w:tc>
        <w:tc>
          <w:tcPr>
            <w:tcW w:w="811" w:type="dxa"/>
            <w:vAlign w:val="center"/>
          </w:tcPr>
          <w:p>
            <w:pPr>
              <w:snapToGrid w:val="0"/>
              <w:spacing w:line="276" w:lineRule="auto"/>
              <w:jc w:val="center"/>
              <w:rPr>
                <w:rFonts w:cs="Arial" w:asciiTheme="minorEastAsia" w:hAnsiTheme="minorEastAsia"/>
                <w:szCs w:val="21"/>
              </w:rPr>
            </w:pPr>
            <w:r>
              <w:rPr>
                <w:rFonts w:hint="eastAsia" w:cs="仿宋" w:asciiTheme="minorEastAsia" w:hAnsiTheme="minorEastAsia"/>
                <w:kern w:val="0"/>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01" w:type="dxa"/>
            <w:gridSpan w:val="2"/>
            <w:vAlign w:val="center"/>
          </w:tcPr>
          <w:p>
            <w:pPr>
              <w:snapToGrid w:val="0"/>
              <w:spacing w:line="276" w:lineRule="auto"/>
              <w:jc w:val="center"/>
              <w:rPr>
                <w:rFonts w:cs="Arial" w:asciiTheme="minorEastAsia" w:hAnsiTheme="minorEastAsia"/>
                <w:szCs w:val="21"/>
              </w:rPr>
            </w:pPr>
            <w:r>
              <w:rPr>
                <w:rFonts w:hint="eastAsia" w:cs="Arial" w:asciiTheme="minorEastAsia" w:hAnsiTheme="minorEastAsia"/>
                <w:szCs w:val="21"/>
              </w:rPr>
              <w:t>3</w:t>
            </w:r>
          </w:p>
        </w:tc>
        <w:tc>
          <w:tcPr>
            <w:tcW w:w="2001" w:type="dxa"/>
            <w:vAlign w:val="center"/>
          </w:tcPr>
          <w:p>
            <w:pPr>
              <w:snapToGrid w:val="0"/>
              <w:spacing w:line="276" w:lineRule="auto"/>
              <w:rPr>
                <w:rFonts w:cs="Arial" w:asciiTheme="minorEastAsia" w:hAnsiTheme="minorEastAsia"/>
                <w:szCs w:val="21"/>
              </w:rPr>
            </w:pPr>
            <w:r>
              <w:rPr>
                <w:rFonts w:hint="eastAsia" w:cs="仿宋" w:asciiTheme="minorEastAsia" w:hAnsiTheme="minorEastAsia"/>
                <w:kern w:val="0"/>
                <w:szCs w:val="21"/>
              </w:rPr>
              <w:t>巡检单兵</w:t>
            </w:r>
          </w:p>
        </w:tc>
        <w:tc>
          <w:tcPr>
            <w:tcW w:w="9100" w:type="dxa"/>
            <w:gridSpan w:val="2"/>
            <w:vAlign w:val="center"/>
          </w:tcPr>
          <w:p>
            <w:pPr>
              <w:numPr>
                <w:ilvl w:val="0"/>
                <w:numId w:val="8"/>
              </w:numPr>
              <w:adjustRightInd/>
              <w:snapToGrid w:val="0"/>
              <w:spacing w:line="276" w:lineRule="auto"/>
              <w:rPr>
                <w:rFonts w:cs="仿宋" w:asciiTheme="minorEastAsia" w:hAnsiTheme="minorEastAsia"/>
                <w:kern w:val="0"/>
                <w:szCs w:val="21"/>
              </w:rPr>
            </w:pPr>
            <w:r>
              <w:rPr>
                <w:rFonts w:hint="eastAsia" w:cs="仿宋" w:asciiTheme="minorEastAsia" w:hAnsiTheme="minorEastAsia"/>
                <w:kern w:val="0"/>
                <w:szCs w:val="21"/>
              </w:rPr>
              <w:t>分辨率</w:t>
            </w:r>
            <w:r>
              <w:rPr>
                <w:rFonts w:cs="仿宋" w:asciiTheme="minorEastAsia" w:hAnsiTheme="minorEastAsia"/>
                <w:kern w:val="0"/>
                <w:szCs w:val="21"/>
              </w:rPr>
              <w:t>1280*720</w:t>
            </w:r>
            <w:r>
              <w:rPr>
                <w:rFonts w:hint="eastAsia" w:cs="仿宋" w:asciiTheme="minorEastAsia" w:hAnsiTheme="minorEastAsia"/>
                <w:kern w:val="0"/>
                <w:szCs w:val="21"/>
              </w:rPr>
              <w:t>及以上</w:t>
            </w:r>
            <w:r>
              <w:rPr>
                <w:rFonts w:cs="仿宋" w:asciiTheme="minorEastAsia" w:hAnsiTheme="minorEastAsia"/>
                <w:kern w:val="0"/>
                <w:szCs w:val="21"/>
              </w:rPr>
              <w:t>、4.7英寸</w:t>
            </w:r>
            <w:r>
              <w:rPr>
                <w:rFonts w:hint="eastAsia" w:cs="仿宋" w:asciiTheme="minorEastAsia" w:hAnsiTheme="minorEastAsia"/>
                <w:kern w:val="0"/>
                <w:szCs w:val="21"/>
              </w:rPr>
              <w:t>及以上</w:t>
            </w:r>
            <w:r>
              <w:rPr>
                <w:rFonts w:cs="仿宋" w:asciiTheme="minorEastAsia" w:hAnsiTheme="minorEastAsia"/>
                <w:kern w:val="0"/>
                <w:szCs w:val="21"/>
              </w:rPr>
              <w:t>LCD显示屏，具备手套触摸设置</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2）</w:t>
            </w:r>
            <w:r>
              <w:rPr>
                <w:rFonts w:hint="eastAsia" w:cs="仿宋" w:asciiTheme="minorEastAsia" w:hAnsiTheme="minorEastAsia"/>
                <w:kern w:val="0"/>
                <w:szCs w:val="21"/>
              </w:rPr>
              <w:t>具备本地录音、本地回放视音频文件功能</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3）</w:t>
            </w:r>
            <w:r>
              <w:rPr>
                <w:rFonts w:hint="eastAsia" w:cs="仿宋" w:asciiTheme="minorEastAsia" w:hAnsiTheme="minorEastAsia"/>
                <w:kern w:val="0"/>
                <w:szCs w:val="21"/>
              </w:rPr>
              <w:t>支持图像抓拍，后置摄像头最大抓拍分辨率</w:t>
            </w:r>
            <w:r>
              <w:rPr>
                <w:rFonts w:cs="仿宋" w:asciiTheme="minorEastAsia" w:hAnsiTheme="minorEastAsia"/>
                <w:kern w:val="0"/>
                <w:szCs w:val="21"/>
              </w:rPr>
              <w:t>4160*3120，前置摄像头最大抓拍分辨率3264*2488</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 xml:space="preserve">4） </w:t>
            </w:r>
            <w:r>
              <w:rPr>
                <w:rFonts w:hint="eastAsia" w:cs="仿宋" w:asciiTheme="minorEastAsia" w:hAnsiTheme="minorEastAsia"/>
                <w:kern w:val="0"/>
                <w:szCs w:val="21"/>
              </w:rPr>
              <w:t>插入</w:t>
            </w:r>
            <w:r>
              <w:rPr>
                <w:rFonts w:cs="仿宋" w:asciiTheme="minorEastAsia" w:hAnsiTheme="minorEastAsia"/>
                <w:kern w:val="0"/>
                <w:szCs w:val="21"/>
              </w:rPr>
              <w:t>SIM卡后，能够进行通话和短信收发</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5）前置和后置摄像头录像分辨率支持1920*1080,1280*720和648*480</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6）</w:t>
            </w:r>
            <w:r>
              <w:rPr>
                <w:rFonts w:hint="eastAsia" w:cs="仿宋" w:asciiTheme="minorEastAsia" w:hAnsiTheme="minorEastAsia"/>
                <w:kern w:val="0"/>
                <w:szCs w:val="21"/>
              </w:rPr>
              <w:t>支持检出瞳距</w:t>
            </w:r>
            <w:r>
              <w:rPr>
                <w:rFonts w:cs="仿宋" w:asciiTheme="minorEastAsia" w:hAnsiTheme="minorEastAsia"/>
                <w:kern w:val="0"/>
                <w:szCs w:val="21"/>
              </w:rPr>
              <w:t>20像素点以上的</w:t>
            </w:r>
            <w:r>
              <w:rPr>
                <w:rFonts w:hint="eastAsia" w:cs="仿宋" w:asciiTheme="minorEastAsia" w:hAnsiTheme="minorEastAsia"/>
                <w:kern w:val="0"/>
                <w:szCs w:val="21"/>
              </w:rPr>
              <w:t>人员面部</w:t>
            </w:r>
            <w:r>
              <w:rPr>
                <w:rFonts w:cs="仿宋" w:asciiTheme="minorEastAsia" w:hAnsiTheme="minorEastAsia"/>
                <w:kern w:val="0"/>
                <w:szCs w:val="21"/>
              </w:rPr>
              <w:t>。</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7）检出齐刘海遮挡眉毛、戴普通眼镜、戴墨镜、戴彩色眼镜、戴帽子、戴头戴式耳机等遮挡方式的</w:t>
            </w:r>
            <w:r>
              <w:rPr>
                <w:rFonts w:hint="eastAsia" w:cs="仿宋" w:asciiTheme="minorEastAsia" w:hAnsiTheme="minorEastAsia"/>
                <w:kern w:val="0"/>
                <w:szCs w:val="21"/>
              </w:rPr>
              <w:t>人员</w:t>
            </w:r>
            <w:r>
              <w:rPr>
                <w:rFonts w:cs="仿宋" w:asciiTheme="minorEastAsia" w:hAnsiTheme="minorEastAsia"/>
                <w:kern w:val="0"/>
                <w:szCs w:val="21"/>
              </w:rPr>
              <w:t>。</w:t>
            </w:r>
          </w:p>
          <w:p>
            <w:pPr>
              <w:numPr>
                <w:ilvl w:val="0"/>
                <w:numId w:val="13"/>
              </w:numPr>
              <w:adjustRightInd/>
              <w:snapToGrid w:val="0"/>
              <w:spacing w:line="276" w:lineRule="auto"/>
              <w:rPr>
                <w:rFonts w:cs="仿宋" w:asciiTheme="minorEastAsia" w:hAnsiTheme="minorEastAsia"/>
                <w:kern w:val="0"/>
                <w:szCs w:val="21"/>
              </w:rPr>
            </w:pPr>
            <w:r>
              <w:rPr>
                <w:rFonts w:cs="仿宋" w:asciiTheme="minorEastAsia" w:hAnsiTheme="minorEastAsia"/>
                <w:kern w:val="0"/>
                <w:szCs w:val="21"/>
              </w:rPr>
              <w:t>支持密码、指纹</w:t>
            </w:r>
            <w:r>
              <w:rPr>
                <w:rFonts w:hint="eastAsia" w:cs="仿宋" w:asciiTheme="minorEastAsia" w:hAnsiTheme="minorEastAsia"/>
                <w:kern w:val="0"/>
                <w:szCs w:val="21"/>
              </w:rPr>
              <w:t>等</w:t>
            </w:r>
            <w:r>
              <w:rPr>
                <w:rFonts w:cs="仿宋" w:asciiTheme="minorEastAsia" w:hAnsiTheme="minorEastAsia"/>
                <w:kern w:val="0"/>
                <w:szCs w:val="21"/>
              </w:rPr>
              <w:t xml:space="preserve">方式登录系统 </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 xml:space="preserve">9） </w:t>
            </w:r>
            <w:r>
              <w:rPr>
                <w:rFonts w:hint="eastAsia" w:cs="仿宋" w:asciiTheme="minorEastAsia" w:hAnsiTheme="minorEastAsia"/>
                <w:kern w:val="0"/>
                <w:szCs w:val="21"/>
              </w:rPr>
              <w:t>支持身份证、行驶证、护照、驾照、银行卡识别。</w:t>
            </w:r>
          </w:p>
          <w:p>
            <w:pPr>
              <w:snapToGrid w:val="0"/>
              <w:spacing w:line="276" w:lineRule="auto"/>
              <w:rPr>
                <w:rFonts w:cs="Arial" w:asciiTheme="minorEastAsia" w:hAnsiTheme="minorEastAsia"/>
                <w:szCs w:val="21"/>
              </w:rPr>
            </w:pPr>
            <w:r>
              <w:rPr>
                <w:rFonts w:hint="eastAsia" w:cs="仿宋" w:asciiTheme="minorEastAsia" w:hAnsiTheme="minorEastAsia"/>
                <w:kern w:val="0"/>
                <w:szCs w:val="21"/>
              </w:rPr>
              <w:t>（</w:t>
            </w:r>
            <w:r>
              <w:rPr>
                <w:rFonts w:cs="仿宋" w:asciiTheme="minorEastAsia" w:hAnsiTheme="minorEastAsia"/>
                <w:kern w:val="0"/>
                <w:szCs w:val="21"/>
              </w:rPr>
              <w:t>10）电池容量5200mAH，采用可拆卸式电池设计</w:t>
            </w:r>
            <w:r>
              <w:rPr>
                <w:rFonts w:cs="仿宋" w:asciiTheme="minorEastAsia" w:hAnsiTheme="minorEastAsia"/>
                <w:kern w:val="0"/>
                <w:szCs w:val="21"/>
              </w:rPr>
              <w:br w:type="textWrapping"/>
            </w:r>
            <w:r>
              <w:rPr>
                <w:rFonts w:hint="eastAsia" w:cs="仿宋" w:asciiTheme="minorEastAsia" w:hAnsiTheme="minorEastAsia"/>
                <w:kern w:val="0"/>
                <w:szCs w:val="21"/>
              </w:rPr>
              <w:t>（</w:t>
            </w:r>
            <w:r>
              <w:rPr>
                <w:rFonts w:cs="仿宋" w:asciiTheme="minorEastAsia" w:hAnsiTheme="minorEastAsia"/>
                <w:kern w:val="0"/>
                <w:szCs w:val="21"/>
              </w:rPr>
              <w:t xml:space="preserve">11） </w:t>
            </w:r>
            <w:r>
              <w:rPr>
                <w:rFonts w:hint="eastAsia" w:cs="仿宋" w:asciiTheme="minorEastAsia" w:hAnsiTheme="minorEastAsia"/>
                <w:kern w:val="0"/>
                <w:szCs w:val="21"/>
              </w:rPr>
              <w:t>设备支持</w:t>
            </w:r>
            <w:r>
              <w:rPr>
                <w:rFonts w:cs="仿宋" w:asciiTheme="minorEastAsia" w:hAnsiTheme="minorEastAsia"/>
                <w:kern w:val="0"/>
                <w:szCs w:val="21"/>
              </w:rPr>
              <w:t>IP68</w:t>
            </w:r>
            <w:r>
              <w:rPr>
                <w:rFonts w:hint="eastAsia" w:cs="仿宋" w:asciiTheme="minorEastAsia" w:hAnsiTheme="minorEastAsia"/>
                <w:kern w:val="0"/>
                <w:szCs w:val="21"/>
              </w:rPr>
              <w:t>及以上</w:t>
            </w:r>
            <w:r>
              <w:rPr>
                <w:rFonts w:cs="仿宋" w:asciiTheme="minorEastAsia" w:hAnsiTheme="minorEastAsia"/>
                <w:kern w:val="0"/>
                <w:szCs w:val="21"/>
              </w:rPr>
              <w:t>防水防尘等级</w:t>
            </w:r>
          </w:p>
        </w:tc>
        <w:tc>
          <w:tcPr>
            <w:tcW w:w="993" w:type="dxa"/>
            <w:vAlign w:val="center"/>
          </w:tcPr>
          <w:p>
            <w:pPr>
              <w:snapToGrid w:val="0"/>
              <w:spacing w:line="276" w:lineRule="auto"/>
              <w:jc w:val="center"/>
              <w:rPr>
                <w:rFonts w:cs="Arial" w:asciiTheme="minorEastAsia" w:hAnsiTheme="minorEastAsia"/>
                <w:szCs w:val="21"/>
              </w:rPr>
            </w:pPr>
            <w:r>
              <w:rPr>
                <w:rFonts w:cs="仿宋" w:asciiTheme="minorEastAsia" w:hAnsiTheme="minorEastAsia"/>
                <w:kern w:val="0"/>
                <w:szCs w:val="21"/>
              </w:rPr>
              <w:t>2</w:t>
            </w:r>
          </w:p>
        </w:tc>
        <w:tc>
          <w:tcPr>
            <w:tcW w:w="811" w:type="dxa"/>
            <w:vAlign w:val="center"/>
          </w:tcPr>
          <w:p>
            <w:pPr>
              <w:snapToGrid w:val="0"/>
              <w:spacing w:line="276" w:lineRule="auto"/>
              <w:jc w:val="center"/>
              <w:rPr>
                <w:rFonts w:cs="Arial" w:asciiTheme="minorEastAsia" w:hAnsiTheme="minorEastAsia"/>
                <w:szCs w:val="21"/>
              </w:rPr>
            </w:pPr>
            <w:r>
              <w:rPr>
                <w:rFonts w:hint="eastAsia" w:cs="仿宋" w:asciiTheme="minorEastAsia" w:hAnsiTheme="minorEastAsia"/>
                <w:kern w:val="0"/>
                <w:szCs w:val="21"/>
              </w:rPr>
              <w:t>台</w:t>
            </w:r>
          </w:p>
        </w:tc>
      </w:tr>
    </w:tbl>
    <w:p>
      <w:pPr>
        <w:spacing w:line="360" w:lineRule="auto"/>
        <w:rPr>
          <w:rFonts w:cs="宋体" w:asciiTheme="majorEastAsia" w:hAnsiTheme="majorEastAsia" w:eastAsiaTheme="majorEastAsia"/>
          <w:sz w:val="24"/>
          <w:szCs w:val="20"/>
          <w:lang w:val="zh-CN"/>
        </w:rPr>
      </w:pPr>
    </w:p>
    <w:bookmarkEnd w:id="33"/>
    <w:bookmarkEnd w:id="34"/>
    <w:bookmarkEnd w:id="35"/>
    <w:p>
      <w:pPr>
        <w:widowControl/>
        <w:shd w:val="clear" w:color="auto" w:fill="FFFFFF"/>
        <w:snapToGrid w:val="0"/>
        <w:spacing w:line="360" w:lineRule="auto"/>
        <w:jc w:val="left"/>
        <w:rPr>
          <w:rFonts w:asciiTheme="minorEastAsia" w:hAnsiTheme="minorEastAsia" w:eastAsiaTheme="minorEastAsia" w:cstheme="minorEastAsia"/>
          <w:sz w:val="24"/>
          <w:shd w:val="clear" w:color="auto" w:fill="FFFFFF"/>
        </w:rPr>
      </w:pPr>
    </w:p>
    <w:p>
      <w:pPr>
        <w:rPr>
          <w:rFonts w:asciiTheme="minorEastAsia" w:hAnsiTheme="minorEastAsia" w:eastAsiaTheme="minorEastAsia" w:cstheme="minorEastAsia"/>
          <w:sz w:val="24"/>
        </w:rPr>
      </w:pPr>
    </w:p>
    <w:p>
      <w:pPr>
        <w:rPr>
          <w:rFonts w:asciiTheme="minorEastAsia" w:hAnsiTheme="minorEastAsia" w:eastAsiaTheme="minorEastAsia" w:cstheme="minorEastAsia"/>
          <w:sz w:val="24"/>
        </w:rPr>
      </w:pPr>
    </w:p>
    <w:p>
      <w:pPr>
        <w:rPr>
          <w:rFonts w:asciiTheme="minorEastAsia" w:hAnsiTheme="minorEastAsia" w:eastAsiaTheme="minorEastAsia" w:cstheme="minorEastAsia"/>
          <w:sz w:val="24"/>
        </w:rPr>
        <w:sectPr>
          <w:pgSz w:w="16840" w:h="11907" w:orient="landscape"/>
          <w:pgMar w:top="1418" w:right="1474" w:bottom="1418" w:left="1474" w:header="851" w:footer="851" w:gutter="0"/>
          <w:cols w:space="720" w:num="1"/>
        </w:sectPr>
      </w:pPr>
    </w:p>
    <w:p>
      <w:pPr>
        <w:pStyle w:val="4"/>
        <w:numPr>
          <w:ilvl w:val="0"/>
          <w:numId w:val="10"/>
        </w:numPr>
        <w:tabs>
          <w:tab w:val="clear" w:pos="432"/>
        </w:tabs>
        <w:spacing w:before="260" w:after="260" w:line="240" w:lineRule="auto"/>
        <w:jc w:val="both"/>
        <w:rPr>
          <w:rFonts w:asciiTheme="majorEastAsia" w:hAnsiTheme="majorEastAsia" w:eastAsiaTheme="majorEastAsia"/>
        </w:rPr>
      </w:pPr>
      <w:r>
        <w:rPr>
          <w:rFonts w:hint="eastAsia" w:asciiTheme="majorEastAsia" w:hAnsiTheme="majorEastAsia" w:eastAsiaTheme="majorEastAsia"/>
        </w:rPr>
        <w:t>投标要求：</w:t>
      </w:r>
    </w:p>
    <w:p>
      <w:pPr>
        <w:spacing w:line="360" w:lineRule="auto"/>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1．本项目要求在202</w:t>
      </w:r>
      <w:r>
        <w:rPr>
          <w:rFonts w:cs="仿宋" w:asciiTheme="majorEastAsia" w:hAnsiTheme="majorEastAsia" w:eastAsiaTheme="majorEastAsia"/>
          <w:b/>
          <w:bCs/>
          <w:sz w:val="24"/>
        </w:rPr>
        <w:t>2</w:t>
      </w:r>
      <w:r>
        <w:rPr>
          <w:rFonts w:hint="eastAsia" w:cs="仿宋" w:asciiTheme="majorEastAsia" w:hAnsiTheme="majorEastAsia" w:eastAsiaTheme="majorEastAsia"/>
          <w:b/>
          <w:bCs/>
          <w:sz w:val="24"/>
        </w:rPr>
        <w:t>年5月</w:t>
      </w:r>
      <w:r>
        <w:rPr>
          <w:rFonts w:cs="仿宋" w:asciiTheme="majorEastAsia" w:hAnsiTheme="majorEastAsia" w:eastAsiaTheme="majorEastAsia"/>
          <w:b/>
          <w:bCs/>
          <w:sz w:val="24"/>
        </w:rPr>
        <w:t>30</w:t>
      </w:r>
      <w:r>
        <w:rPr>
          <w:rFonts w:hint="eastAsia" w:cs="仿宋" w:asciiTheme="majorEastAsia" w:hAnsiTheme="majorEastAsia" w:eastAsiaTheme="majorEastAsia"/>
          <w:b/>
          <w:bCs/>
          <w:sz w:val="24"/>
        </w:rPr>
        <w:t>日前完成。</w:t>
      </w:r>
    </w:p>
    <w:p>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bCs/>
          <w:sz w:val="24"/>
        </w:rPr>
        <w:t>2. 带★为强制节能产品；带▼为单一产品或核心产品；带</w:t>
      </w:r>
      <w:r>
        <w:rPr>
          <w:rFonts w:hint="eastAsia" w:cs="仿宋" w:asciiTheme="majorEastAsia" w:hAnsiTheme="majorEastAsia" w:eastAsiaTheme="majorEastAsia"/>
          <w:bCs/>
          <w:kern w:val="0"/>
          <w:sz w:val="24"/>
        </w:rPr>
        <w:t>▲</w:t>
      </w:r>
      <w:r>
        <w:rPr>
          <w:rFonts w:hint="eastAsia" w:cs="仿宋" w:asciiTheme="majorEastAsia" w:hAnsiTheme="majorEastAsia" w:eastAsiaTheme="majorEastAsia"/>
          <w:bCs/>
          <w:sz w:val="24"/>
        </w:rPr>
        <w:t>为实质性指标，必须满足，不得负偏离；为带◆为重要指标。供应商应选择满足或优于项目需求参数的产品前响应，以保障项目实施质量。</w:t>
      </w:r>
    </w:p>
    <w:p>
      <w:pPr>
        <w:autoSpaceDE w:val="0"/>
        <w:autoSpaceDN w:val="0"/>
        <w:spacing w:line="360" w:lineRule="auto"/>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3</w:t>
      </w:r>
      <w:r>
        <w:rPr>
          <w:rFonts w:hint="eastAsia" w:cs="仿宋" w:asciiTheme="majorEastAsia" w:hAnsiTheme="majorEastAsia" w:eastAsiaTheme="majorEastAsia"/>
          <w:sz w:val="24"/>
        </w:rPr>
        <w:t>.本项目的所有软、硬件(如线缆、管线、软件、硬件、模块等，包括未列出而系统实施又必需的软件、硬件)需配齐以构成一套完整实用系统，如有任何遗漏，由中标人免费补齐。</w:t>
      </w:r>
    </w:p>
    <w:p>
      <w:pPr>
        <w:autoSpaceDE w:val="0"/>
        <w:autoSpaceDN w:val="0"/>
        <w:spacing w:line="360" w:lineRule="auto"/>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4</w:t>
      </w:r>
      <w:r>
        <w:rPr>
          <w:rFonts w:hint="eastAsia" w:cs="仿宋" w:asciiTheme="majorEastAsia" w:hAnsiTheme="majorEastAsia" w:eastAsiaTheme="majorEastAsia"/>
          <w:sz w:val="24"/>
        </w:rPr>
        <w:t>.投标方案中的硬件设备如需使用特别接头、插座、线缆、配件等，由投标人免费提供，投标总价应包括运抵学校的运费及安装调试费等。</w:t>
      </w:r>
    </w:p>
    <w:p>
      <w:pPr>
        <w:autoSpaceDE w:val="0"/>
        <w:autoSpaceDN w:val="0"/>
        <w:spacing w:line="360" w:lineRule="auto"/>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5</w:t>
      </w:r>
      <w:r>
        <w:rPr>
          <w:rFonts w:hint="eastAsia" w:cs="仿宋" w:asciiTheme="majorEastAsia" w:hAnsiTheme="majorEastAsia" w:eastAsiaTheme="majorEastAsia"/>
          <w:sz w:val="24"/>
        </w:rPr>
        <w:t>.所投产品需为原厂全新产品，202</w:t>
      </w:r>
      <w:r>
        <w:rPr>
          <w:rFonts w:cs="仿宋" w:asciiTheme="majorEastAsia" w:hAnsiTheme="majorEastAsia" w:eastAsiaTheme="majorEastAsia"/>
          <w:sz w:val="24"/>
        </w:rPr>
        <w:t>1</w:t>
      </w:r>
      <w:r>
        <w:rPr>
          <w:rFonts w:hint="eastAsia" w:cs="仿宋" w:asciiTheme="majorEastAsia" w:hAnsiTheme="majorEastAsia" w:eastAsiaTheme="majorEastAsia"/>
          <w:sz w:val="24"/>
        </w:rPr>
        <w:t>年1月份后生产的符合国家技术规格和质量标准的出厂合格产品，通过国家有关部门检测合格的原产地产品，未曾开箱使用，能够与学校现有设备正常连接；设备安装调试完毕后，能在其功能范围内保障用户的系统安全、稳定运行。</w:t>
      </w:r>
    </w:p>
    <w:p>
      <w:pPr>
        <w:autoSpaceDE w:val="0"/>
        <w:autoSpaceDN w:val="0"/>
        <w:spacing w:line="360" w:lineRule="auto"/>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6</w:t>
      </w:r>
      <w:r>
        <w:rPr>
          <w:rFonts w:hint="eastAsia" w:cs="仿宋" w:asciiTheme="majorEastAsia" w:hAnsiTheme="majorEastAsia" w:eastAsiaTheme="majorEastAsia"/>
          <w:sz w:val="24"/>
        </w:rPr>
        <w:t>.所投产品及主要部件均须非停产设备，并提供备件、附件和耗材的供应。</w:t>
      </w:r>
    </w:p>
    <w:p>
      <w:pPr>
        <w:spacing w:line="360" w:lineRule="auto"/>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7</w:t>
      </w:r>
      <w:r>
        <w:rPr>
          <w:rFonts w:hint="eastAsia" w:cs="仿宋" w:asciiTheme="majorEastAsia" w:hAnsiTheme="majorEastAsia" w:eastAsiaTheme="majorEastAsia"/>
          <w:sz w:val="24"/>
        </w:rPr>
        <w:t>.所有硬件（3</w:t>
      </w:r>
      <w:r>
        <w:rPr>
          <w:rFonts w:hint="eastAsia" w:cs="仿宋" w:asciiTheme="majorEastAsia" w:hAnsiTheme="majorEastAsia" w:eastAsiaTheme="majorEastAsia"/>
          <w:sz w:val="24"/>
          <w:lang w:val="zh-CN"/>
        </w:rPr>
        <w:t>年</w:t>
      </w:r>
      <w:r>
        <w:rPr>
          <w:rFonts w:hint="eastAsia" w:cs="仿宋" w:asciiTheme="majorEastAsia" w:hAnsiTheme="majorEastAsia" w:eastAsiaTheme="majorEastAsia"/>
          <w:sz w:val="24"/>
        </w:rPr>
        <w:t>5*8小时）和软件提供5</w:t>
      </w:r>
      <w:r>
        <w:rPr>
          <w:rFonts w:hint="eastAsia" w:cs="仿宋" w:asciiTheme="majorEastAsia" w:hAnsiTheme="majorEastAsia" w:eastAsiaTheme="majorEastAsia"/>
          <w:sz w:val="24"/>
          <w:lang w:val="zh-CN"/>
        </w:rPr>
        <w:t>年</w:t>
      </w:r>
      <w:r>
        <w:rPr>
          <w:rFonts w:hint="eastAsia" w:cs="仿宋" w:asciiTheme="majorEastAsia" w:hAnsiTheme="majorEastAsia" w:eastAsiaTheme="majorEastAsia"/>
          <w:sz w:val="24"/>
        </w:rPr>
        <w:t>5*8小时免费保修和售后现场技术服务。</w:t>
      </w:r>
    </w:p>
    <w:p>
      <w:pPr>
        <w:spacing w:line="360" w:lineRule="auto"/>
        <w:ind w:firstLine="480" w:firstLineChars="200"/>
        <w:contextualSpacing/>
        <w:rPr>
          <w:rFonts w:cs="仿宋" w:asciiTheme="majorEastAsia" w:hAnsiTheme="majorEastAsia" w:eastAsiaTheme="majorEastAsia"/>
          <w:sz w:val="24"/>
        </w:rPr>
      </w:pPr>
      <w:r>
        <w:rPr>
          <w:rFonts w:cs="仿宋" w:asciiTheme="majorEastAsia" w:hAnsiTheme="majorEastAsia" w:eastAsiaTheme="majorEastAsia"/>
          <w:sz w:val="24"/>
        </w:rPr>
        <w:t>8.</w:t>
      </w:r>
      <w:r>
        <w:rPr>
          <w:rFonts w:hint="eastAsia" w:cs="仿宋" w:asciiTheme="majorEastAsia" w:hAnsiTheme="majorEastAsia" w:eastAsiaTheme="majorEastAsia"/>
          <w:sz w:val="24"/>
        </w:rPr>
        <w:t>项目验收要求</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验收需根据招标文件以及合同的需求，由采购方召集专家组织项目验收。验收时需提供的文档包括但不仅限于：项目投标文件电子稿、项目实施方案、系统（软件）安装实施报告、测试方案、测试记录及报告、配置和维护手册、系统试运行报告、项目总结报告、项目用户报告等相关材料。</w:t>
      </w:r>
    </w:p>
    <w:p>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根据《杭州市政府采购履约验收暂行办法》杭财采监〔2019〕10 号文，进行履约验收，验收合格报告作为项目支付的依据。</w:t>
      </w:r>
    </w:p>
    <w:p>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9.本项目需执行的国家相关标准、行业标准、地方标准或者其他标准、规范。</w:t>
      </w:r>
    </w:p>
    <w:p>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10.</w:t>
      </w:r>
      <w:r>
        <w:rPr>
          <w:rFonts w:cs="仿宋" w:asciiTheme="majorEastAsia" w:hAnsiTheme="majorEastAsia" w:eastAsiaTheme="majorEastAsia"/>
          <w:sz w:val="24"/>
        </w:rPr>
        <w:t>本项目要求项目人员</w:t>
      </w:r>
      <w:r>
        <w:rPr>
          <w:rFonts w:hint="eastAsia" w:cs="仿宋" w:asciiTheme="majorEastAsia" w:hAnsiTheme="majorEastAsia" w:eastAsiaTheme="majorEastAsia"/>
          <w:sz w:val="24"/>
        </w:rPr>
        <w:t>中</w:t>
      </w:r>
      <w:r>
        <w:rPr>
          <w:rFonts w:cs="仿宋" w:asciiTheme="majorEastAsia" w:hAnsiTheme="majorEastAsia" w:eastAsiaTheme="majorEastAsia"/>
          <w:sz w:val="24"/>
        </w:rPr>
        <w:t>具有高级工程师、信息系统项目管理师、</w:t>
      </w:r>
      <w:r>
        <w:rPr>
          <w:rFonts w:hint="eastAsia" w:cs="仿宋" w:asciiTheme="majorEastAsia" w:hAnsiTheme="majorEastAsia" w:eastAsiaTheme="majorEastAsia"/>
          <w:sz w:val="24"/>
        </w:rPr>
        <w:t>项目相关专业</w:t>
      </w:r>
      <w:r>
        <w:rPr>
          <w:rFonts w:cs="仿宋" w:asciiTheme="majorEastAsia" w:hAnsiTheme="majorEastAsia" w:eastAsiaTheme="majorEastAsia"/>
          <w:sz w:val="24"/>
        </w:rPr>
        <w:t>建造师、网络工程师</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szCs w:val="20"/>
        </w:rPr>
        <w:t>注册信息安全专业人员C</w:t>
      </w:r>
      <w:r>
        <w:rPr>
          <w:rFonts w:cs="仿宋" w:asciiTheme="majorEastAsia" w:hAnsiTheme="majorEastAsia" w:eastAsiaTheme="majorEastAsia"/>
          <w:kern w:val="0"/>
          <w:sz w:val="24"/>
          <w:szCs w:val="20"/>
        </w:rPr>
        <w:t>ISP</w:t>
      </w:r>
      <w:r>
        <w:rPr>
          <w:rFonts w:hint="eastAsia" w:cs="仿宋" w:asciiTheme="majorEastAsia" w:hAnsiTheme="majorEastAsia" w:eastAsiaTheme="majorEastAsia"/>
          <w:sz w:val="24"/>
        </w:rPr>
        <w:t>等专业证书。</w:t>
      </w:r>
      <w:r>
        <w:rPr>
          <w:rFonts w:cs="仿宋" w:asciiTheme="majorEastAsia" w:hAnsiTheme="majorEastAsia" w:eastAsiaTheme="majorEastAsia"/>
          <w:sz w:val="24"/>
        </w:rPr>
        <w:t xml:space="preserve">    </w:t>
      </w:r>
    </w:p>
    <w:p>
      <w:pPr>
        <w:widowControl/>
        <w:shd w:val="clear" w:color="auto" w:fill="FFFFFF"/>
        <w:snapToGrid w:val="0"/>
        <w:spacing w:line="360" w:lineRule="auto"/>
        <w:jc w:val="left"/>
        <w:rPr>
          <w:rFonts w:asciiTheme="minorEastAsia" w:hAnsiTheme="minorEastAsia" w:eastAsiaTheme="minorEastAsia" w:cstheme="minorEastAsia"/>
          <w:sz w:val="24"/>
          <w:shd w:val="clear" w:color="auto" w:fill="FFFFFF"/>
        </w:rPr>
      </w:pPr>
    </w:p>
    <w:p>
      <w:pPr>
        <w:pStyle w:val="58"/>
        <w:widowControl w:val="0"/>
        <w:shd w:val="clear" w:color="auto" w:fill="FFFFFF"/>
        <w:snapToGrid w:val="0"/>
        <w:spacing w:before="0" w:beforeAutospacing="0" w:after="0" w:afterAutospacing="0" w:line="360" w:lineRule="auto"/>
        <w:ind w:left="420" w:leftChars="200"/>
        <w:jc w:val="both"/>
        <w:outlineLvl w:val="1"/>
        <w:rPr>
          <w:rFonts w:asciiTheme="minorEastAsia" w:hAnsiTheme="minorEastAsia" w:eastAsiaTheme="minorEastAsia" w:cstheme="minorEastAsia"/>
          <w:b/>
          <w:bCs/>
          <w:snapToGrid w:val="0"/>
          <w:kern w:val="2"/>
          <w:shd w:val="clear" w:color="auto" w:fill="FFFFFF"/>
        </w:rPr>
      </w:pPr>
      <w:bookmarkStart w:id="37" w:name="_Toc9568"/>
      <w:bookmarkStart w:id="38" w:name="_Toc31874"/>
    </w:p>
    <w:bookmarkEnd w:id="37"/>
    <w:p>
      <w:pPr>
        <w:pStyle w:val="4"/>
        <w:numPr>
          <w:ilvl w:val="0"/>
          <w:numId w:val="10"/>
        </w:numPr>
        <w:tabs>
          <w:tab w:val="clear" w:pos="432"/>
        </w:tabs>
        <w:spacing w:before="260" w:after="260" w:line="240" w:lineRule="auto"/>
        <w:jc w:val="both"/>
        <w:rPr>
          <w:rFonts w:asciiTheme="majorEastAsia" w:hAnsiTheme="majorEastAsia" w:eastAsiaTheme="majorEastAsia"/>
        </w:rPr>
      </w:pPr>
      <w:r>
        <w:rPr>
          <w:rFonts w:hint="eastAsia" w:asciiTheme="majorEastAsia" w:hAnsiTheme="majorEastAsia" w:eastAsiaTheme="majorEastAsia"/>
        </w:rPr>
        <w:t>商务要求</w:t>
      </w:r>
      <w:bookmarkEnd w:id="38"/>
    </w:p>
    <w:bookmarkEnd w:id="28"/>
    <w:p>
      <w:pPr>
        <w:shd w:val="clear" w:color="auto" w:fill="FFFFFF"/>
        <w:snapToGrid w:val="0"/>
        <w:spacing w:line="360" w:lineRule="auto"/>
        <w:ind w:firstLine="480" w:firstLineChars="200"/>
        <w:jc w:val="left"/>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（一）投标报价</w:t>
      </w:r>
    </w:p>
    <w:p>
      <w:pPr>
        <w:shd w:val="clear" w:color="auto" w:fill="FFFFFF"/>
        <w:snapToGrid w:val="0"/>
        <w:spacing w:line="360" w:lineRule="auto"/>
        <w:ind w:firstLine="480" w:firstLineChars="200"/>
        <w:jc w:val="left"/>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本项目为固定总价，报价应包含货物设计、制造、包装、仓储、运输装缷、保险、安装、调试及其材料及保修期内备品备件、专用工具、伴随服务、技术图纸资料、人员培训发生的所有含税费用、支付给员工的工资和国家强制缴纳的各种社会保障资金等。</w:t>
      </w:r>
    </w:p>
    <w:p>
      <w:pPr>
        <w:shd w:val="clear" w:color="auto" w:fill="FFFFFF"/>
        <w:snapToGrid w:val="0"/>
        <w:spacing w:line="360" w:lineRule="auto"/>
        <w:ind w:firstLine="480" w:firstLineChars="200"/>
        <w:jc w:val="left"/>
        <w:rPr>
          <w:rFonts w:asciiTheme="minorEastAsia" w:hAnsiTheme="minorEastAsia" w:eastAsiaTheme="minorEastAsia" w:cstheme="minorEastAsia"/>
          <w:sz w:val="24"/>
          <w:shd w:val="clear" w:color="auto" w:fill="FFFFFF"/>
        </w:rPr>
      </w:pPr>
      <w:r>
        <w:rPr>
          <w:rFonts w:hint="eastAsia" w:asciiTheme="minorEastAsia" w:hAnsiTheme="minorEastAsia" w:eastAsiaTheme="minorEastAsia" w:cstheme="minorEastAsia"/>
          <w:sz w:val="24"/>
          <w:shd w:val="clear" w:color="auto" w:fill="FFFFFF"/>
        </w:rPr>
        <w:t>（二）合同款支付</w:t>
      </w:r>
    </w:p>
    <w:p>
      <w:pPr>
        <w:pStyle w:val="58"/>
        <w:snapToGrid w:val="0"/>
        <w:spacing w:before="0" w:beforeAutospacing="0" w:after="0" w:afterAutospacing="0"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zh-CN"/>
        </w:rPr>
        <w:t>、合同签订生效后，甲方在收到乙方履约保证金后15日内向乙方支付合同总额的</w:t>
      </w: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zh-CN"/>
        </w:rPr>
        <w:t>0%的款项。</w:t>
      </w:r>
    </w:p>
    <w:p>
      <w:pPr>
        <w:pStyle w:val="58"/>
        <w:snapToGrid w:val="0"/>
        <w:spacing w:before="0" w:beforeAutospacing="0" w:after="0" w:afterAutospacing="0"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zh-CN"/>
        </w:rPr>
        <w:t>、验收合格后，甲方在15日内向乙方支付合同总额的</w:t>
      </w:r>
      <w:r>
        <w:rPr>
          <w:rFonts w:hint="eastAsia" w:asciiTheme="minorEastAsia" w:hAnsiTheme="minorEastAsia" w:eastAsiaTheme="minorEastAsia" w:cstheme="minorEastAsia"/>
        </w:rPr>
        <w:t>6</w:t>
      </w:r>
      <w:r>
        <w:rPr>
          <w:rFonts w:hint="eastAsia" w:asciiTheme="minorEastAsia" w:hAnsiTheme="minorEastAsia" w:eastAsiaTheme="minorEastAsia" w:cstheme="minorEastAsia"/>
          <w:lang w:val="zh-CN"/>
        </w:rPr>
        <w:t>0%的款项。</w:t>
      </w:r>
    </w:p>
    <w:p>
      <w:pPr>
        <w:spacing w:line="360" w:lineRule="auto"/>
        <w:ind w:firstLine="181" w:firstLineChars="50"/>
        <w:rPr>
          <w:rFonts w:ascii="宋体" w:hAnsi="宋体" w:cs="宋体"/>
          <w:b/>
          <w:sz w:val="36"/>
          <w:szCs w:val="36"/>
        </w:rPr>
        <w:sectPr>
          <w:pgSz w:w="11907" w:h="16840"/>
          <w:pgMar w:top="1474" w:right="1418" w:bottom="1474" w:left="1418" w:header="851" w:footer="851" w:gutter="0"/>
          <w:cols w:space="720" w:num="1"/>
        </w:sectPr>
      </w:pPr>
    </w:p>
    <w:p>
      <w:pPr>
        <w:snapToGrid w:val="0"/>
        <w:spacing w:line="360" w:lineRule="auto"/>
        <w:jc w:val="center"/>
        <w:rPr>
          <w:rFonts w:ascii="宋体" w:hAnsi="宋体" w:cs="宋体"/>
          <w:b/>
          <w:sz w:val="36"/>
          <w:szCs w:val="36"/>
        </w:rPr>
      </w:pPr>
      <w:r>
        <w:rPr>
          <w:rFonts w:hint="eastAsia" w:ascii="宋体" w:hAnsi="宋体" w:cs="宋体"/>
          <w:b/>
          <w:sz w:val="36"/>
          <w:szCs w:val="36"/>
        </w:rPr>
        <w:t xml:space="preserve">第四部分   </w:t>
      </w:r>
      <w:bookmarkStart w:id="39" w:name="_Toc184310276"/>
      <w:bookmarkEnd w:id="39"/>
      <w:bookmarkStart w:id="40" w:name="_Toc184313265"/>
      <w:bookmarkEnd w:id="40"/>
      <w:bookmarkStart w:id="41" w:name="_Toc184312077"/>
      <w:bookmarkEnd w:id="41"/>
      <w:bookmarkStart w:id="42" w:name="_Toc184308075"/>
      <w:bookmarkEnd w:id="42"/>
      <w:bookmarkStart w:id="43" w:name="_Toc184312073"/>
      <w:bookmarkEnd w:id="43"/>
      <w:bookmarkStart w:id="44" w:name="_Toc184314472"/>
      <w:bookmarkEnd w:id="44"/>
      <w:bookmarkStart w:id="45" w:name="_Toc184312074"/>
      <w:bookmarkEnd w:id="45"/>
      <w:bookmarkStart w:id="46" w:name="_Toc184310272"/>
      <w:bookmarkEnd w:id="46"/>
      <w:bookmarkStart w:id="47" w:name="_Toc184308105"/>
      <w:bookmarkEnd w:id="47"/>
      <w:bookmarkStart w:id="48" w:name="_Toc184310335"/>
      <w:bookmarkEnd w:id="48"/>
      <w:bookmarkStart w:id="49" w:name="_Toc184314411"/>
      <w:bookmarkEnd w:id="49"/>
      <w:bookmarkStart w:id="50" w:name="_Toc184310339"/>
      <w:bookmarkEnd w:id="50"/>
      <w:bookmarkStart w:id="51" w:name="_Toc184308043"/>
      <w:bookmarkEnd w:id="51"/>
      <w:bookmarkStart w:id="52" w:name="_Toc184310278"/>
      <w:bookmarkEnd w:id="52"/>
      <w:bookmarkStart w:id="53" w:name="_Toc184310290"/>
      <w:bookmarkEnd w:id="53"/>
      <w:bookmarkStart w:id="54" w:name="_Toc184314418"/>
      <w:bookmarkEnd w:id="54"/>
      <w:bookmarkStart w:id="55" w:name="_Toc184310316"/>
      <w:bookmarkEnd w:id="55"/>
      <w:bookmarkStart w:id="56" w:name="_Toc184312072"/>
      <w:bookmarkEnd w:id="56"/>
      <w:bookmarkStart w:id="57" w:name="_Toc184313243"/>
      <w:bookmarkEnd w:id="57"/>
      <w:bookmarkStart w:id="58" w:name="_Toc184314481"/>
      <w:bookmarkEnd w:id="58"/>
      <w:bookmarkStart w:id="59" w:name="_Toc184314416"/>
      <w:bookmarkEnd w:id="59"/>
      <w:bookmarkStart w:id="60" w:name="_Toc184310295"/>
      <w:bookmarkEnd w:id="60"/>
      <w:bookmarkStart w:id="61" w:name="_Toc184313282"/>
      <w:bookmarkEnd w:id="61"/>
      <w:bookmarkStart w:id="62" w:name="_Toc184313260"/>
      <w:bookmarkEnd w:id="62"/>
      <w:bookmarkStart w:id="63" w:name="_Toc184308041"/>
      <w:bookmarkEnd w:id="63"/>
      <w:bookmarkStart w:id="64" w:name="_Toc184314477"/>
      <w:bookmarkEnd w:id="64"/>
      <w:bookmarkStart w:id="65" w:name="_Toc184308060"/>
      <w:bookmarkEnd w:id="65"/>
      <w:bookmarkStart w:id="66" w:name="_Toc184314448"/>
      <w:bookmarkEnd w:id="66"/>
      <w:bookmarkStart w:id="67" w:name="_Toc184310320"/>
      <w:bookmarkEnd w:id="67"/>
      <w:bookmarkStart w:id="68" w:name="_Toc184312109"/>
      <w:bookmarkEnd w:id="68"/>
      <w:bookmarkStart w:id="69" w:name="_Toc184313245"/>
      <w:bookmarkEnd w:id="69"/>
      <w:bookmarkStart w:id="70" w:name="_Toc184312092"/>
      <w:bookmarkEnd w:id="70"/>
      <w:bookmarkStart w:id="71" w:name="_Toc184308104"/>
      <w:bookmarkEnd w:id="71"/>
      <w:bookmarkStart w:id="72" w:name="_Toc184313246"/>
      <w:bookmarkEnd w:id="72"/>
      <w:bookmarkStart w:id="73" w:name="_Toc184314414"/>
      <w:bookmarkEnd w:id="73"/>
      <w:bookmarkStart w:id="74" w:name="_Toc184314417"/>
      <w:bookmarkEnd w:id="74"/>
      <w:bookmarkStart w:id="75" w:name="_Toc184310274"/>
      <w:bookmarkEnd w:id="75"/>
      <w:bookmarkStart w:id="76" w:name="_Toc184310312"/>
      <w:bookmarkEnd w:id="76"/>
      <w:bookmarkStart w:id="77" w:name="_Toc184310344"/>
      <w:bookmarkEnd w:id="77"/>
      <w:bookmarkStart w:id="78" w:name="_Toc184314424"/>
      <w:bookmarkEnd w:id="78"/>
      <w:bookmarkStart w:id="79" w:name="_Toc184310304"/>
      <w:bookmarkEnd w:id="79"/>
      <w:bookmarkStart w:id="80" w:name="_Toc184312090"/>
      <w:bookmarkEnd w:id="80"/>
      <w:bookmarkStart w:id="81" w:name="_Toc184313244"/>
      <w:bookmarkEnd w:id="81"/>
      <w:bookmarkStart w:id="82" w:name="_Toc184312076"/>
      <w:bookmarkEnd w:id="82"/>
      <w:bookmarkStart w:id="83" w:name="_Toc184310342"/>
      <w:bookmarkEnd w:id="83"/>
      <w:bookmarkStart w:id="84" w:name="_Toc184314437"/>
      <w:bookmarkEnd w:id="84"/>
      <w:bookmarkStart w:id="85" w:name="_Toc184308042"/>
      <w:bookmarkEnd w:id="85"/>
      <w:bookmarkStart w:id="86" w:name="_Toc184312130"/>
      <w:bookmarkEnd w:id="86"/>
      <w:bookmarkStart w:id="87" w:name="_Toc184310287"/>
      <w:bookmarkEnd w:id="87"/>
      <w:bookmarkStart w:id="88" w:name="_Toc184308073"/>
      <w:bookmarkEnd w:id="88"/>
      <w:bookmarkStart w:id="89" w:name="_Toc184312133"/>
      <w:bookmarkEnd w:id="89"/>
      <w:bookmarkStart w:id="90" w:name="_Toc184313276"/>
      <w:bookmarkEnd w:id="90"/>
      <w:bookmarkStart w:id="91" w:name="_Toc184313309"/>
      <w:bookmarkEnd w:id="91"/>
      <w:bookmarkStart w:id="92" w:name="_Toc184308036"/>
      <w:bookmarkEnd w:id="92"/>
      <w:bookmarkStart w:id="93" w:name="_Toc184310280"/>
      <w:bookmarkEnd w:id="93"/>
      <w:bookmarkStart w:id="94" w:name="_Toc184313285"/>
      <w:bookmarkEnd w:id="94"/>
      <w:bookmarkStart w:id="95" w:name="_Toc184312129"/>
      <w:bookmarkEnd w:id="95"/>
      <w:bookmarkStart w:id="96" w:name="_Toc184312111"/>
      <w:bookmarkEnd w:id="96"/>
      <w:bookmarkStart w:id="97" w:name="_Toc184312125"/>
      <w:bookmarkEnd w:id="97"/>
      <w:bookmarkStart w:id="98" w:name="_Toc184312082"/>
      <w:bookmarkEnd w:id="98"/>
      <w:bookmarkStart w:id="99" w:name="_Toc184314435"/>
      <w:bookmarkEnd w:id="99"/>
      <w:bookmarkStart w:id="100" w:name="_Toc184308059"/>
      <w:bookmarkEnd w:id="100"/>
      <w:bookmarkStart w:id="101" w:name="_Toc184308038"/>
      <w:bookmarkEnd w:id="101"/>
      <w:bookmarkStart w:id="102" w:name="_Toc184308062"/>
      <w:bookmarkEnd w:id="102"/>
      <w:bookmarkStart w:id="103" w:name="_Toc184312075"/>
      <w:bookmarkEnd w:id="103"/>
      <w:bookmarkStart w:id="104" w:name="_Toc184310294"/>
      <w:bookmarkEnd w:id="104"/>
      <w:bookmarkStart w:id="105" w:name="_Toc184308045"/>
      <w:bookmarkEnd w:id="105"/>
      <w:bookmarkStart w:id="106" w:name="_Toc184314469"/>
      <w:bookmarkEnd w:id="106"/>
      <w:bookmarkStart w:id="107" w:name="_Toc184313296"/>
      <w:bookmarkEnd w:id="107"/>
      <w:bookmarkStart w:id="108" w:name="_Toc184308103"/>
      <w:bookmarkEnd w:id="108"/>
      <w:bookmarkStart w:id="109" w:name="_Toc184312089"/>
      <w:bookmarkEnd w:id="109"/>
      <w:bookmarkStart w:id="110" w:name="_Toc184308096"/>
      <w:bookmarkEnd w:id="110"/>
      <w:bookmarkStart w:id="111" w:name="_Toc184312110"/>
      <w:bookmarkEnd w:id="111"/>
      <w:bookmarkStart w:id="112" w:name="_Toc184308050"/>
      <w:bookmarkEnd w:id="112"/>
      <w:bookmarkStart w:id="113" w:name="_Toc184314471"/>
      <w:bookmarkEnd w:id="113"/>
      <w:bookmarkStart w:id="114" w:name="_Toc184313284"/>
      <w:bookmarkEnd w:id="114"/>
      <w:bookmarkStart w:id="115" w:name="_Toc184310318"/>
      <w:bookmarkEnd w:id="115"/>
      <w:bookmarkStart w:id="116" w:name="_Toc184314474"/>
      <w:bookmarkEnd w:id="116"/>
      <w:bookmarkStart w:id="117" w:name="_Toc184310279"/>
      <w:bookmarkEnd w:id="117"/>
      <w:bookmarkStart w:id="118" w:name="_Toc184310321"/>
      <w:bookmarkEnd w:id="118"/>
      <w:bookmarkStart w:id="119" w:name="_Toc184308097"/>
      <w:bookmarkEnd w:id="119"/>
      <w:bookmarkStart w:id="120" w:name="_Toc184310340"/>
      <w:bookmarkEnd w:id="120"/>
      <w:bookmarkStart w:id="121" w:name="_Toc184308094"/>
      <w:bookmarkEnd w:id="121"/>
      <w:bookmarkStart w:id="122" w:name="_Toc184310338"/>
      <w:bookmarkEnd w:id="122"/>
      <w:bookmarkStart w:id="123" w:name="_Toc184308091"/>
      <w:bookmarkEnd w:id="123"/>
      <w:bookmarkStart w:id="124" w:name="_Toc184310330"/>
      <w:bookmarkEnd w:id="124"/>
      <w:bookmarkStart w:id="125" w:name="_Toc184314467"/>
      <w:bookmarkEnd w:id="125"/>
      <w:bookmarkStart w:id="126" w:name="_Toc184313278"/>
      <w:bookmarkEnd w:id="126"/>
      <w:bookmarkStart w:id="127" w:name="_Toc184310332"/>
      <w:bookmarkEnd w:id="127"/>
      <w:bookmarkStart w:id="128" w:name="_Toc184308098"/>
      <w:bookmarkEnd w:id="128"/>
      <w:bookmarkStart w:id="129" w:name="_Toc184313300"/>
      <w:bookmarkEnd w:id="129"/>
      <w:bookmarkStart w:id="130" w:name="_Toc184310277"/>
      <w:bookmarkEnd w:id="130"/>
      <w:bookmarkStart w:id="131" w:name="_Toc184314465"/>
      <w:bookmarkEnd w:id="131"/>
      <w:bookmarkStart w:id="132" w:name="_Toc184314425"/>
      <w:bookmarkEnd w:id="132"/>
      <w:bookmarkStart w:id="133" w:name="_Toc184310329"/>
      <w:bookmarkEnd w:id="133"/>
      <w:bookmarkStart w:id="134" w:name="_Toc184313261"/>
      <w:bookmarkEnd w:id="134"/>
      <w:bookmarkStart w:id="135" w:name="_Toc184310331"/>
      <w:bookmarkEnd w:id="135"/>
      <w:bookmarkStart w:id="136" w:name="_Toc184310326"/>
      <w:bookmarkEnd w:id="136"/>
      <w:bookmarkStart w:id="137" w:name="_Toc184308046"/>
      <w:bookmarkEnd w:id="137"/>
      <w:bookmarkStart w:id="138" w:name="_Toc184313299"/>
      <w:bookmarkEnd w:id="138"/>
      <w:bookmarkStart w:id="139" w:name="_Toc184308106"/>
      <w:bookmarkEnd w:id="139"/>
      <w:bookmarkStart w:id="140" w:name="_Toc184308090"/>
      <w:bookmarkEnd w:id="140"/>
      <w:bookmarkStart w:id="141" w:name="_Toc184308076"/>
      <w:bookmarkEnd w:id="141"/>
      <w:bookmarkStart w:id="142" w:name="_Toc184308044"/>
      <w:bookmarkEnd w:id="142"/>
      <w:bookmarkStart w:id="143" w:name="_Toc184310333"/>
      <w:bookmarkEnd w:id="143"/>
      <w:bookmarkStart w:id="144" w:name="_Toc184310334"/>
      <w:bookmarkEnd w:id="144"/>
      <w:bookmarkStart w:id="145" w:name="_Toc184314412"/>
      <w:bookmarkEnd w:id="145"/>
      <w:bookmarkStart w:id="146" w:name="_Toc184314415"/>
      <w:bookmarkEnd w:id="146"/>
      <w:bookmarkStart w:id="147" w:name="_Toc184314427"/>
      <w:bookmarkEnd w:id="147"/>
      <w:bookmarkStart w:id="148" w:name="_Toc184308080"/>
      <w:bookmarkEnd w:id="148"/>
      <w:bookmarkStart w:id="149" w:name="_Toc184312132"/>
      <w:bookmarkEnd w:id="149"/>
      <w:bookmarkStart w:id="150" w:name="_Toc184308092"/>
      <w:bookmarkEnd w:id="150"/>
      <w:bookmarkStart w:id="151" w:name="_Toc184314421"/>
      <w:bookmarkEnd w:id="151"/>
      <w:bookmarkStart w:id="152" w:name="_Toc184308095"/>
      <w:bookmarkEnd w:id="152"/>
      <w:bookmarkStart w:id="153" w:name="_Toc184312122"/>
      <w:bookmarkEnd w:id="153"/>
      <w:bookmarkStart w:id="154" w:name="_Toc184314452"/>
      <w:bookmarkEnd w:id="154"/>
      <w:bookmarkStart w:id="155" w:name="_Toc184312127"/>
      <w:bookmarkEnd w:id="155"/>
      <w:bookmarkStart w:id="156" w:name="_Toc184308093"/>
      <w:bookmarkEnd w:id="156"/>
      <w:bookmarkStart w:id="157" w:name="_Toc184308089"/>
      <w:bookmarkEnd w:id="157"/>
      <w:bookmarkStart w:id="158" w:name="_Toc184313305"/>
      <w:bookmarkEnd w:id="158"/>
      <w:bookmarkStart w:id="159" w:name="_Toc184313304"/>
      <w:bookmarkEnd w:id="159"/>
      <w:bookmarkStart w:id="160" w:name="_Toc184312091"/>
      <w:bookmarkEnd w:id="160"/>
      <w:bookmarkStart w:id="161" w:name="_Toc184312108"/>
      <w:bookmarkEnd w:id="161"/>
      <w:bookmarkStart w:id="162" w:name="_Toc184314470"/>
      <w:bookmarkEnd w:id="162"/>
      <w:bookmarkStart w:id="163" w:name="_Toc184314422"/>
      <w:bookmarkEnd w:id="163"/>
      <w:bookmarkStart w:id="164" w:name="_Toc184313298"/>
      <w:bookmarkEnd w:id="164"/>
      <w:bookmarkStart w:id="165" w:name="_Toc184312134"/>
      <w:bookmarkEnd w:id="165"/>
      <w:bookmarkStart w:id="166" w:name="_Toc184312107"/>
      <w:bookmarkEnd w:id="166"/>
      <w:bookmarkStart w:id="167" w:name="_Toc184312105"/>
      <w:bookmarkEnd w:id="167"/>
      <w:bookmarkStart w:id="168" w:name="_Toc184314464"/>
      <w:bookmarkEnd w:id="168"/>
      <w:bookmarkStart w:id="169" w:name="_Toc184314433"/>
      <w:bookmarkEnd w:id="169"/>
      <w:bookmarkStart w:id="170" w:name="_Toc184314462"/>
      <w:bookmarkEnd w:id="170"/>
      <w:bookmarkStart w:id="171" w:name="_Toc184312114"/>
      <w:bookmarkEnd w:id="171"/>
      <w:bookmarkStart w:id="172" w:name="_Toc184314479"/>
      <w:bookmarkEnd w:id="172"/>
      <w:bookmarkStart w:id="173" w:name="_Toc184313290"/>
      <w:bookmarkEnd w:id="173"/>
      <w:bookmarkStart w:id="174" w:name="_Toc184312123"/>
      <w:bookmarkEnd w:id="174"/>
      <w:bookmarkStart w:id="175" w:name="_Toc184308088"/>
      <w:bookmarkEnd w:id="175"/>
      <w:bookmarkStart w:id="176" w:name="_Toc184314457"/>
      <w:bookmarkEnd w:id="176"/>
      <w:bookmarkStart w:id="177" w:name="_Toc184308068"/>
      <w:bookmarkEnd w:id="177"/>
      <w:bookmarkStart w:id="178" w:name="_Toc184312121"/>
      <w:bookmarkEnd w:id="178"/>
      <w:bookmarkStart w:id="179" w:name="_Toc184312120"/>
      <w:bookmarkEnd w:id="179"/>
      <w:bookmarkStart w:id="180" w:name="_Toc184314480"/>
      <w:bookmarkEnd w:id="180"/>
      <w:bookmarkStart w:id="181" w:name="_Toc184314423"/>
      <w:bookmarkEnd w:id="181"/>
      <w:bookmarkStart w:id="182" w:name="_Toc184313302"/>
      <w:bookmarkEnd w:id="182"/>
      <w:bookmarkStart w:id="183" w:name="_Toc184308077"/>
      <w:bookmarkEnd w:id="183"/>
      <w:bookmarkStart w:id="184" w:name="_Toc184312131"/>
      <w:bookmarkEnd w:id="184"/>
      <w:bookmarkStart w:id="185" w:name="_Toc184314460"/>
      <w:bookmarkEnd w:id="185"/>
      <w:bookmarkStart w:id="186" w:name="_Toc184310324"/>
      <w:bookmarkEnd w:id="186"/>
      <w:bookmarkStart w:id="187" w:name="_Toc184308048"/>
      <w:bookmarkEnd w:id="187"/>
      <w:bookmarkStart w:id="188" w:name="_Toc184313274"/>
      <w:bookmarkEnd w:id="188"/>
      <w:bookmarkStart w:id="189" w:name="_Toc184314451"/>
      <w:bookmarkEnd w:id="189"/>
      <w:bookmarkStart w:id="190" w:name="_Toc184308085"/>
      <w:bookmarkEnd w:id="190"/>
      <w:bookmarkStart w:id="191" w:name="_Toc184314468"/>
      <w:bookmarkEnd w:id="191"/>
      <w:bookmarkStart w:id="192" w:name="_Toc184312138"/>
      <w:bookmarkEnd w:id="192"/>
      <w:bookmarkStart w:id="193" w:name="_Toc184308087"/>
      <w:bookmarkEnd w:id="193"/>
      <w:bookmarkStart w:id="194" w:name="_Toc184310319"/>
      <w:bookmarkEnd w:id="194"/>
      <w:bookmarkStart w:id="195" w:name="_Toc184314456"/>
      <w:bookmarkEnd w:id="195"/>
      <w:bookmarkStart w:id="196" w:name="_Toc184308072"/>
      <w:bookmarkEnd w:id="196"/>
      <w:bookmarkStart w:id="197" w:name="_Toc184313286"/>
      <w:bookmarkEnd w:id="197"/>
      <w:bookmarkStart w:id="198" w:name="_Toc184310327"/>
      <w:bookmarkEnd w:id="198"/>
      <w:bookmarkStart w:id="199" w:name="_Toc184314463"/>
      <w:bookmarkEnd w:id="199"/>
      <w:bookmarkStart w:id="200" w:name="_Toc184313272"/>
      <w:bookmarkEnd w:id="200"/>
      <w:bookmarkStart w:id="201" w:name="_Toc184313248"/>
      <w:bookmarkEnd w:id="201"/>
      <w:bookmarkStart w:id="202" w:name="_Toc184308037"/>
      <w:bookmarkEnd w:id="202"/>
      <w:bookmarkStart w:id="203" w:name="_Toc184310328"/>
      <w:bookmarkEnd w:id="203"/>
      <w:bookmarkStart w:id="204" w:name="_Toc184313297"/>
      <w:bookmarkEnd w:id="204"/>
      <w:bookmarkStart w:id="205" w:name="_Toc184314482"/>
      <w:bookmarkEnd w:id="205"/>
      <w:bookmarkStart w:id="206" w:name="_Toc184313242"/>
      <w:bookmarkEnd w:id="206"/>
      <w:bookmarkStart w:id="207" w:name="_Toc184312118"/>
      <w:bookmarkEnd w:id="207"/>
      <w:bookmarkStart w:id="208" w:name="_Toc184312128"/>
      <w:bookmarkEnd w:id="208"/>
      <w:bookmarkStart w:id="209" w:name="_Toc184310286"/>
      <w:bookmarkEnd w:id="209"/>
      <w:bookmarkStart w:id="210" w:name="_Toc184313301"/>
      <w:bookmarkEnd w:id="210"/>
      <w:bookmarkStart w:id="211" w:name="_Toc184313289"/>
      <w:bookmarkEnd w:id="211"/>
      <w:bookmarkStart w:id="212" w:name="_Toc184310313"/>
      <w:bookmarkEnd w:id="212"/>
      <w:bookmarkStart w:id="213" w:name="_Toc184314436"/>
      <w:bookmarkEnd w:id="213"/>
      <w:bookmarkStart w:id="214" w:name="_Toc184313295"/>
      <w:bookmarkEnd w:id="214"/>
      <w:bookmarkStart w:id="215" w:name="_Toc184313257"/>
      <w:bookmarkEnd w:id="215"/>
      <w:bookmarkStart w:id="216" w:name="_Toc184314466"/>
      <w:bookmarkEnd w:id="216"/>
      <w:bookmarkStart w:id="217" w:name="_Toc184312093"/>
      <w:bookmarkEnd w:id="217"/>
      <w:bookmarkStart w:id="218" w:name="_Toc184314441"/>
      <w:bookmarkEnd w:id="218"/>
      <w:bookmarkStart w:id="219" w:name="_Toc184312126"/>
      <w:bookmarkEnd w:id="219"/>
      <w:bookmarkStart w:id="220" w:name="_Toc184313310"/>
      <w:bookmarkEnd w:id="220"/>
      <w:bookmarkStart w:id="221" w:name="_Toc184308107"/>
      <w:bookmarkEnd w:id="221"/>
      <w:bookmarkStart w:id="222" w:name="_Toc184308108"/>
      <w:bookmarkEnd w:id="222"/>
      <w:bookmarkStart w:id="223" w:name="_Toc184314440"/>
      <w:bookmarkEnd w:id="223"/>
      <w:bookmarkStart w:id="224" w:name="_Toc184308099"/>
      <w:bookmarkEnd w:id="224"/>
      <w:bookmarkStart w:id="225" w:name="_Toc184314476"/>
      <w:bookmarkEnd w:id="225"/>
      <w:bookmarkStart w:id="226" w:name="_Toc184312099"/>
      <w:bookmarkEnd w:id="226"/>
      <w:bookmarkStart w:id="227" w:name="_Toc184308086"/>
      <w:bookmarkEnd w:id="227"/>
      <w:bookmarkStart w:id="228" w:name="_Toc184308047"/>
      <w:bookmarkEnd w:id="228"/>
      <w:bookmarkStart w:id="229" w:name="_Toc184313308"/>
      <w:bookmarkEnd w:id="229"/>
      <w:bookmarkStart w:id="230" w:name="_Toc184313252"/>
      <w:bookmarkEnd w:id="230"/>
      <w:bookmarkStart w:id="231" w:name="_Toc184312104"/>
      <w:bookmarkEnd w:id="231"/>
      <w:bookmarkStart w:id="232" w:name="_Toc184313250"/>
      <w:bookmarkEnd w:id="232"/>
      <w:bookmarkStart w:id="233" w:name="_Toc184313288"/>
      <w:bookmarkEnd w:id="233"/>
      <w:bookmarkStart w:id="234" w:name="_Toc184308051"/>
      <w:bookmarkEnd w:id="234"/>
      <w:bookmarkStart w:id="235" w:name="_Toc184310306"/>
      <w:bookmarkEnd w:id="235"/>
      <w:bookmarkStart w:id="236" w:name="_Toc184312071"/>
      <w:bookmarkEnd w:id="236"/>
      <w:bookmarkStart w:id="237" w:name="_Toc184310325"/>
      <w:bookmarkEnd w:id="237"/>
      <w:bookmarkStart w:id="238" w:name="_Toc184313294"/>
      <w:bookmarkEnd w:id="238"/>
      <w:bookmarkStart w:id="239" w:name="_Toc184312124"/>
      <w:bookmarkEnd w:id="239"/>
      <w:bookmarkStart w:id="240" w:name="_Toc184310307"/>
      <w:bookmarkEnd w:id="240"/>
      <w:bookmarkStart w:id="241" w:name="_Toc184312136"/>
      <w:bookmarkEnd w:id="241"/>
      <w:bookmarkStart w:id="242" w:name="_Toc184313293"/>
      <w:bookmarkEnd w:id="242"/>
      <w:bookmarkStart w:id="243" w:name="_Toc184312113"/>
      <w:bookmarkEnd w:id="243"/>
      <w:bookmarkStart w:id="244" w:name="_Toc184312119"/>
      <w:bookmarkEnd w:id="244"/>
      <w:bookmarkStart w:id="245" w:name="_Toc184312080"/>
      <w:bookmarkEnd w:id="245"/>
      <w:bookmarkStart w:id="246" w:name="_Toc184308102"/>
      <w:bookmarkEnd w:id="246"/>
      <w:bookmarkStart w:id="247" w:name="_Toc184313271"/>
      <w:bookmarkEnd w:id="247"/>
      <w:bookmarkStart w:id="248" w:name="_Toc184310343"/>
      <w:bookmarkEnd w:id="248"/>
      <w:bookmarkStart w:id="249" w:name="_Toc184308084"/>
      <w:bookmarkEnd w:id="249"/>
      <w:bookmarkStart w:id="250" w:name="_Toc184312081"/>
      <w:bookmarkEnd w:id="250"/>
      <w:bookmarkStart w:id="251" w:name="_Toc184314444"/>
      <w:bookmarkEnd w:id="251"/>
      <w:bookmarkStart w:id="252" w:name="_Toc184310323"/>
      <w:bookmarkEnd w:id="252"/>
      <w:bookmarkStart w:id="253" w:name="_Toc184308082"/>
      <w:bookmarkEnd w:id="253"/>
      <w:bookmarkStart w:id="254" w:name="_Toc184313247"/>
      <w:bookmarkEnd w:id="254"/>
      <w:bookmarkStart w:id="255" w:name="_Toc184313239"/>
      <w:bookmarkEnd w:id="255"/>
      <w:bookmarkStart w:id="256" w:name="_Toc184310303"/>
      <w:bookmarkEnd w:id="256"/>
      <w:bookmarkStart w:id="257" w:name="_Toc184314453"/>
      <w:bookmarkEnd w:id="257"/>
      <w:bookmarkStart w:id="258" w:name="_Toc184313291"/>
      <w:bookmarkEnd w:id="258"/>
      <w:bookmarkStart w:id="259" w:name="_Toc184310309"/>
      <w:bookmarkEnd w:id="259"/>
      <w:bookmarkStart w:id="260" w:name="_Toc184308079"/>
      <w:bookmarkEnd w:id="260"/>
      <w:bookmarkStart w:id="261" w:name="_Toc184312100"/>
      <w:bookmarkEnd w:id="261"/>
      <w:bookmarkStart w:id="262" w:name="_Toc184308071"/>
      <w:bookmarkEnd w:id="262"/>
      <w:bookmarkStart w:id="263" w:name="_Toc184314461"/>
      <w:bookmarkEnd w:id="263"/>
      <w:bookmarkStart w:id="264" w:name="_Toc184313258"/>
      <w:bookmarkEnd w:id="264"/>
      <w:bookmarkStart w:id="265" w:name="_Toc184308078"/>
      <w:bookmarkEnd w:id="265"/>
      <w:bookmarkStart w:id="266" w:name="_Toc184314439"/>
      <w:bookmarkEnd w:id="266"/>
      <w:bookmarkStart w:id="267" w:name="_Toc184313279"/>
      <w:bookmarkEnd w:id="267"/>
      <w:bookmarkStart w:id="268" w:name="_Toc184313283"/>
      <w:bookmarkEnd w:id="268"/>
      <w:bookmarkStart w:id="269" w:name="_Toc184312137"/>
      <w:bookmarkEnd w:id="269"/>
      <w:bookmarkStart w:id="270" w:name="_Toc184314445"/>
      <w:bookmarkEnd w:id="270"/>
      <w:bookmarkStart w:id="271" w:name="_Toc184314419"/>
      <w:bookmarkEnd w:id="271"/>
      <w:bookmarkStart w:id="272" w:name="_Toc184308065"/>
      <w:bookmarkEnd w:id="272"/>
      <w:bookmarkStart w:id="273" w:name="_Toc184314410"/>
      <w:bookmarkEnd w:id="273"/>
      <w:bookmarkStart w:id="274" w:name="_Toc184310315"/>
      <w:bookmarkEnd w:id="274"/>
      <w:bookmarkStart w:id="275" w:name="_Toc184313241"/>
      <w:bookmarkEnd w:id="275"/>
      <w:bookmarkStart w:id="276" w:name="_Toc184310310"/>
      <w:bookmarkEnd w:id="276"/>
      <w:bookmarkStart w:id="277" w:name="_Toc184308100"/>
      <w:bookmarkEnd w:id="277"/>
      <w:bookmarkStart w:id="278" w:name="_Toc184310283"/>
      <w:bookmarkEnd w:id="278"/>
      <w:bookmarkStart w:id="279" w:name="_Toc184310314"/>
      <w:bookmarkEnd w:id="279"/>
      <w:bookmarkStart w:id="280" w:name="_Toc184314475"/>
      <w:bookmarkEnd w:id="280"/>
      <w:bookmarkStart w:id="281" w:name="_Toc184310302"/>
      <w:bookmarkEnd w:id="281"/>
      <w:bookmarkStart w:id="282" w:name="_Toc184313249"/>
      <w:bookmarkEnd w:id="282"/>
      <w:bookmarkStart w:id="283" w:name="_Toc184308074"/>
      <w:bookmarkEnd w:id="283"/>
      <w:bookmarkStart w:id="284" w:name="_Toc184313259"/>
      <w:bookmarkEnd w:id="284"/>
      <w:bookmarkStart w:id="285" w:name="_Toc184312084"/>
      <w:bookmarkEnd w:id="285"/>
      <w:bookmarkStart w:id="286" w:name="_Toc184313238"/>
      <w:bookmarkEnd w:id="286"/>
      <w:bookmarkStart w:id="287" w:name="_Toc184312079"/>
      <w:bookmarkEnd w:id="287"/>
      <w:bookmarkStart w:id="288" w:name="_Toc184310337"/>
      <w:bookmarkEnd w:id="288"/>
      <w:bookmarkStart w:id="289" w:name="_Toc184312083"/>
      <w:bookmarkEnd w:id="289"/>
      <w:bookmarkStart w:id="290" w:name="_Toc184314420"/>
      <w:bookmarkEnd w:id="290"/>
      <w:bookmarkStart w:id="291" w:name="_Toc184310273"/>
      <w:bookmarkEnd w:id="291"/>
      <w:bookmarkStart w:id="292" w:name="_Toc184310285"/>
      <w:bookmarkEnd w:id="292"/>
      <w:bookmarkStart w:id="293" w:name="_Toc184308055"/>
      <w:bookmarkEnd w:id="293"/>
      <w:bookmarkStart w:id="294" w:name="_Toc184312096"/>
      <w:bookmarkEnd w:id="294"/>
      <w:bookmarkStart w:id="295" w:name="_Toc184310282"/>
      <w:bookmarkEnd w:id="295"/>
      <w:bookmarkStart w:id="296" w:name="_Toc184312139"/>
      <w:bookmarkEnd w:id="296"/>
      <w:bookmarkStart w:id="297" w:name="_Toc184308063"/>
      <w:bookmarkEnd w:id="297"/>
      <w:bookmarkStart w:id="298" w:name="_Toc184312095"/>
      <w:bookmarkEnd w:id="298"/>
      <w:bookmarkStart w:id="299" w:name="_Toc184308070"/>
      <w:bookmarkEnd w:id="299"/>
      <w:bookmarkStart w:id="300" w:name="_Toc184314447"/>
      <w:bookmarkEnd w:id="300"/>
      <w:bookmarkStart w:id="301" w:name="_Toc184312102"/>
      <w:bookmarkEnd w:id="301"/>
      <w:bookmarkStart w:id="302" w:name="_Toc184312078"/>
      <w:bookmarkEnd w:id="302"/>
      <w:bookmarkStart w:id="303" w:name="_Toc184310284"/>
      <w:bookmarkEnd w:id="303"/>
      <w:bookmarkStart w:id="304" w:name="_Toc184314442"/>
      <w:bookmarkEnd w:id="304"/>
      <w:bookmarkStart w:id="305" w:name="_Toc184310341"/>
      <w:bookmarkEnd w:id="305"/>
      <w:bookmarkStart w:id="306" w:name="_Toc184312094"/>
      <w:bookmarkEnd w:id="306"/>
      <w:bookmarkStart w:id="307" w:name="_Toc184310311"/>
      <w:bookmarkEnd w:id="307"/>
      <w:bookmarkStart w:id="308" w:name="_Toc184308058"/>
      <w:bookmarkEnd w:id="308"/>
      <w:bookmarkStart w:id="309" w:name="_Toc184312101"/>
      <w:bookmarkEnd w:id="309"/>
      <w:bookmarkStart w:id="310" w:name="_Toc184313275"/>
      <w:bookmarkEnd w:id="310"/>
      <w:bookmarkStart w:id="311" w:name="_Toc184312097"/>
      <w:bookmarkEnd w:id="311"/>
      <w:bookmarkStart w:id="312" w:name="_Toc184312116"/>
      <w:bookmarkEnd w:id="312"/>
      <w:bookmarkStart w:id="313" w:name="_Toc184313240"/>
      <w:bookmarkEnd w:id="313"/>
      <w:bookmarkStart w:id="314" w:name="_Toc184314434"/>
      <w:bookmarkEnd w:id="314"/>
      <w:bookmarkStart w:id="315" w:name="_Toc184313281"/>
      <w:bookmarkEnd w:id="315"/>
      <w:bookmarkStart w:id="316" w:name="_Toc184312098"/>
      <w:bookmarkEnd w:id="316"/>
      <w:bookmarkStart w:id="317" w:name="_Toc184310300"/>
      <w:bookmarkEnd w:id="317"/>
      <w:bookmarkStart w:id="318" w:name="_Toc184314455"/>
      <w:bookmarkEnd w:id="318"/>
      <w:bookmarkStart w:id="319" w:name="_Toc184313264"/>
      <w:bookmarkEnd w:id="319"/>
      <w:bookmarkStart w:id="320" w:name="_Toc184314426"/>
      <w:bookmarkEnd w:id="320"/>
      <w:bookmarkStart w:id="321" w:name="_Toc184314438"/>
      <w:bookmarkEnd w:id="321"/>
      <w:bookmarkStart w:id="322" w:name="_Toc184313273"/>
      <w:bookmarkEnd w:id="322"/>
      <w:bookmarkStart w:id="323" w:name="_Toc184313269"/>
      <w:bookmarkEnd w:id="323"/>
      <w:bookmarkStart w:id="324" w:name="_Toc184308069"/>
      <w:bookmarkEnd w:id="324"/>
      <w:bookmarkStart w:id="325" w:name="_Toc184313270"/>
      <w:bookmarkEnd w:id="325"/>
      <w:bookmarkStart w:id="326" w:name="_Toc184310293"/>
      <w:bookmarkEnd w:id="326"/>
      <w:bookmarkStart w:id="327" w:name="_Toc184310288"/>
      <w:bookmarkEnd w:id="327"/>
      <w:bookmarkStart w:id="328" w:name="_Toc184312106"/>
      <w:bookmarkEnd w:id="328"/>
      <w:bookmarkStart w:id="329" w:name="_Toc184313267"/>
      <w:bookmarkEnd w:id="329"/>
      <w:bookmarkStart w:id="330" w:name="_Toc184314413"/>
      <w:bookmarkEnd w:id="330"/>
      <w:bookmarkStart w:id="331" w:name="_Toc184308101"/>
      <w:bookmarkEnd w:id="331"/>
      <w:bookmarkStart w:id="332" w:name="_Toc184313307"/>
      <w:bookmarkEnd w:id="332"/>
      <w:bookmarkStart w:id="333" w:name="_Toc184314432"/>
      <w:bookmarkEnd w:id="333"/>
      <w:bookmarkStart w:id="334" w:name="_Toc184313268"/>
      <w:bookmarkEnd w:id="334"/>
      <w:bookmarkStart w:id="335" w:name="_Toc184308083"/>
      <w:bookmarkEnd w:id="335"/>
      <w:bookmarkStart w:id="336" w:name="_Toc184310308"/>
      <w:bookmarkEnd w:id="336"/>
      <w:bookmarkStart w:id="337" w:name="_Toc184314430"/>
      <w:bookmarkEnd w:id="337"/>
      <w:bookmarkStart w:id="338" w:name="_Toc184312135"/>
      <w:bookmarkEnd w:id="338"/>
      <w:bookmarkStart w:id="339" w:name="_Toc184310322"/>
      <w:bookmarkEnd w:id="339"/>
      <w:bookmarkStart w:id="340" w:name="_Toc184314446"/>
      <w:bookmarkEnd w:id="340"/>
      <w:bookmarkStart w:id="341" w:name="_Toc184308054"/>
      <w:bookmarkEnd w:id="341"/>
      <w:bookmarkStart w:id="342" w:name="_Toc184308066"/>
      <w:bookmarkEnd w:id="342"/>
      <w:bookmarkStart w:id="343" w:name="_Toc184310296"/>
      <w:bookmarkEnd w:id="343"/>
      <w:bookmarkStart w:id="344" w:name="_Toc184310301"/>
      <w:bookmarkEnd w:id="344"/>
      <w:bookmarkStart w:id="345" w:name="_Toc184310292"/>
      <w:bookmarkEnd w:id="345"/>
      <w:bookmarkStart w:id="346" w:name="_Toc184310298"/>
      <w:bookmarkEnd w:id="346"/>
      <w:bookmarkStart w:id="347" w:name="_Toc184308061"/>
      <w:bookmarkEnd w:id="347"/>
      <w:bookmarkStart w:id="348" w:name="_Toc184310291"/>
      <w:bookmarkEnd w:id="348"/>
      <w:bookmarkStart w:id="349" w:name="_Toc184312070"/>
      <w:bookmarkEnd w:id="349"/>
      <w:bookmarkStart w:id="350" w:name="_Toc184313254"/>
      <w:bookmarkEnd w:id="350"/>
      <w:bookmarkStart w:id="351" w:name="_Toc184310317"/>
      <w:bookmarkEnd w:id="351"/>
      <w:bookmarkStart w:id="352" w:name="_Toc184313280"/>
      <w:bookmarkEnd w:id="352"/>
      <w:bookmarkStart w:id="353" w:name="_Toc184312087"/>
      <w:bookmarkEnd w:id="353"/>
      <w:bookmarkStart w:id="354" w:name="_Toc184310336"/>
      <w:bookmarkEnd w:id="354"/>
      <w:bookmarkStart w:id="355" w:name="_Toc184313255"/>
      <w:bookmarkEnd w:id="355"/>
      <w:bookmarkStart w:id="356" w:name="_Toc184308067"/>
      <w:bookmarkEnd w:id="356"/>
      <w:bookmarkStart w:id="357" w:name="_Toc184313256"/>
      <w:bookmarkEnd w:id="357"/>
      <w:bookmarkStart w:id="358" w:name="_Toc184308052"/>
      <w:bookmarkEnd w:id="358"/>
      <w:bookmarkStart w:id="359" w:name="_Toc184313303"/>
      <w:bookmarkEnd w:id="359"/>
      <w:bookmarkStart w:id="360" w:name="_Toc184312103"/>
      <w:bookmarkEnd w:id="360"/>
      <w:bookmarkStart w:id="361" w:name="_Toc184314459"/>
      <w:bookmarkEnd w:id="361"/>
      <w:bookmarkStart w:id="362" w:name="_Toc184314443"/>
      <w:bookmarkEnd w:id="362"/>
      <w:bookmarkStart w:id="363" w:name="_Toc184314458"/>
      <w:bookmarkEnd w:id="363"/>
      <w:bookmarkStart w:id="364" w:name="_Toc184313292"/>
      <w:bookmarkEnd w:id="364"/>
      <w:bookmarkStart w:id="365" w:name="_Toc184312115"/>
      <w:bookmarkEnd w:id="365"/>
      <w:bookmarkStart w:id="366" w:name="_Toc184310305"/>
      <w:bookmarkEnd w:id="366"/>
      <w:bookmarkStart w:id="367" w:name="_Toc184310281"/>
      <w:bookmarkEnd w:id="367"/>
      <w:bookmarkStart w:id="368" w:name="_Toc184314473"/>
      <w:bookmarkEnd w:id="368"/>
      <w:bookmarkStart w:id="369" w:name="_Toc184308053"/>
      <w:bookmarkEnd w:id="369"/>
      <w:bookmarkStart w:id="370" w:name="_Toc184312117"/>
      <w:bookmarkEnd w:id="370"/>
      <w:bookmarkStart w:id="371" w:name="_Toc184313266"/>
      <w:bookmarkEnd w:id="371"/>
      <w:bookmarkStart w:id="372" w:name="_Toc184312088"/>
      <w:bookmarkEnd w:id="372"/>
      <w:bookmarkStart w:id="373" w:name="_Toc184308081"/>
      <w:bookmarkEnd w:id="373"/>
      <w:bookmarkStart w:id="374" w:name="_Toc184313251"/>
      <w:bookmarkEnd w:id="374"/>
      <w:bookmarkStart w:id="375" w:name="_Toc184308049"/>
      <w:bookmarkEnd w:id="375"/>
      <w:bookmarkStart w:id="376" w:name="_Toc184312112"/>
      <w:bookmarkEnd w:id="376"/>
      <w:bookmarkStart w:id="377" w:name="_Toc184313277"/>
      <w:bookmarkEnd w:id="377"/>
      <w:bookmarkStart w:id="378" w:name="_Toc184310289"/>
      <w:bookmarkEnd w:id="378"/>
      <w:bookmarkStart w:id="379" w:name="_Toc184310297"/>
      <w:bookmarkEnd w:id="379"/>
      <w:bookmarkStart w:id="380" w:name="_Toc184310299"/>
      <w:bookmarkEnd w:id="380"/>
      <w:bookmarkStart w:id="381" w:name="_Toc184308056"/>
      <w:bookmarkEnd w:id="381"/>
      <w:bookmarkStart w:id="382" w:name="_Toc184314454"/>
      <w:bookmarkEnd w:id="382"/>
      <w:bookmarkStart w:id="383" w:name="_Toc184314450"/>
      <w:bookmarkEnd w:id="383"/>
      <w:bookmarkStart w:id="384" w:name="_Toc184314449"/>
      <w:bookmarkEnd w:id="384"/>
      <w:bookmarkStart w:id="385" w:name="_Toc184310275"/>
      <w:bookmarkEnd w:id="385"/>
      <w:bookmarkStart w:id="386" w:name="_Toc184314429"/>
      <w:bookmarkEnd w:id="386"/>
      <w:bookmarkStart w:id="387" w:name="_Toc184312086"/>
      <w:bookmarkEnd w:id="387"/>
      <w:bookmarkStart w:id="388" w:name="_Toc184308057"/>
      <w:bookmarkEnd w:id="388"/>
      <w:bookmarkStart w:id="389" w:name="_Toc184314431"/>
      <w:bookmarkEnd w:id="389"/>
      <w:bookmarkStart w:id="390" w:name="_Toc184313306"/>
      <w:bookmarkEnd w:id="390"/>
      <w:bookmarkStart w:id="391" w:name="_Toc184313262"/>
      <w:bookmarkEnd w:id="391"/>
      <w:bookmarkStart w:id="392" w:name="_Toc184312085"/>
      <w:bookmarkEnd w:id="392"/>
      <w:bookmarkStart w:id="393" w:name="_Toc184313287"/>
      <w:bookmarkEnd w:id="393"/>
      <w:bookmarkStart w:id="394" w:name="_Toc184314478"/>
      <w:bookmarkEnd w:id="394"/>
      <w:bookmarkStart w:id="395" w:name="_Toc184314428"/>
      <w:bookmarkEnd w:id="395"/>
      <w:bookmarkStart w:id="396" w:name="_Toc184308040"/>
      <w:bookmarkEnd w:id="396"/>
      <w:bookmarkStart w:id="397" w:name="_Toc184312068"/>
      <w:bookmarkEnd w:id="397"/>
      <w:bookmarkStart w:id="398" w:name="_Toc184312067"/>
      <w:bookmarkEnd w:id="398"/>
      <w:bookmarkStart w:id="399" w:name="_Toc184313263"/>
      <w:bookmarkEnd w:id="399"/>
      <w:bookmarkStart w:id="400" w:name="_Toc184308039"/>
      <w:bookmarkEnd w:id="400"/>
      <w:bookmarkStart w:id="401" w:name="_Toc184308064"/>
      <w:bookmarkEnd w:id="401"/>
      <w:bookmarkStart w:id="402" w:name="_Toc184312069"/>
      <w:bookmarkEnd w:id="402"/>
      <w:bookmarkStart w:id="403" w:name="_Toc184313253"/>
      <w:bookmarkEnd w:id="403"/>
      <w:r>
        <w:rPr>
          <w:rFonts w:hint="eastAsia" w:ascii="宋体" w:hAnsi="宋体" w:cs="宋体"/>
          <w:b/>
          <w:sz w:val="36"/>
          <w:szCs w:val="36"/>
        </w:rPr>
        <w:t>评标办法</w:t>
      </w:r>
    </w:p>
    <w:p>
      <w:pPr>
        <w:pStyle w:val="2"/>
        <w:ind w:firstLine="562"/>
        <w:jc w:val="center"/>
        <w:rPr>
          <w:b/>
          <w:sz w:val="28"/>
        </w:rPr>
      </w:pPr>
      <w:r>
        <w:rPr>
          <w:rFonts w:hint="eastAsia" w:cs="宋体"/>
          <w:b/>
          <w:kern w:val="0"/>
          <w:sz w:val="28"/>
        </w:rPr>
        <w:t>评标办法</w:t>
      </w:r>
      <w:r>
        <w:rPr>
          <w:rFonts w:hint="eastAsia"/>
          <w:b/>
          <w:sz w:val="28"/>
        </w:rPr>
        <w:t>前附表</w:t>
      </w:r>
    </w:p>
    <w:tbl>
      <w:tblPr>
        <w:tblStyle w:val="63"/>
        <w:tblW w:w="919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576"/>
        <w:gridCol w:w="7087"/>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16" w:type="dxa"/>
            <w:vAlign w:val="center"/>
          </w:tcPr>
          <w:p>
            <w:pPr>
              <w:jc w:val="center"/>
              <w:textAlignment w:val="center"/>
              <w:rPr>
                <w:rFonts w:asciiTheme="minorEastAsia" w:hAnsiTheme="minorEastAsia"/>
                <w:sz w:val="24"/>
              </w:rPr>
            </w:pPr>
            <w:r>
              <w:rPr>
                <w:rFonts w:hint="eastAsia" w:asciiTheme="minorEastAsia" w:hAnsiTheme="minorEastAsia"/>
                <w:sz w:val="24"/>
              </w:rPr>
              <w:t>评审内容</w:t>
            </w: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序号</w:t>
            </w:r>
          </w:p>
        </w:tc>
        <w:tc>
          <w:tcPr>
            <w:tcW w:w="7087" w:type="dxa"/>
            <w:vAlign w:val="center"/>
          </w:tcPr>
          <w:p>
            <w:pPr>
              <w:jc w:val="center"/>
              <w:textAlignment w:val="center"/>
              <w:rPr>
                <w:rFonts w:asciiTheme="minorEastAsia" w:hAnsiTheme="minorEastAsia"/>
                <w:sz w:val="24"/>
              </w:rPr>
            </w:pPr>
            <w:r>
              <w:rPr>
                <w:rFonts w:hint="eastAsia" w:asciiTheme="minorEastAsia" w:hAnsiTheme="minorEastAsia"/>
                <w:sz w:val="24"/>
              </w:rPr>
              <w:t>评分标准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6" w:type="dxa"/>
            <w:vAlign w:val="center"/>
          </w:tcPr>
          <w:p>
            <w:pPr>
              <w:jc w:val="center"/>
              <w:textAlignment w:val="center"/>
              <w:rPr>
                <w:rFonts w:asciiTheme="minorEastAsia" w:hAnsiTheme="minorEastAsia"/>
                <w:sz w:val="24"/>
              </w:rPr>
            </w:pPr>
            <w:r>
              <w:rPr>
                <w:rFonts w:hint="eastAsia" w:asciiTheme="minorEastAsia" w:hAnsiTheme="minorEastAsia"/>
                <w:sz w:val="24"/>
              </w:rPr>
              <w:t>投标价格</w:t>
            </w: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投标价格分计算方法：根据各投标人的有效投标报价，以满足招标文件要求且投标价格最低的投标报价为评标基准价，其价格分为30分。其他投标人的价格分统一按照下列公式计算：投标报价得分=(评标基准价／投标报价)×价格权值×100（精确到小数点后二位）。</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16" w:type="dxa"/>
            <w:vMerge w:val="restart"/>
            <w:vAlign w:val="center"/>
          </w:tcPr>
          <w:p>
            <w:pPr>
              <w:jc w:val="center"/>
              <w:textAlignment w:val="center"/>
              <w:rPr>
                <w:rFonts w:asciiTheme="minorEastAsia" w:hAnsiTheme="minorEastAsia"/>
                <w:sz w:val="24"/>
              </w:rPr>
            </w:pPr>
            <w:r>
              <w:rPr>
                <w:rFonts w:hint="eastAsia" w:asciiTheme="minorEastAsia" w:hAnsiTheme="minorEastAsia"/>
                <w:sz w:val="24"/>
              </w:rPr>
              <w:t>商务分</w:t>
            </w: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1</w:t>
            </w:r>
          </w:p>
        </w:tc>
        <w:tc>
          <w:tcPr>
            <w:tcW w:w="7087" w:type="dxa"/>
            <w:vAlign w:val="center"/>
          </w:tcPr>
          <w:p>
            <w:pPr>
              <w:textAlignment w:val="center"/>
              <w:rPr>
                <w:rFonts w:hint="eastAsia" w:eastAsia="宋体" w:asciiTheme="minorEastAsia" w:hAnsiTheme="minorEastAsia"/>
                <w:sz w:val="24"/>
                <w:lang w:eastAsia="zh-CN"/>
              </w:rPr>
            </w:pPr>
            <w:r>
              <w:rPr>
                <w:rFonts w:hint="eastAsia" w:asciiTheme="minorEastAsia" w:hAnsiTheme="minorEastAsia"/>
                <w:sz w:val="24"/>
              </w:rPr>
              <w:t>投标人具有</w:t>
            </w:r>
            <w:r>
              <w:rPr>
                <w:rFonts w:asciiTheme="minorEastAsia" w:hAnsiTheme="minorEastAsia"/>
                <w:sz w:val="24"/>
              </w:rPr>
              <w:t>质量管理体系、环境认证体系、</w:t>
            </w:r>
            <w:r>
              <w:rPr>
                <w:rFonts w:hint="eastAsia" w:asciiTheme="minorEastAsia" w:hAnsiTheme="minorEastAsia"/>
                <w:sz w:val="24"/>
              </w:rPr>
              <w:t>安全生产标准化证书</w:t>
            </w:r>
            <w:r>
              <w:rPr>
                <w:rFonts w:asciiTheme="minorEastAsia" w:hAnsiTheme="minorEastAsia"/>
                <w:sz w:val="24"/>
              </w:rPr>
              <w:t>，</w:t>
            </w:r>
            <w:r>
              <w:rPr>
                <w:rFonts w:hint="eastAsia" w:asciiTheme="minorEastAsia" w:hAnsiTheme="minorEastAsia"/>
                <w:sz w:val="24"/>
              </w:rPr>
              <w:t>提供证书复印件加盖公章，每证1分，最高得</w:t>
            </w:r>
            <w:r>
              <w:rPr>
                <w:rFonts w:asciiTheme="minorEastAsia" w:hAnsiTheme="minorEastAsia"/>
                <w:sz w:val="24"/>
              </w:rPr>
              <w:t>3</w:t>
            </w:r>
            <w:r>
              <w:rPr>
                <w:rFonts w:hint="eastAsia" w:asciiTheme="minorEastAsia" w:hAnsiTheme="minorEastAsia"/>
                <w:sz w:val="24"/>
              </w:rPr>
              <w:t>分</w:t>
            </w:r>
            <w:r>
              <w:rPr>
                <w:rFonts w:hint="eastAsia" w:asciiTheme="minorEastAsia" w:hAnsiTheme="minorEastAsia"/>
                <w:sz w:val="24"/>
                <w:lang w:eastAsia="zh-CN"/>
              </w:rPr>
              <w:t>。</w:t>
            </w:r>
          </w:p>
        </w:tc>
        <w:tc>
          <w:tcPr>
            <w:tcW w:w="818" w:type="dxa"/>
            <w:vAlign w:val="center"/>
          </w:tcPr>
          <w:p>
            <w:pPr>
              <w:jc w:val="center"/>
              <w:textAlignment w:val="center"/>
              <w:rPr>
                <w:rFonts w:asciiTheme="minorEastAsia" w:hAnsiTheme="minorEastAsia"/>
                <w:sz w:val="24"/>
              </w:rPr>
            </w:pPr>
            <w:r>
              <w:rPr>
                <w:rFonts w:asciiTheme="minorEastAsia" w:hAnsi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2</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投标人2018年1月1日以来承担类似项目实施的成功经验情况。结合已完成的项目案例情况，提供的合同扫描件加盖公章或电子章，每个得1分</w:t>
            </w:r>
            <w:r>
              <w:rPr>
                <w:rFonts w:hint="eastAsia" w:asciiTheme="minorEastAsia" w:hAnsiTheme="minorEastAsia"/>
                <w:sz w:val="24"/>
                <w:lang w:eastAsia="zh-CN"/>
              </w:rPr>
              <w:t>，</w:t>
            </w:r>
            <w:r>
              <w:rPr>
                <w:rFonts w:hint="eastAsia" w:asciiTheme="minorEastAsia" w:hAnsiTheme="minorEastAsia"/>
                <w:sz w:val="24"/>
              </w:rPr>
              <w:t>最高得3分。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16" w:type="dxa"/>
            <w:vMerge w:val="restart"/>
            <w:vAlign w:val="center"/>
          </w:tcPr>
          <w:p>
            <w:pPr>
              <w:jc w:val="center"/>
              <w:textAlignment w:val="center"/>
              <w:rPr>
                <w:rFonts w:asciiTheme="minorEastAsia" w:hAnsiTheme="minorEastAsia"/>
                <w:sz w:val="24"/>
              </w:rPr>
            </w:pPr>
            <w:r>
              <w:rPr>
                <w:rFonts w:hint="eastAsia" w:asciiTheme="minorEastAsia" w:hAnsiTheme="minorEastAsia"/>
                <w:sz w:val="24"/>
              </w:rPr>
              <w:t>技术与服务方案评分</w:t>
            </w: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3</w:t>
            </w:r>
          </w:p>
        </w:tc>
        <w:tc>
          <w:tcPr>
            <w:tcW w:w="7087" w:type="dxa"/>
            <w:vAlign w:val="center"/>
          </w:tcPr>
          <w:p>
            <w:pPr>
              <w:textAlignment w:val="center"/>
              <w:rPr>
                <w:rFonts w:cs="仿宋" w:asciiTheme="majorEastAsia" w:hAnsiTheme="majorEastAsia" w:eastAsiaTheme="majorEastAsia"/>
                <w:kern w:val="0"/>
                <w:sz w:val="24"/>
                <w:szCs w:val="20"/>
              </w:rPr>
            </w:pPr>
            <w:r>
              <w:rPr>
                <w:rFonts w:hint="eastAsia" w:asciiTheme="minorEastAsia" w:hAnsiTheme="minorEastAsia"/>
                <w:sz w:val="24"/>
              </w:rPr>
              <w:t>实施方案（8分）</w:t>
            </w:r>
          </w:p>
        </w:tc>
        <w:tc>
          <w:tcPr>
            <w:tcW w:w="818" w:type="dxa"/>
            <w:vAlign w:val="center"/>
          </w:tcPr>
          <w:p>
            <w:pPr>
              <w:jc w:val="center"/>
              <w:textAlignment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3.1</w:t>
            </w:r>
          </w:p>
        </w:tc>
        <w:tc>
          <w:tcPr>
            <w:tcW w:w="7087" w:type="dxa"/>
            <w:vAlign w:val="center"/>
          </w:tcPr>
          <w:p>
            <w:pPr>
              <w:textAlignment w:val="center"/>
              <w:rPr>
                <w:rFonts w:asciiTheme="minorEastAsia" w:hAnsiTheme="minorEastAsia"/>
                <w:sz w:val="24"/>
              </w:rPr>
            </w:pPr>
            <w:r>
              <w:rPr>
                <w:rFonts w:hint="eastAsia" w:cs="仿宋" w:asciiTheme="majorEastAsia" w:hAnsiTheme="majorEastAsia" w:eastAsiaTheme="majorEastAsia"/>
                <w:kern w:val="0"/>
                <w:sz w:val="24"/>
                <w:szCs w:val="20"/>
              </w:rPr>
              <w:t>方案总体设计、设备选型、系统的体系架构、功能模块、实现思路和关键技术等与业主单位业务需求相匹配，详细阐述各子系统的架构、功能模块、实现思路和关键技术、对功能设计的建议、是否充分考虑用户实际使用需求、是否充分考虑项目现场实施情况、是否符合系统对当前和未来发展的要求、个性化的独到优势等综合评定。充分考虑需求情况、内容齐全完善、可实施性强得5分，已较多考虑需求情况，内容基本齐全可实施得3-4分，初步考虑需求情况，内容略有欠缺基本可行得1-2分，内容缺陷明显不可行不得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3.2</w:t>
            </w:r>
          </w:p>
        </w:tc>
        <w:tc>
          <w:tcPr>
            <w:tcW w:w="7087" w:type="dxa"/>
            <w:vAlign w:val="center"/>
          </w:tcPr>
          <w:p>
            <w:pPr>
              <w:textAlignment w:val="center"/>
              <w:rPr>
                <w:rFonts w:asciiTheme="minorEastAsia" w:hAnsiTheme="minorEastAsia"/>
                <w:sz w:val="24"/>
              </w:rPr>
            </w:pPr>
            <w:r>
              <w:rPr>
                <w:rFonts w:hint="eastAsia" w:cs="仿宋" w:asciiTheme="majorEastAsia" w:hAnsiTheme="majorEastAsia" w:eastAsiaTheme="majorEastAsia"/>
                <w:kern w:val="0"/>
                <w:sz w:val="24"/>
                <w:szCs w:val="20"/>
              </w:rPr>
              <w:t>方案设计中的关键技术解决能力，以及投标人根据自身经验对系统需求进行优化设计的情况；投标人对本次项目的技术难点分析、风险分析和解决难题、规避风险措施的合理性和可操作性。针对性强的得3分，针对性一般的得2分，基本吻合的得1分，未提供的或与项目需求不相符不得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4</w:t>
            </w:r>
          </w:p>
        </w:tc>
        <w:tc>
          <w:tcPr>
            <w:tcW w:w="7087" w:type="dxa"/>
            <w:vAlign w:val="center"/>
          </w:tcPr>
          <w:p>
            <w:pPr>
              <w:textAlignment w:val="center"/>
              <w:rPr>
                <w:rFonts w:cs="仿宋" w:asciiTheme="majorEastAsia" w:hAnsiTheme="majorEastAsia" w:eastAsiaTheme="majorEastAsia"/>
                <w:kern w:val="0"/>
                <w:sz w:val="24"/>
                <w:szCs w:val="20"/>
              </w:rPr>
            </w:pPr>
            <w:r>
              <w:rPr>
                <w:rFonts w:hint="eastAsia" w:asciiTheme="minorEastAsia" w:hAnsiTheme="minorEastAsia"/>
                <w:sz w:val="24"/>
              </w:rPr>
              <w:t>产品性能吻合度（20分）：根据《技术偏离表》（需明确投标品牌型号）与产品手册/彩页/说明书/检测报告等佐证材料进行评分；</w:t>
            </w:r>
            <w:r>
              <w:rPr>
                <w:rFonts w:hint="eastAsia" w:cs="仿宋" w:asciiTheme="majorEastAsia" w:hAnsiTheme="majorEastAsia" w:eastAsiaTheme="majorEastAsia"/>
                <w:kern w:val="0"/>
                <w:sz w:val="24"/>
                <w:szCs w:val="20"/>
              </w:rPr>
              <w:t>投标人所投产品全部符合参数指标的得20分。带“</w:t>
            </w:r>
            <w:r>
              <w:rPr>
                <w:rFonts w:hint="eastAsia" w:cs="仿宋" w:asciiTheme="majorEastAsia" w:hAnsiTheme="majorEastAsia" w:eastAsiaTheme="majorEastAsia"/>
                <w:kern w:val="0"/>
                <w:sz w:val="24"/>
              </w:rPr>
              <w:t>◆</w:t>
            </w:r>
            <w:r>
              <w:rPr>
                <w:rFonts w:hint="eastAsia" w:cs="仿宋" w:asciiTheme="majorEastAsia" w:hAnsiTheme="majorEastAsia" w:eastAsiaTheme="majorEastAsia"/>
                <w:kern w:val="0"/>
                <w:sz w:val="24"/>
                <w:szCs w:val="20"/>
              </w:rPr>
              <w:t>”的技术参数要求（负偏离或不符合）的，每条扣</w:t>
            </w:r>
            <w:r>
              <w:rPr>
                <w:rFonts w:cs="仿宋" w:asciiTheme="majorEastAsia" w:hAnsiTheme="majorEastAsia" w:eastAsiaTheme="majorEastAsia"/>
                <w:kern w:val="0"/>
                <w:sz w:val="24"/>
                <w:szCs w:val="20"/>
              </w:rPr>
              <w:t>1</w:t>
            </w:r>
            <w:r>
              <w:rPr>
                <w:rFonts w:hint="eastAsia" w:cs="仿宋" w:asciiTheme="majorEastAsia" w:hAnsiTheme="majorEastAsia" w:eastAsiaTheme="majorEastAsia"/>
                <w:kern w:val="0"/>
                <w:sz w:val="24"/>
                <w:szCs w:val="20"/>
              </w:rPr>
              <w:t>分；其他技术参数条款（负偏离或不符合）的，每条扣0.</w:t>
            </w:r>
            <w:r>
              <w:rPr>
                <w:rFonts w:cs="仿宋" w:asciiTheme="majorEastAsia" w:hAnsiTheme="majorEastAsia" w:eastAsiaTheme="majorEastAsia"/>
                <w:kern w:val="0"/>
                <w:sz w:val="24"/>
                <w:szCs w:val="20"/>
              </w:rPr>
              <w:t>4</w:t>
            </w:r>
            <w:r>
              <w:rPr>
                <w:rFonts w:hint="eastAsia" w:cs="仿宋" w:asciiTheme="majorEastAsia" w:hAnsiTheme="majorEastAsia" w:eastAsiaTheme="majorEastAsia"/>
                <w:kern w:val="0"/>
                <w:sz w:val="24"/>
                <w:szCs w:val="20"/>
              </w:rPr>
              <w:t>分，扣完为止。</w:t>
            </w:r>
          </w:p>
          <w:p>
            <w:pPr>
              <w:textAlignment w:val="center"/>
              <w:rPr>
                <w:rFonts w:asciiTheme="minorEastAsia" w:hAnsiTheme="minorEastAsia"/>
                <w:sz w:val="24"/>
              </w:rPr>
            </w:pPr>
            <w:r>
              <w:rPr>
                <w:rFonts w:hint="eastAsia" w:cs="仿宋" w:asciiTheme="majorEastAsia" w:hAnsiTheme="majorEastAsia" w:eastAsiaTheme="majorEastAsia"/>
                <w:kern w:val="0"/>
                <w:sz w:val="24"/>
                <w:szCs w:val="20"/>
              </w:rPr>
              <w:t>注：产品技术参数需逐条响应，缺项、不明确是否符合或对应佐证未提供将被视为负偏离。</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5</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项目实施方案（10分）</w:t>
            </w:r>
          </w:p>
        </w:tc>
        <w:tc>
          <w:tcPr>
            <w:tcW w:w="818" w:type="dxa"/>
            <w:vAlign w:val="center"/>
          </w:tcPr>
          <w:p>
            <w:pPr>
              <w:jc w:val="center"/>
              <w:textAlignment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5.1</w:t>
            </w:r>
          </w:p>
        </w:tc>
        <w:tc>
          <w:tcPr>
            <w:tcW w:w="7087" w:type="dxa"/>
            <w:vAlign w:val="center"/>
          </w:tcPr>
          <w:p>
            <w:pPr>
              <w:textAlignment w:val="center"/>
              <w:rPr>
                <w:rFonts w:hint="eastAsia" w:cs="仿宋" w:asciiTheme="majorEastAsia" w:hAnsiTheme="majorEastAsia" w:eastAsiaTheme="majorEastAsia"/>
                <w:kern w:val="0"/>
                <w:sz w:val="24"/>
                <w:szCs w:val="20"/>
                <w:lang w:eastAsia="zh-CN"/>
              </w:rPr>
            </w:pPr>
            <w:r>
              <w:rPr>
                <w:rFonts w:hint="eastAsia" w:asciiTheme="minorEastAsia" w:hAnsiTheme="minorEastAsia"/>
                <w:sz w:val="24"/>
              </w:rPr>
              <w:t>项目</w:t>
            </w:r>
            <w:r>
              <w:rPr>
                <w:rFonts w:hint="eastAsia" w:cs="仿宋" w:asciiTheme="majorEastAsia" w:hAnsiTheme="majorEastAsia" w:eastAsiaTheme="majorEastAsia"/>
                <w:kern w:val="0"/>
                <w:sz w:val="24"/>
                <w:szCs w:val="20"/>
              </w:rPr>
              <w:t>实施方案（包含项目系统集成，调试，设备选型说明，供货安装调试，项目测试试运行，培训等）的科学性、合理性、完整性进行综合评定，每项内容1分，最高得6分</w:t>
            </w:r>
            <w:r>
              <w:rPr>
                <w:rFonts w:hint="eastAsia" w:cs="仿宋" w:asciiTheme="majorEastAsia" w:hAnsiTheme="majorEastAsia" w:eastAsiaTheme="majorEastAsia"/>
                <w:kern w:val="0"/>
                <w:sz w:val="24"/>
                <w:szCs w:val="20"/>
                <w:lang w:eastAsia="zh-CN"/>
              </w:rPr>
              <w:t>。</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5.2</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项目实施进度方案</w:t>
            </w:r>
          </w:p>
          <w:p>
            <w:pPr>
              <w:textAlignment w:val="center"/>
              <w:rPr>
                <w:rFonts w:asciiTheme="minorEastAsia" w:hAnsiTheme="minorEastAsia"/>
                <w:sz w:val="24"/>
              </w:rPr>
            </w:pPr>
            <w:r>
              <w:rPr>
                <w:rFonts w:hint="eastAsia" w:asciiTheme="minorEastAsia" w:hAnsiTheme="minorEastAsia"/>
                <w:sz w:val="24"/>
              </w:rPr>
              <w:t>1）为保障项目实施进度，合理安排项目进度计划，提供的进度安排网格图或进度计划安排，合理可行得2分，基本合理可满足项目需求得1分，不合理不得分；</w:t>
            </w:r>
          </w:p>
          <w:p>
            <w:pPr>
              <w:textAlignment w:val="center"/>
              <w:rPr>
                <w:rFonts w:asciiTheme="minorEastAsia" w:hAnsiTheme="minorEastAsia"/>
                <w:sz w:val="24"/>
              </w:rPr>
            </w:pPr>
            <w:r>
              <w:rPr>
                <w:rFonts w:hint="eastAsia" w:asciiTheme="minorEastAsia" w:hAnsiTheme="minorEastAsia"/>
                <w:sz w:val="24"/>
              </w:rPr>
              <w:t>2）项目进度保障措施，内容完善可实施性强得2分，内容略有欠缺基本可行得1分，内容不合理不得分。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6</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项目团队（</w:t>
            </w:r>
            <w:r>
              <w:rPr>
                <w:rFonts w:asciiTheme="minorEastAsia" w:hAnsiTheme="minorEastAsia"/>
                <w:sz w:val="24"/>
              </w:rPr>
              <w:t>10</w:t>
            </w:r>
            <w:r>
              <w:rPr>
                <w:rFonts w:hint="eastAsia" w:asciiTheme="minorEastAsia" w:hAnsiTheme="minorEastAsia"/>
                <w:sz w:val="24"/>
              </w:rPr>
              <w:t>分）</w:t>
            </w:r>
          </w:p>
        </w:tc>
        <w:tc>
          <w:tcPr>
            <w:tcW w:w="818" w:type="dxa"/>
            <w:vAlign w:val="center"/>
          </w:tcPr>
          <w:p>
            <w:pPr>
              <w:jc w:val="center"/>
              <w:textAlignment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6.1</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项目经理：具有高级职称得1分，中级职称得0.5分；具有一级建造师证书加1分，二级建造师加0.5分（专业需与项目实施相关，如机电工程等）；具有网络工程师证书加1分，</w:t>
            </w:r>
            <w:r>
              <w:rPr>
                <w:rFonts w:hint="eastAsia" w:cs="仿宋" w:asciiTheme="majorEastAsia" w:hAnsiTheme="majorEastAsia" w:eastAsiaTheme="majorEastAsia"/>
                <w:kern w:val="0"/>
                <w:sz w:val="24"/>
                <w:szCs w:val="20"/>
              </w:rPr>
              <w:t>最高得3分</w:t>
            </w:r>
            <w:r>
              <w:rPr>
                <w:rFonts w:hint="eastAsia" w:asciiTheme="minorEastAsia" w:hAnsiTheme="minorEastAsia"/>
                <w:sz w:val="24"/>
              </w:rPr>
              <w:t>。</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6.2</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项目团队：</w:t>
            </w:r>
          </w:p>
          <w:p>
            <w:pPr>
              <w:textAlignment w:val="center"/>
              <w:rPr>
                <w:rFonts w:asciiTheme="minorEastAsia" w:hAnsiTheme="minorEastAsia"/>
                <w:sz w:val="24"/>
              </w:rPr>
            </w:pPr>
            <w:r>
              <w:rPr>
                <w:rFonts w:hint="eastAsia" w:asciiTheme="minorEastAsia" w:hAnsiTheme="minorEastAsia"/>
                <w:sz w:val="24"/>
              </w:rPr>
              <w:t>1）项目团队成员专业分工合理，经验丰富，劳动力计划安排符合进度要求得2分，专业分工略有欠缺，经验不太丰富，劳动安排基本可行得1分，劳动力安排无法满足项目需求不得分。</w:t>
            </w:r>
          </w:p>
          <w:p>
            <w:pPr>
              <w:textAlignment w:val="center"/>
              <w:rPr>
                <w:rFonts w:asciiTheme="minorEastAsia" w:hAnsiTheme="minorEastAsia"/>
                <w:sz w:val="24"/>
              </w:rPr>
            </w:pPr>
            <w:r>
              <w:rPr>
                <w:rFonts w:hint="eastAsia" w:asciiTheme="minorEastAsia" w:hAnsiTheme="minorEastAsia"/>
                <w:sz w:val="24"/>
              </w:rPr>
              <w:t>2）</w:t>
            </w:r>
            <w:r>
              <w:rPr>
                <w:rFonts w:hint="eastAsia" w:cs="仿宋" w:asciiTheme="majorEastAsia" w:hAnsiTheme="majorEastAsia" w:eastAsiaTheme="majorEastAsia"/>
                <w:kern w:val="0"/>
                <w:sz w:val="24"/>
                <w:szCs w:val="20"/>
              </w:rPr>
              <w:t>拟派项目组成员（除项目经理外）配备具有注册信息安全专业人员C</w:t>
            </w:r>
            <w:r>
              <w:rPr>
                <w:rFonts w:cs="仿宋" w:asciiTheme="majorEastAsia" w:hAnsiTheme="majorEastAsia" w:eastAsiaTheme="majorEastAsia"/>
                <w:kern w:val="0"/>
                <w:sz w:val="24"/>
                <w:szCs w:val="20"/>
              </w:rPr>
              <w:t>ISP</w:t>
            </w:r>
            <w:r>
              <w:rPr>
                <w:rFonts w:hint="eastAsia" w:cs="仿宋" w:asciiTheme="majorEastAsia" w:hAnsiTheme="majorEastAsia" w:eastAsiaTheme="majorEastAsia"/>
                <w:kern w:val="0"/>
                <w:sz w:val="24"/>
                <w:szCs w:val="20"/>
              </w:rPr>
              <w:t>证书、信息系统项目管理师、项目相关专业建造师证书、网络工程师证书、高级工程师证书等有利于项目实施的证书，每一种证书得</w:t>
            </w:r>
            <w:r>
              <w:rPr>
                <w:rFonts w:cs="仿宋" w:asciiTheme="majorEastAsia" w:hAnsiTheme="majorEastAsia" w:eastAsiaTheme="majorEastAsia"/>
                <w:kern w:val="0"/>
                <w:sz w:val="24"/>
                <w:szCs w:val="20"/>
              </w:rPr>
              <w:t>1</w:t>
            </w:r>
            <w:r>
              <w:rPr>
                <w:rFonts w:hint="eastAsia" w:cs="仿宋" w:asciiTheme="majorEastAsia" w:hAnsiTheme="majorEastAsia" w:eastAsiaTheme="majorEastAsia"/>
                <w:kern w:val="0"/>
                <w:sz w:val="24"/>
                <w:szCs w:val="20"/>
              </w:rPr>
              <w:t>分，同类证书不重复得分；一人多证按</w:t>
            </w:r>
            <w:r>
              <w:rPr>
                <w:rFonts w:cs="仿宋" w:asciiTheme="majorEastAsia" w:hAnsiTheme="majorEastAsia" w:eastAsiaTheme="majorEastAsia"/>
                <w:kern w:val="0"/>
                <w:sz w:val="24"/>
                <w:szCs w:val="20"/>
              </w:rPr>
              <w:t>1</w:t>
            </w:r>
            <w:r>
              <w:rPr>
                <w:rFonts w:hint="eastAsia" w:cs="仿宋" w:asciiTheme="majorEastAsia" w:hAnsiTheme="majorEastAsia" w:eastAsiaTheme="majorEastAsia"/>
                <w:kern w:val="0"/>
                <w:sz w:val="24"/>
                <w:szCs w:val="20"/>
              </w:rPr>
              <w:t>分计，多提供不重复计分，最高得</w:t>
            </w:r>
            <w:r>
              <w:rPr>
                <w:rFonts w:cs="仿宋" w:asciiTheme="majorEastAsia" w:hAnsiTheme="majorEastAsia" w:eastAsiaTheme="majorEastAsia"/>
                <w:kern w:val="0"/>
                <w:sz w:val="24"/>
                <w:szCs w:val="20"/>
              </w:rPr>
              <w:t>5</w:t>
            </w:r>
            <w:r>
              <w:rPr>
                <w:rFonts w:hint="eastAsia" w:cs="仿宋" w:asciiTheme="majorEastAsia" w:hAnsiTheme="majorEastAsia" w:eastAsiaTheme="majorEastAsia"/>
                <w:kern w:val="0"/>
                <w:sz w:val="24"/>
                <w:szCs w:val="20"/>
              </w:rPr>
              <w:t>分</w:t>
            </w:r>
            <w:r>
              <w:rPr>
                <w:rFonts w:hint="eastAsia" w:cs="仿宋" w:asciiTheme="majorEastAsia" w:hAnsiTheme="majorEastAsia" w:eastAsiaTheme="majorEastAsia"/>
                <w:kern w:val="0"/>
                <w:sz w:val="24"/>
                <w:szCs w:val="20"/>
                <w:lang w:eastAsia="zh-CN"/>
              </w:rPr>
              <w:t>。</w:t>
            </w:r>
            <w:r>
              <w:rPr>
                <w:rFonts w:hint="eastAsia" w:cs="仿宋" w:asciiTheme="majorEastAsia" w:hAnsiTheme="majorEastAsia" w:eastAsiaTheme="majorEastAsia"/>
                <w:kern w:val="0"/>
                <w:sz w:val="24"/>
                <w:szCs w:val="20"/>
              </w:rPr>
              <w:t>（以上人员需提供相对应单位近3个月内的社保证明，并提供相应证书复印件加盖投标人公章）</w:t>
            </w:r>
          </w:p>
        </w:tc>
        <w:tc>
          <w:tcPr>
            <w:tcW w:w="818" w:type="dxa"/>
            <w:vAlign w:val="center"/>
          </w:tcPr>
          <w:p>
            <w:pPr>
              <w:jc w:val="center"/>
              <w:textAlignment w:val="center"/>
              <w:rPr>
                <w:rFonts w:asciiTheme="minorEastAsia" w:hAnsiTheme="minorEastAsia"/>
                <w:sz w:val="24"/>
              </w:rPr>
            </w:pPr>
            <w:r>
              <w:rPr>
                <w:rFonts w:asciiTheme="minorEastAsia" w:hAnsiTheme="minorEastAsia"/>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7</w:t>
            </w:r>
          </w:p>
        </w:tc>
        <w:tc>
          <w:tcPr>
            <w:tcW w:w="7087" w:type="dxa"/>
            <w:vAlign w:val="center"/>
          </w:tcPr>
          <w:p>
            <w:pPr>
              <w:textAlignment w:val="center"/>
              <w:rPr>
                <w:rFonts w:asciiTheme="minorEastAsia" w:hAnsiTheme="minorEastAsia"/>
                <w:sz w:val="24"/>
              </w:rPr>
            </w:pPr>
            <w:r>
              <w:rPr>
                <w:rFonts w:hint="eastAsia" w:asciiTheme="minorEastAsia" w:hAnsiTheme="minorEastAsia"/>
                <w:sz w:val="24"/>
              </w:rPr>
              <w:t>售后服务方案（5分）</w:t>
            </w:r>
          </w:p>
        </w:tc>
        <w:tc>
          <w:tcPr>
            <w:tcW w:w="818" w:type="dxa"/>
            <w:vAlign w:val="center"/>
          </w:tcPr>
          <w:p>
            <w:pPr>
              <w:jc w:val="center"/>
              <w:textAlignment w:val="center"/>
              <w:rPr>
                <w:rFonts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7.1</w:t>
            </w:r>
          </w:p>
        </w:tc>
        <w:tc>
          <w:tcPr>
            <w:tcW w:w="7087" w:type="dxa"/>
            <w:vAlign w:val="center"/>
          </w:tcPr>
          <w:p>
            <w:pPr>
              <w:textAlignment w:val="center"/>
              <w:rPr>
                <w:rFonts w:asciiTheme="minorEastAsia" w:hAnsiTheme="minorEastAsia"/>
                <w:sz w:val="24"/>
              </w:rPr>
            </w:pPr>
            <w:r>
              <w:rPr>
                <w:rFonts w:hint="eastAsia" w:cs="仿宋" w:asciiTheme="majorEastAsia" w:hAnsiTheme="majorEastAsia" w:eastAsiaTheme="majorEastAsia"/>
                <w:kern w:val="0"/>
                <w:sz w:val="24"/>
                <w:szCs w:val="20"/>
              </w:rPr>
              <w:t>根据投标人本地化售后服务能力、售后服务团队、售后服务体系（服务标准、响应时间、维护体系、报修方式）、回访体系（提供质量反馈表等证明资料）、售后服务承诺等情况综合评分。有较强本地化服务能力、售后方案内容完善可实施性强得3分，本地化服务能力较强、售后方案内容较完善可实施得2分，本地化服务能力不强、售后方案内容有缺陷基本可行得1分，本地化服务能力不强，售后方案缺陷明显需进一步完善后实施得0.5分，无法提供售后服务不得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7.2</w:t>
            </w:r>
          </w:p>
        </w:tc>
        <w:tc>
          <w:tcPr>
            <w:tcW w:w="7087" w:type="dxa"/>
            <w:vAlign w:val="center"/>
          </w:tcPr>
          <w:p>
            <w:pPr>
              <w:pStyle w:val="2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质保期：符合招标文件要求（硬件3年，软件5年）不得分，超过招标文件规定的，每增加1年得1分,最多得2分。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16" w:type="dxa"/>
            <w:vMerge w:val="continue"/>
            <w:vAlign w:val="center"/>
          </w:tcPr>
          <w:p>
            <w:pPr>
              <w:jc w:val="center"/>
              <w:textAlignment w:val="center"/>
              <w:rPr>
                <w:rFonts w:asciiTheme="minorEastAsia" w:hAnsiTheme="minorEastAsia"/>
                <w:sz w:val="24"/>
              </w:rPr>
            </w:pPr>
          </w:p>
        </w:tc>
        <w:tc>
          <w:tcPr>
            <w:tcW w:w="576" w:type="dxa"/>
            <w:vAlign w:val="center"/>
          </w:tcPr>
          <w:p>
            <w:pPr>
              <w:jc w:val="center"/>
              <w:textAlignment w:val="center"/>
              <w:rPr>
                <w:rFonts w:asciiTheme="minorEastAsia" w:hAnsiTheme="minorEastAsia"/>
                <w:sz w:val="24"/>
              </w:rPr>
            </w:pPr>
            <w:r>
              <w:rPr>
                <w:rFonts w:hint="eastAsia" w:asciiTheme="minorEastAsia" w:hAnsiTheme="minorEastAsia"/>
                <w:sz w:val="24"/>
              </w:rPr>
              <w:t>8</w:t>
            </w:r>
          </w:p>
        </w:tc>
        <w:tc>
          <w:tcPr>
            <w:tcW w:w="7087" w:type="dxa"/>
            <w:vAlign w:val="center"/>
          </w:tcPr>
          <w:p>
            <w:pPr>
              <w:widowControl/>
              <w:rPr>
                <w:rFonts w:cs="Arial" w:asciiTheme="majorEastAsia" w:hAnsiTheme="majorEastAsia" w:eastAsiaTheme="majorEastAsia"/>
                <w:sz w:val="24"/>
              </w:rPr>
            </w:pPr>
            <w:r>
              <w:rPr>
                <w:rFonts w:hint="eastAsia" w:asciiTheme="minorEastAsia" w:hAnsiTheme="minorEastAsia"/>
                <w:sz w:val="24"/>
              </w:rPr>
              <w:t>演示：</w:t>
            </w:r>
            <w:r>
              <w:rPr>
                <w:rFonts w:hint="eastAsia" w:cs="仿宋" w:asciiTheme="majorEastAsia" w:hAnsiTheme="majorEastAsia" w:eastAsiaTheme="majorEastAsia"/>
                <w:sz w:val="24"/>
              </w:rPr>
              <w:t>演示形式以视频形式存储于U盘中于开标时递交，并进行演示、讲解。根据演示视频产品功能对项目的吻合度、合理性进行综合评分。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在预览画面对人员、车辆、非机动车叠加检测框和结构化属性信息，可在预览画面下方展示抓拍图和结构化属性信息。支持在预览画面下方展示人体越线、人体翻墙、人体区域入侵、人体徘徊、人员值/离岗、车辆越线、车辆违停、车辆离开警戒告警信息。（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支持对视频流设置人员跌倒行为、人员抽烟行为、人体翻墙行为检测规则，当检测区域内发生以上几种行为时，系统可自动产生报警（1分）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支持人车防碰撞行为预警功能，当检测到视频画面中机动车进入/离开设定区域时、该设定区域内人员与机动车在视频画面中的距离小于后台设定阈值时可进行抓拍和告警。（1分）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支持按条件检索人体抓拍图，并导出检索结果。 检索条件包括开始时间、结束时间、设备、相似度、性别、年龄、上身颜色、下身颜色、上衣服饰、下衣服饰、有无戴帽子、帽子颜色、有无带包、有无骑车、有无戴安全帽、抽烟状态、打电话状态等。可上传一张人体图片对抓拍库人体进行1：N比对，结果返回相似度最高的抓拍库图片。（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支持展示非机动车抓拍图，可查看非机动车抓拍详情。非机动车抓拍详情包括非机动车抓拍图、全景图、抓拍类型、抓拍设备、抓拍时间、非机动车类型。（1分）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展示事件等级统计，包括高、中、低三个等级的事件数。支持展示车辆告警统计，包括已处理和未处理的机动车越线、机动车违停、机动车离开、非机动车越界、非机动车禁停、非机动车离开、非机动车逆行告警数。支持展示人员告警统计，包括已处理和未处理的人体越线、人体区域入侵、人体翻墙、人体徘徊、人员值岗/离岗、人员奔跑、人员跌倒、人员打架、人员抽烟、人员看手机、人员接/打电话、人员聚集告警数。（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支持进行入库参数配置，参数信息包括入库标准、垂直角度、水平角度、模糊度、旋转角度、亮度标准差、最小人脸、最小平均亮度、最大平均亮度。（1分）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直观展示各场景监控状态，包括实时监控、对比监控和历史监控信息，支持以日历形式展示不同日期和不同时间段的告警内容和告警处理结果，统计一段时间内的告警时间处理效率分析（1分）</w:t>
            </w:r>
          </w:p>
          <w:p>
            <w:pPr>
              <w:pStyle w:val="278"/>
              <w:widowControl/>
              <w:numPr>
                <w:ilvl w:val="1"/>
                <w:numId w:val="14"/>
              </w:numPr>
              <w:adjustRightInd/>
              <w:spacing w:line="240" w:lineRule="auto"/>
              <w:ind w:left="518" w:hanging="283" w:firstLineChars="0"/>
              <w:rPr>
                <w:rFonts w:cs="仿宋" w:asciiTheme="majorEastAsia" w:hAnsiTheme="majorEastAsia" w:eastAsiaTheme="majorEastAsia"/>
              </w:rPr>
            </w:pPr>
            <w:r>
              <w:rPr>
                <w:rFonts w:hint="eastAsia" w:cs="仿宋" w:asciiTheme="majorEastAsia" w:hAnsiTheme="majorEastAsia" w:eastAsiaTheme="majorEastAsia"/>
              </w:rPr>
              <w:t>当放学、放假等阶段，有人员仍然在活动区域滞留徘徊，超过设定时间则定义为超时滞留，系统进行预警（1分）</w:t>
            </w:r>
          </w:p>
          <w:p>
            <w:pPr>
              <w:pStyle w:val="278"/>
              <w:widowControl/>
              <w:numPr>
                <w:ilvl w:val="1"/>
                <w:numId w:val="14"/>
              </w:numPr>
              <w:adjustRightInd/>
              <w:spacing w:line="240" w:lineRule="auto"/>
              <w:ind w:left="518" w:hanging="283" w:firstLineChars="0"/>
              <w:rPr>
                <w:rFonts w:asciiTheme="minorEastAsia" w:hAnsiTheme="minorEastAsia"/>
              </w:rPr>
            </w:pPr>
            <w:r>
              <w:rPr>
                <w:rFonts w:hint="eastAsia" w:cs="仿宋" w:asciiTheme="majorEastAsia" w:hAnsiTheme="majorEastAsia" w:eastAsiaTheme="majorEastAsia"/>
              </w:rPr>
              <w:t>当监测到场景内有人员离岗时触发告警，可设定人员告警值，当人员少于设定值或者多于设定值时上报（1分）</w:t>
            </w:r>
          </w:p>
          <w:p>
            <w:pPr>
              <w:pStyle w:val="278"/>
              <w:widowControl/>
              <w:numPr>
                <w:ilvl w:val="1"/>
                <w:numId w:val="14"/>
              </w:numPr>
              <w:adjustRightInd/>
              <w:spacing w:line="240" w:lineRule="auto"/>
              <w:ind w:left="518" w:hanging="283" w:firstLineChars="0"/>
              <w:rPr>
                <w:rFonts w:asciiTheme="minorEastAsia" w:hAnsiTheme="minorEastAsia"/>
              </w:rPr>
            </w:pPr>
            <w:r>
              <w:rPr>
                <w:rFonts w:hint="eastAsia" w:cs="仿宋" w:asciiTheme="majorEastAsia" w:hAnsiTheme="majorEastAsia" w:eastAsiaTheme="majorEastAsia"/>
              </w:rPr>
              <w:t>预警事件发生后，把事件推送到相应工作人员，工作人员可在移动端查看事件工单信息并在事件结束后上传处理结果，可在移动端查看历史处理事件（1分）</w:t>
            </w:r>
          </w:p>
        </w:tc>
        <w:tc>
          <w:tcPr>
            <w:tcW w:w="818" w:type="dxa"/>
            <w:vAlign w:val="center"/>
          </w:tcPr>
          <w:p>
            <w:pPr>
              <w:jc w:val="center"/>
              <w:textAlignment w:val="center"/>
              <w:rPr>
                <w:rFonts w:asciiTheme="minorEastAsia" w:hAnsiTheme="minorEastAsia"/>
                <w:sz w:val="24"/>
              </w:rPr>
            </w:pPr>
            <w:r>
              <w:rPr>
                <w:rFonts w:hint="eastAsia" w:asciiTheme="minorEastAsia" w:hAnsiTheme="minorEastAsia"/>
                <w:sz w:val="24"/>
              </w:rPr>
              <w:t>11</w:t>
            </w:r>
          </w:p>
        </w:tc>
      </w:tr>
    </w:tbl>
    <w:p>
      <w:pPr>
        <w:pStyle w:val="2"/>
      </w:pPr>
    </w:p>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28"/>
          <w:szCs w:val="28"/>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8"/>
          <w:szCs w:val="28"/>
        </w:rPr>
      </w:pPr>
      <w:r>
        <w:rPr>
          <w:rFonts w:hint="eastAsia" w:ascii="宋体" w:hAnsi="宋体" w:cs="宋体"/>
          <w:b/>
          <w:sz w:val="28"/>
          <w:szCs w:val="28"/>
        </w:rPr>
        <w:t>二、评标标准</w:t>
      </w:r>
    </w:p>
    <w:p>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360" w:lineRule="auto"/>
        <w:outlineLvl w:val="0"/>
        <w:rPr>
          <w:rFonts w:ascii="宋体" w:hAnsi="宋体" w:cs="宋体"/>
          <w:b/>
          <w:sz w:val="28"/>
          <w:szCs w:val="28"/>
        </w:rPr>
      </w:pPr>
      <w:r>
        <w:rPr>
          <w:rFonts w:hint="eastAsia" w:ascii="宋体" w:hAnsi="宋体" w:cs="宋体"/>
          <w:b/>
          <w:sz w:val="28"/>
          <w:szCs w:val="28"/>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60"/>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6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6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6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6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6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6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6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28"/>
          <w:szCs w:val="28"/>
        </w:rPr>
      </w:pPr>
      <w:r>
        <w:rPr>
          <w:rFonts w:hint="eastAsia" w:ascii="宋体" w:hAnsi="宋体" w:cs="宋体"/>
          <w:b/>
          <w:sz w:val="28"/>
          <w:szCs w:val="28"/>
        </w:rPr>
        <w:t>四、评标中的其他事项</w:t>
      </w:r>
    </w:p>
    <w:p>
      <w:pPr>
        <w:pStyle w:val="160"/>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有下列情况之一的，投标无效：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4.2.12投标人仅提交备份投标文件，没有在电子交易平台传输递交投标文件的，投标无效；</w:t>
      </w:r>
    </w:p>
    <w:p>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
        <w:snapToGrid w:val="0"/>
        <w:spacing w:line="360" w:lineRule="auto"/>
        <w:rPr>
          <w:rFonts w:cs="宋体"/>
        </w:rPr>
      </w:pPr>
      <w:r>
        <w:rPr>
          <w:rFonts w:hint="eastAsia" w:cs="宋体"/>
        </w:rPr>
        <w:t>5.1符合专业条件的供应商或者对招标文件作实质响应的供应商不足3家的；</w:t>
      </w:r>
    </w:p>
    <w:p>
      <w:pPr>
        <w:pStyle w:val="2"/>
        <w:snapToGrid w:val="0"/>
        <w:spacing w:line="360" w:lineRule="auto"/>
        <w:rPr>
          <w:rFonts w:cs="宋体"/>
        </w:rPr>
      </w:pPr>
      <w:r>
        <w:rPr>
          <w:rFonts w:hint="eastAsia" w:cs="宋体"/>
        </w:rPr>
        <w:t>5.2出现影响采购公正的违法、违规行为的；</w:t>
      </w:r>
    </w:p>
    <w:p>
      <w:pPr>
        <w:pStyle w:val="2"/>
        <w:snapToGrid w:val="0"/>
        <w:spacing w:line="360" w:lineRule="auto"/>
        <w:rPr>
          <w:rFonts w:cs="宋体"/>
        </w:rPr>
      </w:pPr>
      <w:r>
        <w:rPr>
          <w:rFonts w:hint="eastAsia" w:cs="宋体"/>
        </w:rPr>
        <w:t>5.3投标人的报价均超过了采购预算，采购人不能支付的；</w:t>
      </w:r>
    </w:p>
    <w:p>
      <w:pPr>
        <w:pStyle w:val="2"/>
        <w:snapToGrid w:val="0"/>
        <w:spacing w:line="360" w:lineRule="auto"/>
        <w:rPr>
          <w:rFonts w:cs="宋体"/>
        </w:rPr>
      </w:pPr>
      <w:r>
        <w:rPr>
          <w:rFonts w:hint="eastAsia" w:cs="宋体"/>
        </w:rPr>
        <w:t>5.4因重大变故，采购任务取消的。</w:t>
      </w:r>
    </w:p>
    <w:p>
      <w:pPr>
        <w:pStyle w:val="2"/>
        <w:snapToGrid w:val="0"/>
        <w:spacing w:line="360" w:lineRule="auto"/>
        <w:rPr>
          <w:rFonts w:cs="宋体"/>
        </w:rPr>
      </w:pPr>
      <w:r>
        <w:rPr>
          <w:rFonts w:hint="eastAsia" w:cs="宋体"/>
        </w:rPr>
        <w:t>废标后，采购机构应当将废标理由通知所有投标人。</w:t>
      </w:r>
    </w:p>
    <w:p>
      <w:pPr>
        <w:pStyle w:val="2"/>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
        <w:snapToGrid w:val="0"/>
        <w:spacing w:line="360" w:lineRule="auto"/>
        <w:ind w:firstLine="590" w:firstLineChars="245"/>
        <w:rPr>
          <w:rFonts w:cs="宋体"/>
        </w:rPr>
      </w:pPr>
      <w:r>
        <w:rPr>
          <w:rFonts w:hint="eastAsia" w:cs="宋体"/>
          <w:b/>
          <w:kern w:val="0"/>
        </w:rPr>
        <w:t>7.重新开展采购。</w:t>
      </w:r>
      <w:r>
        <w:rPr>
          <w:rFonts w:hint="eastAsia" w:cs="宋体"/>
        </w:rPr>
        <w:t>有政府采购法第七十一条、第七十二条规定的违法行为之一，影响或者可能影响中标、成交结果的，依照下列规定处理：</w:t>
      </w:r>
    </w:p>
    <w:p>
      <w:pPr>
        <w:pStyle w:val="2"/>
        <w:snapToGrid w:val="0"/>
        <w:spacing w:line="360" w:lineRule="auto"/>
        <w:ind w:firstLine="600" w:firstLineChars="250"/>
        <w:rPr>
          <w:rFonts w:cs="宋体"/>
        </w:rPr>
      </w:pPr>
      <w:r>
        <w:rPr>
          <w:rFonts w:hint="eastAsia" w:cs="宋体"/>
        </w:rPr>
        <w:t>7.1未确定中标或者中标人的，终止本次政府采购活动，重新开展政府采购活动。</w:t>
      </w:r>
    </w:p>
    <w:p>
      <w:pPr>
        <w:pStyle w:val="2"/>
        <w:snapToGrid w:val="0"/>
        <w:spacing w:line="360" w:lineRule="auto"/>
        <w:ind w:firstLine="600" w:firstLineChars="250"/>
        <w:rPr>
          <w:rFonts w:cs="宋体"/>
        </w:rPr>
      </w:pPr>
      <w:r>
        <w:rPr>
          <w:rFonts w:hint="eastAsia" w:cs="宋体"/>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
        <w:snapToGrid w:val="0"/>
        <w:spacing w:line="360" w:lineRule="auto"/>
        <w:ind w:firstLine="600" w:firstLineChars="250"/>
        <w:rPr>
          <w:rFonts w:cs="宋体"/>
        </w:rPr>
      </w:pPr>
      <w:r>
        <w:rPr>
          <w:rFonts w:hint="eastAsia" w:cs="宋体"/>
        </w:rPr>
        <w:t>7.3政府采购合同已签订但尚未履行的，撤销合同，从合格的中标或者成交候选人中另行确定中标或者中标人；没有合格的中标或者成交候选人的，重新开展政府采购活动。</w:t>
      </w:r>
    </w:p>
    <w:p>
      <w:pPr>
        <w:pStyle w:val="2"/>
        <w:snapToGrid w:val="0"/>
        <w:spacing w:line="360" w:lineRule="auto"/>
        <w:rPr>
          <w:rFonts w:cs="宋体"/>
        </w:rPr>
      </w:pPr>
      <w:r>
        <w:rPr>
          <w:rFonts w:hint="eastAsia" w:cs="宋体"/>
        </w:rPr>
        <w:t>7.4政府采购合同已经履行，给采购人、供应商造成损失的，由责任人承担赔偿责任。</w:t>
      </w:r>
    </w:p>
    <w:p>
      <w:pPr>
        <w:pStyle w:val="2"/>
        <w:snapToGrid w:val="0"/>
        <w:spacing w:line="360" w:lineRule="auto"/>
        <w:rPr>
          <w:rFonts w:cs="宋体"/>
        </w:rPr>
      </w:pPr>
      <w:r>
        <w:rPr>
          <w:rFonts w:hint="eastAsia" w:cs="宋体"/>
        </w:rPr>
        <w:t>7.5政府采购当事人有其他违反政府采购法</w:t>
      </w:r>
      <w:r>
        <w:rPr>
          <w:rFonts w:hint="eastAsia" w:cs="宋体"/>
          <w:kern w:val="0"/>
        </w:rPr>
        <w:t>或者政府采购法实施条例等法律法规规定</w:t>
      </w:r>
      <w:r>
        <w:rPr>
          <w:rFonts w:hint="eastAsia" w:cs="宋体"/>
        </w:rPr>
        <w:t>的行为，经改正后仍然影响或者可能影响中标、成交结果或者依法被认定为中标、成交无效的，依照7.1-7.4规定处理。</w:t>
      </w:r>
    </w:p>
    <w:p>
      <w:pPr>
        <w:pStyle w:val="2"/>
        <w:snapToGrid w:val="0"/>
        <w:spacing w:line="360" w:lineRule="auto"/>
        <w:ind w:firstLine="0" w:firstLineChars="0"/>
        <w:rPr>
          <w:rFonts w:cs="宋体"/>
        </w:rPr>
      </w:pPr>
    </w:p>
    <w:bookmarkEnd w:id="26"/>
    <w:p>
      <w:pPr>
        <w:spacing w:line="360" w:lineRule="auto"/>
        <w:ind w:left="720" w:leftChars="343" w:firstLine="1084" w:firstLineChars="300"/>
        <w:outlineLvl w:val="0"/>
        <w:rPr>
          <w:rFonts w:ascii="宋体" w:hAnsi="宋体" w:cs="宋体"/>
          <w:b/>
          <w:sz w:val="36"/>
          <w:szCs w:val="36"/>
        </w:rPr>
      </w:pPr>
      <w:bookmarkStart w:id="404" w:name="第五部分"/>
      <w:bookmarkStart w:id="405" w:name="_Toc86217003"/>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 xml:space="preserve">    </w:t>
      </w:r>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p>
    <w:p>
      <w:pPr>
        <w:spacing w:line="360" w:lineRule="auto"/>
        <w:ind w:left="720" w:leftChars="343" w:firstLine="1084" w:firstLineChars="300"/>
        <w:outlineLvl w:val="0"/>
        <w:rPr>
          <w:rFonts w:ascii="宋体" w:hAnsi="宋体" w:cs="宋体"/>
          <w:b/>
          <w:sz w:val="36"/>
          <w:szCs w:val="36"/>
        </w:rPr>
      </w:pPr>
    </w:p>
    <w:p>
      <w:pPr>
        <w:widowControl/>
        <w:adjustRightInd/>
        <w:jc w:val="left"/>
        <w:rPr>
          <w:rFonts w:ascii="宋体" w:hAnsi="宋体" w:cs="宋体"/>
          <w:b/>
          <w:sz w:val="36"/>
          <w:szCs w:val="36"/>
        </w:rPr>
      </w:pPr>
      <w:r>
        <w:rPr>
          <w:rFonts w:ascii="宋体" w:hAnsi="宋体" w:cs="宋体"/>
          <w:b/>
          <w:sz w:val="36"/>
          <w:szCs w:val="36"/>
        </w:rPr>
        <w:br w:type="page"/>
      </w:r>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706"/>
        <w:rPr>
          <w:rFonts w:ascii="宋体" w:hAnsi="宋体" w:cs="宋体"/>
          <w:szCs w:val="24"/>
        </w:rPr>
      </w:pPr>
    </w:p>
    <w:p>
      <w:pPr>
        <w:pStyle w:val="706"/>
        <w:rPr>
          <w:rFonts w:ascii="宋体" w:hAnsi="宋体" w:cs="宋体"/>
          <w:szCs w:val="24"/>
        </w:rPr>
      </w:pPr>
    </w:p>
    <w:p>
      <w:pPr>
        <w:pStyle w:val="706"/>
        <w:jc w:val="center"/>
        <w:rPr>
          <w:rFonts w:ascii="宋体" w:hAnsi="宋体" w:cs="宋体"/>
          <w:szCs w:val="24"/>
        </w:rPr>
      </w:pPr>
    </w:p>
    <w:p>
      <w:pPr>
        <w:pStyle w:val="706"/>
        <w:ind w:firstLine="2843" w:firstLineChars="1180"/>
        <w:rPr>
          <w:rFonts w:ascii="宋体" w:hAnsi="宋体" w:cs="宋体"/>
          <w:b/>
          <w:szCs w:val="24"/>
        </w:rPr>
      </w:pPr>
      <w:r>
        <w:rPr>
          <w:rFonts w:hint="eastAsia" w:ascii="宋体" w:hAnsi="宋体" w:cs="宋体"/>
          <w:b/>
          <w:szCs w:val="24"/>
        </w:rPr>
        <w:t>第一部分 合同书</w:t>
      </w:r>
    </w:p>
    <w:p>
      <w:pPr>
        <w:pStyle w:val="706"/>
        <w:rPr>
          <w:rFonts w:ascii="宋体" w:hAnsi="宋体" w:cs="宋体"/>
          <w:szCs w:val="24"/>
        </w:rPr>
      </w:pPr>
    </w:p>
    <w:p>
      <w:pPr>
        <w:pStyle w:val="706"/>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602"/>
        <w:spacing w:before="120" w:line="22" w:lineRule="atLeast"/>
        <w:rPr>
          <w:rFonts w:ascii="宋体" w:hAnsi="宋体" w:eastAsia="宋体" w:cs="宋体"/>
          <w:szCs w:val="24"/>
        </w:rPr>
      </w:pPr>
    </w:p>
    <w:p>
      <w:pPr>
        <w:pStyle w:val="602"/>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pgSz w:w="11907" w:h="16840"/>
          <w:pgMar w:top="1474" w:right="1418" w:bottom="1474" w:left="1418"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杭州市中策职业学校钱塘学校   </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sz w:val="24"/>
          <w:u w:val="single"/>
        </w:rPr>
        <w:t xml:space="preserve">   （同前页项目名称）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（中标供应商名称）</w:t>
      </w:r>
      <w:r>
        <w:rPr>
          <w:rFonts w:hint="eastAsia" w:ascii="宋体" w:hAnsi="宋体" w:cs="宋体"/>
          <w:sz w:val="24"/>
        </w:rPr>
        <w:t>为该项目中标供应商。现于中标通知书发出之日起30日内，按照采购文件确定的事项签订本合同。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杭州市中策职业学校钱塘学校   </w:t>
      </w:r>
      <w:r>
        <w:rPr>
          <w:rFonts w:hint="eastAsia" w:ascii="宋体" w:hAnsi="宋体" w:cs="宋体"/>
          <w:sz w:val="24"/>
          <w:lang w:val="zh-CN"/>
        </w:rPr>
        <w:t>(以下简称：甲方)和</w:t>
      </w:r>
      <w:r>
        <w:rPr>
          <w:rFonts w:hint="eastAsia" w:ascii="宋体" w:hAnsi="宋体" w:cs="宋体"/>
          <w:sz w:val="24"/>
          <w:u w:val="single"/>
        </w:rPr>
        <w:t xml:space="preserve">   （中标供应商名称）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406" w:name="_Toc3029"/>
      <w:bookmarkStart w:id="407" w:name="_Toc24059"/>
      <w:bookmarkStart w:id="408" w:name="_Toc2232"/>
      <w:r>
        <w:rPr>
          <w:rFonts w:hint="eastAsia" w:ascii="宋体" w:hAnsi="宋体" w:cs="宋体"/>
          <w:b/>
          <w:sz w:val="24"/>
        </w:rPr>
        <w:t>1.1 合同组成部分</w:t>
      </w:r>
      <w:bookmarkEnd w:id="406"/>
      <w:bookmarkEnd w:id="407"/>
      <w:bookmarkEnd w:id="408"/>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中标通知书；</w:t>
      </w:r>
    </w:p>
    <w:p>
      <w:pPr>
        <w:spacing w:line="560" w:lineRule="exact"/>
        <w:ind w:firstLine="480" w:firstLineChars="200"/>
        <w:rPr>
          <w:rFonts w:ascii="宋体" w:hAnsi="宋体" w:cs="宋体"/>
          <w:sz w:val="24"/>
        </w:rPr>
      </w:pPr>
      <w:r>
        <w:rPr>
          <w:rFonts w:hint="eastAsia" w:ascii="宋体" w:hAnsi="宋体" w:cs="宋体"/>
          <w:sz w:val="24"/>
        </w:rPr>
        <w:t>1.1.3 投标文件（含澄清或者说明文件）；</w:t>
      </w:r>
    </w:p>
    <w:p>
      <w:pPr>
        <w:spacing w:line="560" w:lineRule="exact"/>
        <w:ind w:firstLine="480" w:firstLineChars="200"/>
        <w:rPr>
          <w:rFonts w:ascii="宋体" w:hAnsi="宋体" w:cs="宋体"/>
          <w:sz w:val="24"/>
        </w:rPr>
      </w:pPr>
      <w:r>
        <w:rPr>
          <w:rFonts w:hint="eastAsia" w:ascii="宋体" w:hAnsi="宋体" w:cs="宋体"/>
          <w:sz w:val="24"/>
        </w:rPr>
        <w:t>1.1.4 招标文件（含澄清或者修改文件）；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409" w:name="_Toc21295"/>
      <w:bookmarkStart w:id="410" w:name="_Toc27126"/>
      <w:bookmarkStart w:id="411" w:name="_Toc24300"/>
      <w:r>
        <w:rPr>
          <w:rFonts w:hint="eastAsia" w:ascii="宋体" w:hAnsi="宋体" w:cs="宋体"/>
          <w:b/>
          <w:sz w:val="24"/>
        </w:rPr>
        <w:t>1.2 货物</w:t>
      </w:r>
      <w:bookmarkEnd w:id="409"/>
      <w:bookmarkEnd w:id="410"/>
      <w:bookmarkEnd w:id="411"/>
    </w:p>
    <w:p>
      <w:pPr>
        <w:spacing w:line="560" w:lineRule="exact"/>
        <w:ind w:firstLine="480" w:firstLineChars="200"/>
        <w:rPr>
          <w:rFonts w:ascii="宋体" w:hAnsi="宋体" w:cs="宋体"/>
          <w:sz w:val="24"/>
          <w:u w:val="single"/>
        </w:rPr>
      </w:pPr>
      <w:r>
        <w:rPr>
          <w:rFonts w:hint="eastAsia" w:ascii="宋体" w:hAnsi="宋体" w:cs="宋体"/>
          <w:sz w:val="24"/>
        </w:rPr>
        <w:t>1.2.1 货物名称：</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1.2.3 货物质量：</w:t>
      </w:r>
      <w:r>
        <w:rPr>
          <w:rFonts w:hint="eastAsia" w:ascii="宋体" w:hAnsi="宋体" w:cs="宋体"/>
          <w:sz w:val="24"/>
          <w:u w:val="single"/>
        </w:rPr>
        <w:t xml:space="preserve">　　　　　　　　　                      　      </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2" w:name="_Toc21631"/>
      <w:bookmarkStart w:id="413" w:name="_Toc21551"/>
      <w:bookmarkStart w:id="414" w:name="_Toc23292"/>
      <w:r>
        <w:rPr>
          <w:rFonts w:hint="eastAsia" w:ascii="宋体" w:hAnsi="宋体" w:cs="宋体"/>
          <w:b/>
          <w:sz w:val="24"/>
        </w:rPr>
        <w:t>1.3 价款</w:t>
      </w:r>
      <w:bookmarkEnd w:id="412"/>
      <w:bookmarkEnd w:id="413"/>
      <w:bookmarkEnd w:id="414"/>
    </w:p>
    <w:p>
      <w:pPr>
        <w:spacing w:line="560" w:lineRule="exact"/>
        <w:ind w:firstLine="480" w:firstLineChars="200"/>
        <w:rPr>
          <w:rFonts w:ascii="宋体" w:hAnsi="宋体" w:cs="宋体"/>
          <w:sz w:val="24"/>
        </w:rPr>
      </w:pPr>
      <w:r>
        <w:rPr>
          <w:rFonts w:hint="eastAsia" w:ascii="宋体" w:hAnsi="宋体" w:cs="宋体"/>
          <w:sz w:val="24"/>
        </w:rPr>
        <w:t>本合同总价为：￥</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31"/>
              <w:spacing w:line="560" w:lineRule="exact"/>
              <w:ind w:firstLine="200"/>
              <w:jc w:val="center"/>
              <w:rPr>
                <w:rFonts w:hAnsi="宋体" w:cs="宋体"/>
                <w:sz w:val="24"/>
                <w:szCs w:val="24"/>
              </w:rPr>
            </w:pPr>
          </w:p>
        </w:tc>
      </w:tr>
    </w:tbl>
    <w:p>
      <w:pPr>
        <w:spacing w:line="560" w:lineRule="exact"/>
        <w:ind w:firstLine="482" w:firstLineChars="200"/>
        <w:outlineLvl w:val="0"/>
        <w:rPr>
          <w:rFonts w:ascii="宋体" w:hAnsi="宋体" w:cs="宋体"/>
          <w:b/>
          <w:sz w:val="24"/>
        </w:rPr>
      </w:pPr>
      <w:bookmarkStart w:id="415" w:name="_Toc10340"/>
      <w:bookmarkStart w:id="416" w:name="_Toc22618"/>
      <w:bookmarkStart w:id="417" w:name="_Toc1814"/>
      <w:r>
        <w:rPr>
          <w:rFonts w:hint="eastAsia" w:ascii="宋体" w:hAnsi="宋体" w:cs="宋体"/>
          <w:b/>
          <w:sz w:val="24"/>
        </w:rPr>
        <w:t>1.4 付款</w:t>
      </w:r>
      <w:bookmarkEnd w:id="415"/>
      <w:bookmarkEnd w:id="416"/>
      <w:bookmarkEnd w:id="417"/>
      <w:r>
        <w:rPr>
          <w:rFonts w:hint="eastAsia" w:ascii="宋体" w:hAnsi="宋体" w:cs="宋体"/>
          <w:b/>
          <w:sz w:val="24"/>
        </w:rPr>
        <w:t>方式、时间和条件</w:t>
      </w:r>
    </w:p>
    <w:p>
      <w:pPr>
        <w:pStyle w:val="967"/>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宋体" w:hAnsi="宋体" w:cs="宋体"/>
          <w:sz w:val="24"/>
        </w:rPr>
      </w:pPr>
      <w:r>
        <w:rPr>
          <w:rFonts w:hint="eastAsia" w:ascii="宋体" w:hAnsi="宋体" w:cs="宋体"/>
          <w:sz w:val="24"/>
        </w:rPr>
        <w:t>1.4.2甲方在政府采购合同中约定预付款，预付款比例为合同金额的40％；项目分年安排预算的，每年预付款比例为项目年度计划支付资金额的40％。采购项目实施以人工投入为主的，可适当降低预付款比例，但不低于20%。甲方可以根据项目特点、乙方信用等实际情况提高预付款比例，最高预付比例可以达到70%。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宋体" w:hAnsi="宋体" w:cs="宋体"/>
          <w:sz w:val="24"/>
        </w:rPr>
      </w:pPr>
      <w:r>
        <w:rPr>
          <w:rFonts w:hint="eastAsia" w:ascii="宋体" w:hAnsi="宋体" w:cs="宋体"/>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宋体" w:hAnsi="宋体" w:cs="宋体"/>
          <w:sz w:val="24"/>
        </w:rPr>
      </w:pPr>
      <w:r>
        <w:rPr>
          <w:rFonts w:hint="eastAsia" w:ascii="宋体" w:hAnsi="宋体" w:cs="宋体"/>
          <w:sz w:val="24"/>
        </w:rPr>
        <w:t>1.4.4资金支付的方式、时间和条件详见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outlineLvl w:val="0"/>
        <w:rPr>
          <w:rFonts w:ascii="宋体" w:hAnsi="宋体" w:cs="宋体"/>
          <w:sz w:val="24"/>
        </w:rPr>
      </w:pPr>
      <w:r>
        <w:rPr>
          <w:rFonts w:hint="eastAsia" w:ascii="宋体" w:hAnsi="宋体" w:cs="宋体"/>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ascii="宋体" w:hAnsi="宋体" w:cs="宋体"/>
          <w:b/>
          <w:sz w:val="24"/>
        </w:rPr>
      </w:pPr>
      <w:bookmarkStart w:id="418" w:name="_Toc2846"/>
      <w:bookmarkStart w:id="419" w:name="_Toc19304"/>
      <w:bookmarkStart w:id="420" w:name="_Toc32071"/>
      <w:r>
        <w:rPr>
          <w:rFonts w:hint="eastAsia" w:ascii="宋体" w:hAnsi="宋体" w:cs="宋体"/>
          <w:b/>
          <w:sz w:val="24"/>
        </w:rPr>
        <w:t>1.5 货物交付期限、地点和方式</w:t>
      </w:r>
      <w:bookmarkEnd w:id="418"/>
      <w:bookmarkEnd w:id="419"/>
      <w:bookmarkEnd w:id="420"/>
    </w:p>
    <w:p>
      <w:pPr>
        <w:spacing w:line="560" w:lineRule="exact"/>
        <w:ind w:firstLine="480" w:firstLineChars="200"/>
        <w:rPr>
          <w:rFonts w:ascii="宋体" w:hAnsi="宋体" w:cs="宋体"/>
          <w:sz w:val="24"/>
          <w:u w:val="single"/>
        </w:rPr>
      </w:pPr>
      <w:r>
        <w:rPr>
          <w:rFonts w:hint="eastAsia" w:ascii="宋体" w:hAnsi="宋体" w:cs="宋体"/>
          <w:sz w:val="24"/>
        </w:rPr>
        <w:t>1.5.1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21" w:name="_Toc21423"/>
      <w:bookmarkStart w:id="422" w:name="_Toc19554"/>
      <w:bookmarkStart w:id="423" w:name="_Toc27250"/>
      <w:r>
        <w:rPr>
          <w:rFonts w:hint="eastAsia" w:ascii="宋体" w:hAnsi="宋体" w:cs="宋体"/>
          <w:b/>
          <w:sz w:val="24"/>
        </w:rPr>
        <w:t>1.6 违约责任</w:t>
      </w:r>
      <w:bookmarkEnd w:id="421"/>
      <w:bookmarkEnd w:id="422"/>
      <w:bookmarkEnd w:id="423"/>
    </w:p>
    <w:p>
      <w:pPr>
        <w:spacing w:line="560" w:lineRule="exact"/>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1.6.2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1.6.7违约责任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424" w:name="_Toc15583"/>
      <w:bookmarkStart w:id="425" w:name="_Toc28375"/>
      <w:bookmarkStart w:id="426" w:name="_Toc16021"/>
      <w:r>
        <w:rPr>
          <w:rFonts w:hint="eastAsia" w:ascii="宋体" w:hAnsi="宋体" w:cs="宋体"/>
          <w:b/>
          <w:sz w:val="24"/>
        </w:rPr>
        <w:t>1.7 合同争议的解决</w:t>
      </w:r>
      <w:bookmarkEnd w:id="424"/>
      <w:bookmarkEnd w:id="425"/>
      <w:bookmarkEnd w:id="426"/>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合同专用条款  </w:t>
      </w:r>
      <w:r>
        <w:rPr>
          <w:rFonts w:hint="eastAsia" w:ascii="宋体" w:hAnsi="宋体" w:cs="宋体"/>
          <w:sz w:val="24"/>
        </w:rPr>
        <w:t>条款规定的方式解决：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600" w:firstLineChars="250"/>
        <w:rPr>
          <w:rFonts w:ascii="宋体" w:hAnsi="宋体" w:cs="宋体"/>
          <w:sz w:val="24"/>
        </w:rPr>
      </w:pPr>
      <w:r>
        <w:rPr>
          <w:rFonts w:hint="eastAsia" w:ascii="宋体" w:hAnsi="宋体" w:cs="宋体"/>
          <w:sz w:val="24"/>
        </w:rPr>
        <w:t>1.7.2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427" w:name="_Toc11173"/>
      <w:bookmarkStart w:id="428" w:name="_Toc15322"/>
      <w:bookmarkStart w:id="429" w:name="_Toc7245"/>
      <w:r>
        <w:rPr>
          <w:rFonts w:hint="eastAsia" w:ascii="宋体" w:hAnsi="宋体" w:cs="宋体"/>
          <w:b/>
          <w:sz w:val="24"/>
        </w:rPr>
        <w:t>1.8 合同生效</w:t>
      </w:r>
      <w:bookmarkEnd w:id="427"/>
      <w:bookmarkEnd w:id="428"/>
      <w:bookmarkEnd w:id="429"/>
    </w:p>
    <w:p>
      <w:pPr>
        <w:spacing w:line="560" w:lineRule="exact"/>
        <w:ind w:firstLine="480" w:firstLineChars="200"/>
        <w:rPr>
          <w:rFonts w:ascii="宋体" w:hAnsi="宋体" w:cs="宋体"/>
          <w:b/>
          <w:sz w:val="24"/>
        </w:rPr>
      </w:pPr>
      <w:r>
        <w:rPr>
          <w:rFonts w:hint="eastAsia" w:ascii="宋体" w:hAnsi="宋体" w:cs="宋体"/>
          <w:sz w:val="24"/>
        </w:rPr>
        <w:t>本合同自双方当事人盖章或者签字时生效。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pPr>
        <w:widowControl/>
        <w:spacing w:line="560" w:lineRule="exact"/>
        <w:jc w:val="left"/>
        <w:rPr>
          <w:rFonts w:ascii="宋体" w:hAnsi="宋体" w:cs="宋体"/>
          <w:b/>
          <w:sz w:val="24"/>
        </w:rPr>
      </w:pPr>
      <w:bookmarkStart w:id="430" w:name="_Toc331685783"/>
    </w:p>
    <w:p>
      <w:pPr>
        <w:spacing w:line="360" w:lineRule="auto"/>
        <w:rPr>
          <w:rFonts w:ascii="宋体" w:hAnsi="宋体"/>
          <w:sz w:val="24"/>
        </w:rPr>
      </w:pPr>
      <w:r>
        <w:rPr>
          <w:rFonts w:hint="eastAsia" w:ascii="宋体" w:hAnsi="宋体"/>
          <w:sz w:val="24"/>
        </w:rPr>
        <w:t>鉴证方（盖章）：浙江省建设工程设备招标有限公司</w:t>
      </w:r>
    </w:p>
    <w:p>
      <w:pPr>
        <w:spacing w:line="360" w:lineRule="auto"/>
        <w:rPr>
          <w:rFonts w:ascii="宋体" w:hAnsi="宋体"/>
          <w:sz w:val="24"/>
        </w:rPr>
      </w:pPr>
      <w:r>
        <w:rPr>
          <w:rFonts w:hint="eastAsia" w:ascii="宋体" w:hAnsi="宋体"/>
          <w:sz w:val="24"/>
        </w:rPr>
        <w:t>法定代表人或受委托人（签字）：</w:t>
      </w:r>
    </w:p>
    <w:p>
      <w:pPr>
        <w:spacing w:line="360" w:lineRule="auto"/>
        <w:rPr>
          <w:rFonts w:ascii="宋体" w:hAnsi="宋体"/>
          <w:sz w:val="24"/>
        </w:rPr>
      </w:pPr>
      <w:r>
        <w:rPr>
          <w:rFonts w:hint="eastAsia" w:ascii="宋体" w:hAnsi="宋体"/>
          <w:sz w:val="24"/>
        </w:rPr>
        <w:t>地址：浙江省杭州市环站东路97号云峰大厦1座601</w:t>
      </w:r>
    </w:p>
    <w:p>
      <w:pPr>
        <w:spacing w:line="360" w:lineRule="auto"/>
        <w:rPr>
          <w:rFonts w:ascii="宋体" w:hAnsi="宋体"/>
          <w:sz w:val="24"/>
        </w:rPr>
      </w:pPr>
      <w:r>
        <w:rPr>
          <w:rFonts w:hint="eastAsia" w:ascii="宋体" w:hAnsi="宋体"/>
          <w:sz w:val="24"/>
        </w:rPr>
        <w:t>电话：13777418087</w:t>
      </w:r>
    </w:p>
    <w:p>
      <w:pPr>
        <w:spacing w:line="360" w:lineRule="auto"/>
        <w:rPr>
          <w:rFonts w:ascii="宋体" w:hAnsi="宋体"/>
          <w:sz w:val="24"/>
        </w:rPr>
      </w:pPr>
      <w:r>
        <w:rPr>
          <w:rFonts w:hint="eastAsia" w:ascii="宋体" w:hAnsi="宋体"/>
          <w:sz w:val="24"/>
        </w:rPr>
        <w:t>传真：0571-87631300</w:t>
      </w:r>
    </w:p>
    <w:p>
      <w:pPr>
        <w:spacing w:line="460" w:lineRule="exact"/>
        <w:ind w:firstLine="5760" w:firstLineChars="2400"/>
        <w:contextualSpacing/>
        <w:rPr>
          <w:rFonts w:ascii="宋体" w:hAnsi="宋体" w:cs="宋体"/>
          <w:sz w:val="24"/>
        </w:rPr>
      </w:pPr>
      <w:r>
        <w:rPr>
          <w:rFonts w:hint="eastAsia" w:ascii="宋体" w:hAnsi="宋体" w:cs="宋体"/>
          <w:sz w:val="24"/>
        </w:rPr>
        <w:t>签约地点：</w:t>
      </w:r>
    </w:p>
    <w:p>
      <w:pPr>
        <w:spacing w:line="460" w:lineRule="exact"/>
        <w:ind w:firstLine="480" w:firstLineChars="200"/>
        <w:contextualSpacing/>
        <w:rPr>
          <w:rFonts w:ascii="宋体" w:hAnsi="宋体" w:cs="宋体"/>
          <w:sz w:val="24"/>
        </w:rPr>
      </w:pPr>
      <w:r>
        <w:rPr>
          <w:rFonts w:hint="eastAsia" w:ascii="宋体" w:hAnsi="宋体" w:cs="宋体"/>
          <w:sz w:val="24"/>
        </w:rPr>
        <w:t xml:space="preserve">                                            签约日期：   年   月    日</w:t>
      </w:r>
    </w:p>
    <w:p>
      <w:pPr>
        <w:pStyle w:val="4"/>
        <w:rPr>
          <w:rFonts w:ascii="宋体" w:hAnsi="宋体" w:eastAsia="宋体" w:cs="宋体"/>
          <w:sz w:val="24"/>
        </w:rPr>
      </w:pPr>
    </w:p>
    <w:p/>
    <w:p>
      <w:pPr>
        <w:pStyle w:val="706"/>
        <w:spacing w:line="560" w:lineRule="exact"/>
        <w:ind w:firstLine="482"/>
        <w:jc w:val="center"/>
        <w:rPr>
          <w:rFonts w:ascii="宋体" w:hAnsi="宋体" w:cs="宋体"/>
          <w:b/>
          <w:szCs w:val="24"/>
        </w:rPr>
      </w:pPr>
      <w:r>
        <w:rPr>
          <w:rFonts w:hint="eastAsia" w:ascii="宋体" w:hAnsi="宋体" w:cs="宋体"/>
          <w:b/>
          <w:szCs w:val="24"/>
        </w:rPr>
        <w:t>第二部分 合同一般条款</w:t>
      </w:r>
      <w:bookmarkEnd w:id="430"/>
    </w:p>
    <w:p>
      <w:pPr>
        <w:spacing w:line="560" w:lineRule="exact"/>
        <w:ind w:firstLine="482" w:firstLineChars="200"/>
        <w:outlineLvl w:val="0"/>
        <w:rPr>
          <w:rFonts w:ascii="宋体" w:hAnsi="宋体" w:cs="宋体"/>
          <w:b/>
          <w:sz w:val="24"/>
        </w:rPr>
      </w:pPr>
      <w:bookmarkStart w:id="431" w:name="_Ref467378404"/>
      <w:bookmarkStart w:id="432" w:name="_Toc16917"/>
      <w:bookmarkStart w:id="433" w:name="_Toc279701240"/>
      <w:bookmarkStart w:id="434" w:name="_Ref467379109"/>
      <w:bookmarkStart w:id="435" w:name="_Toc487900349"/>
      <w:bookmarkStart w:id="436" w:name="_Ref467379195"/>
      <w:bookmarkStart w:id="437" w:name="_Ref467378463"/>
      <w:bookmarkStart w:id="438" w:name="_Toc28763"/>
      <w:bookmarkStart w:id="439" w:name="_Toc19614"/>
      <w:bookmarkStart w:id="440" w:name="_Ref467379101"/>
      <w:bookmarkStart w:id="441" w:name="_Ref467379094"/>
      <w:bookmarkStart w:id="442" w:name="_Ref467379214"/>
      <w:bookmarkStart w:id="443" w:name="_Ref467379225"/>
      <w:bookmarkStart w:id="444" w:name="_Ref467379205"/>
      <w:bookmarkStart w:id="445" w:name="_Toc259093669"/>
      <w:bookmarkStart w:id="446" w:name="_Ref467378499"/>
      <w:r>
        <w:rPr>
          <w:rFonts w:hint="eastAsia" w:ascii="宋体" w:hAnsi="宋体" w:cs="宋体"/>
          <w:b/>
          <w:sz w:val="24"/>
        </w:rPr>
        <w:t>2.1 定义</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“合同价”系指根据合同约定，中标供应商在完全履行合同义务后，采购人应支付给中标供应商的价格。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447" w:name="_Ref467378840"/>
      <w:r>
        <w:rPr>
          <w:rFonts w:hint="eastAsia" w:ascii="宋体" w:hAnsi="宋体" w:cs="宋体"/>
          <w:sz w:val="24"/>
        </w:rPr>
        <w:t>2.1.4 “甲方”系指与中标供应商签署合同的采购人</w:t>
      </w:r>
      <w:bookmarkEnd w:id="447"/>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448" w:name="_Ref467379400"/>
      <w:r>
        <w:rPr>
          <w:rFonts w:hint="eastAsia" w:ascii="宋体" w:hAnsi="宋体" w:cs="宋体"/>
          <w:sz w:val="24"/>
        </w:rPr>
        <w:t>2.1.5 “乙方”系指根据合同约定交付货物的中标供应商</w:t>
      </w:r>
      <w:bookmarkEnd w:id="448"/>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449" w:name="_Ref467379436"/>
      <w:r>
        <w:rPr>
          <w:rFonts w:hint="eastAsia" w:ascii="宋体" w:hAnsi="宋体" w:cs="宋体"/>
          <w:sz w:val="24"/>
        </w:rPr>
        <w:t>2.1.6 “现场”系指合同约定货物将要运至或者安装的地点。</w:t>
      </w:r>
      <w:bookmarkEnd w:id="449"/>
    </w:p>
    <w:p>
      <w:pPr>
        <w:spacing w:line="560" w:lineRule="exact"/>
        <w:ind w:firstLine="482" w:firstLineChars="200"/>
        <w:outlineLvl w:val="0"/>
        <w:rPr>
          <w:rFonts w:ascii="宋体" w:hAnsi="宋体" w:cs="宋体"/>
          <w:b/>
          <w:sz w:val="24"/>
        </w:rPr>
      </w:pPr>
      <w:bookmarkStart w:id="450" w:name="_Toc279701241"/>
      <w:bookmarkStart w:id="451" w:name="_Toc32504"/>
      <w:bookmarkStart w:id="452" w:name="_Toc259093670"/>
      <w:bookmarkStart w:id="453" w:name="_Toc27635"/>
      <w:bookmarkStart w:id="454" w:name="_Toc13336"/>
      <w:bookmarkStart w:id="455" w:name="_Toc487900350"/>
      <w:r>
        <w:rPr>
          <w:rFonts w:hint="eastAsia" w:ascii="宋体" w:hAnsi="宋体" w:cs="宋体"/>
          <w:b/>
          <w:sz w:val="24"/>
        </w:rPr>
        <w:t>2.2 技术规范</w:t>
      </w:r>
      <w:bookmarkEnd w:id="450"/>
      <w:bookmarkEnd w:id="451"/>
      <w:bookmarkEnd w:id="452"/>
      <w:bookmarkEnd w:id="453"/>
      <w:bookmarkEnd w:id="454"/>
      <w:bookmarkEnd w:id="455"/>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456" w:name="_Toc9829"/>
      <w:bookmarkStart w:id="457" w:name="_Toc279701242"/>
      <w:bookmarkStart w:id="458" w:name="_Toc259093671"/>
      <w:bookmarkStart w:id="459" w:name="_Toc31634"/>
      <w:bookmarkStart w:id="460" w:name="_Toc27853"/>
      <w:bookmarkStart w:id="461" w:name="_Toc487900351"/>
      <w:r>
        <w:rPr>
          <w:rFonts w:hint="eastAsia" w:ascii="宋体" w:hAnsi="宋体" w:cs="宋体"/>
          <w:b/>
          <w:sz w:val="24"/>
        </w:rPr>
        <w:t>2.3 知识产权</w:t>
      </w:r>
      <w:bookmarkEnd w:id="456"/>
      <w:bookmarkEnd w:id="457"/>
      <w:bookmarkEnd w:id="458"/>
      <w:bookmarkEnd w:id="459"/>
      <w:bookmarkEnd w:id="460"/>
      <w:bookmarkEnd w:id="461"/>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62" w:name="_Toc4194"/>
      <w:bookmarkStart w:id="463" w:name="_Toc29149"/>
      <w:bookmarkStart w:id="464" w:name="_Toc11932"/>
      <w:r>
        <w:rPr>
          <w:rFonts w:hint="eastAsia" w:ascii="宋体" w:hAnsi="宋体" w:cs="宋体"/>
          <w:b/>
          <w:sz w:val="24"/>
        </w:rPr>
        <w:t>2.4 包装和装运</w:t>
      </w:r>
      <w:bookmarkEnd w:id="462"/>
      <w:bookmarkEnd w:id="463"/>
      <w:bookmarkEnd w:id="464"/>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2.4.2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65" w:name="_Ref467378541"/>
      <w:bookmarkStart w:id="466" w:name="_Toc279701245"/>
      <w:bookmarkStart w:id="467" w:name="_Toc259093674"/>
      <w:bookmarkStart w:id="468" w:name="_Toc487900354"/>
      <w:bookmarkStart w:id="469" w:name="_Ref467379536"/>
      <w:bookmarkStart w:id="470" w:name="_Ref467379527"/>
      <w:bookmarkStart w:id="471" w:name="_Ref467378591"/>
      <w:bookmarkStart w:id="472" w:name="_Ref467379542"/>
      <w:bookmarkStart w:id="473" w:name="_Toc30272"/>
      <w:bookmarkStart w:id="474" w:name="_Toc19074"/>
      <w:bookmarkStart w:id="475" w:name="_Toc26182"/>
      <w:r>
        <w:rPr>
          <w:rFonts w:hint="eastAsia" w:ascii="宋体" w:hAnsi="宋体" w:cs="宋体"/>
          <w:b/>
          <w:sz w:val="24"/>
        </w:rPr>
        <w:t>2.</w:t>
      </w:r>
      <w:bookmarkEnd w:id="465"/>
      <w:bookmarkEnd w:id="466"/>
      <w:bookmarkEnd w:id="467"/>
      <w:bookmarkEnd w:id="468"/>
      <w:bookmarkEnd w:id="469"/>
      <w:bookmarkEnd w:id="470"/>
      <w:bookmarkEnd w:id="471"/>
      <w:bookmarkEnd w:id="472"/>
      <w:r>
        <w:rPr>
          <w:rFonts w:hint="eastAsia" w:ascii="宋体" w:hAnsi="宋体" w:cs="宋体"/>
          <w:b/>
          <w:sz w:val="24"/>
        </w:rPr>
        <w:t>5 履约检查和问题反馈</w:t>
      </w:r>
      <w:bookmarkEnd w:id="473"/>
      <w:bookmarkEnd w:id="474"/>
      <w:bookmarkEnd w:id="475"/>
    </w:p>
    <w:p>
      <w:pPr>
        <w:spacing w:line="560" w:lineRule="exact"/>
        <w:ind w:firstLine="480" w:firstLineChars="200"/>
        <w:rPr>
          <w:rFonts w:ascii="宋体" w:hAnsi="宋体" w:cs="宋体"/>
          <w:sz w:val="24"/>
        </w:rPr>
      </w:pPr>
      <w:bookmarkStart w:id="476" w:name="_Ref467379657"/>
      <w:r>
        <w:rPr>
          <w:rFonts w:hint="eastAsia" w:ascii="宋体" w:hAnsi="宋体" w:cs="宋体"/>
          <w:sz w:val="24"/>
        </w:rPr>
        <w:t>2.5.1</w:t>
      </w:r>
      <w:bookmarkEnd w:id="476"/>
      <w:bookmarkStart w:id="477" w:name="_Toc186431854"/>
      <w:bookmarkStart w:id="478" w:name="_Toc259093676"/>
      <w:bookmarkStart w:id="479" w:name="_Ref467379807"/>
      <w:bookmarkStart w:id="480" w:name="_Toc279701247"/>
      <w:bookmarkStart w:id="481" w:name="_Toc487900357"/>
      <w:bookmarkStart w:id="482" w:name="_Ref467379793"/>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77"/>
      <w:bookmarkStart w:id="483" w:name="_Toc186431855"/>
      <w:r>
        <w:rPr>
          <w:rFonts w:hint="eastAsia" w:ascii="宋体" w:hAnsi="宋体" w:cs="宋体"/>
          <w:sz w:val="24"/>
        </w:rPr>
        <w:t>。</w:t>
      </w:r>
    </w:p>
    <w:bookmarkEnd w:id="478"/>
    <w:bookmarkEnd w:id="479"/>
    <w:bookmarkEnd w:id="480"/>
    <w:bookmarkEnd w:id="481"/>
    <w:bookmarkEnd w:id="482"/>
    <w:bookmarkEnd w:id="483"/>
    <w:p>
      <w:pPr>
        <w:spacing w:line="560" w:lineRule="exact"/>
        <w:ind w:firstLine="482" w:firstLineChars="200"/>
        <w:outlineLvl w:val="0"/>
        <w:rPr>
          <w:rFonts w:ascii="宋体" w:hAnsi="宋体" w:cs="宋体"/>
          <w:b/>
          <w:sz w:val="24"/>
        </w:rPr>
      </w:pPr>
      <w:bookmarkStart w:id="484" w:name="_Ref467379852"/>
      <w:bookmarkStart w:id="485" w:name="_Toc259093677"/>
      <w:bookmarkStart w:id="486" w:name="_Toc487900358"/>
      <w:bookmarkStart w:id="487" w:name="_Ref467379923"/>
      <w:bookmarkStart w:id="488" w:name="_Toc279701248"/>
      <w:bookmarkStart w:id="489" w:name="_Ref467379863"/>
      <w:bookmarkStart w:id="490" w:name="_Toc774"/>
      <w:bookmarkStart w:id="491" w:name="_Toc3225"/>
      <w:bookmarkStart w:id="492" w:name="_Toc16110"/>
      <w:r>
        <w:rPr>
          <w:rFonts w:hint="eastAsia" w:ascii="宋体" w:hAnsi="宋体" w:cs="宋体"/>
          <w:b/>
          <w:sz w:val="24"/>
        </w:rPr>
        <w:t>2.6 技术资料</w:t>
      </w:r>
      <w:bookmarkEnd w:id="484"/>
      <w:bookmarkEnd w:id="485"/>
      <w:bookmarkEnd w:id="486"/>
      <w:bookmarkEnd w:id="487"/>
      <w:bookmarkEnd w:id="488"/>
      <w:bookmarkEnd w:id="489"/>
      <w:r>
        <w:rPr>
          <w:rFonts w:hint="eastAsia" w:ascii="宋体" w:hAnsi="宋体" w:cs="宋体"/>
          <w:b/>
          <w:sz w:val="24"/>
        </w:rPr>
        <w:t>和保密义务</w:t>
      </w:r>
      <w:bookmarkEnd w:id="490"/>
      <w:bookmarkEnd w:id="491"/>
      <w:bookmarkEnd w:id="492"/>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493" w:name="_Toc7860"/>
      <w:r>
        <w:rPr>
          <w:rFonts w:hint="eastAsia" w:ascii="宋体" w:hAnsi="宋体" w:cs="宋体"/>
          <w:b/>
          <w:sz w:val="24"/>
        </w:rPr>
        <w:t>2.7 质量保证</w:t>
      </w:r>
      <w:bookmarkEnd w:id="493"/>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494" w:name="_Toc17244"/>
      <w:bookmarkStart w:id="495" w:name="_Toc487900362"/>
      <w:bookmarkStart w:id="496" w:name="_Toc259093681"/>
      <w:bookmarkStart w:id="497" w:name="_Toc279701252"/>
      <w:r>
        <w:rPr>
          <w:rFonts w:hint="eastAsia" w:ascii="宋体" w:hAnsi="宋体" w:cs="宋体"/>
          <w:b/>
          <w:sz w:val="24"/>
        </w:rPr>
        <w:t>2.8 货物的风险负担</w:t>
      </w:r>
      <w:bookmarkEnd w:id="494"/>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8" w:name="_Toc14055"/>
      <w:r>
        <w:rPr>
          <w:rFonts w:hint="eastAsia" w:ascii="宋体" w:hAnsi="宋体" w:cs="宋体"/>
          <w:b/>
          <w:sz w:val="24"/>
        </w:rPr>
        <w:t>2.9 延迟交货</w:t>
      </w:r>
      <w:bookmarkEnd w:id="495"/>
      <w:bookmarkEnd w:id="496"/>
      <w:bookmarkEnd w:id="497"/>
      <w:bookmarkEnd w:id="498"/>
    </w:p>
    <w:p>
      <w:pPr>
        <w:spacing w:line="560" w:lineRule="exact"/>
        <w:ind w:firstLine="480" w:firstLineChars="200"/>
        <w:rPr>
          <w:rFonts w:ascii="宋体" w:hAnsi="宋体" w:cs="宋体"/>
          <w:sz w:val="24"/>
        </w:rPr>
      </w:pPr>
      <w:r>
        <w:rPr>
          <w:rFonts w:hint="eastAsia" w:ascii="宋体" w:hAnsi="宋体" w:cs="宋体"/>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499" w:name="_Toc7502"/>
      <w:bookmarkStart w:id="500" w:name="_Ref467378121"/>
      <w:bookmarkStart w:id="501" w:name="_Toc259093683"/>
      <w:bookmarkStart w:id="502" w:name="_Toc279701254"/>
      <w:bookmarkStart w:id="503" w:name="_Toc487900364"/>
      <w:r>
        <w:rPr>
          <w:rFonts w:hint="eastAsia" w:ascii="宋体" w:hAnsi="宋体" w:cs="宋体"/>
          <w:b/>
          <w:sz w:val="24"/>
        </w:rPr>
        <w:t>2.10 合同变更</w:t>
      </w:r>
      <w:bookmarkEnd w:id="499"/>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504" w:name="_Toc487900369"/>
      <w:bookmarkStart w:id="505" w:name="_Toc279701259"/>
      <w:bookmarkStart w:id="506" w:name="_Toc259093688"/>
    </w:p>
    <w:p>
      <w:pPr>
        <w:spacing w:line="560" w:lineRule="exact"/>
        <w:ind w:firstLine="482" w:firstLineChars="200"/>
        <w:outlineLvl w:val="0"/>
        <w:rPr>
          <w:rFonts w:ascii="宋体" w:hAnsi="宋体" w:cs="宋体"/>
          <w:b/>
          <w:sz w:val="24"/>
        </w:rPr>
      </w:pPr>
      <w:bookmarkStart w:id="507" w:name="_Toc15237"/>
      <w:bookmarkStart w:id="508" w:name="_Toc22955"/>
      <w:bookmarkStart w:id="509" w:name="_Toc10366"/>
      <w:r>
        <w:rPr>
          <w:rFonts w:hint="eastAsia" w:ascii="宋体" w:hAnsi="宋体" w:cs="宋体"/>
          <w:b/>
          <w:sz w:val="24"/>
        </w:rPr>
        <w:t>2.11 合同转让</w:t>
      </w:r>
      <w:bookmarkEnd w:id="504"/>
      <w:bookmarkEnd w:id="505"/>
      <w:bookmarkEnd w:id="506"/>
      <w:r>
        <w:rPr>
          <w:rFonts w:hint="eastAsia" w:ascii="宋体" w:hAnsi="宋体" w:cs="宋体"/>
          <w:b/>
          <w:sz w:val="24"/>
        </w:rPr>
        <w:t>和分包</w:t>
      </w:r>
      <w:bookmarkEnd w:id="507"/>
      <w:bookmarkEnd w:id="508"/>
      <w:bookmarkEnd w:id="509"/>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510" w:name="_Toc16508"/>
      <w:bookmarkStart w:id="511" w:name="_Toc14066"/>
      <w:bookmarkStart w:id="512" w:name="_Toc13566"/>
      <w:r>
        <w:rPr>
          <w:rFonts w:hint="eastAsia" w:ascii="宋体" w:hAnsi="宋体" w:cs="宋体"/>
          <w:b/>
          <w:sz w:val="24"/>
        </w:rPr>
        <w:t>2.12 不可抗力</w:t>
      </w:r>
      <w:bookmarkEnd w:id="510"/>
      <w:bookmarkEnd w:id="511"/>
      <w:bookmarkEnd w:id="512"/>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513" w:name="_Toc259093684"/>
      <w:bookmarkStart w:id="514" w:name="_Toc487900365"/>
      <w:bookmarkStart w:id="515" w:name="_Toc30676"/>
      <w:bookmarkStart w:id="516" w:name="_Toc689"/>
      <w:bookmarkStart w:id="517" w:name="_Toc6969"/>
      <w:bookmarkStart w:id="518" w:name="_Toc279701255"/>
      <w:r>
        <w:rPr>
          <w:rFonts w:hint="eastAsia" w:ascii="宋体" w:hAnsi="宋体" w:cs="宋体"/>
          <w:b/>
          <w:sz w:val="24"/>
        </w:rPr>
        <w:t>2.13 税费</w:t>
      </w:r>
      <w:bookmarkEnd w:id="513"/>
      <w:bookmarkEnd w:id="514"/>
      <w:bookmarkEnd w:id="515"/>
      <w:bookmarkEnd w:id="516"/>
      <w:bookmarkEnd w:id="517"/>
      <w:bookmarkEnd w:id="518"/>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519" w:name="_Toc259093687"/>
      <w:bookmarkStart w:id="520" w:name="_Toc8298"/>
      <w:bookmarkStart w:id="521" w:name="_Toc279701258"/>
      <w:bookmarkStart w:id="522" w:name="_Toc7102"/>
      <w:bookmarkStart w:id="523" w:name="_Toc16959"/>
      <w:bookmarkStart w:id="524" w:name="_Toc487900368"/>
      <w:r>
        <w:rPr>
          <w:rFonts w:hint="eastAsia" w:ascii="宋体" w:hAnsi="宋体" w:cs="宋体"/>
          <w:b/>
          <w:sz w:val="24"/>
        </w:rPr>
        <w:t>2.14乙方破产</w:t>
      </w:r>
      <w:bookmarkEnd w:id="519"/>
      <w:bookmarkEnd w:id="520"/>
      <w:bookmarkEnd w:id="521"/>
      <w:bookmarkEnd w:id="522"/>
      <w:bookmarkEnd w:id="523"/>
      <w:bookmarkEnd w:id="524"/>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525" w:name="_Toc29333"/>
      <w:bookmarkStart w:id="526" w:name="_Toc15387"/>
      <w:bookmarkStart w:id="527" w:name="_Toc6134"/>
      <w:r>
        <w:rPr>
          <w:rFonts w:hint="eastAsia" w:ascii="宋体" w:hAnsi="宋体" w:cs="宋体"/>
          <w:b/>
          <w:sz w:val="24"/>
        </w:rPr>
        <w:t>2.15 合同中止、终止</w:t>
      </w:r>
      <w:bookmarkEnd w:id="525"/>
      <w:bookmarkEnd w:id="526"/>
      <w:bookmarkEnd w:id="527"/>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528" w:name="_Toc1125"/>
      <w:bookmarkStart w:id="529" w:name="_Toc6596"/>
      <w:bookmarkStart w:id="530" w:name="_Toc14563"/>
      <w:r>
        <w:rPr>
          <w:rFonts w:hint="eastAsia" w:ascii="宋体" w:hAnsi="宋体" w:cs="宋体"/>
          <w:b/>
          <w:sz w:val="24"/>
        </w:rPr>
        <w:t>2.16检验和验收</w:t>
      </w:r>
      <w:bookmarkEnd w:id="528"/>
      <w:bookmarkEnd w:id="529"/>
      <w:bookmarkEnd w:id="530"/>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500"/>
    <w:bookmarkEnd w:id="501"/>
    <w:bookmarkEnd w:id="502"/>
    <w:bookmarkEnd w:id="503"/>
    <w:p>
      <w:pPr>
        <w:spacing w:line="560" w:lineRule="exact"/>
        <w:ind w:firstLine="482" w:firstLineChars="200"/>
        <w:outlineLvl w:val="0"/>
        <w:rPr>
          <w:rFonts w:ascii="宋体" w:hAnsi="宋体" w:cs="宋体"/>
          <w:b/>
          <w:sz w:val="24"/>
        </w:rPr>
      </w:pPr>
      <w:bookmarkStart w:id="531" w:name="_Toc259093690"/>
      <w:bookmarkStart w:id="532" w:name="_Toc279701261"/>
      <w:bookmarkStart w:id="533" w:name="_Toc487900371"/>
      <w:bookmarkStart w:id="534" w:name="_Toc25182"/>
      <w:bookmarkStart w:id="535" w:name="_Toc19604"/>
      <w:bookmarkStart w:id="536" w:name="_Toc11284"/>
      <w:r>
        <w:rPr>
          <w:rFonts w:hint="eastAsia" w:ascii="宋体" w:hAnsi="宋体" w:cs="宋体"/>
          <w:b/>
          <w:sz w:val="24"/>
        </w:rPr>
        <w:t>2.17 通知</w:t>
      </w:r>
      <w:bookmarkEnd w:id="531"/>
      <w:bookmarkEnd w:id="532"/>
      <w:bookmarkEnd w:id="533"/>
      <w:r>
        <w:rPr>
          <w:rFonts w:hint="eastAsia" w:ascii="宋体" w:hAnsi="宋体" w:cs="宋体"/>
          <w:b/>
          <w:sz w:val="24"/>
        </w:rPr>
        <w:t>和送达</w:t>
      </w:r>
      <w:bookmarkEnd w:id="534"/>
      <w:bookmarkEnd w:id="535"/>
      <w:bookmarkEnd w:id="536"/>
    </w:p>
    <w:p>
      <w:pPr>
        <w:spacing w:line="560" w:lineRule="exact"/>
        <w:ind w:firstLine="480" w:firstLineChars="200"/>
        <w:rPr>
          <w:rFonts w:ascii="宋体" w:hAnsi="宋体" w:cs="宋体"/>
          <w:sz w:val="24"/>
        </w:rPr>
      </w:pPr>
      <w:bookmarkStart w:id="537" w:name="_Toc6698"/>
      <w:bookmarkStart w:id="538" w:name="_Toc3135"/>
      <w:bookmarkStart w:id="539" w:name="_Toc487900372"/>
      <w:bookmarkStart w:id="540" w:name="_Toc279701262"/>
      <w:bookmarkStart w:id="541" w:name="_Toc259093691"/>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37"/>
      <w:bookmarkEnd w:id="538"/>
    </w:p>
    <w:p>
      <w:pPr>
        <w:spacing w:line="560" w:lineRule="exact"/>
        <w:ind w:firstLine="480" w:firstLineChars="200"/>
        <w:rPr>
          <w:rFonts w:ascii="宋体" w:hAnsi="宋体" w:cs="宋体"/>
          <w:sz w:val="24"/>
        </w:rPr>
      </w:pPr>
      <w:bookmarkStart w:id="542" w:name="_Toc23128"/>
      <w:bookmarkStart w:id="543" w:name="_Toc23294"/>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42"/>
      <w:bookmarkEnd w:id="543"/>
    </w:p>
    <w:p>
      <w:pPr>
        <w:spacing w:line="560" w:lineRule="exact"/>
        <w:ind w:firstLine="482" w:firstLineChars="200"/>
        <w:outlineLvl w:val="0"/>
        <w:rPr>
          <w:rFonts w:ascii="宋体" w:hAnsi="宋体" w:cs="宋体"/>
          <w:b/>
          <w:sz w:val="24"/>
        </w:rPr>
      </w:pPr>
      <w:bookmarkStart w:id="544" w:name="_Toc30599"/>
      <w:bookmarkStart w:id="545" w:name="_Toc4355"/>
      <w:bookmarkStart w:id="546" w:name="_Toc18540"/>
      <w:r>
        <w:rPr>
          <w:rFonts w:hint="eastAsia" w:ascii="宋体" w:hAnsi="宋体" w:cs="宋体"/>
          <w:b/>
          <w:sz w:val="24"/>
        </w:rPr>
        <w:t>2.18 计量单位</w:t>
      </w:r>
      <w:bookmarkEnd w:id="539"/>
      <w:bookmarkEnd w:id="540"/>
      <w:bookmarkEnd w:id="541"/>
      <w:bookmarkEnd w:id="544"/>
      <w:bookmarkEnd w:id="545"/>
      <w:bookmarkEnd w:id="546"/>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547" w:name="_Toc259093692"/>
      <w:bookmarkStart w:id="548" w:name="_Toc10330"/>
      <w:bookmarkStart w:id="549" w:name="_Toc279701263"/>
      <w:bookmarkStart w:id="550" w:name="_Toc12773"/>
      <w:bookmarkStart w:id="551" w:name="_Toc18567"/>
      <w:bookmarkStart w:id="552" w:name="_Toc487900373"/>
      <w:r>
        <w:rPr>
          <w:rFonts w:hint="eastAsia" w:ascii="宋体" w:hAnsi="宋体" w:cs="宋体"/>
          <w:b/>
          <w:sz w:val="24"/>
        </w:rPr>
        <w:t>2.19 合同使用的文字和适用的法律</w:t>
      </w:r>
      <w:bookmarkEnd w:id="547"/>
      <w:bookmarkEnd w:id="548"/>
      <w:bookmarkEnd w:id="549"/>
      <w:bookmarkEnd w:id="550"/>
      <w:bookmarkEnd w:id="551"/>
      <w:bookmarkEnd w:id="552"/>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553" w:name="_Toc279701264"/>
      <w:bookmarkStart w:id="554" w:name="_Toc16673"/>
      <w:bookmarkStart w:id="555" w:name="_Toc3148"/>
      <w:bookmarkStart w:id="556" w:name="_Toc12004"/>
      <w:bookmarkStart w:id="557" w:name="_Toc259093693"/>
      <w:bookmarkStart w:id="558" w:name="_Toc487900374"/>
      <w:r>
        <w:rPr>
          <w:rFonts w:hint="eastAsia" w:ascii="宋体" w:hAnsi="宋体" w:cs="宋体"/>
          <w:b/>
          <w:sz w:val="24"/>
        </w:rPr>
        <w:t>2.20 履约保证金</w:t>
      </w:r>
      <w:bookmarkEnd w:id="553"/>
      <w:bookmarkEnd w:id="554"/>
      <w:bookmarkEnd w:id="555"/>
      <w:bookmarkEnd w:id="556"/>
      <w:bookmarkEnd w:id="557"/>
    </w:p>
    <w:p>
      <w:pPr>
        <w:pStyle w:val="967"/>
        <w:spacing w:before="0" w:beforeAutospacing="0" w:after="0" w:afterAutospacing="0" w:line="360" w:lineRule="auto"/>
        <w:ind w:firstLine="420"/>
      </w:pPr>
      <w:r>
        <w:rPr>
          <w:rFonts w:hint="eastAsia"/>
        </w:rPr>
        <w:t>2.20.1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约定的方式，以支票、汇票、本票或者金融机构、担保机构出具的保函等非现金形式，提交不超过合同金额5%的履约保证金；鼓励和支持乙方以银行、保险公司出具的保函形式提供履约保证。</w:t>
      </w:r>
    </w:p>
    <w:p>
      <w:pPr>
        <w:spacing w:line="560" w:lineRule="exact"/>
        <w:ind w:firstLine="480" w:firstLineChars="200"/>
        <w:rPr>
          <w:rFonts w:ascii="宋体" w:hAnsi="宋体" w:cs="宋体"/>
          <w:sz w:val="24"/>
        </w:rPr>
      </w:pPr>
      <w:r>
        <w:rPr>
          <w:rFonts w:hint="eastAsia" w:ascii="宋体" w:hAnsi="宋体" w:cs="宋体"/>
          <w:sz w:val="24"/>
        </w:rPr>
        <w:t>2.20.2  履约保证金在</w:t>
      </w:r>
      <w:r>
        <w:rPr>
          <w:rFonts w:hint="eastAsia" w:ascii="宋体" w:hAnsi="宋体" w:cs="宋体"/>
          <w:b/>
          <w:i/>
          <w:sz w:val="24"/>
          <w:u w:val="single"/>
        </w:rPr>
        <w:t>合同专用条款</w:t>
      </w:r>
      <w:r>
        <w:rPr>
          <w:rFonts w:hint="eastAsia" w:ascii="宋体" w:hAnsi="宋体" w:cs="宋体"/>
          <w:sz w:val="24"/>
        </w:rPr>
        <w:t>约定期间内不予退还。乙方在前述约定期间届满前能履行完合同约定义务事项的，甲方在前述约定期间届满之日起</w:t>
      </w:r>
      <w:r>
        <w:rPr>
          <w:rFonts w:hint="eastAsia" w:ascii="宋体" w:hAnsi="宋体" w:cs="宋体"/>
          <w:sz w:val="24"/>
          <w:u w:val="single"/>
        </w:rPr>
        <w:t xml:space="preserve"> 5 </w:t>
      </w:r>
      <w:r>
        <w:rPr>
          <w:rFonts w:hint="eastAsia" w:ascii="宋体" w:hAnsi="宋体" w:cs="宋体"/>
          <w:sz w:val="24"/>
        </w:rPr>
        <w:t>个工作日内，按</w:t>
      </w:r>
      <w:r>
        <w:rPr>
          <w:rFonts w:hint="eastAsia" w:ascii="宋体" w:hAnsi="宋体" w:cs="宋体"/>
          <w:b/>
          <w:i/>
          <w:sz w:val="24"/>
          <w:u w:val="single"/>
        </w:rPr>
        <w:t>合同专用条款</w:t>
      </w:r>
      <w:r>
        <w:rPr>
          <w:rFonts w:hint="eastAsia" w:ascii="宋体" w:hAnsi="宋体" w:cs="宋体"/>
          <w:sz w:val="24"/>
        </w:rPr>
        <w:t>约定的方式将履约保证金退还乙方，逾期退还的，乙方可要求甲方支付违约金，违约金按每迟延退还一日的应退还而未退还金额的</w:t>
      </w:r>
      <w:r>
        <w:rPr>
          <w:rFonts w:hint="eastAsia" w:ascii="宋体" w:hAnsi="宋体" w:cs="宋体"/>
          <w:sz w:val="24"/>
          <w:u w:val="single"/>
        </w:rPr>
        <w:t xml:space="preserve">  0.05  </w:t>
      </w:r>
      <w:r>
        <w:rPr>
          <w:rFonts w:hint="eastAsia" w:ascii="宋体" w:hAnsi="宋体" w:cs="宋体"/>
          <w:sz w:val="24"/>
        </w:rPr>
        <w:t>%计算，最高限额为本合同履约保证金的</w:t>
      </w:r>
      <w:r>
        <w:rPr>
          <w:rFonts w:hint="eastAsia" w:ascii="宋体" w:hAnsi="宋体" w:cs="宋体"/>
          <w:sz w:val="24"/>
          <w:u w:val="single"/>
        </w:rPr>
        <w:t xml:space="preserve">  20   </w:t>
      </w:r>
      <w:r>
        <w:rPr>
          <w:rFonts w:hint="eastAsia" w:ascii="宋体" w:hAnsi="宋体" w:cs="宋体"/>
          <w:sz w:val="24"/>
        </w:rPr>
        <w:t xml:space="preserve">%； </w:t>
      </w:r>
    </w:p>
    <w:p>
      <w:pPr>
        <w:spacing w:line="560" w:lineRule="exact"/>
        <w:ind w:firstLine="480" w:firstLineChars="200"/>
        <w:rPr>
          <w:rFonts w:ascii="宋体" w:hAnsi="宋体" w:cs="宋体"/>
          <w:sz w:val="24"/>
        </w:rPr>
      </w:pPr>
      <w:r>
        <w:rPr>
          <w:rFonts w:hint="eastAsia" w:ascii="宋体" w:hAnsi="宋体" w:cs="宋体"/>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宋体" w:hAnsi="宋体" w:cs="宋体"/>
          <w:sz w:val="24"/>
        </w:rPr>
      </w:pPr>
      <w:r>
        <w:rPr>
          <w:rFonts w:hint="eastAsia" w:ascii="宋体" w:hAnsi="宋体" w:cs="宋体"/>
          <w:sz w:val="24"/>
        </w:rPr>
        <w:t>2.20.4 甲方根据杭州市政府采购网公布的供应商履约评价情况减免履约保证金。乙方履约验收评价总分为100分的，甲方免收履约保证金；评价总分在90分以上的，收取履约保证金为合同金额2%；评价总分在不满90分或者暂无评分的，收取履约保证金为合同金额5%。</w:t>
      </w:r>
    </w:p>
    <w:p>
      <w:pPr>
        <w:spacing w:line="560" w:lineRule="exact"/>
        <w:ind w:firstLine="480" w:firstLineChars="200"/>
        <w:rPr>
          <w:rFonts w:ascii="宋体" w:hAnsi="宋体" w:cs="宋体"/>
        </w:rPr>
      </w:pPr>
      <w:r>
        <w:rPr>
          <w:rFonts w:hint="eastAsia" w:ascii="宋体" w:hAnsi="宋体" w:cs="宋体"/>
          <w:sz w:val="24"/>
        </w:rPr>
        <w:t>2.20.5甲方在乙方履行完合同约定义务事项后及时退还，延迟退还的，应当按照合同约定和法律规定承担相应的赔偿责任。</w:t>
      </w:r>
    </w:p>
    <w:p>
      <w:pPr>
        <w:spacing w:line="560" w:lineRule="exact"/>
        <w:ind w:firstLine="480" w:firstLineChars="200"/>
        <w:rPr>
          <w:rFonts w:ascii="宋体" w:hAnsi="宋体" w:cs="宋体"/>
          <w:sz w:val="24"/>
        </w:rPr>
      </w:pPr>
      <w:r>
        <w:rPr>
          <w:rFonts w:hint="eastAsia" w:ascii="宋体" w:hAnsi="宋体" w:cs="宋体"/>
          <w:sz w:val="24"/>
        </w:rPr>
        <w:t>2.21对于因甲方原因导致变更、中止或者终止政府采购合同的，甲方应当依照合同约定对供应商受到的损失予以赔偿或者补偿。</w:t>
      </w:r>
    </w:p>
    <w:bookmarkEnd w:id="558"/>
    <w:p>
      <w:pPr>
        <w:spacing w:line="560" w:lineRule="exact"/>
        <w:ind w:firstLine="482" w:firstLineChars="200"/>
        <w:outlineLvl w:val="0"/>
        <w:rPr>
          <w:rFonts w:ascii="宋体" w:hAnsi="宋体" w:cs="宋体"/>
          <w:b/>
          <w:sz w:val="24"/>
        </w:rPr>
      </w:pPr>
      <w:bookmarkStart w:id="559" w:name="_Toc19890"/>
      <w:bookmarkStart w:id="560" w:name="_Toc6885"/>
      <w:bookmarkStart w:id="561" w:name="_Toc14001"/>
      <w:r>
        <w:rPr>
          <w:rFonts w:hint="eastAsia" w:ascii="宋体" w:hAnsi="宋体" w:cs="宋体"/>
          <w:b/>
          <w:sz w:val="24"/>
        </w:rPr>
        <w:t>2.22合同份数</w:t>
      </w:r>
      <w:bookmarkEnd w:id="559"/>
      <w:bookmarkEnd w:id="560"/>
      <w:bookmarkEnd w:id="561"/>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pStyle w:val="706"/>
        <w:spacing w:line="500" w:lineRule="exact"/>
        <w:jc w:val="center"/>
        <w:rPr>
          <w:rFonts w:ascii="宋体" w:hAnsi="宋体" w:cs="宋体"/>
          <w:b/>
          <w:szCs w:val="24"/>
        </w:rPr>
      </w:pPr>
      <w:r>
        <w:rPr>
          <w:rFonts w:hint="eastAsia" w:ascii="宋体" w:hAnsi="宋体" w:cs="宋体"/>
          <w:kern w:val="0"/>
          <w:szCs w:val="24"/>
        </w:rPr>
        <w:br w:type="page"/>
      </w:r>
      <w:bookmarkStart w:id="562" w:name="_Toc331685784"/>
      <w:r>
        <w:rPr>
          <w:rFonts w:hint="eastAsia" w:ascii="宋体" w:hAnsi="宋体" w:cs="宋体"/>
          <w:b/>
          <w:szCs w:val="24"/>
        </w:rPr>
        <w:t xml:space="preserve"> </w:t>
      </w:r>
      <w:bookmarkEnd w:id="562"/>
      <w:r>
        <w:rPr>
          <w:rFonts w:hint="eastAsia" w:ascii="宋体" w:hAnsi="宋体" w:cs="宋体"/>
          <w:b/>
          <w:szCs w:val="24"/>
        </w:rPr>
        <w:t>第三部分  合同专用条款</w:t>
      </w:r>
    </w:p>
    <w:p>
      <w:pPr>
        <w:spacing w:line="50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条款号</w:t>
            </w:r>
          </w:p>
        </w:tc>
        <w:tc>
          <w:tcPr>
            <w:tcW w:w="4534" w:type="pct"/>
            <w:vAlign w:val="center"/>
          </w:tcPr>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1.4.4</w:t>
            </w:r>
          </w:p>
        </w:tc>
        <w:tc>
          <w:tcPr>
            <w:tcW w:w="4534" w:type="pct"/>
            <w:vAlign w:val="center"/>
          </w:tcPr>
          <w:p>
            <w:pPr>
              <w:pStyle w:val="58"/>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rPr>
              <w:t>合同总价为包干价，分期支付：</w:t>
            </w:r>
          </w:p>
          <w:p>
            <w:pPr>
              <w:pStyle w:val="58"/>
              <w:snapToGrid w:val="0"/>
              <w:spacing w:before="0" w:beforeAutospacing="0" w:after="0" w:afterAutospacing="0"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zh-CN"/>
              </w:rPr>
              <w:t>、合同签订生效后，甲方在收到乙方履约保证金后15日内向乙方支付合同总额的</w:t>
            </w:r>
            <w:r>
              <w:rPr>
                <w:rFonts w:hint="eastAsia" w:asciiTheme="minorEastAsia" w:hAnsiTheme="minorEastAsia" w:eastAsiaTheme="minorEastAsia" w:cstheme="minorEastAsia"/>
              </w:rPr>
              <w:t>4</w:t>
            </w:r>
            <w:r>
              <w:rPr>
                <w:rFonts w:hint="eastAsia" w:asciiTheme="minorEastAsia" w:hAnsiTheme="minorEastAsia" w:eastAsiaTheme="minorEastAsia" w:cstheme="minorEastAsia"/>
                <w:lang w:val="zh-CN"/>
              </w:rPr>
              <w:t>0%的款项，即   元。</w:t>
            </w:r>
          </w:p>
          <w:p>
            <w:pPr>
              <w:pStyle w:val="58"/>
              <w:snapToGrid w:val="0"/>
              <w:spacing w:before="0" w:beforeAutospacing="0" w:after="0" w:afterAutospacing="0" w:line="360" w:lineRule="auto"/>
              <w:ind w:firstLine="480" w:firstLineChars="200"/>
              <w:rPr>
                <w:rFonts w:asciiTheme="minorEastAsia" w:hAnsiTheme="minorEastAsia" w:eastAsiaTheme="minorEastAsia"/>
              </w:rPr>
            </w:pPr>
            <w:r>
              <w:rPr>
                <w:rFonts w:hint="eastAsia" w:asciiTheme="minorEastAsia" w:hAnsiTheme="minorEastAsia" w:eastAsiaTheme="minorEastAsia" w:cstheme="minorEastAsia"/>
                <w:lang w:val="zh-CN"/>
              </w:rPr>
              <w:t>2、验收合格后，甲方在15日内向乙方支付合同总额的60%的款项，即   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 xml:space="preserve">1.5.1 </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合同签订后90日历天，且满足总包施工进度要求。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1.5.2</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校区项目地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 xml:space="preserve">1.5.3 </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货到工地，包安装、调试、验收等交钥匙项目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1.6.7</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如产品质量未达到投标承诺技术要求及品牌、型号的；采购人将退货处理，乙方承担项目总额20%的违约金。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1.7</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1.7.2(诉讼)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6"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1.7.1</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1.7.2</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项目所在地的人民法院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2.3.2</w:t>
            </w:r>
          </w:p>
        </w:tc>
        <w:tc>
          <w:tcPr>
            <w:tcW w:w="4534" w:type="pct"/>
            <w:vAlign w:val="center"/>
          </w:tcPr>
          <w:p>
            <w:pPr>
              <w:spacing w:line="360" w:lineRule="auto"/>
              <w:ind w:left="-420" w:leftChars="-200" w:right="-420" w:righ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归乙方所有，但针对本项目，甲方有无限使用权。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2.4.1</w:t>
            </w:r>
          </w:p>
        </w:tc>
        <w:tc>
          <w:tcPr>
            <w:tcW w:w="4534" w:type="pct"/>
            <w:vAlign w:val="center"/>
          </w:tcPr>
          <w:p>
            <w:pPr>
              <w:spacing w:line="360" w:lineRule="auto"/>
              <w:ind w:left="-420" w:leftChars="-200" w:right="-420" w:rightChars="-200" w:firstLine="480" w:firstLineChars="200"/>
              <w:rPr>
                <w:rFonts w:asciiTheme="minorEastAsia" w:hAnsiTheme="minorEastAsia" w:eastAsiaTheme="minorEastAsia"/>
                <w:sz w:val="24"/>
              </w:rPr>
            </w:pPr>
            <w:r>
              <w:rPr>
                <w:rFonts w:hint="eastAsia" w:asciiTheme="minorEastAsia" w:hAnsiTheme="minorEastAsia" w:eastAsiaTheme="minorEastAsia"/>
                <w:sz w:val="24"/>
              </w:rPr>
              <w:t>按行业及通用条款要求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2.4.2</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装运货物的要求和通知，乙方应提前7天通知甲方并协调设备的卸货及安装事宜。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2.8 </w:t>
            </w:r>
          </w:p>
        </w:tc>
        <w:tc>
          <w:tcPr>
            <w:tcW w:w="4534" w:type="pct"/>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货物或者在途货物或者交付给第一承运人后的货物毁损、灭失的风险负担均由乙方负责，并承担延期交货的违约责任。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2.12.3</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不可抗力时间发生后7天内以书面形式变更合同。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2.12.4</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不可抗力时间发生后7天内。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2.16.1</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不可抗力时间发生后7天内。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2.16.3</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30天内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2.20.1</w:t>
            </w:r>
          </w:p>
        </w:tc>
        <w:tc>
          <w:tcPr>
            <w:tcW w:w="4534" w:type="pct"/>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合同金额的</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Theme="minorEastAsia" w:hAnsiTheme="minorEastAsia" w:eastAsiaTheme="minorEastAsia"/>
                <w:sz w:val="24"/>
              </w:rPr>
            </w:pPr>
            <w:r>
              <w:rPr>
                <w:rFonts w:asciiTheme="minorEastAsia" w:hAnsiTheme="minorEastAsia" w:eastAsiaTheme="minorEastAsia"/>
                <w:sz w:val="24"/>
              </w:rPr>
              <w:t xml:space="preserve">2.20.2 </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合同验收后30天前。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Theme="minorEastAsia" w:hAnsiTheme="minorEastAsia" w:eastAsiaTheme="minorEastAsia"/>
                <w:sz w:val="24"/>
              </w:rPr>
            </w:pPr>
            <w:r>
              <w:rPr>
                <w:rFonts w:asciiTheme="minorEastAsia" w:hAnsiTheme="minorEastAsia" w:eastAsiaTheme="minorEastAsia"/>
                <w:sz w:val="24"/>
              </w:rPr>
              <w:t>2.2</w:t>
            </w:r>
            <w:r>
              <w:rPr>
                <w:rFonts w:hint="eastAsia" w:asciiTheme="minorEastAsia" w:hAnsiTheme="minorEastAsia" w:eastAsiaTheme="minorEastAsia"/>
                <w:sz w:val="24"/>
              </w:rPr>
              <w:t>2</w:t>
            </w:r>
            <w:r>
              <w:rPr>
                <w:rFonts w:asciiTheme="minorEastAsia" w:hAnsiTheme="minorEastAsia" w:eastAsiaTheme="minorEastAsia"/>
                <w:sz w:val="24"/>
              </w:rPr>
              <w:t xml:space="preserve"> </w:t>
            </w:r>
          </w:p>
        </w:tc>
        <w:tc>
          <w:tcPr>
            <w:tcW w:w="4534" w:type="pct"/>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sz w:val="24"/>
              </w:rPr>
              <w:t>6份。</w:t>
            </w:r>
          </w:p>
        </w:tc>
      </w:tr>
    </w:tbl>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404"/>
      <w:r>
        <w:rPr>
          <w:rFonts w:hint="eastAsia" w:ascii="宋体" w:hAnsi="宋体" w:cs="宋体"/>
          <w:b/>
          <w:sz w:val="36"/>
          <w:szCs w:val="20"/>
        </w:rPr>
        <w:t xml:space="preserve"> </w:t>
      </w:r>
      <w:bookmarkEnd w:id="405"/>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numPr>
          <w:ilvl w:val="0"/>
          <w:numId w:val="15"/>
        </w:numPr>
        <w:snapToGrid w:val="0"/>
        <w:spacing w:line="360" w:lineRule="auto"/>
        <w:rPr>
          <w:rFonts w:ascii="宋体" w:hAnsi="宋体" w:cs="宋体"/>
          <w:sz w:val="24"/>
        </w:rPr>
      </w:pPr>
      <w:r>
        <w:rPr>
          <w:rFonts w:hint="eastAsia" w:ascii="宋体" w:hAnsi="宋体" w:cs="宋体"/>
          <w:sz w:val="24"/>
        </w:rPr>
        <w:t>符合参加政府采购活动应当具备的一般条件的承诺函……………（页码）</w:t>
      </w:r>
    </w:p>
    <w:p>
      <w:pPr>
        <w:numPr>
          <w:ilvl w:val="0"/>
          <w:numId w:val="15"/>
        </w:numPr>
        <w:snapToGrid w:val="0"/>
        <w:spacing w:line="360" w:lineRule="auto"/>
        <w:rPr>
          <w:rFonts w:ascii="宋体" w:hAnsi="宋体" w:cs="宋体"/>
          <w:sz w:val="24"/>
        </w:rPr>
      </w:pPr>
      <w:r>
        <w:rPr>
          <w:rFonts w:hint="eastAsia" w:ascii="宋体" w:hAnsi="宋体" w:cs="宋体"/>
          <w:sz w:val="24"/>
        </w:rPr>
        <w:t>落实政府采购政策需满足的资格要求………………………………（页码）</w:t>
      </w:r>
    </w:p>
    <w:p>
      <w:pPr>
        <w:numPr>
          <w:ilvl w:val="0"/>
          <w:numId w:val="15"/>
        </w:numPr>
        <w:snapToGrid w:val="0"/>
        <w:spacing w:line="360" w:lineRule="auto"/>
        <w:rPr>
          <w:rFonts w:ascii="宋体" w:hAnsi="宋体" w:cs="宋体"/>
          <w:sz w:val="24"/>
        </w:rPr>
      </w:pP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杭州市中策职业学校钱塘学校、浙江省建设工程设备招标有限公司：</w:t>
      </w:r>
    </w:p>
    <w:p>
      <w:pPr>
        <w:snapToGrid w:val="0"/>
        <w:spacing w:line="360" w:lineRule="auto"/>
        <w:ind w:firstLine="480" w:firstLineChars="200"/>
        <w:rPr>
          <w:rFonts w:ascii="宋体" w:hAnsi="宋体" w:cs="宋体"/>
          <w:sz w:val="24"/>
        </w:rPr>
      </w:pPr>
      <w:r>
        <w:rPr>
          <w:rFonts w:hint="eastAsia" w:ascii="宋体" w:hAnsi="宋体" w:cs="宋体"/>
          <w:sz w:val="24"/>
        </w:rPr>
        <w:t>我方参与杭州市中策职业学校钱塘学校综合安防系统采购项目【招标编号：ZJZBC-GK-22-9002】政府采购活动，郑重承诺：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二、落实政府采购政策需满足的资格要求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宋体" w:hAnsi="宋体" w:cs="宋体"/>
          <w:b/>
          <w:kern w:val="0"/>
          <w:sz w:val="32"/>
          <w:szCs w:val="32"/>
          <w:lang w:val="zh-CN"/>
        </w:rPr>
      </w:pPr>
      <w:r>
        <w:rPr>
          <w:rFonts w:hint="eastAsia" w:ascii="宋体" w:hAnsi="宋体" w:cs="宋体"/>
          <w:b/>
          <w:sz w:val="24"/>
        </w:rPr>
        <w:t xml:space="preserve">    </w:t>
      </w:r>
      <w:r>
        <w:rPr>
          <w:rFonts w:hint="eastAsia" w:ascii="宋体" w:hAnsi="宋体" w:cs="宋体"/>
          <w:b/>
          <w:kern w:val="0"/>
          <w:sz w:val="32"/>
          <w:szCs w:val="32"/>
          <w:lang w:val="zh-CN"/>
        </w:rPr>
        <w:t>联合协议</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r>
        <w:rPr>
          <w:rFonts w:hint="eastAsia" w:ascii="宋体" w:hAnsi="宋体" w:cs="宋体"/>
          <w:kern w:val="0"/>
          <w:sz w:val="24"/>
          <w:u w:val="single"/>
        </w:rPr>
        <w:t>（联合体其中一方成员名称）</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r>
        <w:rPr>
          <w:rFonts w:hint="eastAsia" w:ascii="宋体" w:hAnsi="宋体" w:cs="宋体"/>
          <w:kern w:val="0"/>
          <w:sz w:val="24"/>
          <w:u w:val="single"/>
        </w:rPr>
        <w:t>（联合体其中一方成员名称）</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w:t>
      </w: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firstLine="480" w:firstLineChars="200"/>
        <w:rPr>
          <w:rFonts w:ascii="宋体" w:hAnsi="宋体" w:cs="宋体"/>
          <w:sz w:val="24"/>
        </w:rPr>
      </w:pPr>
    </w:p>
    <w:p>
      <w:pPr>
        <w:spacing w:line="360" w:lineRule="auto"/>
        <w:ind w:firstLine="482" w:firstLineChars="200"/>
        <w:rPr>
          <w:rFonts w:ascii="宋体" w:hAnsi="宋体" w:cs="宋体"/>
          <w:b/>
          <w:sz w:val="24"/>
        </w:rPr>
      </w:pP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XX工作内容   </w:t>
      </w:r>
      <w:r>
        <w:rPr>
          <w:rFonts w:hint="eastAsia" w:ascii="宋体" w:hAnsi="宋体" w:cs="宋体"/>
          <w:sz w:val="24"/>
        </w:rPr>
        <w:t>分包给</w:t>
      </w:r>
      <w:r>
        <w:rPr>
          <w:rFonts w:hint="eastAsia" w:ascii="宋体" w:hAnsi="宋体" w:cs="宋体"/>
          <w:kern w:val="0"/>
          <w:sz w:val="24"/>
          <w:u w:val="single"/>
        </w:rPr>
        <w:t>（某分包供应商名称）</w:t>
      </w:r>
      <w:r>
        <w:rPr>
          <w:rFonts w:hint="eastAsia" w:ascii="宋体" w:hAnsi="宋体" w:cs="宋体"/>
          <w:kern w:val="0"/>
          <w:sz w:val="24"/>
          <w:lang w:val="zh-CN"/>
        </w:rPr>
        <w:t>，</w:t>
      </w:r>
      <w:r>
        <w:rPr>
          <w:rFonts w:hint="eastAsia" w:ascii="宋体" w:hAnsi="宋体" w:cs="宋体"/>
          <w:kern w:val="0"/>
          <w:sz w:val="24"/>
          <w:u w:val="single"/>
        </w:rPr>
        <w:t>（某分包供应商名称），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4"/>
        <w:ind w:left="664" w:leftChars="316" w:firstLine="229" w:firstLineChars="95"/>
        <w:rPr>
          <w:rFonts w:ascii="宋体" w:hAnsi="宋体" w:eastAsia="宋体" w:cs="宋体"/>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五、违约责任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七、其他</w:t>
      </w: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 xml:space="preserve">  。                                           投标人名称(电子签名)：</w:t>
      </w:r>
    </w:p>
    <w:p>
      <w:pPr>
        <w:snapToGrid w:val="0"/>
        <w:spacing w:line="360" w:lineRule="auto"/>
        <w:ind w:firstLine="5640" w:firstLineChars="2350"/>
        <w:rPr>
          <w:rFonts w:ascii="宋体" w:hAnsi="宋体" w:cs="宋体"/>
          <w:kern w:val="0"/>
          <w:sz w:val="24"/>
          <w:lang w:val="zh-CN"/>
        </w:rPr>
      </w:pPr>
      <w:r>
        <w:rPr>
          <w:rFonts w:hint="eastAsia" w:ascii="宋体" w:hAnsi="宋体" w:cs="宋体"/>
          <w:kern w:val="0"/>
          <w:sz w:val="24"/>
          <w:lang w:val="zh-CN"/>
        </w:rPr>
        <w:t>分包供应商名称：</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三、本项目的特定资格要求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pacing w:line="360" w:lineRule="auto"/>
        <w:jc w:val="center"/>
        <w:outlineLvl w:val="0"/>
        <w:rPr>
          <w:rFonts w:ascii="宋体" w:hAnsi="宋体" w:cs="宋体"/>
          <w:b/>
          <w:kern w:val="0"/>
          <w:sz w:val="36"/>
          <w:szCs w:val="36"/>
        </w:rPr>
      </w:pPr>
    </w:p>
    <w:p>
      <w:pPr>
        <w:snapToGrid w:val="0"/>
        <w:spacing w:line="360" w:lineRule="auto"/>
        <w:ind w:right="480"/>
        <w:jc w:val="center"/>
        <w:rPr>
          <w:rFonts w:ascii="宋体" w:hAnsi="宋体" w:cs="宋体"/>
          <w:b/>
          <w:kern w:val="0"/>
          <w:sz w:val="32"/>
          <w:szCs w:val="32"/>
        </w:rPr>
      </w:pPr>
    </w:p>
    <w:p>
      <w:pPr>
        <w:spacing w:line="360" w:lineRule="auto"/>
        <w:jc w:val="center"/>
        <w:outlineLvl w:val="0"/>
        <w:rPr>
          <w:rFonts w:ascii="宋体" w:hAnsi="宋体" w:cs="宋体"/>
          <w:b/>
          <w:kern w:val="0"/>
          <w:sz w:val="36"/>
          <w:szCs w:val="36"/>
        </w:rPr>
      </w:pPr>
    </w:p>
    <w:p>
      <w:pPr>
        <w:snapToGrid w:val="0"/>
        <w:spacing w:line="360" w:lineRule="auto"/>
        <w:ind w:right="480"/>
        <w:jc w:val="center"/>
        <w:rPr>
          <w:rFonts w:ascii="宋体" w:hAnsi="宋体" w:cs="宋体"/>
          <w:b/>
          <w:kern w:val="0"/>
          <w:sz w:val="32"/>
          <w:szCs w:val="32"/>
        </w:rPr>
      </w:pPr>
    </w:p>
    <w:p>
      <w:pPr>
        <w:spacing w:line="360" w:lineRule="auto"/>
        <w:jc w:val="center"/>
        <w:outlineLvl w:val="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4"/>
        </w:rPr>
      </w:pP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numPr>
          <w:ilvl w:val="0"/>
          <w:numId w:val="16"/>
        </w:numPr>
        <w:snapToGrid w:val="0"/>
        <w:spacing w:line="360" w:lineRule="auto"/>
        <w:rPr>
          <w:rFonts w:ascii="宋体" w:hAnsi="宋体" w:cs="宋体"/>
        </w:rPr>
      </w:pPr>
      <w:r>
        <w:rPr>
          <w:rFonts w:hint="eastAsia" w:ascii="宋体" w:hAnsi="宋体" w:cs="宋体"/>
          <w:sz w:val="24"/>
        </w:rPr>
        <w:t>投标函</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授权委托书或法定代表人（单位负责人、自然人本人）身份证明</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联合协议</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分包意向协议</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符合性审查资料</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rPr>
        <w:t>商务技术偏离表</w:t>
      </w:r>
      <w:r>
        <w:rPr>
          <w:rFonts w:hint="eastAsia" w:ascii="宋体" w:hAnsi="宋体" w:cs="宋体"/>
        </w:rPr>
        <w:t>………………………………………………………………………（页码）</w:t>
      </w:r>
    </w:p>
    <w:p>
      <w:pPr>
        <w:numPr>
          <w:ilvl w:val="0"/>
          <w:numId w:val="16"/>
        </w:numPr>
        <w:snapToGrid w:val="0"/>
        <w:spacing w:line="360" w:lineRule="auto"/>
        <w:rPr>
          <w:rFonts w:ascii="宋体" w:hAnsi="宋体" w:cs="宋体"/>
        </w:rPr>
      </w:pP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sz w:val="24"/>
        </w:rPr>
        <w:t>杭州市中策职业学校钱塘学校、浙江省建设工程设备招标有限公司：</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我方参加你方组织的杭州市中策职业学校钱塘学校综合安防系统采购项目【招标编号：ZJZBC-GK-22-9002】招标的有关活动，并对此项目进行投标。为此：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2.1.2落实政府采购政策需满足的资格要求（如果有）；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2.1.3本项目的特定资格要求（如果有）。</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2.2.3联合协议（如果有）；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2.2.4分包意向协议（如果有）；</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2.2.5符合性审查资料；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2.2.6评标标准相应的商务技术资料；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2.2.7商务技术偏离表；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r>
        <w:rPr>
          <w:rFonts w:hint="eastAsia" w:ascii="宋体" w:hAnsi="宋体" w:cs="宋体"/>
          <w:sz w:val="24"/>
          <w:u w:val="single"/>
        </w:rPr>
        <w:t xml:space="preserve">                                        </w:t>
      </w:r>
      <w:r>
        <w:rPr>
          <w:rFonts w:hint="eastAsia" w:ascii="宋体" w:hAnsi="宋体" w:cs="宋体"/>
          <w:sz w:val="24"/>
        </w:rPr>
        <w:t>。</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lang w:val="zh-CN"/>
        </w:rPr>
      </w:pPr>
    </w:p>
    <w:p>
      <w:pPr>
        <w:snapToGrid w:val="0"/>
        <w:spacing w:line="360" w:lineRule="auto"/>
        <w:jc w:val="center"/>
        <w:rPr>
          <w:rFonts w:ascii="宋体" w:hAnsi="宋体" w:cs="宋体"/>
          <w:b/>
          <w:kern w:val="0"/>
          <w:sz w:val="32"/>
          <w:szCs w:val="32"/>
          <w:lang w:val="zh-CN"/>
        </w:rPr>
      </w:pPr>
    </w:p>
    <w:p>
      <w:pPr>
        <w:snapToGrid w:val="0"/>
        <w:spacing w:line="360" w:lineRule="auto"/>
        <w:rPr>
          <w:rFonts w:ascii="宋体" w:hAnsi="宋体" w:cs="宋体"/>
          <w:sz w:val="24"/>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r>
        <w:rPr>
          <w:rFonts w:hint="eastAsia" w:ascii="宋体" w:hAnsi="宋体" w:cs="宋体"/>
          <w:sz w:val="24"/>
        </w:rPr>
        <w:t xml:space="preserve">                                </w:t>
      </w: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pPr>
        <w:snapToGrid w:val="0"/>
        <w:spacing w:line="360" w:lineRule="auto"/>
        <w:rPr>
          <w:rFonts w:ascii="宋体" w:hAnsi="宋体" w:cs="宋体"/>
          <w:kern w:val="0"/>
          <w:sz w:val="24"/>
        </w:rPr>
      </w:pPr>
      <w:r>
        <w:rPr>
          <w:rFonts w:hint="eastAsia" w:ascii="宋体" w:hAnsi="宋体" w:cs="宋体"/>
          <w:sz w:val="24"/>
        </w:rPr>
        <w:t>杭州市中策职业学校钱塘学校、浙江省建设工程设备招标有限公司</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sz w:val="24"/>
        </w:rPr>
        <w:t>杭州市中策职业学校钱塘学校、浙江省建设工程设备招标有限公司</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widowControl/>
        <w:adjustRightInd/>
        <w:jc w:val="left"/>
        <w:rPr>
          <w:rFonts w:ascii="宋体" w:hAnsi="宋体" w:cs="宋体"/>
          <w:b/>
          <w:kern w:val="0"/>
          <w:sz w:val="32"/>
          <w:szCs w:val="32"/>
          <w:lang w:val="zh-CN"/>
        </w:rPr>
      </w:pPr>
      <w:r>
        <w:rPr>
          <w:rFonts w:ascii="宋体" w:hAnsi="宋体" w:cs="宋体"/>
          <w:b/>
          <w:kern w:val="0"/>
          <w:sz w:val="32"/>
          <w:szCs w:val="32"/>
          <w:lang w:val="zh-CN"/>
        </w:rPr>
        <w:br w:type="page"/>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76"/>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76"/>
              <w:adjustRightInd w:val="0"/>
              <w:spacing w:line="360" w:lineRule="auto"/>
              <w:rPr>
                <w:rFonts w:hAnsi="宋体" w:cs="宋体"/>
                <w:bCs/>
                <w:sz w:val="24"/>
              </w:rPr>
            </w:pPr>
            <w:r>
              <w:rPr>
                <w:rFonts w:hint="eastAsia" w:hAnsi="宋体" w:cs="宋体"/>
                <w:bCs/>
                <w:sz w:val="24"/>
              </w:rPr>
              <w:t>正面：                                 反面：</w:t>
            </w:r>
          </w:p>
          <w:p>
            <w:pPr>
              <w:pStyle w:val="176"/>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lang w:val="zh-CN"/>
        </w:rPr>
      </w:pPr>
      <w:r>
        <w:rPr>
          <w:rFonts w:hint="eastAsia" w:ascii="宋体" w:hAnsi="宋体" w:cs="宋体"/>
          <w:b/>
          <w:kern w:val="0"/>
          <w:sz w:val="32"/>
          <w:szCs w:val="32"/>
        </w:rPr>
        <w:t>三、</w:t>
      </w:r>
      <w:r>
        <w:rPr>
          <w:rFonts w:hint="eastAsia" w:ascii="宋体" w:hAnsi="宋体" w:cs="宋体"/>
          <w:b/>
          <w:kern w:val="0"/>
          <w:sz w:val="32"/>
          <w:szCs w:val="32"/>
          <w:lang w:val="zh-CN"/>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r>
        <w:rPr>
          <w:rFonts w:hint="eastAsia" w:ascii="宋体" w:hAnsi="宋体" w:cs="宋体"/>
          <w:kern w:val="0"/>
          <w:sz w:val="24"/>
          <w:u w:val="single"/>
        </w:rPr>
        <w:t>（联合体其中一方成员名称）</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四、</w:t>
      </w:r>
      <w:r>
        <w:rPr>
          <w:rFonts w:hint="eastAsia" w:ascii="宋体" w:hAnsi="宋体" w:cs="宋体"/>
          <w:kern w:val="0"/>
          <w:sz w:val="24"/>
          <w:u w:val="single"/>
        </w:rPr>
        <w:t>（联合体其中一方成员名称）</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snapToGrid w:val="0"/>
        <w:spacing w:line="360" w:lineRule="auto"/>
        <w:ind w:right="480"/>
        <w:rPr>
          <w:rFonts w:ascii="宋体" w:hAnsi="宋体" w:cs="宋体"/>
          <w:b/>
          <w:kern w:val="0"/>
          <w:sz w:val="32"/>
          <w:szCs w:val="32"/>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kern w:val="0"/>
          <w:sz w:val="32"/>
          <w:szCs w:val="32"/>
        </w:rPr>
      </w:pPr>
      <w:r>
        <w:rPr>
          <w:rFonts w:hint="eastAsia" w:ascii="宋体" w:hAnsi="宋体" w:cs="宋体"/>
          <w:b/>
          <w:kern w:val="0"/>
          <w:sz w:val="32"/>
          <w:szCs w:val="32"/>
        </w:rPr>
        <w:t>四、分包意向协议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杭州市中策职业学校钱塘学校综合安防系统采购项目【招标编号：ZJZBC-GK-22-9002】</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XX工作内容   </w:t>
      </w:r>
      <w:r>
        <w:rPr>
          <w:rFonts w:hint="eastAsia" w:ascii="宋体" w:hAnsi="宋体" w:cs="宋体"/>
          <w:sz w:val="24"/>
        </w:rPr>
        <w:t>分包给</w:t>
      </w:r>
      <w:r>
        <w:rPr>
          <w:rFonts w:hint="eastAsia" w:ascii="宋体" w:hAnsi="宋体" w:cs="宋体"/>
          <w:kern w:val="0"/>
          <w:sz w:val="24"/>
          <w:u w:val="single"/>
        </w:rPr>
        <w:t>（某分包供应商名称）</w:t>
      </w:r>
      <w:r>
        <w:rPr>
          <w:rFonts w:hint="eastAsia" w:ascii="宋体" w:hAnsi="宋体" w:cs="宋体"/>
          <w:kern w:val="0"/>
          <w:sz w:val="24"/>
          <w:lang w:val="zh-CN"/>
        </w:rPr>
        <w:t>，</w:t>
      </w:r>
      <w:r>
        <w:rPr>
          <w:rFonts w:hint="eastAsia" w:ascii="宋体" w:hAnsi="宋体" w:cs="宋体"/>
          <w:kern w:val="0"/>
          <w:sz w:val="24"/>
          <w:u w:val="single"/>
        </w:rPr>
        <w:t>（某分包供应商名称），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4"/>
        <w:ind w:left="664" w:leftChars="316" w:firstLine="229" w:firstLineChars="95"/>
        <w:rPr>
          <w:rFonts w:ascii="宋体" w:hAnsi="宋体" w:eastAsia="宋体" w:cs="宋体"/>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二、分包工作履行期限、地点、方式</w:t>
      </w:r>
    </w:p>
    <w:p>
      <w:pPr>
        <w:snapToGrid w:val="0"/>
        <w:spacing w:line="360" w:lineRule="auto"/>
        <w:ind w:firstLine="576"/>
        <w:rPr>
          <w:rFonts w:ascii="宋体" w:hAnsi="宋体" w:cs="宋体"/>
          <w:u w:val="single"/>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三、质量</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四、价款或者报酬</w:t>
      </w:r>
    </w:p>
    <w:p>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五、违约责任</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六、争议解决的办法</w:t>
      </w:r>
    </w:p>
    <w:p>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七、其他</w:t>
      </w:r>
    </w:p>
    <w:p>
      <w:pPr>
        <w:snapToGrid w:val="0"/>
        <w:spacing w:line="360" w:lineRule="auto"/>
        <w:ind w:firstLine="576"/>
        <w:rPr>
          <w:rFonts w:ascii="宋体" w:hAnsi="宋体" w:cs="宋体"/>
          <w:b/>
          <w:kern w:val="0"/>
          <w:sz w:val="24"/>
          <w:lang w:val="zh-CN"/>
        </w:rPr>
      </w:pPr>
      <w:r>
        <w:rPr>
          <w:rFonts w:hint="eastAsia" w:ascii="宋体" w:hAnsi="宋体" w:cs="宋体"/>
          <w:kern w:val="0"/>
          <w:sz w:val="24"/>
          <w:u w:val="single"/>
        </w:rPr>
        <w:t>（分包供应商名称）提供的货物全部由小微企业制造，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30%以上的，对大中型企业的报价给予3%的扣除）</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ind w:firstLine="5640" w:firstLineChars="2350"/>
        <w:rPr>
          <w:rFonts w:ascii="宋体" w:hAnsi="宋体" w:cs="宋体"/>
          <w:kern w:val="0"/>
          <w:sz w:val="24"/>
          <w:lang w:val="zh-CN"/>
        </w:rPr>
      </w:pPr>
      <w:r>
        <w:rPr>
          <w:rFonts w:hint="eastAsia" w:ascii="宋体" w:hAnsi="宋体" w:cs="宋体"/>
          <w:kern w:val="0"/>
          <w:sz w:val="24"/>
          <w:lang w:val="zh-CN"/>
        </w:rPr>
        <w:t>分包供应商名称：</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r>
        <w:rPr>
          <w:rFonts w:hint="eastAsia" w:ascii="宋体" w:hAnsi="宋体" w:cs="宋体"/>
          <w:b/>
          <w:kern w:val="0"/>
          <w:sz w:val="32"/>
          <w:szCs w:val="32"/>
        </w:rPr>
        <w:t>五、符合性审查资料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sz w:val="24"/>
              </w:rPr>
            </w:pPr>
            <w:r>
              <w:rPr>
                <w:rFonts w:hint="eastAsia" w:ascii="宋体" w:hAnsi="宋体" w:cs="宋体"/>
                <w:sz w:val="24"/>
              </w:rPr>
              <w:t>节能产品认证证书（本项目拟采购的产品不属于政府强制采购的节能产品品目清单范围的，无需提供）</w:t>
            </w:r>
          </w:p>
        </w:tc>
        <w:tc>
          <w:tcPr>
            <w:tcW w:w="1418" w:type="dxa"/>
          </w:tcPr>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见投标文件</w:t>
            </w:r>
          </w:p>
          <w:p>
            <w:pPr>
              <w:pStyle w:val="4"/>
              <w:rPr>
                <w:rFonts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sz w:val="24"/>
              </w:rPr>
            </w:pPr>
            <w:r>
              <w:rPr>
                <w:rFonts w:hint="eastAsia" w:ascii="宋体" w:hAnsi="宋体" w:cs="宋体"/>
                <w:sz w:val="24"/>
              </w:rPr>
              <w:t>4</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 xml:space="preserve">            </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rPr>
      </w:pPr>
      <w:r>
        <w:rPr>
          <w:rFonts w:hint="eastAsia" w:ascii="宋体" w:hAnsi="宋体" w:cs="宋体"/>
          <w:b/>
          <w:kern w:val="0"/>
          <w:sz w:val="32"/>
          <w:szCs w:val="32"/>
        </w:rPr>
        <w:t>六、评标标准相应的商务技术资料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left"/>
        <w:rPr>
          <w:rFonts w:cs="仿宋_GB2312" w:asciiTheme="majorEastAsia" w:hAnsiTheme="majorEastAsia" w:eastAsiaTheme="majorEastAsia"/>
          <w:b/>
          <w:kern w:val="0"/>
          <w:sz w:val="32"/>
          <w:szCs w:val="32"/>
        </w:rPr>
      </w:pPr>
    </w:p>
    <w:p>
      <w:pPr>
        <w:jc w:val="left"/>
        <w:rPr>
          <w:rFonts w:cs="仿宋_GB2312" w:asciiTheme="majorEastAsia" w:hAnsiTheme="majorEastAsia" w:eastAsiaTheme="majorEastAsia"/>
          <w:b/>
          <w:kern w:val="0"/>
          <w:sz w:val="28"/>
          <w:szCs w:val="28"/>
        </w:rPr>
      </w:pPr>
      <w:r>
        <w:rPr>
          <w:rFonts w:hint="eastAsia" w:cs="仿宋_GB2312" w:asciiTheme="majorEastAsia" w:hAnsiTheme="majorEastAsia" w:eastAsiaTheme="majorEastAsia"/>
          <w:b/>
          <w:kern w:val="0"/>
          <w:sz w:val="28"/>
          <w:szCs w:val="28"/>
        </w:rPr>
        <w:t>参考格式1：</w:t>
      </w:r>
    </w:p>
    <w:p>
      <w:pPr>
        <w:pStyle w:val="4"/>
        <w:jc w:val="center"/>
        <w:rPr>
          <w:rFonts w:asciiTheme="minorEastAsia" w:hAnsiTheme="minorEastAsia" w:eastAsiaTheme="minorEastAsia"/>
          <w:lang w:val="en-US"/>
        </w:rPr>
      </w:pPr>
      <w:r>
        <w:rPr>
          <w:rFonts w:hint="eastAsia" w:cs="宋体" w:asciiTheme="minorEastAsia" w:hAnsiTheme="minorEastAsia" w:eastAsiaTheme="minorEastAsia"/>
        </w:rPr>
        <w:t>供应商简况表</w:t>
      </w:r>
    </w:p>
    <w:tbl>
      <w:tblPr>
        <w:tblStyle w:val="6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lang w:val="zh-CN"/>
              </w:rPr>
              <w:t>单位名称</w:t>
            </w:r>
          </w:p>
        </w:tc>
        <w:tc>
          <w:tcPr>
            <w:tcW w:w="5143" w:type="dxa"/>
            <w:gridSpan w:val="4"/>
            <w:vAlign w:val="center"/>
          </w:tcPr>
          <w:p>
            <w:pPr>
              <w:autoSpaceDE w:val="0"/>
              <w:snapToGrid w:val="0"/>
              <w:spacing w:line="360" w:lineRule="auto"/>
              <w:jc w:val="center"/>
              <w:rPr>
                <w:rFonts w:ascii="宋体" w:hAnsi="宋体" w:cs="宋体"/>
                <w:sz w:val="24"/>
                <w:lang w:val="zh-CN"/>
              </w:rPr>
            </w:pPr>
          </w:p>
        </w:tc>
        <w:tc>
          <w:tcPr>
            <w:tcW w:w="1418" w:type="dxa"/>
            <w:vAlign w:val="center"/>
          </w:tcPr>
          <w:p>
            <w:pPr>
              <w:autoSpaceDE w:val="0"/>
              <w:snapToGrid w:val="0"/>
              <w:spacing w:line="360" w:lineRule="auto"/>
              <w:jc w:val="center"/>
              <w:rPr>
                <w:rFonts w:ascii="宋体" w:hAnsi="宋体"/>
              </w:rPr>
            </w:pPr>
            <w:r>
              <w:rPr>
                <w:rFonts w:hint="eastAsia" w:ascii="宋体" w:hAnsi="宋体" w:cs="宋体"/>
                <w:sz w:val="24"/>
                <w:lang w:val="zh-CN"/>
              </w:rPr>
              <w:t>成立时间</w:t>
            </w:r>
          </w:p>
        </w:tc>
        <w:tc>
          <w:tcPr>
            <w:tcW w:w="1515" w:type="dxa"/>
            <w:vAlign w:val="center"/>
          </w:tcPr>
          <w:p>
            <w:pPr>
              <w:autoSpaceDE w:val="0"/>
              <w:snapToGri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lang w:val="zh-CN"/>
              </w:rPr>
              <w:t>资质等级</w:t>
            </w:r>
          </w:p>
        </w:tc>
        <w:tc>
          <w:tcPr>
            <w:tcW w:w="1600" w:type="dxa"/>
            <w:vAlign w:val="center"/>
          </w:tcPr>
          <w:p>
            <w:pPr>
              <w:autoSpaceDE w:val="0"/>
              <w:snapToGrid w:val="0"/>
              <w:spacing w:line="360" w:lineRule="auto"/>
              <w:jc w:val="center"/>
              <w:rPr>
                <w:rFonts w:ascii="宋体" w:hAnsi="宋体" w:cs="宋体"/>
                <w:sz w:val="24"/>
                <w:lang w:val="zh-CN"/>
              </w:rPr>
            </w:pPr>
          </w:p>
        </w:tc>
        <w:tc>
          <w:tcPr>
            <w:tcW w:w="1134" w:type="dxa"/>
            <w:vAlign w:val="center"/>
          </w:tcPr>
          <w:p>
            <w:pPr>
              <w:autoSpaceDE w:val="0"/>
              <w:snapToGrid w:val="0"/>
              <w:spacing w:line="360" w:lineRule="auto"/>
              <w:jc w:val="center"/>
              <w:rPr>
                <w:rFonts w:ascii="宋体" w:hAnsi="宋体"/>
              </w:rPr>
            </w:pPr>
            <w:r>
              <w:rPr>
                <w:rFonts w:hint="eastAsia" w:ascii="宋体" w:hAnsi="宋体" w:cs="宋体"/>
                <w:sz w:val="24"/>
                <w:lang w:val="zh-CN"/>
              </w:rPr>
              <w:t>经营方式</w:t>
            </w:r>
          </w:p>
        </w:tc>
        <w:tc>
          <w:tcPr>
            <w:tcW w:w="2409" w:type="dxa"/>
            <w:gridSpan w:val="2"/>
            <w:vAlign w:val="center"/>
          </w:tcPr>
          <w:p>
            <w:pPr>
              <w:autoSpaceDE w:val="0"/>
              <w:snapToGrid w:val="0"/>
              <w:spacing w:line="360" w:lineRule="auto"/>
              <w:jc w:val="left"/>
              <w:rPr>
                <w:rFonts w:ascii="宋体" w:hAnsi="宋体" w:cs="宋体"/>
                <w:sz w:val="24"/>
                <w:lang w:val="zh-CN"/>
              </w:rPr>
            </w:pPr>
            <w:r>
              <w:rPr>
                <w:rFonts w:hint="eastAsia" w:ascii="宋体" w:hAnsi="宋体" w:cs="宋体"/>
                <w:sz w:val="24"/>
                <w:lang w:val="zh-CN"/>
              </w:rPr>
              <w:t>□有限责任公司</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□个人独立经营方式</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□合伙经营方式</w:t>
            </w:r>
          </w:p>
          <w:p>
            <w:pPr>
              <w:autoSpaceDE w:val="0"/>
              <w:snapToGrid w:val="0"/>
              <w:spacing w:line="360" w:lineRule="auto"/>
              <w:jc w:val="left"/>
              <w:rPr>
                <w:lang w:val="zh-CN"/>
              </w:rPr>
            </w:pPr>
            <w:r>
              <w:rPr>
                <w:rFonts w:hint="eastAsia" w:ascii="宋体" w:hAnsi="宋体" w:cs="宋体"/>
                <w:sz w:val="24"/>
                <w:lang w:val="zh-CN"/>
              </w:rPr>
              <w:t>□其他</w:t>
            </w:r>
          </w:p>
        </w:tc>
        <w:tc>
          <w:tcPr>
            <w:tcW w:w="1418" w:type="dxa"/>
            <w:vAlign w:val="center"/>
          </w:tcPr>
          <w:p>
            <w:pPr>
              <w:autoSpaceDE w:val="0"/>
              <w:snapToGrid w:val="0"/>
              <w:spacing w:line="360" w:lineRule="auto"/>
              <w:jc w:val="center"/>
              <w:rPr>
                <w:rFonts w:ascii="宋体" w:hAnsi="宋体"/>
              </w:rPr>
            </w:pPr>
            <w:r>
              <w:rPr>
                <w:rFonts w:hint="eastAsia" w:ascii="宋体" w:hAnsi="宋体" w:cs="宋体"/>
                <w:sz w:val="24"/>
                <w:lang w:val="zh-CN"/>
              </w:rPr>
              <w:t>企业性质</w:t>
            </w:r>
          </w:p>
        </w:tc>
        <w:tc>
          <w:tcPr>
            <w:tcW w:w="1515" w:type="dxa"/>
            <w:vAlign w:val="center"/>
          </w:tcPr>
          <w:p>
            <w:pPr>
              <w:autoSpaceDE w:val="0"/>
              <w:snapToGrid w:val="0"/>
              <w:spacing w:line="360" w:lineRule="auto"/>
              <w:jc w:val="left"/>
              <w:rPr>
                <w:rFonts w:ascii="宋体" w:hAnsi="宋体" w:cs="宋体"/>
                <w:sz w:val="24"/>
                <w:lang w:val="zh-CN"/>
              </w:rPr>
            </w:pPr>
            <w:r>
              <w:rPr>
                <w:rFonts w:hint="eastAsia" w:ascii="宋体" w:hAnsi="宋体" w:cs="宋体"/>
                <w:sz w:val="24"/>
                <w:lang w:val="zh-CN"/>
              </w:rPr>
              <w:t>□事业单位</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□国企</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□民营</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□个体经营者</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□自然人</w:t>
            </w:r>
          </w:p>
          <w:p>
            <w:pPr>
              <w:autoSpaceDE w:val="0"/>
              <w:snapToGrid w:val="0"/>
              <w:spacing w:line="360" w:lineRule="auto"/>
              <w:jc w:val="left"/>
              <w:rPr>
                <w:rFonts w:ascii="宋体" w:hAnsi="宋体" w:cs="宋体"/>
                <w:sz w:val="24"/>
                <w:lang w:val="zh-CN"/>
              </w:rPr>
            </w:pPr>
            <w:r>
              <w:rPr>
                <w:rFonts w:hint="eastAsia" w:ascii="宋体" w:hAnsi="宋体" w:cs="宋体"/>
                <w:sz w:val="24"/>
                <w:lang w:val="zh-CN"/>
              </w:rPr>
              <w:t>□其他组织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lang w:val="zh-CN"/>
              </w:rPr>
              <w:t>注册资金</w:t>
            </w:r>
          </w:p>
        </w:tc>
        <w:tc>
          <w:tcPr>
            <w:tcW w:w="1600" w:type="dxa"/>
            <w:vAlign w:val="center"/>
          </w:tcPr>
          <w:p>
            <w:pPr>
              <w:autoSpaceDE w:val="0"/>
              <w:snapToGrid w:val="0"/>
              <w:spacing w:line="360" w:lineRule="auto"/>
              <w:jc w:val="center"/>
              <w:rPr>
                <w:rFonts w:ascii="宋体" w:hAnsi="宋体" w:cs="宋体"/>
                <w:sz w:val="24"/>
                <w:lang w:val="zh-CN"/>
              </w:rPr>
            </w:pPr>
          </w:p>
        </w:tc>
        <w:tc>
          <w:tcPr>
            <w:tcW w:w="1134" w:type="dxa"/>
            <w:vAlign w:val="center"/>
          </w:tcPr>
          <w:p>
            <w:pPr>
              <w:autoSpaceDE w:val="0"/>
              <w:snapToGrid w:val="0"/>
              <w:spacing w:line="360" w:lineRule="auto"/>
              <w:jc w:val="center"/>
              <w:rPr>
                <w:rFonts w:ascii="宋体" w:hAnsi="宋体"/>
              </w:rPr>
            </w:pPr>
            <w:r>
              <w:rPr>
                <w:rFonts w:hint="eastAsia" w:ascii="宋体" w:hAnsi="宋体" w:cs="宋体"/>
                <w:sz w:val="24"/>
                <w:lang w:val="zh-CN"/>
              </w:rPr>
              <w:t>地    址</w:t>
            </w:r>
          </w:p>
        </w:tc>
        <w:tc>
          <w:tcPr>
            <w:tcW w:w="5342" w:type="dxa"/>
            <w:gridSpan w:val="4"/>
            <w:vAlign w:val="center"/>
          </w:tcPr>
          <w:p>
            <w:pPr>
              <w:autoSpaceDE w:val="0"/>
              <w:snapToGri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0"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lang w:val="zh-CN"/>
              </w:rPr>
              <w:t>经营范围</w:t>
            </w:r>
          </w:p>
        </w:tc>
        <w:tc>
          <w:tcPr>
            <w:tcW w:w="8076" w:type="dxa"/>
            <w:gridSpan w:val="6"/>
            <w:vAlign w:val="center"/>
          </w:tcPr>
          <w:p>
            <w:pPr>
              <w:autoSpaceDE w:val="0"/>
              <w:snapToGrid w:val="0"/>
              <w:spacing w:line="360" w:lineRule="auto"/>
              <w:rPr>
                <w:rFonts w:ascii="宋体" w:hAnsi="宋体" w:cs="宋体"/>
                <w:sz w:val="24"/>
                <w:lang w:val="zh-CN"/>
              </w:rPr>
            </w:pPr>
          </w:p>
          <w:p>
            <w:pPr>
              <w:autoSpaceDE w:val="0"/>
              <w:snapToGrid w:val="0"/>
              <w:spacing w:line="360" w:lineRule="auto"/>
              <w:rPr>
                <w:rFonts w:ascii="宋体" w:hAnsi="宋体" w:cs="宋体"/>
                <w:sz w:val="24"/>
                <w:lang w:val="zh-CN"/>
              </w:rPr>
            </w:pPr>
          </w:p>
          <w:p>
            <w:pPr>
              <w:autoSpaceDE w:val="0"/>
              <w:snapToGrid w:val="0"/>
              <w:spacing w:line="360" w:lineRule="auto"/>
              <w:rPr>
                <w:rFonts w:ascii="宋体" w:hAnsi="宋体" w:cs="宋体"/>
                <w:sz w:val="24"/>
                <w:lang w:val="zh-CN"/>
              </w:rPr>
            </w:pPr>
          </w:p>
          <w:p>
            <w:pPr>
              <w:autoSpaceDE w:val="0"/>
              <w:snapToGrid w:val="0"/>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pPr>
              <w:autoSpaceDE w:val="0"/>
              <w:snapToGrid w:val="0"/>
              <w:spacing w:line="360" w:lineRule="auto"/>
              <w:jc w:val="center"/>
              <w:rPr>
                <w:rFonts w:ascii="宋体" w:hAnsi="宋体"/>
              </w:rPr>
            </w:pPr>
            <w:r>
              <w:rPr>
                <w:rFonts w:hint="eastAsia" w:ascii="宋体" w:hAnsi="宋体" w:cs="宋体"/>
                <w:sz w:val="24"/>
                <w:lang w:val="zh-CN"/>
              </w:rPr>
              <w:t>单位</w:t>
            </w:r>
          </w:p>
          <w:p>
            <w:pPr>
              <w:autoSpaceDE w:val="0"/>
              <w:snapToGrid w:val="0"/>
              <w:spacing w:line="360" w:lineRule="auto"/>
              <w:jc w:val="center"/>
              <w:rPr>
                <w:rFonts w:ascii="宋体" w:hAnsi="宋体"/>
              </w:rPr>
            </w:pPr>
            <w:r>
              <w:rPr>
                <w:rFonts w:hint="eastAsia" w:ascii="宋体" w:hAnsi="宋体" w:cs="宋体"/>
                <w:sz w:val="24"/>
                <w:lang w:val="zh-CN"/>
              </w:rPr>
              <w:t>职工</w:t>
            </w:r>
          </w:p>
        </w:tc>
        <w:tc>
          <w:tcPr>
            <w:tcW w:w="4348" w:type="dxa"/>
            <w:gridSpan w:val="3"/>
            <w:vAlign w:val="center"/>
          </w:tcPr>
          <w:p>
            <w:pPr>
              <w:autoSpaceDE w:val="0"/>
              <w:snapToGrid w:val="0"/>
              <w:jc w:val="center"/>
              <w:rPr>
                <w:rFonts w:ascii="宋体" w:hAnsi="宋体"/>
              </w:rPr>
            </w:pPr>
            <w:r>
              <w:rPr>
                <w:rFonts w:hint="eastAsia" w:ascii="宋体" w:hAnsi="宋体" w:cs="宋体"/>
                <w:sz w:val="24"/>
                <w:lang w:val="zh-CN"/>
              </w:rPr>
              <w:t>人数</w:t>
            </w:r>
          </w:p>
        </w:tc>
        <w:tc>
          <w:tcPr>
            <w:tcW w:w="3728" w:type="dxa"/>
            <w:gridSpan w:val="3"/>
            <w:vAlign w:val="center"/>
          </w:tcPr>
          <w:p>
            <w:pPr>
              <w:autoSpaceDE w:val="0"/>
              <w:snapToGrid w:val="0"/>
              <w:jc w:val="center"/>
              <w:rPr>
                <w:rFonts w:ascii="宋体" w:hAnsi="宋体"/>
              </w:rPr>
            </w:pPr>
            <w:r>
              <w:rPr>
                <w:rFonts w:hint="eastAsia" w:ascii="宋体" w:hAnsi="宋体" w:cs="宋体"/>
                <w:sz w:val="24"/>
                <w:lang w:val="zh-CN"/>
              </w:rPr>
              <w:t>具有执业资格的管理人员人数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pPr>
              <w:autoSpaceDE w:val="0"/>
              <w:snapToGrid w:val="0"/>
              <w:spacing w:line="360" w:lineRule="auto"/>
              <w:jc w:val="center"/>
              <w:rPr>
                <w:rFonts w:ascii="宋体" w:hAnsi="宋体" w:cs="宋体"/>
                <w:sz w:val="24"/>
                <w:lang w:val="zh-CN"/>
              </w:rPr>
            </w:pPr>
          </w:p>
        </w:tc>
        <w:tc>
          <w:tcPr>
            <w:tcW w:w="4348" w:type="dxa"/>
            <w:gridSpan w:val="3"/>
            <w:vAlign w:val="center"/>
          </w:tcPr>
          <w:p>
            <w:pPr>
              <w:autoSpaceDE w:val="0"/>
              <w:snapToGrid w:val="0"/>
              <w:spacing w:line="360" w:lineRule="auto"/>
              <w:jc w:val="center"/>
              <w:rPr>
                <w:rFonts w:ascii="宋体" w:hAnsi="宋体" w:cs="宋体"/>
                <w:sz w:val="24"/>
                <w:lang w:val="zh-CN"/>
              </w:rPr>
            </w:pPr>
          </w:p>
        </w:tc>
        <w:tc>
          <w:tcPr>
            <w:tcW w:w="3728" w:type="dxa"/>
            <w:gridSpan w:val="3"/>
            <w:vAlign w:val="center"/>
          </w:tcPr>
          <w:p>
            <w:pPr>
              <w:autoSpaceDE w:val="0"/>
              <w:snapToGri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8"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rPr>
              <w:t>获奖情况</w:t>
            </w:r>
          </w:p>
          <w:p>
            <w:pPr>
              <w:autoSpaceDE w:val="0"/>
              <w:snapToGrid w:val="0"/>
              <w:spacing w:line="360" w:lineRule="auto"/>
              <w:jc w:val="center"/>
              <w:rPr>
                <w:rFonts w:ascii="宋体" w:hAnsi="宋体"/>
              </w:rPr>
            </w:pPr>
            <w:r>
              <w:rPr>
                <w:rFonts w:hint="eastAsia" w:ascii="宋体" w:hAnsi="宋体" w:cs="宋体"/>
                <w:sz w:val="24"/>
              </w:rPr>
              <w:t>(荣誉)</w:t>
            </w:r>
          </w:p>
        </w:tc>
        <w:tc>
          <w:tcPr>
            <w:tcW w:w="8076" w:type="dxa"/>
            <w:gridSpan w:val="6"/>
            <w:vAlign w:val="center"/>
          </w:tcPr>
          <w:p>
            <w:pPr>
              <w:autoSpaceDE w:val="0"/>
              <w:snapToGrid w:val="0"/>
              <w:spacing w:line="360" w:lineRule="auto"/>
              <w:jc w:val="center"/>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3" w:hRule="atLeast"/>
          <w:jc w:val="center"/>
        </w:trPr>
        <w:tc>
          <w:tcPr>
            <w:tcW w:w="1195" w:type="dxa"/>
            <w:vAlign w:val="center"/>
          </w:tcPr>
          <w:p>
            <w:pPr>
              <w:autoSpaceDE w:val="0"/>
              <w:snapToGrid w:val="0"/>
              <w:spacing w:line="360" w:lineRule="auto"/>
              <w:jc w:val="center"/>
              <w:rPr>
                <w:rFonts w:ascii="宋体" w:hAnsi="宋体"/>
              </w:rPr>
            </w:pPr>
            <w:r>
              <w:rPr>
                <w:rFonts w:hint="eastAsia" w:ascii="宋体" w:hAnsi="宋体" w:cs="宋体"/>
                <w:sz w:val="24"/>
                <w:lang w:val="zh-CN"/>
              </w:rPr>
              <w:t>单</w:t>
            </w:r>
          </w:p>
          <w:p>
            <w:pPr>
              <w:autoSpaceDE w:val="0"/>
              <w:snapToGrid w:val="0"/>
              <w:spacing w:line="360" w:lineRule="auto"/>
              <w:jc w:val="center"/>
              <w:rPr>
                <w:rFonts w:ascii="宋体" w:hAnsi="宋体"/>
              </w:rPr>
            </w:pPr>
            <w:r>
              <w:rPr>
                <w:rFonts w:hint="eastAsia" w:ascii="宋体" w:hAnsi="宋体" w:cs="宋体"/>
                <w:sz w:val="24"/>
                <w:lang w:val="zh-CN"/>
              </w:rPr>
              <w:t>位</w:t>
            </w:r>
          </w:p>
          <w:p>
            <w:pPr>
              <w:autoSpaceDE w:val="0"/>
              <w:snapToGrid w:val="0"/>
              <w:spacing w:line="360" w:lineRule="auto"/>
              <w:jc w:val="center"/>
              <w:rPr>
                <w:rFonts w:ascii="宋体" w:hAnsi="宋体"/>
              </w:rPr>
            </w:pPr>
            <w:r>
              <w:rPr>
                <w:rFonts w:hint="eastAsia" w:ascii="宋体" w:hAnsi="宋体" w:cs="宋体"/>
                <w:sz w:val="24"/>
                <w:lang w:val="zh-CN"/>
              </w:rPr>
              <w:t>简</w:t>
            </w:r>
          </w:p>
          <w:p>
            <w:pPr>
              <w:autoSpaceDE w:val="0"/>
              <w:snapToGrid w:val="0"/>
              <w:spacing w:line="360" w:lineRule="auto"/>
              <w:jc w:val="center"/>
              <w:rPr>
                <w:rFonts w:ascii="宋体" w:hAnsi="宋体"/>
              </w:rPr>
            </w:pPr>
            <w:r>
              <w:rPr>
                <w:rFonts w:hint="eastAsia" w:ascii="宋体" w:hAnsi="宋体" w:cs="宋体"/>
                <w:sz w:val="24"/>
                <w:lang w:val="zh-CN"/>
              </w:rPr>
              <w:t>历</w:t>
            </w:r>
          </w:p>
        </w:tc>
        <w:tc>
          <w:tcPr>
            <w:tcW w:w="8076" w:type="dxa"/>
            <w:gridSpan w:val="6"/>
          </w:tcPr>
          <w:p>
            <w:pPr>
              <w:autoSpaceDE w:val="0"/>
              <w:snapToGrid w:val="0"/>
              <w:spacing w:line="360" w:lineRule="auto"/>
              <w:jc w:val="center"/>
              <w:rPr>
                <w:rFonts w:ascii="宋体" w:hAnsi="宋体" w:cs="宋体"/>
                <w:sz w:val="24"/>
                <w:lang w:val="zh-CN"/>
              </w:rPr>
            </w:pPr>
          </w:p>
        </w:tc>
      </w:tr>
    </w:tbl>
    <w:p>
      <w:pPr>
        <w:autoSpaceDE w:val="0"/>
        <w:snapToGrid w:val="0"/>
        <w:spacing w:line="360" w:lineRule="auto"/>
        <w:ind w:firstLine="840"/>
        <w:rPr>
          <w:rFonts w:ascii="宋体" w:hAnsi="宋体"/>
        </w:rPr>
      </w:pPr>
      <w:r>
        <w:rPr>
          <w:rFonts w:hint="eastAsia" w:ascii="宋体" w:hAnsi="宋体" w:cs="宋体"/>
          <w:sz w:val="24"/>
          <w:lang w:val="zh-CN"/>
        </w:rPr>
        <w:t>附企业、人员的相关证书复印件。如有其它补充材料，格式自拟。（文本中已提供的资料无需重复提供）</w:t>
      </w:r>
    </w:p>
    <w:p>
      <w:pPr>
        <w:snapToGrid w:val="0"/>
        <w:spacing w:line="360" w:lineRule="auto"/>
        <w:ind w:firstLine="576"/>
        <w:jc w:val="center"/>
        <w:rPr>
          <w:rFonts w:cs="仿宋_GB2312" w:asciiTheme="majorEastAsia" w:hAnsiTheme="majorEastAsia" w:eastAsiaTheme="majorEastAsia"/>
          <w:kern w:val="0"/>
          <w:sz w:val="24"/>
          <w:lang w:val="zh-CN"/>
        </w:rPr>
      </w:pPr>
      <w:r>
        <w:rPr>
          <w:rFonts w:hint="eastAsia" w:cs="仿宋_GB2312" w:asciiTheme="majorEastAsia" w:hAnsiTheme="majorEastAsia" w:eastAsiaTheme="majorEastAsia"/>
          <w:kern w:val="0"/>
          <w:sz w:val="24"/>
          <w:lang w:val="zh-CN"/>
        </w:rPr>
        <w:t xml:space="preserve">                     </w:t>
      </w:r>
      <w:r>
        <w:rPr>
          <w:rFonts w:cs="仿宋_GB2312" w:asciiTheme="majorEastAsia" w:hAnsiTheme="majorEastAsia" w:eastAsiaTheme="majorEastAsia"/>
          <w:kern w:val="0"/>
          <w:sz w:val="24"/>
          <w:lang w:val="zh-CN"/>
        </w:rPr>
        <w:t xml:space="preserve">  投标人名称(电子签名)：                </w:t>
      </w:r>
    </w:p>
    <w:p>
      <w:pPr>
        <w:snapToGrid w:val="0"/>
        <w:spacing w:line="360" w:lineRule="auto"/>
        <w:ind w:firstLine="576"/>
        <w:jc w:val="center"/>
      </w:pPr>
      <w:r>
        <w:rPr>
          <w:rFonts w:cs="仿宋_GB2312" w:asciiTheme="majorEastAsia" w:hAnsiTheme="majorEastAsia" w:eastAsiaTheme="majorEastAsia"/>
          <w:kern w:val="0"/>
          <w:sz w:val="24"/>
          <w:lang w:val="zh-CN"/>
        </w:rPr>
        <w:t xml:space="preserve">                   日期：  年  月  日</w:t>
      </w:r>
    </w:p>
    <w:p>
      <w:pPr>
        <w:jc w:val="left"/>
        <w:rPr>
          <w:rFonts w:cs="仿宋_GB2312" w:asciiTheme="majorEastAsia" w:hAnsiTheme="majorEastAsia" w:eastAsiaTheme="majorEastAsia"/>
          <w:b/>
          <w:kern w:val="0"/>
          <w:sz w:val="32"/>
          <w:szCs w:val="32"/>
        </w:rPr>
      </w:pPr>
    </w:p>
    <w:p>
      <w:pPr>
        <w:jc w:val="left"/>
        <w:rPr>
          <w:rFonts w:cs="仿宋_GB2312" w:asciiTheme="majorEastAsia" w:hAnsiTheme="majorEastAsia" w:eastAsiaTheme="majorEastAsia"/>
          <w:b/>
          <w:kern w:val="0"/>
          <w:sz w:val="28"/>
          <w:szCs w:val="28"/>
        </w:rPr>
      </w:pPr>
      <w:r>
        <w:rPr>
          <w:rFonts w:hint="eastAsia" w:cs="仿宋_GB2312" w:asciiTheme="majorEastAsia" w:hAnsiTheme="majorEastAsia" w:eastAsiaTheme="majorEastAsia"/>
          <w:b/>
          <w:kern w:val="0"/>
          <w:sz w:val="28"/>
          <w:szCs w:val="28"/>
        </w:rPr>
        <w:t>参考格式2</w:t>
      </w:r>
    </w:p>
    <w:p>
      <w:pPr>
        <w:pStyle w:val="4"/>
        <w:rPr>
          <w:lang w:val="en-US"/>
        </w:rPr>
      </w:pPr>
    </w:p>
    <w:p>
      <w:pPr>
        <w:autoSpaceDE w:val="0"/>
        <w:spacing w:line="360" w:lineRule="auto"/>
        <w:ind w:firstLine="120"/>
        <w:jc w:val="center"/>
        <w:rPr>
          <w:rFonts w:ascii="宋体" w:hAnsi="宋体"/>
        </w:rPr>
      </w:pPr>
      <w:r>
        <w:rPr>
          <w:rFonts w:hint="eastAsia" w:ascii="宋体" w:hAnsi="宋体" w:cs="宋体"/>
          <w:b/>
          <w:kern w:val="0"/>
          <w:sz w:val="30"/>
          <w:szCs w:val="30"/>
          <w:lang w:val="zh-CN"/>
        </w:rPr>
        <w:t>近三年来主要业绩证明</w:t>
      </w:r>
    </w:p>
    <w:p>
      <w:pPr>
        <w:autoSpaceDE w:val="0"/>
        <w:spacing w:line="360" w:lineRule="auto"/>
        <w:ind w:firstLine="120"/>
        <w:rPr>
          <w:rFonts w:ascii="宋体" w:hAnsi="宋体"/>
        </w:rPr>
      </w:pPr>
      <w:r>
        <w:rPr>
          <w:rFonts w:ascii="宋体" w:hAnsi="宋体"/>
        </w:rPr>
        <w:t>附表 :相关项目业绩一览表</w:t>
      </w:r>
    </w:p>
    <w:tbl>
      <w:tblPr>
        <w:tblStyle w:val="63"/>
        <w:tblW w:w="0" w:type="auto"/>
        <w:tblInd w:w="-7" w:type="dxa"/>
        <w:tblLayout w:type="fixed"/>
        <w:tblCellMar>
          <w:top w:w="0" w:type="dxa"/>
          <w:left w:w="108" w:type="dxa"/>
          <w:bottom w:w="0" w:type="dxa"/>
          <w:right w:w="108" w:type="dxa"/>
        </w:tblCellMar>
      </w:tblPr>
      <w:tblGrid>
        <w:gridCol w:w="1828"/>
        <w:gridCol w:w="966"/>
        <w:gridCol w:w="1380"/>
        <w:gridCol w:w="1163"/>
        <w:gridCol w:w="1174"/>
        <w:gridCol w:w="1540"/>
        <w:gridCol w:w="1250"/>
      </w:tblGrid>
      <w:tr>
        <w:tblPrEx>
          <w:tblCellMar>
            <w:top w:w="0" w:type="dxa"/>
            <w:left w:w="108" w:type="dxa"/>
            <w:bottom w:w="0" w:type="dxa"/>
            <w:right w:w="108" w:type="dxa"/>
          </w:tblCellMar>
        </w:tblPrEx>
        <w:trPr>
          <w:trHeight w:val="1177" w:hRule="atLeast"/>
        </w:trPr>
        <w:tc>
          <w:tcPr>
            <w:tcW w:w="1828"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项目名称</w:t>
            </w:r>
          </w:p>
        </w:tc>
        <w:tc>
          <w:tcPr>
            <w:tcW w:w="966"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项目</w:t>
            </w:r>
          </w:p>
          <w:p>
            <w:pPr>
              <w:autoSpaceDE w:val="0"/>
              <w:spacing w:line="276" w:lineRule="auto"/>
              <w:jc w:val="center"/>
              <w:rPr>
                <w:rFonts w:ascii="宋体" w:hAnsi="宋体"/>
              </w:rPr>
            </w:pPr>
            <w:r>
              <w:rPr>
                <w:rFonts w:hint="eastAsia" w:ascii="宋体" w:hAnsi="宋体" w:cs="宋体"/>
                <w:sz w:val="24"/>
              </w:rPr>
              <w:t>类型</w:t>
            </w:r>
          </w:p>
        </w:tc>
        <w:tc>
          <w:tcPr>
            <w:tcW w:w="1380"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简要描述</w:t>
            </w:r>
          </w:p>
        </w:tc>
        <w:tc>
          <w:tcPr>
            <w:tcW w:w="1163"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项目</w:t>
            </w:r>
          </w:p>
          <w:p>
            <w:pPr>
              <w:autoSpaceDE w:val="0"/>
              <w:spacing w:line="276" w:lineRule="auto"/>
              <w:jc w:val="center"/>
              <w:rPr>
                <w:rFonts w:ascii="宋体" w:hAnsi="宋体"/>
              </w:rPr>
            </w:pPr>
            <w:r>
              <w:rPr>
                <w:rFonts w:hint="eastAsia" w:ascii="宋体" w:hAnsi="宋体" w:cs="宋体"/>
                <w:sz w:val="24"/>
              </w:rPr>
              <w:t>投资</w:t>
            </w:r>
          </w:p>
          <w:p>
            <w:pPr>
              <w:autoSpaceDE w:val="0"/>
              <w:spacing w:line="276" w:lineRule="auto"/>
              <w:jc w:val="center"/>
              <w:rPr>
                <w:rFonts w:ascii="宋体" w:hAnsi="宋体"/>
              </w:rPr>
            </w:pPr>
            <w:r>
              <w:rPr>
                <w:rFonts w:hint="eastAsia" w:ascii="宋体" w:hAnsi="宋体" w:cs="宋体"/>
                <w:sz w:val="24"/>
              </w:rPr>
              <w:t>（万元）</w:t>
            </w:r>
          </w:p>
        </w:tc>
        <w:tc>
          <w:tcPr>
            <w:tcW w:w="1174"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合同签订日期</w:t>
            </w:r>
          </w:p>
        </w:tc>
        <w:tc>
          <w:tcPr>
            <w:tcW w:w="1540"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项目地址与采购单位联系电话</w:t>
            </w:r>
          </w:p>
        </w:tc>
        <w:tc>
          <w:tcPr>
            <w:tcW w:w="1250" w:type="dxa"/>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ascii="宋体" w:hAnsi="宋体"/>
              </w:rPr>
            </w:pPr>
            <w:r>
              <w:rPr>
                <w:rFonts w:hint="eastAsia" w:ascii="宋体" w:hAnsi="宋体" w:cs="宋体"/>
                <w:sz w:val="24"/>
              </w:rPr>
              <w:t>所在页码</w:t>
            </w:r>
          </w:p>
        </w:tc>
      </w:tr>
      <w:tr>
        <w:tblPrEx>
          <w:tblCellMar>
            <w:top w:w="0" w:type="dxa"/>
            <w:left w:w="108" w:type="dxa"/>
            <w:bottom w:w="0" w:type="dxa"/>
            <w:right w:w="108" w:type="dxa"/>
          </w:tblCellMar>
        </w:tblPrEx>
        <w:trPr>
          <w:trHeight w:val="894" w:hRule="atLeast"/>
        </w:trPr>
        <w:tc>
          <w:tcPr>
            <w:tcW w:w="1828"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63"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r>
      <w:tr>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63"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r>
      <w:tr>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966"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38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63"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174"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54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c>
          <w:tcPr>
            <w:tcW w:w="1250" w:type="dxa"/>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ascii="宋体" w:hAnsi="宋体" w:cs="宋体"/>
                <w:sz w:val="24"/>
              </w:rPr>
            </w:pPr>
          </w:p>
        </w:tc>
      </w:tr>
    </w:tbl>
    <w:p>
      <w:pPr>
        <w:autoSpaceDE w:val="0"/>
        <w:spacing w:line="360" w:lineRule="auto"/>
        <w:rPr>
          <w:rFonts w:ascii="宋体" w:hAnsi="宋体"/>
        </w:rPr>
      </w:pPr>
      <w:r>
        <w:rPr>
          <w:rFonts w:hint="eastAsia" w:ascii="宋体" w:hAnsi="宋体" w:cs="宋体"/>
          <w:b/>
          <w:sz w:val="24"/>
        </w:rPr>
        <w:t xml:space="preserve">  注：投标供应商可按上述的格式自行编制，须随表提交相应的合同复印件并注明所在投标商务文件页码。</w:t>
      </w:r>
    </w:p>
    <w:p>
      <w:pPr>
        <w:snapToGrid w:val="0"/>
        <w:spacing w:line="360" w:lineRule="auto"/>
        <w:ind w:firstLine="576"/>
        <w:jc w:val="center"/>
        <w:rPr>
          <w:rFonts w:cs="仿宋_GB2312" w:asciiTheme="majorEastAsia" w:hAnsiTheme="majorEastAsia" w:eastAsiaTheme="majorEastAsia"/>
          <w:kern w:val="0"/>
          <w:sz w:val="24"/>
          <w:lang w:val="zh-CN"/>
        </w:rPr>
      </w:pPr>
      <w:r>
        <w:rPr>
          <w:rFonts w:hint="eastAsia" w:cs="仿宋_GB2312" w:asciiTheme="majorEastAsia" w:hAnsiTheme="majorEastAsia" w:eastAsiaTheme="majorEastAsia"/>
          <w:kern w:val="0"/>
          <w:sz w:val="24"/>
          <w:lang w:val="zh-CN"/>
        </w:rPr>
        <w:t xml:space="preserve">                  </w:t>
      </w:r>
      <w:r>
        <w:rPr>
          <w:rFonts w:cs="仿宋_GB2312" w:asciiTheme="majorEastAsia" w:hAnsiTheme="majorEastAsia" w:eastAsiaTheme="majorEastAsia"/>
          <w:kern w:val="0"/>
          <w:sz w:val="24"/>
          <w:lang w:val="zh-CN"/>
        </w:rPr>
        <w:t xml:space="preserve">投标人名称(电子签名)：                </w:t>
      </w:r>
    </w:p>
    <w:p>
      <w:pPr>
        <w:jc w:val="center"/>
        <w:rPr>
          <w:rFonts w:ascii="宋体" w:hAnsi="宋体" w:cs="宋体"/>
          <w:b/>
          <w:kern w:val="0"/>
          <w:sz w:val="32"/>
          <w:szCs w:val="32"/>
        </w:rPr>
      </w:pPr>
      <w:r>
        <w:rPr>
          <w:rFonts w:cs="仿宋_GB2312" w:asciiTheme="majorEastAsia" w:hAnsiTheme="majorEastAsia" w:eastAsiaTheme="majorEastAsia"/>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Layout w:type="autofit"/>
        <w:tblCellMar>
          <w:top w:w="0" w:type="dxa"/>
          <w:left w:w="108" w:type="dxa"/>
          <w:bottom w:w="0" w:type="dxa"/>
          <w:right w:w="108" w:type="dxa"/>
        </w:tblCellMar>
      </w:tblPr>
      <w:tblGrid>
        <w:gridCol w:w="959"/>
        <w:gridCol w:w="3683"/>
        <w:gridCol w:w="3546"/>
        <w:gridCol w:w="1276"/>
      </w:tblGrid>
      <w:tr>
        <w:tblPrEx>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bCs/>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2891" w:firstLineChars="900"/>
        <w:rPr>
          <w:rFonts w:ascii="宋体" w:hAnsi="宋体" w:cs="宋体"/>
          <w:b/>
          <w:kern w:val="0"/>
          <w:sz w:val="32"/>
          <w:szCs w:val="32"/>
        </w:rPr>
      </w:pPr>
    </w:p>
    <w:p>
      <w:pPr>
        <w:ind w:firstLine="1911" w:firstLineChars="595"/>
        <w:rPr>
          <w:rFonts w:ascii="宋体" w:hAnsi="宋体" w:cs="宋体"/>
          <w:b/>
          <w:kern w:val="0"/>
          <w:sz w:val="32"/>
          <w:szCs w:val="32"/>
        </w:rPr>
      </w:pPr>
      <w:r>
        <w:rPr>
          <w:rFonts w:hint="eastAsia" w:ascii="宋体" w:hAnsi="宋体" w:cs="宋体"/>
          <w:b/>
          <w:kern w:val="0"/>
          <w:sz w:val="32"/>
          <w:szCs w:val="32"/>
        </w:rPr>
        <w:t>八、</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杭州市中策职业学校钱塘学校、浙江省建设工程设备招标有限公司</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numPr>
          <w:ilvl w:val="0"/>
          <w:numId w:val="17"/>
        </w:numPr>
        <w:snapToGrid w:val="0"/>
        <w:spacing w:line="360" w:lineRule="auto"/>
        <w:rPr>
          <w:rFonts w:ascii="宋体" w:hAnsi="宋体" w:cs="宋体"/>
          <w:sz w:val="24"/>
        </w:rPr>
      </w:pPr>
      <w:r>
        <w:rPr>
          <w:rFonts w:hint="eastAsia" w:ascii="宋体" w:hAnsi="宋体" w:cs="宋体"/>
          <w:sz w:val="24"/>
        </w:rPr>
        <w:t>开标一览表（报价表）………………………………………………………（页码）</w:t>
      </w:r>
    </w:p>
    <w:p>
      <w:pPr>
        <w:numPr>
          <w:ilvl w:val="0"/>
          <w:numId w:val="17"/>
        </w:numPr>
        <w:snapToGrid w:val="0"/>
        <w:spacing w:line="360" w:lineRule="auto"/>
        <w:rPr>
          <w:rFonts w:ascii="宋体" w:hAnsi="宋体" w:cs="宋体"/>
          <w:sz w:val="24"/>
        </w:rPr>
      </w:pPr>
      <w:r>
        <w:rPr>
          <w:rFonts w:hint="eastAsia" w:cs="仿宋_GB2312" w:asciiTheme="minorEastAsia" w:hAnsiTheme="minorEastAsia" w:eastAsiaTheme="minorEastAsia"/>
          <w:sz w:val="24"/>
        </w:rPr>
        <w:t>报</w:t>
      </w:r>
      <w:r>
        <w:rPr>
          <w:rFonts w:cs="仿宋_GB2312" w:asciiTheme="minorEastAsia" w:hAnsiTheme="minorEastAsia" w:eastAsiaTheme="minorEastAsia"/>
          <w:sz w:val="24"/>
        </w:rPr>
        <w:t>价</w:t>
      </w:r>
      <w:r>
        <w:rPr>
          <w:rFonts w:hint="eastAsia" w:cs="仿宋_GB2312" w:asciiTheme="minorEastAsia" w:hAnsiTheme="minorEastAsia" w:eastAsiaTheme="minorEastAsia"/>
          <w:sz w:val="24"/>
        </w:rPr>
        <w:t>明细</w:t>
      </w:r>
      <w:r>
        <w:rPr>
          <w:rFonts w:cs="仿宋_GB2312" w:asciiTheme="minorEastAsia" w:hAnsiTheme="minorEastAsia" w:eastAsiaTheme="minorEastAsia"/>
          <w:sz w:val="24"/>
        </w:rPr>
        <w:t>表……</w:t>
      </w:r>
      <w:r>
        <w:rPr>
          <w:rFonts w:hint="eastAsia" w:cs="仿宋_GB2312" w:asciiTheme="minorEastAsia" w:hAnsiTheme="minorEastAsia" w:eastAsiaTheme="minorEastAsia"/>
          <w:sz w:val="24"/>
        </w:rPr>
        <w:t>………………………………………………………………（页码）</w:t>
      </w:r>
    </w:p>
    <w:p>
      <w:pPr>
        <w:numPr>
          <w:ilvl w:val="0"/>
          <w:numId w:val="17"/>
        </w:numPr>
        <w:snapToGrid w:val="0"/>
        <w:spacing w:line="360" w:lineRule="auto"/>
        <w:rPr>
          <w:rFonts w:ascii="宋体" w:hAnsi="宋体" w:cs="宋体"/>
          <w:sz w:val="24"/>
        </w:rPr>
      </w:pPr>
      <w:r>
        <w:rPr>
          <w:rFonts w:hint="eastAsia" w:ascii="宋体" w:hAnsi="宋体" w:cs="宋体"/>
          <w:sz w:val="24"/>
        </w:rPr>
        <w:t>中小企业声明函………………………………………………………………（页码）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7"/>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7"/>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sz w:val="24"/>
        </w:rPr>
        <w:t>杭州市中策职业学校钱塘学校、浙江省建设工程设备招标有限公司</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杭州市中策职业学校钱塘学校综合安防系统采购项目</w:t>
      </w:r>
      <w:r>
        <w:rPr>
          <w:rFonts w:hint="eastAsia" w:ascii="宋体" w:hAnsi="宋体" w:cs="宋体"/>
          <w:kern w:val="0"/>
          <w:sz w:val="24"/>
          <w:lang w:val="zh-CN"/>
        </w:rPr>
        <w:t>【招标编号：</w:t>
      </w:r>
      <w:r>
        <w:rPr>
          <w:rFonts w:hint="eastAsia" w:ascii="宋体" w:hAnsi="宋体" w:cs="宋体"/>
          <w:sz w:val="24"/>
        </w:rPr>
        <w:t>ZJZBC-GK-22-9002】的实施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规格型号（或具体服务）</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总价</w:t>
            </w:r>
          </w:p>
        </w:tc>
        <w:tc>
          <w:tcPr>
            <w:tcW w:w="3119" w:type="dxa"/>
            <w:vAlign w:val="center"/>
          </w:tcPr>
          <w:p>
            <w:pPr>
              <w:spacing w:line="360" w:lineRule="auto"/>
              <w:jc w:val="center"/>
              <w:rPr>
                <w:rFonts w:ascii="宋体" w:hAnsi="宋体" w:cs="宋体"/>
                <w:b/>
                <w:sz w:val="24"/>
              </w:rPr>
            </w:pPr>
            <w:r>
              <w:rPr>
                <w:rFonts w:hint="eastAsia" w:ascii="宋体" w:hAnsi="宋体" w:cs="宋体"/>
                <w:b/>
                <w:sz w:val="24"/>
              </w:rPr>
              <w:t>实施期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Merge w:val="restart"/>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bookmarkStart w:id="570" w:name="_GoBack"/>
            <w:bookmarkEnd w:id="570"/>
          </w:p>
        </w:tc>
        <w:tc>
          <w:tcPr>
            <w:tcW w:w="3119" w:type="dxa"/>
            <w:vMerge w:val="continue"/>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Merge w:val="continue"/>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Merge w:val="continue"/>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Merge w:val="continue"/>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1、投标人需按本表格式填写，不得自行更改。因涉及产品较多，本表可汇总填写，具体在明细表中明确。</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投标文件含有采购人不能接受的附加条件的，投标无效</w:t>
      </w:r>
      <w:r>
        <w:rPr>
          <w:rFonts w:hint="eastAsia" w:ascii="宋体" w:hAnsi="宋体" w:cs="宋体"/>
          <w:b/>
          <w:kern w:val="0"/>
          <w:sz w:val="24"/>
          <w:lang w:val="zh-CN"/>
        </w:rPr>
        <w:t>。</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4、特别提示：采购机构将对项目名称和项目编号，中标供应商名称、地址和中标金额，主要中标标的的名称、规格型号、数量、单价、服务要求等予以公示。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5、</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7"/>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autoSpaceDE w:val="0"/>
        <w:autoSpaceDN w:val="0"/>
        <w:spacing w:line="360" w:lineRule="auto"/>
        <w:ind w:right="1120" w:firstLine="3855" w:firstLineChars="1600"/>
        <w:jc w:val="right"/>
        <w:rPr>
          <w:rFonts w:ascii="宋体" w:hAnsi="宋体" w:cs="宋体"/>
          <w:b/>
          <w:bCs/>
          <w:kern w:val="0"/>
          <w:sz w:val="24"/>
          <w:lang w:val="zh-CN"/>
        </w:rPr>
      </w:pPr>
      <w:r>
        <w:rPr>
          <w:rFonts w:hint="eastAsia" w:ascii="宋体" w:hAnsi="宋体" w:cs="宋体"/>
          <w:b/>
          <w:bCs/>
          <w:kern w:val="0"/>
          <w:sz w:val="24"/>
          <w:lang w:val="zh-CN"/>
        </w:rPr>
        <w:t>投标人名称（</w:t>
      </w:r>
      <w:r>
        <w:rPr>
          <w:rFonts w:hint="eastAsia" w:ascii="宋体" w:hAnsi="宋体" w:cs="宋体"/>
          <w:b/>
          <w:bCs/>
          <w:sz w:val="24"/>
        </w:rPr>
        <w:t>电子签名</w:t>
      </w:r>
      <w:r>
        <w:rPr>
          <w:rFonts w:hint="eastAsia" w:ascii="宋体" w:hAnsi="宋体" w:cs="宋体"/>
          <w:b/>
          <w:bCs/>
          <w:kern w:val="0"/>
          <w:sz w:val="24"/>
          <w:lang w:val="zh-CN"/>
        </w:rPr>
        <w:t xml:space="preserve">）：                                                                                                                                                                                                               </w:t>
      </w:r>
    </w:p>
    <w:p>
      <w:pPr>
        <w:pStyle w:val="697"/>
        <w:keepNext w:val="0"/>
        <w:pageBreakBefore w:val="0"/>
        <w:tabs>
          <w:tab w:val="clear" w:pos="720"/>
        </w:tabs>
        <w:snapToGrid w:val="0"/>
        <w:spacing w:before="120" w:after="120"/>
        <w:ind w:firstLine="643"/>
        <w:outlineLvl w:val="9"/>
        <w:rPr>
          <w:rFonts w:ascii="宋体" w:hAnsi="宋体" w:eastAsia="宋体" w:cs="宋体"/>
          <w:bCs/>
          <w:kern w:val="2"/>
          <w:sz w:val="32"/>
          <w:szCs w:val="32"/>
        </w:rPr>
      </w:pPr>
      <w:r>
        <w:rPr>
          <w:rFonts w:hint="eastAsia" w:ascii="宋体" w:hAnsi="宋体" w:eastAsia="宋体" w:cs="宋体"/>
          <w:bCs/>
          <w:kern w:val="0"/>
          <w:sz w:val="24"/>
        </w:rPr>
        <w:t xml:space="preserve">                                                                    </w:t>
      </w:r>
      <w:r>
        <w:rPr>
          <w:rFonts w:hint="eastAsia" w:ascii="宋体" w:hAnsi="宋体" w:eastAsia="宋体" w:cs="宋体"/>
          <w:bCs/>
          <w:kern w:val="0"/>
          <w:sz w:val="24"/>
          <w:lang w:val="zh-CN"/>
        </w:rPr>
        <w:t>日期</w:t>
      </w:r>
      <w:r>
        <w:rPr>
          <w:rFonts w:hint="eastAsia" w:ascii="宋体" w:hAnsi="宋体" w:eastAsia="宋体" w:cs="宋体"/>
          <w:bCs/>
          <w:kern w:val="0"/>
          <w:sz w:val="24"/>
        </w:rPr>
        <w:t>：</w:t>
      </w:r>
      <w:r>
        <w:rPr>
          <w:rFonts w:hint="eastAsia" w:ascii="宋体" w:hAnsi="宋体" w:eastAsia="宋体" w:cs="宋体"/>
          <w:bCs/>
          <w:kern w:val="0"/>
          <w:sz w:val="24"/>
          <w:lang w:val="zh-CN"/>
        </w:rPr>
        <w:t xml:space="preserve">   年   月   日</w:t>
      </w:r>
    </w:p>
    <w:p>
      <w:pPr>
        <w:pStyle w:val="697"/>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7"/>
        <w:keepNext w:val="0"/>
        <w:pageBreakBefore w:val="0"/>
        <w:tabs>
          <w:tab w:val="clear" w:pos="720"/>
        </w:tabs>
        <w:snapToGrid w:val="0"/>
        <w:spacing w:before="120" w:after="120"/>
        <w:ind w:firstLine="643"/>
        <w:outlineLvl w:val="9"/>
        <w:rPr>
          <w:rFonts w:cs="仿宋" w:asciiTheme="minorEastAsia" w:hAnsiTheme="minorEastAsia" w:eastAsiaTheme="minorEastAsia"/>
          <w:b w:val="0"/>
          <w:bCs/>
          <w:snapToGrid w:val="0"/>
          <w:kern w:val="0"/>
          <w:sz w:val="28"/>
          <w:szCs w:val="28"/>
        </w:rPr>
      </w:pPr>
      <w:r>
        <w:rPr>
          <w:rFonts w:hint="eastAsia" w:cs="仿宋_GB2312" w:asciiTheme="minorEastAsia" w:hAnsiTheme="minorEastAsia" w:eastAsiaTheme="minorEastAsia"/>
          <w:kern w:val="2"/>
          <w:sz w:val="32"/>
          <w:szCs w:val="32"/>
        </w:rPr>
        <w:t>二、</w:t>
      </w:r>
      <w:r>
        <w:rPr>
          <w:rFonts w:hint="eastAsia" w:cs="仿宋" w:asciiTheme="minorEastAsia" w:hAnsiTheme="minorEastAsia" w:eastAsiaTheme="minorEastAsia"/>
          <w:bCs/>
          <w:snapToGrid w:val="0"/>
          <w:kern w:val="0"/>
          <w:sz w:val="28"/>
          <w:szCs w:val="28"/>
        </w:rPr>
        <w:t>投标报价明细表</w:t>
      </w:r>
    </w:p>
    <w:p>
      <w:pPr>
        <w:spacing w:line="360" w:lineRule="auto"/>
        <w:jc w:val="left"/>
        <w:rPr>
          <w:rFonts w:cs="仿宋" w:asciiTheme="minorEastAsia" w:hAnsiTheme="minorEastAsia" w:eastAsiaTheme="minorEastAsia"/>
          <w:szCs w:val="21"/>
        </w:rPr>
      </w:pPr>
    </w:p>
    <w:p>
      <w:pPr>
        <w:spacing w:line="360" w:lineRule="auto"/>
        <w:rPr>
          <w:rFonts w:ascii="宋体" w:hAnsi="宋体" w:cs="宋体"/>
          <w:sz w:val="24"/>
        </w:rPr>
      </w:pPr>
      <w:r>
        <w:rPr>
          <w:rFonts w:hint="eastAsia" w:ascii="宋体" w:hAnsi="宋体" w:cs="宋体"/>
          <w:sz w:val="24"/>
        </w:rPr>
        <w:t xml:space="preserve">项目名称：   </w:t>
      </w:r>
    </w:p>
    <w:p>
      <w:pPr>
        <w:pStyle w:val="24"/>
        <w:rPr>
          <w:rFonts w:hAnsi="宋体" w:cs="宋体"/>
          <w:szCs w:val="24"/>
        </w:rPr>
      </w:pPr>
      <w:r>
        <w:rPr>
          <w:rFonts w:hint="eastAsia" w:hAnsi="宋体" w:cs="宋体"/>
          <w:szCs w:val="24"/>
        </w:rPr>
        <w:t>采购编号：</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917"/>
        <w:gridCol w:w="1277"/>
        <w:gridCol w:w="1535"/>
        <w:gridCol w:w="943"/>
        <w:gridCol w:w="923"/>
        <w:gridCol w:w="923"/>
        <w:gridCol w:w="923"/>
        <w:gridCol w:w="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93" w:type="pct"/>
            <w:vAlign w:val="center"/>
          </w:tcPr>
          <w:p>
            <w:pPr>
              <w:snapToGrid w:val="0"/>
              <w:spacing w:line="400" w:lineRule="exact"/>
              <w:jc w:val="center"/>
              <w:rPr>
                <w:rFonts w:ascii="宋体" w:hAnsi="宋体" w:cs="宋体"/>
                <w:b/>
                <w:sz w:val="24"/>
              </w:rPr>
            </w:pPr>
            <w:r>
              <w:rPr>
                <w:rFonts w:hint="eastAsia" w:ascii="宋体" w:hAnsi="宋体" w:cs="宋体"/>
                <w:b/>
                <w:sz w:val="24"/>
              </w:rPr>
              <w:t>序号</w:t>
            </w:r>
          </w:p>
        </w:tc>
        <w:tc>
          <w:tcPr>
            <w:tcW w:w="494" w:type="pct"/>
            <w:vAlign w:val="center"/>
          </w:tcPr>
          <w:p>
            <w:pPr>
              <w:snapToGrid w:val="0"/>
              <w:spacing w:line="400" w:lineRule="exact"/>
              <w:jc w:val="center"/>
              <w:rPr>
                <w:rFonts w:ascii="宋体" w:hAnsi="宋体" w:cs="宋体"/>
                <w:b/>
                <w:sz w:val="24"/>
              </w:rPr>
            </w:pPr>
            <w:r>
              <w:rPr>
                <w:rFonts w:hint="eastAsia" w:ascii="宋体" w:hAnsi="宋体" w:cs="宋体"/>
                <w:b/>
                <w:sz w:val="24"/>
              </w:rPr>
              <w:t>名称</w:t>
            </w:r>
          </w:p>
        </w:tc>
        <w:tc>
          <w:tcPr>
            <w:tcW w:w="688" w:type="pct"/>
            <w:vAlign w:val="center"/>
          </w:tcPr>
          <w:p>
            <w:pPr>
              <w:snapToGrid w:val="0"/>
              <w:spacing w:line="400" w:lineRule="exact"/>
              <w:jc w:val="center"/>
              <w:rPr>
                <w:rFonts w:ascii="宋体" w:hAnsi="宋体" w:cs="宋体"/>
                <w:b/>
                <w:sz w:val="24"/>
              </w:rPr>
            </w:pPr>
            <w:r>
              <w:rPr>
                <w:rFonts w:hint="eastAsia" w:ascii="宋体" w:hAnsi="宋体" w:cs="宋体"/>
                <w:b/>
                <w:sz w:val="24"/>
              </w:rPr>
              <w:t>品牌</w:t>
            </w:r>
          </w:p>
          <w:p>
            <w:pPr>
              <w:snapToGrid w:val="0"/>
              <w:spacing w:line="400" w:lineRule="exact"/>
              <w:jc w:val="center"/>
              <w:rPr>
                <w:rFonts w:ascii="宋体" w:hAnsi="宋体" w:cs="宋体"/>
                <w:b/>
                <w:sz w:val="24"/>
              </w:rPr>
            </w:pPr>
            <w:r>
              <w:rPr>
                <w:rFonts w:hint="eastAsia" w:ascii="宋体" w:hAnsi="宋体" w:cs="宋体"/>
                <w:b/>
                <w:sz w:val="24"/>
              </w:rPr>
              <w:t>（如有）</w:t>
            </w:r>
          </w:p>
        </w:tc>
        <w:tc>
          <w:tcPr>
            <w:tcW w:w="827" w:type="pct"/>
            <w:vAlign w:val="center"/>
          </w:tcPr>
          <w:p>
            <w:pPr>
              <w:snapToGrid w:val="0"/>
              <w:spacing w:line="400" w:lineRule="exact"/>
              <w:jc w:val="center"/>
              <w:rPr>
                <w:rFonts w:ascii="宋体" w:hAnsi="宋体" w:cs="宋体"/>
                <w:b/>
                <w:sz w:val="24"/>
              </w:rPr>
            </w:pPr>
            <w:r>
              <w:rPr>
                <w:rFonts w:hint="eastAsia" w:ascii="宋体" w:hAnsi="宋体" w:cs="宋体"/>
                <w:b/>
                <w:sz w:val="24"/>
              </w:rPr>
              <w:t>规格型号</w:t>
            </w:r>
          </w:p>
        </w:tc>
        <w:tc>
          <w:tcPr>
            <w:tcW w:w="505" w:type="pct"/>
            <w:vAlign w:val="center"/>
          </w:tcPr>
          <w:p>
            <w:pPr>
              <w:snapToGrid w:val="0"/>
              <w:spacing w:line="400" w:lineRule="exact"/>
              <w:jc w:val="center"/>
              <w:rPr>
                <w:rFonts w:ascii="宋体" w:hAnsi="宋体" w:cs="宋体"/>
                <w:b/>
                <w:sz w:val="24"/>
              </w:rPr>
            </w:pPr>
            <w:r>
              <w:rPr>
                <w:rFonts w:hint="eastAsia" w:ascii="宋体" w:hAnsi="宋体" w:cs="宋体"/>
                <w:b/>
                <w:sz w:val="24"/>
              </w:rPr>
              <w:t>参数</w:t>
            </w:r>
          </w:p>
        </w:tc>
        <w:tc>
          <w:tcPr>
            <w:tcW w:w="497" w:type="pct"/>
            <w:vAlign w:val="center"/>
          </w:tcPr>
          <w:p>
            <w:pPr>
              <w:snapToGrid w:val="0"/>
              <w:spacing w:line="400" w:lineRule="exact"/>
              <w:jc w:val="center"/>
              <w:rPr>
                <w:rFonts w:ascii="宋体" w:hAnsi="宋体" w:cs="宋体"/>
                <w:b/>
                <w:sz w:val="24"/>
              </w:rPr>
            </w:pPr>
            <w:r>
              <w:rPr>
                <w:rFonts w:hint="eastAsia" w:ascii="宋体" w:hAnsi="宋体" w:cs="宋体"/>
                <w:b/>
                <w:sz w:val="24"/>
              </w:rPr>
              <w:t>数量</w:t>
            </w:r>
          </w:p>
        </w:tc>
        <w:tc>
          <w:tcPr>
            <w:tcW w:w="497" w:type="pct"/>
            <w:vAlign w:val="center"/>
          </w:tcPr>
          <w:p>
            <w:pPr>
              <w:snapToGrid w:val="0"/>
              <w:spacing w:line="400" w:lineRule="exact"/>
              <w:jc w:val="center"/>
              <w:rPr>
                <w:rFonts w:ascii="宋体" w:hAnsi="宋体" w:cs="宋体"/>
                <w:b/>
                <w:sz w:val="24"/>
              </w:rPr>
            </w:pPr>
            <w:r>
              <w:rPr>
                <w:rFonts w:hint="eastAsia" w:ascii="宋体" w:hAnsi="宋体" w:cs="宋体"/>
                <w:b/>
                <w:sz w:val="24"/>
              </w:rPr>
              <w:t>单价</w:t>
            </w:r>
          </w:p>
        </w:tc>
        <w:tc>
          <w:tcPr>
            <w:tcW w:w="497" w:type="pct"/>
            <w:vAlign w:val="center"/>
          </w:tcPr>
          <w:p>
            <w:pPr>
              <w:snapToGrid w:val="0"/>
              <w:spacing w:line="400" w:lineRule="exact"/>
              <w:jc w:val="center"/>
              <w:rPr>
                <w:rFonts w:ascii="宋体" w:hAnsi="宋体" w:cs="宋体"/>
                <w:b/>
                <w:sz w:val="24"/>
              </w:rPr>
            </w:pPr>
            <w:r>
              <w:rPr>
                <w:rFonts w:hint="eastAsia" w:ascii="宋体" w:hAnsi="宋体" w:cs="宋体"/>
                <w:b/>
                <w:sz w:val="24"/>
              </w:rPr>
              <w:t>总价</w:t>
            </w:r>
          </w:p>
        </w:tc>
        <w:tc>
          <w:tcPr>
            <w:tcW w:w="497" w:type="pct"/>
            <w:vAlign w:val="center"/>
          </w:tcPr>
          <w:p>
            <w:pPr>
              <w:snapToGrid w:val="0"/>
              <w:spacing w:line="400" w:lineRule="exact"/>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93" w:type="pct"/>
            <w:vAlign w:val="center"/>
          </w:tcPr>
          <w:p>
            <w:pPr>
              <w:snapToGrid w:val="0"/>
              <w:spacing w:line="400" w:lineRule="exact"/>
              <w:jc w:val="center"/>
              <w:rPr>
                <w:rFonts w:ascii="宋体" w:hAnsi="宋体" w:cs="宋体"/>
                <w:sz w:val="24"/>
              </w:rPr>
            </w:pPr>
            <w:r>
              <w:rPr>
                <w:rFonts w:hint="eastAsia" w:ascii="宋体" w:hAnsi="宋体" w:cs="宋体"/>
                <w:sz w:val="24"/>
              </w:rPr>
              <w:t>1</w:t>
            </w:r>
          </w:p>
        </w:tc>
        <w:tc>
          <w:tcPr>
            <w:tcW w:w="494" w:type="pct"/>
            <w:vAlign w:val="center"/>
          </w:tcPr>
          <w:p>
            <w:pPr>
              <w:snapToGrid w:val="0"/>
              <w:spacing w:line="400" w:lineRule="exact"/>
              <w:jc w:val="center"/>
              <w:rPr>
                <w:rFonts w:ascii="宋体" w:hAnsi="宋体" w:cs="宋体"/>
                <w:sz w:val="24"/>
              </w:rPr>
            </w:pPr>
          </w:p>
        </w:tc>
        <w:tc>
          <w:tcPr>
            <w:tcW w:w="688" w:type="pct"/>
            <w:vAlign w:val="center"/>
          </w:tcPr>
          <w:p>
            <w:pPr>
              <w:snapToGrid w:val="0"/>
              <w:spacing w:line="400" w:lineRule="exact"/>
              <w:jc w:val="center"/>
              <w:rPr>
                <w:rFonts w:ascii="宋体" w:hAnsi="宋体" w:cs="宋体"/>
                <w:sz w:val="24"/>
              </w:rPr>
            </w:pPr>
          </w:p>
        </w:tc>
        <w:tc>
          <w:tcPr>
            <w:tcW w:w="827" w:type="pct"/>
            <w:vAlign w:val="center"/>
          </w:tcPr>
          <w:p>
            <w:pPr>
              <w:snapToGrid w:val="0"/>
              <w:spacing w:line="400" w:lineRule="exact"/>
              <w:jc w:val="center"/>
              <w:rPr>
                <w:rFonts w:ascii="宋体" w:hAnsi="宋体" w:cs="宋体"/>
                <w:sz w:val="24"/>
              </w:rPr>
            </w:pPr>
          </w:p>
        </w:tc>
        <w:tc>
          <w:tcPr>
            <w:tcW w:w="505"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93" w:type="pct"/>
            <w:vAlign w:val="center"/>
          </w:tcPr>
          <w:p>
            <w:pPr>
              <w:snapToGrid w:val="0"/>
              <w:spacing w:line="400" w:lineRule="exact"/>
              <w:jc w:val="center"/>
              <w:rPr>
                <w:rFonts w:ascii="宋体" w:hAnsi="宋体" w:cs="宋体"/>
                <w:sz w:val="24"/>
              </w:rPr>
            </w:pPr>
            <w:r>
              <w:rPr>
                <w:rFonts w:hint="eastAsia" w:ascii="宋体" w:hAnsi="宋体" w:cs="宋体"/>
                <w:sz w:val="24"/>
              </w:rPr>
              <w:t>2</w:t>
            </w:r>
          </w:p>
        </w:tc>
        <w:tc>
          <w:tcPr>
            <w:tcW w:w="494" w:type="pct"/>
            <w:vAlign w:val="center"/>
          </w:tcPr>
          <w:p>
            <w:pPr>
              <w:snapToGrid w:val="0"/>
              <w:spacing w:line="400" w:lineRule="exact"/>
              <w:jc w:val="center"/>
              <w:rPr>
                <w:rFonts w:ascii="宋体" w:hAnsi="宋体" w:cs="宋体"/>
                <w:sz w:val="24"/>
              </w:rPr>
            </w:pPr>
          </w:p>
        </w:tc>
        <w:tc>
          <w:tcPr>
            <w:tcW w:w="688" w:type="pct"/>
            <w:vAlign w:val="center"/>
          </w:tcPr>
          <w:p>
            <w:pPr>
              <w:snapToGrid w:val="0"/>
              <w:spacing w:line="400" w:lineRule="exact"/>
              <w:jc w:val="center"/>
              <w:rPr>
                <w:rFonts w:ascii="宋体" w:hAnsi="宋体" w:cs="宋体"/>
                <w:sz w:val="24"/>
              </w:rPr>
            </w:pPr>
          </w:p>
        </w:tc>
        <w:tc>
          <w:tcPr>
            <w:tcW w:w="827" w:type="pct"/>
            <w:vAlign w:val="center"/>
          </w:tcPr>
          <w:p>
            <w:pPr>
              <w:snapToGrid w:val="0"/>
              <w:spacing w:line="400" w:lineRule="exact"/>
              <w:jc w:val="center"/>
              <w:rPr>
                <w:rFonts w:ascii="宋体" w:hAnsi="宋体" w:cs="宋体"/>
                <w:sz w:val="24"/>
              </w:rPr>
            </w:pPr>
          </w:p>
        </w:tc>
        <w:tc>
          <w:tcPr>
            <w:tcW w:w="505"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93" w:type="pct"/>
            <w:vAlign w:val="center"/>
          </w:tcPr>
          <w:p>
            <w:pPr>
              <w:snapToGrid w:val="0"/>
              <w:spacing w:line="400" w:lineRule="exact"/>
              <w:jc w:val="center"/>
              <w:rPr>
                <w:rFonts w:ascii="宋体" w:hAnsi="宋体" w:cs="宋体"/>
                <w:sz w:val="24"/>
              </w:rPr>
            </w:pPr>
            <w:r>
              <w:rPr>
                <w:rFonts w:hint="eastAsia" w:ascii="宋体" w:hAnsi="宋体" w:cs="宋体"/>
                <w:sz w:val="24"/>
              </w:rPr>
              <w:t>…</w:t>
            </w:r>
          </w:p>
        </w:tc>
        <w:tc>
          <w:tcPr>
            <w:tcW w:w="494" w:type="pct"/>
            <w:vAlign w:val="center"/>
          </w:tcPr>
          <w:p>
            <w:pPr>
              <w:snapToGrid w:val="0"/>
              <w:spacing w:line="400" w:lineRule="exact"/>
              <w:jc w:val="center"/>
              <w:rPr>
                <w:rFonts w:ascii="宋体" w:hAnsi="宋体" w:cs="宋体"/>
                <w:sz w:val="24"/>
              </w:rPr>
            </w:pPr>
          </w:p>
        </w:tc>
        <w:tc>
          <w:tcPr>
            <w:tcW w:w="688" w:type="pct"/>
            <w:vAlign w:val="center"/>
          </w:tcPr>
          <w:p>
            <w:pPr>
              <w:snapToGrid w:val="0"/>
              <w:spacing w:line="400" w:lineRule="exact"/>
              <w:jc w:val="center"/>
              <w:rPr>
                <w:rFonts w:ascii="宋体" w:hAnsi="宋体" w:cs="宋体"/>
                <w:sz w:val="24"/>
              </w:rPr>
            </w:pPr>
          </w:p>
        </w:tc>
        <w:tc>
          <w:tcPr>
            <w:tcW w:w="827" w:type="pct"/>
            <w:vAlign w:val="center"/>
          </w:tcPr>
          <w:p>
            <w:pPr>
              <w:snapToGrid w:val="0"/>
              <w:spacing w:line="400" w:lineRule="exact"/>
              <w:jc w:val="center"/>
              <w:rPr>
                <w:rFonts w:ascii="宋体" w:hAnsi="宋体" w:cs="宋体"/>
                <w:sz w:val="24"/>
              </w:rPr>
            </w:pPr>
          </w:p>
        </w:tc>
        <w:tc>
          <w:tcPr>
            <w:tcW w:w="505"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93" w:type="pct"/>
            <w:vAlign w:val="center"/>
          </w:tcPr>
          <w:p>
            <w:pPr>
              <w:snapToGrid w:val="0"/>
              <w:spacing w:line="400" w:lineRule="exact"/>
              <w:jc w:val="center"/>
              <w:rPr>
                <w:rFonts w:ascii="宋体" w:hAnsi="宋体" w:cs="宋体"/>
                <w:sz w:val="24"/>
              </w:rPr>
            </w:pPr>
          </w:p>
        </w:tc>
        <w:tc>
          <w:tcPr>
            <w:tcW w:w="494" w:type="pct"/>
            <w:vAlign w:val="center"/>
          </w:tcPr>
          <w:p>
            <w:pPr>
              <w:snapToGrid w:val="0"/>
              <w:spacing w:line="400" w:lineRule="exact"/>
              <w:jc w:val="center"/>
              <w:rPr>
                <w:rFonts w:ascii="宋体" w:hAnsi="宋体" w:cs="宋体"/>
                <w:sz w:val="24"/>
              </w:rPr>
            </w:pPr>
          </w:p>
        </w:tc>
        <w:tc>
          <w:tcPr>
            <w:tcW w:w="688" w:type="pct"/>
            <w:vAlign w:val="center"/>
          </w:tcPr>
          <w:p>
            <w:pPr>
              <w:snapToGrid w:val="0"/>
              <w:spacing w:line="400" w:lineRule="exact"/>
              <w:jc w:val="center"/>
              <w:rPr>
                <w:rFonts w:ascii="宋体" w:hAnsi="宋体" w:cs="宋体"/>
                <w:sz w:val="24"/>
              </w:rPr>
            </w:pPr>
          </w:p>
        </w:tc>
        <w:tc>
          <w:tcPr>
            <w:tcW w:w="827" w:type="pct"/>
            <w:vAlign w:val="center"/>
          </w:tcPr>
          <w:p>
            <w:pPr>
              <w:snapToGrid w:val="0"/>
              <w:spacing w:line="400" w:lineRule="exact"/>
              <w:jc w:val="center"/>
              <w:rPr>
                <w:rFonts w:ascii="宋体" w:hAnsi="宋体" w:cs="宋体"/>
                <w:sz w:val="24"/>
              </w:rPr>
            </w:pPr>
          </w:p>
        </w:tc>
        <w:tc>
          <w:tcPr>
            <w:tcW w:w="505"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493" w:type="pct"/>
            <w:vAlign w:val="center"/>
          </w:tcPr>
          <w:p>
            <w:pPr>
              <w:snapToGrid w:val="0"/>
              <w:spacing w:line="400" w:lineRule="exact"/>
              <w:jc w:val="center"/>
              <w:rPr>
                <w:rFonts w:ascii="宋体" w:hAnsi="宋体" w:cs="宋体"/>
                <w:sz w:val="24"/>
              </w:rPr>
            </w:pPr>
          </w:p>
        </w:tc>
        <w:tc>
          <w:tcPr>
            <w:tcW w:w="494" w:type="pct"/>
            <w:vAlign w:val="center"/>
          </w:tcPr>
          <w:p>
            <w:pPr>
              <w:snapToGrid w:val="0"/>
              <w:spacing w:line="400" w:lineRule="exact"/>
              <w:jc w:val="center"/>
              <w:rPr>
                <w:rFonts w:ascii="宋体" w:hAnsi="宋体" w:cs="宋体"/>
                <w:sz w:val="24"/>
              </w:rPr>
            </w:pPr>
          </w:p>
        </w:tc>
        <w:tc>
          <w:tcPr>
            <w:tcW w:w="688" w:type="pct"/>
            <w:vAlign w:val="center"/>
          </w:tcPr>
          <w:p>
            <w:pPr>
              <w:snapToGrid w:val="0"/>
              <w:spacing w:line="400" w:lineRule="exact"/>
              <w:jc w:val="center"/>
              <w:rPr>
                <w:rFonts w:ascii="宋体" w:hAnsi="宋体" w:cs="宋体"/>
                <w:sz w:val="24"/>
              </w:rPr>
            </w:pPr>
          </w:p>
        </w:tc>
        <w:tc>
          <w:tcPr>
            <w:tcW w:w="827" w:type="pct"/>
            <w:vAlign w:val="center"/>
          </w:tcPr>
          <w:p>
            <w:pPr>
              <w:snapToGrid w:val="0"/>
              <w:spacing w:line="400" w:lineRule="exact"/>
              <w:jc w:val="center"/>
              <w:rPr>
                <w:rFonts w:ascii="宋体" w:hAnsi="宋体" w:cs="宋体"/>
                <w:sz w:val="24"/>
              </w:rPr>
            </w:pPr>
          </w:p>
        </w:tc>
        <w:tc>
          <w:tcPr>
            <w:tcW w:w="505"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c>
          <w:tcPr>
            <w:tcW w:w="497" w:type="pct"/>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010" w:type="pct"/>
            <w:gridSpan w:val="5"/>
            <w:vAlign w:val="center"/>
          </w:tcPr>
          <w:p>
            <w:pPr>
              <w:snapToGrid w:val="0"/>
              <w:spacing w:line="400" w:lineRule="exact"/>
              <w:jc w:val="center"/>
              <w:rPr>
                <w:rFonts w:ascii="宋体" w:hAnsi="宋体" w:cs="宋体"/>
                <w:b/>
                <w:sz w:val="24"/>
              </w:rPr>
            </w:pPr>
            <w:r>
              <w:rPr>
                <w:rFonts w:hint="eastAsia" w:ascii="宋体" w:hAnsi="宋体" w:cs="宋体"/>
                <w:b/>
                <w:sz w:val="24"/>
              </w:rPr>
              <w:t>投标报价（小写）</w:t>
            </w:r>
          </w:p>
        </w:tc>
        <w:tc>
          <w:tcPr>
            <w:tcW w:w="1989" w:type="pct"/>
            <w:gridSpan w:val="4"/>
            <w:vAlign w:val="center"/>
          </w:tcPr>
          <w:p>
            <w:pPr>
              <w:snapToGrid w:val="0"/>
              <w:spacing w:line="4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010" w:type="pct"/>
            <w:gridSpan w:val="5"/>
            <w:vAlign w:val="center"/>
          </w:tcPr>
          <w:p>
            <w:pPr>
              <w:snapToGrid w:val="0"/>
              <w:spacing w:line="400" w:lineRule="exact"/>
              <w:jc w:val="center"/>
              <w:rPr>
                <w:rFonts w:ascii="宋体" w:hAnsi="宋体" w:cs="宋体"/>
                <w:b/>
                <w:sz w:val="24"/>
              </w:rPr>
            </w:pPr>
            <w:r>
              <w:rPr>
                <w:rFonts w:hint="eastAsia" w:ascii="宋体" w:hAnsi="宋体" w:cs="宋体"/>
                <w:b/>
                <w:sz w:val="24"/>
              </w:rPr>
              <w:t>投标报价（大写）</w:t>
            </w:r>
          </w:p>
        </w:tc>
        <w:tc>
          <w:tcPr>
            <w:tcW w:w="1989" w:type="pct"/>
            <w:gridSpan w:val="4"/>
            <w:vAlign w:val="center"/>
          </w:tcPr>
          <w:p>
            <w:pPr>
              <w:snapToGrid w:val="0"/>
              <w:spacing w:line="400" w:lineRule="exact"/>
              <w:jc w:val="center"/>
              <w:rPr>
                <w:rFonts w:ascii="宋体" w:hAnsi="宋体" w:cs="宋体"/>
                <w:sz w:val="24"/>
              </w:rPr>
            </w:pPr>
          </w:p>
        </w:tc>
      </w:tr>
    </w:tbl>
    <w:p>
      <w:pPr>
        <w:pStyle w:val="2"/>
        <w:rPr>
          <w:rFonts w:cs="宋体"/>
        </w:rPr>
      </w:pPr>
      <w:r>
        <w:rPr>
          <w:rFonts w:hint="eastAsia" w:cs="宋体"/>
        </w:rPr>
        <w:t>（内容按采购清单）</w:t>
      </w:r>
    </w:p>
    <w:p>
      <w:pPr>
        <w:rPr>
          <w:rFonts w:ascii="宋体" w:hAnsi="宋体" w:cs="宋体"/>
          <w:sz w:val="24"/>
        </w:rPr>
      </w:pPr>
    </w:p>
    <w:p>
      <w:pPr>
        <w:snapToGrid w:val="0"/>
        <w:spacing w:line="360" w:lineRule="auto"/>
        <w:ind w:left="-2" w:leftChars="-1" w:firstLine="480" w:firstLineChars="200"/>
        <w:rPr>
          <w:rFonts w:ascii="宋体" w:hAnsi="宋体" w:cs="宋体"/>
          <w:kern w:val="0"/>
          <w:sz w:val="24"/>
          <w:lang w:val="zh-CN"/>
        </w:rPr>
      </w:pPr>
      <w:r>
        <w:rPr>
          <w:rFonts w:hint="eastAsia" w:ascii="宋体" w:hAnsi="宋体" w:cs="宋体"/>
          <w:sz w:val="24"/>
        </w:rPr>
        <w:t>注：</w:t>
      </w:r>
      <w:r>
        <w:rPr>
          <w:rFonts w:hint="eastAsia" w:ascii="宋体" w:hAnsi="宋体" w:cs="宋体"/>
          <w:kern w:val="0"/>
          <w:sz w:val="24"/>
          <w:lang w:val="zh-CN"/>
        </w:rPr>
        <w:t>1、投标人需按本表格式填写，不得自行更改。</w:t>
      </w:r>
    </w:p>
    <w:p>
      <w:pPr>
        <w:snapToGrid w:val="0"/>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投标文件含有采购人不能接受的附加条件的，投标无效</w:t>
      </w:r>
      <w:r>
        <w:rPr>
          <w:rFonts w:hint="eastAsia" w:ascii="宋体" w:hAnsi="宋体" w:cs="宋体"/>
          <w:b/>
          <w:kern w:val="0"/>
          <w:sz w:val="24"/>
          <w:lang w:val="zh-CN"/>
        </w:rPr>
        <w:t>。</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4、特别提示：采购机构将对项目名称和项目编号，中标供应商名称、地址和中标金额，主要中标标的的名称、规格型号、数量、单价、服务要求等予以公示。</w:t>
      </w:r>
    </w:p>
    <w:p>
      <w:pPr>
        <w:spacing w:line="360" w:lineRule="auto"/>
        <w:rPr>
          <w:rFonts w:ascii="宋体" w:hAnsi="宋体" w:cs="宋体"/>
          <w:sz w:val="24"/>
        </w:rPr>
      </w:pPr>
      <w:r>
        <w:rPr>
          <w:rFonts w:hint="eastAsia" w:ascii="宋体" w:hAnsi="宋体" w:cs="宋体"/>
          <w:kern w:val="0"/>
          <w:sz w:val="24"/>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r>
        <w:rPr>
          <w:rFonts w:hint="eastAsia" w:ascii="宋体" w:hAnsi="宋体" w:cs="宋体"/>
          <w:sz w:val="24"/>
        </w:rPr>
        <w:t>。</w:t>
      </w:r>
    </w:p>
    <w:p>
      <w:pPr>
        <w:autoSpaceDE w:val="0"/>
        <w:autoSpaceDN w:val="0"/>
        <w:spacing w:line="360" w:lineRule="auto"/>
        <w:ind w:left="2" w:leftChars="1" w:right="1120" w:firstLine="4578" w:firstLineChars="1900"/>
        <w:jc w:val="left"/>
        <w:rPr>
          <w:rFonts w:ascii="宋体" w:hAnsi="宋体" w:cs="宋体"/>
          <w:b/>
          <w:bCs/>
          <w:kern w:val="0"/>
          <w:sz w:val="24"/>
          <w:lang w:val="zh-CN"/>
        </w:rPr>
      </w:pPr>
      <w:r>
        <w:rPr>
          <w:rFonts w:hint="eastAsia" w:ascii="宋体" w:hAnsi="宋体" w:cs="宋体"/>
          <w:b/>
          <w:bCs/>
          <w:kern w:val="0"/>
          <w:sz w:val="24"/>
          <w:lang w:val="zh-CN"/>
        </w:rPr>
        <w:t>投标人名称（</w:t>
      </w:r>
      <w:r>
        <w:rPr>
          <w:rFonts w:hint="eastAsia" w:ascii="宋体" w:hAnsi="宋体" w:cs="宋体"/>
          <w:b/>
          <w:bCs/>
          <w:sz w:val="24"/>
        </w:rPr>
        <w:t>电子签名</w:t>
      </w:r>
      <w:r>
        <w:rPr>
          <w:rFonts w:hint="eastAsia" w:ascii="宋体" w:hAnsi="宋体" w:cs="宋体"/>
          <w:b/>
          <w:bCs/>
          <w:kern w:val="0"/>
          <w:sz w:val="24"/>
          <w:lang w:val="zh-CN"/>
        </w:rPr>
        <w:t xml:space="preserve">）：                                                                                                                                                                                                               </w:t>
      </w:r>
    </w:p>
    <w:p>
      <w:pPr>
        <w:pStyle w:val="697"/>
        <w:keepNext w:val="0"/>
        <w:pageBreakBefore w:val="0"/>
        <w:tabs>
          <w:tab w:val="clear" w:pos="720"/>
        </w:tabs>
        <w:snapToGrid w:val="0"/>
        <w:spacing w:before="120" w:after="120"/>
        <w:ind w:firstLine="643"/>
        <w:outlineLvl w:val="9"/>
        <w:rPr>
          <w:rFonts w:ascii="宋体" w:hAnsi="宋体" w:eastAsia="宋体" w:cs="宋体"/>
          <w:bCs/>
          <w:kern w:val="2"/>
          <w:sz w:val="24"/>
          <w:szCs w:val="24"/>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r>
        <w:rPr>
          <w:rFonts w:hint="eastAsia" w:ascii="宋体" w:hAnsi="宋体" w:eastAsia="宋体" w:cs="宋体"/>
          <w:bCs/>
          <w:kern w:val="0"/>
          <w:sz w:val="24"/>
          <w:szCs w:val="24"/>
        </w:rPr>
        <w:t xml:space="preserve">                </w:t>
      </w:r>
      <w:r>
        <w:rPr>
          <w:rFonts w:hint="eastAsia" w:ascii="宋体" w:hAnsi="宋体" w:eastAsia="宋体" w:cs="宋体"/>
          <w:bCs/>
          <w:kern w:val="0"/>
          <w:sz w:val="24"/>
          <w:szCs w:val="24"/>
          <w:lang w:val="zh-CN"/>
        </w:rPr>
        <w:t>日期</w:t>
      </w:r>
      <w:r>
        <w:rPr>
          <w:rFonts w:hint="eastAsia" w:ascii="宋体" w:hAnsi="宋体" w:eastAsia="宋体" w:cs="宋体"/>
          <w:bCs/>
          <w:kern w:val="0"/>
          <w:sz w:val="24"/>
          <w:szCs w:val="24"/>
        </w:rPr>
        <w:t>：</w:t>
      </w:r>
      <w:r>
        <w:rPr>
          <w:rFonts w:hint="eastAsia" w:ascii="宋体" w:hAnsi="宋体" w:eastAsia="宋体" w:cs="宋体"/>
          <w:bCs/>
          <w:kern w:val="0"/>
          <w:sz w:val="24"/>
          <w:szCs w:val="24"/>
          <w:lang w:val="zh-CN"/>
        </w:rPr>
        <w:t xml:space="preserve">   年   月   日</w:t>
      </w:r>
    </w:p>
    <w:p>
      <w:pPr>
        <w:pStyle w:val="697"/>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三、</w:t>
      </w:r>
      <w:r>
        <w:rPr>
          <w:rFonts w:hint="eastAsia" w:ascii="宋体" w:hAnsi="宋体" w:eastAsia="宋体" w:cs="宋体"/>
          <w:sz w:val="32"/>
          <w:szCs w:val="32"/>
        </w:rPr>
        <w:t>中小企业声明函</w:t>
      </w:r>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7"/>
        <w:keepNext w:val="0"/>
        <w:pageBreakBefore w:val="0"/>
        <w:tabs>
          <w:tab w:val="clear" w:pos="720"/>
        </w:tabs>
        <w:snapToGrid w:val="0"/>
        <w:spacing w:before="120" w:after="120"/>
        <w:ind w:firstLine="643"/>
        <w:outlineLvl w:val="9"/>
        <w:rPr>
          <w:rFonts w:ascii="宋体" w:hAnsi="宋体" w:eastAsia="宋体" w:cs="宋体"/>
          <w:b w:val="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tabs>
          <w:tab w:val="left" w:pos="8085"/>
        </w:tabs>
        <w:spacing w:line="360" w:lineRule="auto"/>
        <w:ind w:firstLine="1285" w:firstLineChars="400"/>
        <w:jc w:val="left"/>
        <w:rPr>
          <w:rFonts w:ascii="宋体" w:hAnsi="宋体" w:cs="宋体"/>
          <w:b/>
          <w:sz w:val="32"/>
          <w:szCs w:val="32"/>
        </w:rPr>
      </w:pPr>
      <w:r>
        <w:rPr>
          <w:rFonts w:hint="eastAsia" w:ascii="宋体" w:hAnsi="宋体" w:cs="宋体"/>
          <w:b/>
          <w:sz w:val="32"/>
          <w:szCs w:val="32"/>
        </w:rPr>
        <w:t>政府采购支持中小企业信用融资相关事项通知</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宋体" w:hAnsi="宋体" w:cs="宋体"/>
          <w:kern w:val="0"/>
          <w:sz w:val="24"/>
          <w:lang w:val="zh-CN"/>
        </w:rPr>
      </w:pPr>
      <w:r>
        <w:rPr>
          <w:rFonts w:hint="eastAsia" w:ascii="宋体" w:hAnsi="宋体" w:cs="宋体"/>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宋体" w:hAnsi="宋体" w:cs="宋体"/>
          <w:b/>
          <w:sz w:val="24"/>
        </w:rPr>
      </w:pPr>
      <w:r>
        <w:rPr>
          <w:rFonts w:hint="eastAsia" w:ascii="宋体" w:hAnsi="宋体" w:cs="宋体"/>
          <w:b/>
          <w:sz w:val="24"/>
        </w:rPr>
        <w:t>一、适用对象</w:t>
      </w:r>
    </w:p>
    <w:p>
      <w:pPr>
        <w:spacing w:line="360" w:lineRule="auto"/>
        <w:ind w:firstLine="480" w:firstLineChars="200"/>
        <w:rPr>
          <w:rFonts w:ascii="宋体" w:hAnsi="宋体" w:cs="宋体"/>
          <w:sz w:val="24"/>
        </w:rPr>
      </w:pPr>
      <w:r>
        <w:rPr>
          <w:rFonts w:hint="eastAsia" w:ascii="宋体" w:hAnsi="宋体" w:cs="宋体"/>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宋体" w:hAnsi="宋体" w:cs="宋体"/>
          <w:b/>
          <w:sz w:val="24"/>
        </w:rPr>
      </w:pPr>
      <w:r>
        <w:rPr>
          <w:rFonts w:hint="eastAsia" w:ascii="宋体" w:hAnsi="宋体" w:cs="宋体"/>
          <w:b/>
          <w:sz w:val="24"/>
        </w:rPr>
        <w:t>二、相关信息获取方式</w:t>
      </w:r>
    </w:p>
    <w:p>
      <w:pPr>
        <w:spacing w:line="360" w:lineRule="auto"/>
        <w:ind w:firstLine="480" w:firstLineChars="200"/>
        <w:rPr>
          <w:rFonts w:ascii="宋体" w:hAnsi="宋体" w:cs="宋体"/>
          <w:sz w:val="24"/>
        </w:rPr>
      </w:pPr>
      <w:r>
        <w:rPr>
          <w:rFonts w:hint="eastAsia" w:ascii="宋体" w:hAnsi="宋体" w:cs="宋体"/>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宋体" w:hAnsi="宋体" w:cs="宋体"/>
          <w:b/>
          <w:sz w:val="24"/>
        </w:rPr>
      </w:pPr>
      <w:r>
        <w:rPr>
          <w:rFonts w:hint="eastAsia" w:ascii="宋体" w:hAnsi="宋体" w:cs="宋体"/>
          <w:b/>
          <w:sz w:val="24"/>
        </w:rPr>
        <w:t>三、　政府采购信用融资操作流程：</w:t>
      </w:r>
    </w:p>
    <w:p>
      <w:pPr>
        <w:spacing w:line="360" w:lineRule="auto"/>
        <w:ind w:firstLine="960" w:firstLineChars="400"/>
        <w:rPr>
          <w:rFonts w:ascii="宋体" w:hAnsi="宋体" w:cs="宋体"/>
          <w:sz w:val="24"/>
        </w:rPr>
      </w:pPr>
      <w:r>
        <w:rPr>
          <w:rFonts w:hint="eastAsia" w:ascii="宋体" w:hAnsi="宋体" w:cs="宋体"/>
          <w:sz w:val="24"/>
        </w:rPr>
        <w:t>（一）线上融资模式：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1.供应商根据合作银行提供的方案，自行选择金融产品，并办理开户等手续；</w:t>
      </w:r>
    </w:p>
    <w:p>
      <w:pPr>
        <w:spacing w:line="360" w:lineRule="auto"/>
        <w:ind w:firstLine="480" w:firstLineChars="200"/>
        <w:rPr>
          <w:rFonts w:ascii="宋体" w:hAnsi="宋体" w:cs="宋体"/>
          <w:sz w:val="24"/>
        </w:rPr>
      </w:pPr>
      <w:r>
        <w:rPr>
          <w:rFonts w:hint="eastAsia" w:ascii="宋体" w:hAnsi="宋体" w:cs="宋体"/>
          <w:sz w:val="24"/>
        </w:rPr>
        <w:t>　　2.供应商中标后，可通过杭州市政府采购网或“浙里办”测算授信额度；</w:t>
      </w:r>
    </w:p>
    <w:p>
      <w:pPr>
        <w:spacing w:line="360" w:lineRule="auto"/>
        <w:ind w:firstLine="480" w:firstLineChars="200"/>
        <w:rPr>
          <w:rFonts w:ascii="宋体" w:hAnsi="宋体" w:cs="宋体"/>
          <w:sz w:val="24"/>
        </w:rPr>
      </w:pPr>
      <w:r>
        <w:rPr>
          <w:rFonts w:hint="eastAsia" w:ascii="宋体" w:hAnsi="宋体" w:cs="宋体"/>
          <w:sz w:val="24"/>
        </w:rPr>
        <w:t>　　3.采购合同签订后，供应商在杭州市政府采购网或“浙里办”向合作银行发出融资申请；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4.审批通过后，在线办理放贷手续。</w:t>
      </w:r>
    </w:p>
    <w:p>
      <w:pPr>
        <w:spacing w:line="360" w:lineRule="auto"/>
        <w:ind w:firstLine="480" w:firstLineChars="200"/>
        <w:rPr>
          <w:rFonts w:ascii="宋体" w:hAnsi="宋体" w:cs="宋体"/>
          <w:sz w:val="24"/>
        </w:rPr>
      </w:pPr>
      <w:r>
        <w:rPr>
          <w:rFonts w:hint="eastAsia" w:ascii="宋体" w:hAnsi="宋体" w:cs="宋体"/>
          <w:sz w:val="24"/>
        </w:rPr>
        <w:t>　　（二）线下融资模式：</w:t>
      </w:r>
    </w:p>
    <w:p>
      <w:pPr>
        <w:spacing w:line="360" w:lineRule="auto"/>
        <w:ind w:firstLine="480" w:firstLineChars="200"/>
        <w:rPr>
          <w:rFonts w:ascii="宋体" w:hAnsi="宋体" w:cs="宋体"/>
          <w:sz w:val="24"/>
        </w:rPr>
      </w:pPr>
      <w:r>
        <w:rPr>
          <w:rFonts w:hint="eastAsia" w:ascii="宋体" w:hAnsi="宋体" w:cs="宋体"/>
          <w:sz w:val="24"/>
        </w:rPr>
        <w:t>　　1.供应商根据合作银行提供的方案，自行选择金融产品，向合作银行提出信用资格预审，并办理开户等手续；</w:t>
      </w:r>
    </w:p>
    <w:p>
      <w:pPr>
        <w:spacing w:line="360" w:lineRule="auto"/>
        <w:ind w:firstLine="480" w:firstLineChars="200"/>
        <w:rPr>
          <w:rFonts w:ascii="宋体" w:hAnsi="宋体" w:cs="宋体"/>
          <w:sz w:val="24"/>
        </w:rPr>
      </w:pPr>
      <w:r>
        <w:rPr>
          <w:rFonts w:hint="eastAsia" w:ascii="宋体" w:hAnsi="宋体" w:cs="宋体"/>
          <w:sz w:val="24"/>
        </w:rPr>
        <w:t>　　2.采购合同签订后，供应商在杭州市政府采购网或“浙里办”向合作银行发出融资申请；</w:t>
      </w:r>
    </w:p>
    <w:p>
      <w:pPr>
        <w:spacing w:line="360" w:lineRule="auto"/>
        <w:ind w:firstLine="480" w:firstLineChars="200"/>
        <w:rPr>
          <w:rFonts w:ascii="宋体" w:hAnsi="宋体" w:cs="宋体"/>
          <w:sz w:val="24"/>
        </w:rPr>
      </w:pPr>
      <w:r>
        <w:rPr>
          <w:rFonts w:hint="eastAsia" w:ascii="宋体" w:hAnsi="宋体" w:cs="宋体"/>
          <w:sz w:val="24"/>
        </w:rPr>
        <w:t>　　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宋体" w:hAnsi="宋体" w:cs="宋体"/>
          <w:sz w:val="24"/>
        </w:rPr>
      </w:pPr>
      <w:r>
        <w:rPr>
          <w:rFonts w:hint="eastAsia" w:ascii="宋体" w:hAnsi="宋体" w:cs="宋体"/>
          <w:sz w:val="24"/>
        </w:rPr>
        <w:t>　　4.审批通过后，合作银行应按照合作备忘录中约定的审批放款期限和优惠利率及时予以放款。</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pPr>
        <w:pStyle w:val="4"/>
        <w:numPr>
          <w:ilvl w:val="255"/>
          <w:numId w:val="0"/>
        </w:numPr>
        <w:ind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pPr>
        <w:spacing w:line="360" w:lineRule="auto"/>
        <w:ind w:firstLine="482" w:firstLineChars="200"/>
        <w:rPr>
          <w:rFonts w:ascii="宋体" w:hAnsi="宋体" w:cs="宋体"/>
          <w:b/>
          <w:sz w:val="24"/>
        </w:rPr>
      </w:pPr>
      <w:r>
        <w:rPr>
          <w:rFonts w:hint="eastAsia" w:ascii="宋体" w:hAnsi="宋体" w:cs="宋体"/>
          <w:b/>
          <w:sz w:val="24"/>
        </w:rPr>
        <w:t>四、注意事项</w:t>
      </w:r>
    </w:p>
    <w:p>
      <w:pPr>
        <w:spacing w:line="360" w:lineRule="auto"/>
        <w:ind w:firstLine="480" w:firstLineChars="200"/>
        <w:rPr>
          <w:rFonts w:ascii="宋体" w:hAnsi="宋体" w:cs="宋体"/>
          <w:sz w:val="24"/>
        </w:rPr>
      </w:pPr>
      <w:r>
        <w:rPr>
          <w:rFonts w:hint="eastAsia" w:ascii="宋体" w:hAnsi="宋体" w:cs="宋体"/>
          <w:sz w:val="24"/>
        </w:rPr>
        <w:t>1、对拟用于信用融资的政府采购合同，供应商在签订合同时应当在合同中注明融资银行名称及账号，作为在该银行的唯一收款账号。</w:t>
      </w:r>
    </w:p>
    <w:p>
      <w:pPr>
        <w:spacing w:line="360" w:lineRule="auto"/>
        <w:ind w:firstLine="480" w:firstLineChars="200"/>
        <w:rPr>
          <w:rFonts w:ascii="宋体" w:hAnsi="宋体" w:cs="宋体"/>
          <w:sz w:val="24"/>
        </w:rPr>
      </w:pPr>
      <w:r>
        <w:rPr>
          <w:rFonts w:hint="eastAsia" w:ascii="宋体" w:hAnsi="宋体" w:cs="宋体"/>
          <w:sz w:val="24"/>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ascii="宋体" w:hAnsi="宋体" w:cs="宋体"/>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63" w:name="_Toc465665161"/>
      <w:r>
        <w:rPr>
          <w:rFonts w:hint="eastAsia" w:ascii="宋体" w:hAnsi="宋体" w:cs="宋体"/>
        </w:rPr>
        <w:t>附件</w:t>
      </w:r>
      <w:bookmarkEnd w:id="563"/>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64" w:name="OLE_LINK13"/>
      <w:bookmarkStart w:id="565" w:name="OLE_LINK14"/>
      <w:r>
        <w:rPr>
          <w:rFonts w:hint="eastAsia" w:ascii="宋体" w:hAnsi="宋体" w:cs="宋体"/>
          <w:b/>
          <w:spacing w:val="6"/>
          <w:sz w:val="32"/>
          <w:szCs w:val="32"/>
        </w:rPr>
        <w:t>残疾人福利性单位声明函</w:t>
      </w:r>
    </w:p>
    <w:bookmarkEnd w:id="564"/>
    <w:bookmarkEnd w:id="565"/>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sz w:val="24"/>
        </w:rPr>
      </w:pPr>
      <w:r>
        <w:rPr>
          <w:rFonts w:hint="eastAsia" w:ascii="宋体" w:hAnsi="宋体" w:cs="宋体"/>
          <w:sz w:val="24"/>
          <w:u w:val="single"/>
        </w:rPr>
        <w:t>杭州市中策职业学校钱塘学校、浙江省建设工程设备招标有限公司</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你方组织的杭州市中策职业学校钱塘学校综合安防系统采购项目项目【招标编号：ZJZBC-GK-22-9002】</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附件5：</w:t>
      </w:r>
      <w:r>
        <w:rPr>
          <w:rFonts w:hint="eastAsia" w:ascii="宋体" w:hAnsi="宋体" w:cs="宋体"/>
          <w:b/>
          <w:sz w:val="32"/>
          <w:szCs w:val="32"/>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 （单位名称） 的 杭州市中策职业学校钱塘学校综合安防系统采购项目 采购活动，提供的货物全部由符合政策要求的中小企业制造。相关企业（含联合体中的中小企业、签订分包意向协议的中小企业）的具体情况如下：</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407"/>
        <w:gridCol w:w="764"/>
        <w:gridCol w:w="807"/>
        <w:gridCol w:w="1208"/>
        <w:gridCol w:w="1208"/>
        <w:gridCol w:w="1208"/>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b/>
                <w:bCs/>
                <w:szCs w:val="21"/>
              </w:rPr>
            </w:pPr>
            <w:r>
              <w:rPr>
                <w:rFonts w:hint="eastAsia" w:cs="宋体" w:asciiTheme="minorEastAsia" w:hAnsiTheme="minorEastAsia" w:eastAsiaTheme="minorEastAsia"/>
                <w:b/>
                <w:bCs/>
                <w:kern w:val="0"/>
                <w:szCs w:val="21"/>
              </w:rPr>
              <w:t>序号</w:t>
            </w:r>
          </w:p>
        </w:tc>
        <w:tc>
          <w:tcPr>
            <w:tcW w:w="1408" w:type="dxa"/>
            <w:vAlign w:val="center"/>
          </w:tcPr>
          <w:p>
            <w:pPr>
              <w:widowControl/>
              <w:snapToGrid w:val="0"/>
              <w:jc w:val="left"/>
              <w:textAlignment w:val="center"/>
              <w:rPr>
                <w:rFonts w:cs="宋体" w:asciiTheme="minorEastAsia" w:hAnsiTheme="minorEastAsia" w:eastAsiaTheme="minorEastAsia"/>
                <w:b/>
                <w:bCs/>
                <w:szCs w:val="21"/>
              </w:rPr>
            </w:pPr>
            <w:r>
              <w:rPr>
                <w:rFonts w:hint="eastAsia" w:cs="宋体" w:asciiTheme="minorEastAsia" w:hAnsiTheme="minorEastAsia" w:eastAsiaTheme="minorEastAsia"/>
                <w:b/>
                <w:bCs/>
                <w:kern w:val="0"/>
                <w:szCs w:val="21"/>
              </w:rPr>
              <w:t>设备名称</w:t>
            </w:r>
          </w:p>
        </w:tc>
        <w:tc>
          <w:tcPr>
            <w:tcW w:w="764" w:type="dxa"/>
            <w:vAlign w:val="center"/>
          </w:tcPr>
          <w:p>
            <w:pPr>
              <w:widowControl/>
              <w:snapToGrid w:val="0"/>
              <w:jc w:val="center"/>
              <w:textAlignment w:val="center"/>
              <w:rPr>
                <w:rFonts w:cs="宋体" w:asciiTheme="minorEastAsia" w:hAnsiTheme="minorEastAsia" w:eastAsiaTheme="minorEastAsia"/>
                <w:b/>
                <w:bCs/>
                <w:szCs w:val="21"/>
              </w:rPr>
            </w:pPr>
            <w:r>
              <w:rPr>
                <w:rFonts w:hint="eastAsia" w:cs="宋体" w:asciiTheme="minorEastAsia" w:hAnsiTheme="minorEastAsia" w:eastAsiaTheme="minorEastAsia"/>
                <w:szCs w:val="21"/>
              </w:rPr>
              <w:t>属于行业</w:t>
            </w:r>
          </w:p>
        </w:tc>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制造商名称</w:t>
            </w:r>
          </w:p>
        </w:tc>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从业人员（人数）</w:t>
            </w:r>
          </w:p>
        </w:tc>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营业收入（万元）</w:t>
            </w:r>
          </w:p>
        </w:tc>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资产总额（万元）</w:t>
            </w:r>
          </w:p>
        </w:tc>
        <w:tc>
          <w:tcPr>
            <w:tcW w:w="0" w:type="auto"/>
            <w:vAlign w:val="center"/>
          </w:tcPr>
          <w:p>
            <w:pPr>
              <w:widowControl/>
              <w:snapToGrid w:val="0"/>
              <w:jc w:val="center"/>
              <w:textAlignment w:val="center"/>
              <w:rPr>
                <w:rFonts w:cs="宋体" w:asciiTheme="minorEastAsia" w:hAnsiTheme="minorEastAsia" w:eastAsiaTheme="minorEastAsia"/>
                <w:b/>
                <w:bCs/>
                <w:kern w:val="0"/>
                <w:szCs w:val="21"/>
              </w:rPr>
            </w:pPr>
            <w:r>
              <w:rPr>
                <w:rFonts w:hint="eastAsia" w:cs="宋体" w:asciiTheme="minorEastAsia" w:hAnsiTheme="minorEastAsia" w:eastAsiaTheme="minorEastAsia"/>
                <w:szCs w:val="21"/>
              </w:rPr>
              <w:t>属于</w:t>
            </w:r>
            <w:r>
              <w:rPr>
                <w:rFonts w:hint="eastAsia" w:cs="宋体" w:asciiTheme="minorEastAsia" w:hAnsiTheme="minorEastAsia" w:eastAsiaTheme="minorEastAsia"/>
                <w:i/>
                <w:szCs w:val="21"/>
                <w:u w:val="single"/>
              </w:rPr>
              <w:t>（中型企业、小型企业、微型企业）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1</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2</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3</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4</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5</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6</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kern w:val="0"/>
                <w:szCs w:val="21"/>
              </w:rPr>
              <w:t>7</w:t>
            </w:r>
          </w:p>
        </w:tc>
        <w:tc>
          <w:tcPr>
            <w:tcW w:w="1408" w:type="dxa"/>
            <w:vAlign w:val="center"/>
          </w:tcPr>
          <w:p>
            <w:pPr>
              <w:snapToGrid w:val="0"/>
              <w:jc w:val="left"/>
              <w:rPr>
                <w:rFonts w:cs="宋体" w:asciiTheme="minorEastAsia" w:hAnsiTheme="minorEastAsia" w:eastAsiaTheme="minorEastAsia"/>
                <w:szCs w:val="21"/>
              </w:rPr>
            </w:pPr>
          </w:p>
        </w:tc>
        <w:tc>
          <w:tcPr>
            <w:tcW w:w="764" w:type="dxa"/>
            <w:vAlign w:val="center"/>
          </w:tcPr>
          <w:p>
            <w:pPr>
              <w:widowControl/>
              <w:snapToGrid w:val="0"/>
              <w:jc w:val="center"/>
              <w:textAlignment w:val="center"/>
              <w:rPr>
                <w:rFonts w:cs="宋体" w:asciiTheme="minorEastAsia" w:hAnsiTheme="minorEastAsia" w:eastAsiaTheme="minorEastAsia"/>
                <w:szCs w:val="21"/>
              </w:rPr>
            </w:pPr>
            <w:r>
              <w:rPr>
                <w:rFonts w:hint="eastAsia" w:cs="宋体" w:asciiTheme="minorEastAsia" w:hAnsiTheme="minorEastAsia" w:eastAsiaTheme="minorEastAsia"/>
                <w:szCs w:val="21"/>
              </w:rPr>
              <w:t>工业</w:t>
            </w: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widowControl/>
              <w:snapToGrid w:val="0"/>
              <w:jc w:val="center"/>
              <w:textAlignment w:val="center"/>
              <w:rPr>
                <w:rFonts w:cs="宋体" w:asciiTheme="minorEastAsia" w:hAnsiTheme="minorEastAsia" w:eastAsiaTheme="minorEastAsia"/>
                <w:kern w:val="0"/>
                <w:szCs w:val="21"/>
              </w:rPr>
            </w:pPr>
          </w:p>
        </w:tc>
        <w:tc>
          <w:tcPr>
            <w:tcW w:w="1408" w:type="dxa"/>
            <w:vAlign w:val="center"/>
          </w:tcPr>
          <w:p>
            <w:pPr>
              <w:snapToGrid w:val="0"/>
              <w:jc w:val="left"/>
              <w:rPr>
                <w:rFonts w:cs="宋体" w:asciiTheme="minorEastAsia" w:hAnsiTheme="minorEastAsia" w:eastAsiaTheme="minorEastAsia"/>
                <w:szCs w:val="21"/>
              </w:rPr>
            </w:pPr>
            <w:r>
              <w:rPr>
                <w:rFonts w:cs="Arial" w:asciiTheme="minorEastAsia" w:hAnsiTheme="minorEastAsia" w:eastAsiaTheme="minorEastAsia"/>
                <w:szCs w:val="21"/>
              </w:rPr>
              <w:t>…</w:t>
            </w:r>
          </w:p>
        </w:tc>
        <w:tc>
          <w:tcPr>
            <w:tcW w:w="764" w:type="dxa"/>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widowControl/>
              <w:snapToGrid w:val="0"/>
              <w:jc w:val="center"/>
              <w:textAlignment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c>
          <w:tcPr>
            <w:tcW w:w="0" w:type="auto"/>
            <w:vAlign w:val="center"/>
          </w:tcPr>
          <w:p>
            <w:pPr>
              <w:snapToGrid w:val="0"/>
              <w:jc w:val="center"/>
              <w:rPr>
                <w:rFonts w:cs="宋体" w:asciiTheme="minorEastAsia" w:hAnsiTheme="minorEastAsia" w:eastAsiaTheme="minorEastAsia"/>
                <w:szCs w:val="21"/>
              </w:rPr>
            </w:pPr>
          </w:p>
        </w:tc>
      </w:tr>
    </w:tbl>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中小企业声明函（工程、服务）</w:t>
      </w:r>
    </w:p>
    <w:p>
      <w:pPr>
        <w:spacing w:line="360" w:lineRule="auto"/>
        <w:rPr>
          <w:rFonts w:ascii="宋体" w:hAnsi="宋体" w:cs="宋体"/>
        </w:rPr>
      </w:pPr>
    </w:p>
    <w:p>
      <w:pPr>
        <w:spacing w:line="360" w:lineRule="auto"/>
        <w:ind w:firstLine="360" w:firstLineChars="15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 （单位名称） 的 杭州市中策职业学校钱塘学校综合安防系统采购项目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，属于 </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，属于 </w:t>
      </w:r>
      <w:r>
        <w:rPr>
          <w:rFonts w:hint="eastAsia" w:ascii="宋体" w:hAnsi="宋体" w:cs="宋体"/>
          <w:sz w:val="24"/>
          <w:u w:val="single"/>
        </w:rPr>
        <w:t>（采购文件中明确的所属行业）</w:t>
      </w:r>
      <w:r>
        <w:rPr>
          <w:rFonts w:hint="eastAsia" w:ascii="宋体" w:hAnsi="宋体" w:cs="宋体"/>
          <w:sz w:val="24"/>
        </w:rPr>
        <w:t xml:space="preserve"> ；承建（承接）企业为 </w:t>
      </w:r>
      <w:r>
        <w:rPr>
          <w:rFonts w:hint="eastAsia" w:ascii="宋体" w:hAnsi="宋体" w:cs="宋体"/>
          <w:sz w:val="24"/>
          <w:u w:val="single"/>
        </w:rPr>
        <w:t>（企业名称）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spacing w:line="360" w:lineRule="auto"/>
        <w:ind w:right="1760"/>
        <w:jc w:val="right"/>
        <w:rPr>
          <w:rFonts w:ascii="宋体" w:hAnsi="宋体" w:cs="宋体"/>
          <w:sz w:val="24"/>
        </w:rPr>
      </w:pPr>
      <w:r>
        <w:rPr>
          <w:rFonts w:hint="eastAsia" w:ascii="宋体" w:hAnsi="宋体" w:cs="宋体"/>
          <w:sz w:val="24"/>
        </w:rPr>
        <w:t>投标人名称（电子签名）：</w:t>
      </w:r>
    </w:p>
    <w:p>
      <w:pPr>
        <w:spacing w:line="360" w:lineRule="auto"/>
        <w:ind w:right="1120" w:firstLine="4680" w:firstLineChars="1950"/>
        <w:rPr>
          <w:rFonts w:ascii="宋体" w:hAnsi="宋体" w:cs="宋体"/>
          <w:sz w:val="24"/>
        </w:rPr>
      </w:pPr>
      <w:r>
        <w:rPr>
          <w:rFonts w:hint="eastAsia" w:ascii="宋体" w:hAnsi="宋体" w:cs="宋体"/>
          <w:sz w:val="24"/>
        </w:rPr>
        <w:t>日 期：</w:t>
      </w:r>
    </w:p>
    <w:p>
      <w:pPr>
        <w:spacing w:line="360" w:lineRule="auto"/>
        <w:ind w:firstLine="310" w:firstLineChars="147"/>
        <w:jc w:val="left"/>
        <w:rPr>
          <w:rFonts w:ascii="宋体" w:hAnsi="宋体" w:cs="宋体"/>
          <w:b/>
          <w:szCs w:val="21"/>
        </w:rPr>
      </w:pPr>
      <w:r>
        <w:rPr>
          <w:rFonts w:hint="eastAsia" w:ascii="宋体" w:hAnsi="宋体" w:cs="宋体"/>
          <w:b/>
          <w:szCs w:val="21"/>
        </w:rPr>
        <w:t>从业人员、营业收入、资产总额填报上一年度数据，无上一年度数据的新成立企业可不填报。</w:t>
      </w:r>
    </w:p>
    <w:p>
      <w:pPr>
        <w:spacing w:line="360" w:lineRule="auto"/>
        <w:ind w:right="420"/>
        <w:rPr>
          <w:rFonts w:ascii="宋体" w:hAnsi="宋体" w:cs="宋体"/>
          <w:sz w:val="24"/>
        </w:rPr>
      </w:pPr>
    </w:p>
    <w:p>
      <w:pPr>
        <w:spacing w:line="360" w:lineRule="auto"/>
        <w:ind w:right="420"/>
        <w:rPr>
          <w:rFonts w:ascii="宋体" w:hAnsi="宋体" w:cs="宋体"/>
          <w:sz w:val="24"/>
        </w:rPr>
      </w:pPr>
      <w:r>
        <w:rPr>
          <w:rFonts w:hint="eastAsia" w:ascii="宋体" w:hAnsi="宋体" w:cs="宋体"/>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宋体" w:hAnsi="宋体" w:eastAsia="宋体" w:cs="宋体"/>
          <w:lang w:val="en-US"/>
        </w:rPr>
      </w:pPr>
    </w:p>
    <w:p>
      <w:pPr>
        <w:spacing w:line="360" w:lineRule="auto"/>
        <w:ind w:right="420"/>
        <w:rPr>
          <w:rFonts w:ascii="宋体" w:hAnsi="宋体" w:cs="宋体"/>
        </w:rPr>
      </w:pPr>
    </w:p>
    <w:p>
      <w:pPr>
        <w:spacing w:line="360" w:lineRule="auto"/>
        <w:rPr>
          <w:rFonts w:ascii="宋体" w:hAnsi="宋体" w:cs="宋体"/>
          <w:bCs/>
          <w:sz w:val="24"/>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yriad Pro">
    <w:altName w:val="Corbel"/>
    <w:panose1 w:val="00000000000000000000"/>
    <w:charset w:val="00"/>
    <w:family w:val="swiss"/>
    <w:pitch w:val="default"/>
    <w:sig w:usb0="00000000" w:usb1="00000000" w:usb2="00000000" w:usb3="00000000" w:csb0="0000019F" w:csb1="00000000"/>
  </w:font>
  <w:font w:name="Corbel">
    <w:panose1 w:val="020B0503020204020204"/>
    <w:charset w:val="00"/>
    <w:family w:val="auto"/>
    <w:pitch w:val="default"/>
    <w:sig w:usb0="A00002EF" w:usb1="4000A44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121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121</w:t>
    </w:r>
    <w:r>
      <w:rPr>
        <w:rFonts w:hint="eastAsia" w:ascii="仿宋_GB2312" w:eastAsia="仿宋_GB2312"/>
        <w:kern w:val="0"/>
        <w:szCs w:val="21"/>
      </w:rPr>
      <w:fldChar w:fldCharType="end"/>
    </w:r>
    <w:bookmarkStart w:id="566" w:name="_Toc36110187"/>
    <w:bookmarkStart w:id="567" w:name="_Toc91899912"/>
    <w:bookmarkStart w:id="568" w:name="_Toc164085800"/>
    <w:bookmarkStart w:id="569" w:name="_Toc131845147"/>
    <w:r>
      <w:rPr>
        <w:rFonts w:hint="eastAsia" w:ascii="仿宋_GB2312" w:eastAsia="仿宋_GB2312"/>
        <w:kern w:val="0"/>
        <w:szCs w:val="21"/>
      </w:rPr>
      <w:t xml:space="preserve"> 页</w:t>
    </w:r>
    <w:bookmarkEnd w:id="566"/>
    <w:bookmarkEnd w:id="567"/>
    <w:bookmarkEnd w:id="568"/>
    <w:bookmarkEnd w:id="56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w:t>
    </w:r>
    <w:r>
      <w:rPr>
        <w:rFonts w:hint="eastAsia"/>
      </w:rPr>
      <w:t xml:space="preserve">             </w:t>
    </w:r>
    <w:r>
      <w:t>杭州市政府采购公开招标文件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7AD58"/>
    <w:multiLevelType w:val="singleLevel"/>
    <w:tmpl w:val="8BD7AD58"/>
    <w:lvl w:ilvl="0" w:tentative="0">
      <w:start w:val="1"/>
      <w:numFmt w:val="chineseCounting"/>
      <w:suff w:val="nothing"/>
      <w:lvlText w:val="%1、"/>
      <w:lvlJc w:val="left"/>
      <w:pPr>
        <w:ind w:left="0" w:firstLine="420"/>
      </w:pPr>
      <w:rPr>
        <w:rFonts w:hint="eastAsia"/>
      </w:rPr>
    </w:lvl>
  </w:abstractNum>
  <w:abstractNum w:abstractNumId="1">
    <w:nsid w:val="8C8AFACF"/>
    <w:multiLevelType w:val="singleLevel"/>
    <w:tmpl w:val="8C8AFACF"/>
    <w:lvl w:ilvl="0" w:tentative="0">
      <w:start w:val="8"/>
      <w:numFmt w:val="decimal"/>
      <w:suff w:val="space"/>
      <w:lvlText w:val="（%1）"/>
      <w:lvlJc w:val="left"/>
    </w:lvl>
  </w:abstractNum>
  <w:abstractNum w:abstractNumId="2">
    <w:nsid w:val="A10EB82B"/>
    <w:multiLevelType w:val="singleLevel"/>
    <w:tmpl w:val="A10EB82B"/>
    <w:lvl w:ilvl="0" w:tentative="0">
      <w:start w:val="1"/>
      <w:numFmt w:val="chineseCounting"/>
      <w:suff w:val="nothing"/>
      <w:lvlText w:val="%1、"/>
      <w:lvlJc w:val="left"/>
      <w:pPr>
        <w:ind w:left="0" w:firstLine="420"/>
      </w:pPr>
      <w:rPr>
        <w:rFonts w:hint="eastAsia"/>
      </w:rPr>
    </w:lvl>
  </w:abstractNum>
  <w:abstractNum w:abstractNumId="3">
    <w:nsid w:val="DA05B0C5"/>
    <w:multiLevelType w:val="singleLevel"/>
    <w:tmpl w:val="DA05B0C5"/>
    <w:lvl w:ilvl="0" w:tentative="0">
      <w:start w:val="1"/>
      <w:numFmt w:val="chineseCounting"/>
      <w:suff w:val="nothing"/>
      <w:lvlText w:val="%1、"/>
      <w:lvlJc w:val="left"/>
      <w:pPr>
        <w:ind w:left="0" w:firstLine="420"/>
      </w:pPr>
      <w:rPr>
        <w:rFonts w:hint="eastAsia"/>
      </w:rPr>
    </w:lvl>
  </w:abstractNum>
  <w:abstractNum w:abstractNumId="4">
    <w:nsid w:val="0CA8F91C"/>
    <w:multiLevelType w:val="singleLevel"/>
    <w:tmpl w:val="0CA8F91C"/>
    <w:lvl w:ilvl="0" w:tentative="0">
      <w:start w:val="1"/>
      <w:numFmt w:val="decimal"/>
      <w:pStyle w:val="1051"/>
      <w:suff w:val="nothing"/>
      <w:lvlText w:val="（%1）"/>
      <w:lvlJc w:val="left"/>
    </w:lvl>
  </w:abstractNum>
  <w:abstractNum w:abstractNumId="5">
    <w:nsid w:val="1129064B"/>
    <w:multiLevelType w:val="multilevel"/>
    <w:tmpl w:val="1129064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9F6B95"/>
    <w:multiLevelType w:val="multilevel"/>
    <w:tmpl w:val="229F6B95"/>
    <w:lvl w:ilvl="0" w:tentative="0">
      <w:start w:val="1"/>
      <w:numFmt w:val="bullet"/>
      <w:lvlText w:val=""/>
      <w:lvlJc w:val="left"/>
      <w:pPr>
        <w:ind w:left="2100" w:hanging="420"/>
      </w:pPr>
      <w:rPr>
        <w:rFonts w:hint="default" w:ascii="Wingdings" w:hAnsi="Wingdings"/>
        <w:sz w:val="18"/>
        <w:szCs w:val="16"/>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032"/>
      <w:lvlText w:val=""/>
      <w:lvlJc w:val="left"/>
      <w:pPr>
        <w:ind w:left="2064" w:hanging="420"/>
      </w:pPr>
      <w:rPr>
        <w:rFonts w:hint="default" w:ascii="Wingdings" w:hAnsi="Wingdings"/>
        <w:sz w:val="16"/>
        <w:szCs w:val="16"/>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45E5929"/>
    <w:multiLevelType w:val="multilevel"/>
    <w:tmpl w:val="245E5929"/>
    <w:lvl w:ilvl="0" w:tentative="0">
      <w:start w:val="1"/>
      <w:numFmt w:val="bullet"/>
      <w:pStyle w:val="1023"/>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D0B7C97"/>
    <w:multiLevelType w:val="multilevel"/>
    <w:tmpl w:val="3D0B7C9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7F37F83"/>
    <w:multiLevelType w:val="multilevel"/>
    <w:tmpl w:val="47F37F83"/>
    <w:lvl w:ilvl="0" w:tentative="0">
      <w:start w:val="1"/>
      <w:numFmt w:val="decimal"/>
      <w:suff w:val="space"/>
      <w:lvlText w:val="第 %1 章"/>
      <w:lvlJc w:val="center"/>
      <w:rPr>
        <w:rFonts w:hint="eastAsia" w:cs="Times New Roman"/>
        <w:b w:val="0"/>
        <w:i w:val="0"/>
        <w:iCs w:val="0"/>
        <w:caps w:val="0"/>
        <w:smallCaps w:val="0"/>
        <w:strike w:val="0"/>
        <w:dstrike w:val="0"/>
        <w:vanish w:val="0"/>
        <w:color w:val="000000"/>
        <w:spacing w:val="0"/>
        <w:kern w:val="0"/>
        <w:position w:val="0"/>
        <w:u w:val="none"/>
        <w:vertAlign w:val="baseline"/>
      </w:rPr>
    </w:lvl>
    <w:lvl w:ilvl="1" w:tentative="0">
      <w:start w:val="1"/>
      <w:numFmt w:val="decimal"/>
      <w:isLgl/>
      <w:suff w:val="space"/>
      <w:lvlText w:val="%1.%2"/>
      <w:lvlJc w:val="left"/>
      <w:rPr>
        <w:rFonts w:hint="eastAsia" w:ascii="Arial" w:hAnsi="Arial" w:eastAsia="黑体" w:cs="Times New Roman"/>
        <w:b w:val="0"/>
        <w:bCs w:val="0"/>
        <w:i w:val="0"/>
        <w:iCs w:val="0"/>
        <w:caps w:val="0"/>
        <w:smallCaps w:val="0"/>
        <w:strike w:val="0"/>
        <w:dstrike w:val="0"/>
        <w:vanish w:val="0"/>
        <w:color w:val="auto"/>
        <w:spacing w:val="0"/>
        <w:w w:val="100"/>
        <w:kern w:val="2"/>
        <w:position w:val="0"/>
        <w:sz w:val="36"/>
        <w:u w:val="none"/>
        <w:vertAlign w:val="baseline"/>
      </w:rPr>
    </w:lvl>
    <w:lvl w:ilvl="2" w:tentative="0">
      <w:start w:val="1"/>
      <w:numFmt w:val="decimal"/>
      <w:isLgl/>
      <w:suff w:val="space"/>
      <w:lvlText w:val="%1.%2.%3"/>
      <w:lvlJc w:val="left"/>
      <w:rPr>
        <w:rFonts w:hint="eastAsia" w:cs="Times New Roman"/>
        <w:b w:val="0"/>
        <w:i w:val="0"/>
        <w:iCs w:val="0"/>
        <w:caps w:val="0"/>
        <w:smallCaps w:val="0"/>
        <w:strike w:val="0"/>
        <w:dstrike w:val="0"/>
        <w:vanish w:val="0"/>
        <w:color w:val="00000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lvlText w:val="%1.%2.%3.%4.%5.%6.%7"/>
      <w:lvlJc w:val="left"/>
      <w:pPr>
        <w:tabs>
          <w:tab w:val="left" w:pos="2136"/>
        </w:tabs>
        <w:ind w:left="2136" w:hanging="1296"/>
      </w:pPr>
      <w:rPr>
        <w:rFonts w:hint="eastAsia"/>
      </w:rPr>
    </w:lvl>
    <w:lvl w:ilvl="7" w:tentative="0">
      <w:start w:val="1"/>
      <w:numFmt w:val="decimal"/>
      <w:pStyle w:val="984"/>
      <w:suff w:val="space"/>
      <w:lvlText w:val="%1.%2.%3.%4.%5.%6.%7.%8"/>
      <w:lvlJc w:val="left"/>
      <w:pPr>
        <w:ind w:left="2268" w:hanging="2268"/>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10">
    <w:nsid w:val="48646AA4"/>
    <w:multiLevelType w:val="multilevel"/>
    <w:tmpl w:val="48646AA4"/>
    <w:lvl w:ilvl="0" w:tentative="0">
      <w:start w:val="1"/>
      <w:numFmt w:val="bullet"/>
      <w:pStyle w:val="1027"/>
      <w:lvlText w:val=""/>
      <w:lvlJc w:val="left"/>
      <w:pPr>
        <w:ind w:left="900" w:hanging="420"/>
      </w:pPr>
      <w:rPr>
        <w:rFonts w:hint="default" w:ascii="Wingdings" w:hAnsi="Wingdings"/>
        <w:sz w:val="16"/>
        <w:szCs w:val="16"/>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F4B04C6"/>
    <w:multiLevelType w:val="multilevel"/>
    <w:tmpl w:val="5F4B04C6"/>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60270560"/>
    <w:multiLevelType w:val="multilevel"/>
    <w:tmpl w:val="60270560"/>
    <w:lvl w:ilvl="0" w:tentative="0">
      <w:start w:val="1"/>
      <w:numFmt w:val="decimal"/>
      <w:lvlText w:val="%1"/>
      <w:lvlJc w:val="left"/>
      <w:pPr>
        <w:ind w:left="840" w:hanging="420"/>
      </w:pPr>
      <w:rPr>
        <w:rFonts w:hint="eastAsia"/>
      </w:rPr>
    </w:lvl>
    <w:lvl w:ilvl="1" w:tentative="0">
      <w:start w:val="1"/>
      <w:numFmt w:val="decimal"/>
      <w:pStyle w:val="1039"/>
      <w:suff w:val="space"/>
      <w:lvlText w:val="图 %2 "/>
      <w:lvlJc w:val="left"/>
      <w:pPr>
        <w:ind w:left="840" w:hanging="420"/>
      </w:pPr>
      <w:rPr>
        <w:rFonts w:hint="eastAsia"/>
      </w:rPr>
    </w:lvl>
    <w:lvl w:ilvl="2" w:tentative="0">
      <w:start w:val="1"/>
      <w:numFmt w:val="decimal"/>
      <w:lvlText w:val="%3）"/>
      <w:lvlJc w:val="left"/>
      <w:pPr>
        <w:ind w:left="1215" w:hanging="375"/>
      </w:pPr>
      <w:rPr>
        <w:rFonts w:hint="default"/>
        <w:sz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6410E74"/>
    <w:multiLevelType w:val="multilevel"/>
    <w:tmpl w:val="66410E74"/>
    <w:lvl w:ilvl="0" w:tentative="0">
      <w:start w:val="1"/>
      <w:numFmt w:val="decimal"/>
      <w:suff w:val="space"/>
      <w:lvlText w:val="第 %1 章"/>
      <w:lvlJc w:val="center"/>
      <w:pPr>
        <w:ind w:left="0" w:firstLine="288"/>
      </w:pPr>
      <w:rPr>
        <w:rFonts w:hint="default" w:ascii="Times New Roman" w:hAnsi="Times New Roman" w:eastAsia="黑体"/>
        <w:b w:val="0"/>
        <w:i w:val="0"/>
        <w:sz w:val="44"/>
      </w:rPr>
    </w:lvl>
    <w:lvl w:ilvl="1" w:tentative="0">
      <w:start w:val="1"/>
      <w:numFmt w:val="decimal"/>
      <w:isLgl/>
      <w:suff w:val="space"/>
      <w:lvlText w:val="%1.%2"/>
      <w:lvlJc w:val="left"/>
      <w:rPr>
        <w:rFonts w:hint="eastAsia" w:ascii="Arial" w:hAnsi="Arial" w:eastAsia="黑体" w:cs="Times New Roman"/>
        <w:b w:val="0"/>
        <w:bCs w:val="0"/>
        <w:i w:val="0"/>
        <w:iCs w:val="0"/>
        <w:caps w:val="0"/>
        <w:smallCaps w:val="0"/>
        <w:strike w:val="0"/>
        <w:dstrike w:val="0"/>
        <w:vanish w:val="0"/>
        <w:color w:val="auto"/>
        <w:spacing w:val="0"/>
        <w:w w:val="100"/>
        <w:kern w:val="2"/>
        <w:position w:val="0"/>
        <w:sz w:val="36"/>
        <w:u w:val="none"/>
        <w:shd w:val="clear" w:color="auto" w:fill="auto"/>
        <w:vertAlign w:val="baseline"/>
      </w:rPr>
    </w:lvl>
    <w:lvl w:ilvl="2" w:tentative="0">
      <w:start w:val="1"/>
      <w:numFmt w:val="decimal"/>
      <w:isLgl/>
      <w:suff w:val="space"/>
      <w:lvlText w:val="%1.%2.%3"/>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tentative="0">
      <w:start w:val="1"/>
      <w:numFmt w:val="decimal"/>
      <w:isLgl/>
      <w:suff w:val="space"/>
      <w:lvlText w:val="%1.%2.%3.%4"/>
      <w:lvlJc w:val="left"/>
      <w:pPr>
        <w:ind w:left="2268" w:hanging="2268"/>
      </w:pPr>
      <w:rPr>
        <w:rFonts w:hint="default" w:ascii="Arial" w:hAnsi="Arial" w:eastAsia="黑体"/>
        <w:b w:val="0"/>
        <w:i w:val="0"/>
        <w:sz w:val="30"/>
      </w:rPr>
    </w:lvl>
    <w:lvl w:ilvl="4" w:tentative="0">
      <w:start w:val="1"/>
      <w:numFmt w:val="decimal"/>
      <w:isLgl/>
      <w:suff w:val="space"/>
      <w:lvlText w:val="%1.%2.%3.%4.%5"/>
      <w:lvlJc w:val="left"/>
      <w:pPr>
        <w:ind w:left="2268" w:hanging="2268"/>
      </w:pPr>
      <w:rPr>
        <w:rFonts w:hint="default" w:ascii="Arial" w:hAnsi="Arial" w:eastAsia="黑体"/>
        <w:b w:val="0"/>
        <w:i w:val="0"/>
        <w:sz w:val="28"/>
      </w:rPr>
    </w:lvl>
    <w:lvl w:ilvl="5" w:tentative="0">
      <w:start w:val="1"/>
      <w:numFmt w:val="decimal"/>
      <w:isLgl/>
      <w:lvlText w:val="%1.%2.%3.%4.%5.%6"/>
      <w:lvlJc w:val="left"/>
      <w:pPr>
        <w:tabs>
          <w:tab w:val="left" w:pos="1992"/>
        </w:tabs>
        <w:ind w:left="2268" w:hanging="2268"/>
      </w:pPr>
      <w:rPr>
        <w:rFonts w:hint="eastAsia"/>
      </w:rPr>
    </w:lvl>
    <w:lvl w:ilvl="6" w:tentative="0">
      <w:start w:val="1"/>
      <w:numFmt w:val="decimal"/>
      <w:pStyle w:val="983"/>
      <w:suff w:val="space"/>
      <w:lvlText w:val="%1.%2.%3.%4.%5.%6.%7"/>
      <w:lvlJc w:val="left"/>
      <w:rPr>
        <w:b w:val="0"/>
        <w:bCs w:val="0"/>
        <w:i w:val="0"/>
        <w:iCs w:val="0"/>
        <w:caps w:val="0"/>
        <w:smallCaps w:val="0"/>
        <w:strike w:val="0"/>
        <w:dstrike w:val="0"/>
        <w:vanish w:val="0"/>
        <w:color w:val="000000"/>
        <w:spacing w:val="0"/>
        <w:position w:val="0"/>
        <w:u w:val="none"/>
        <w:vertAlign w:val="baseline"/>
      </w:rPr>
    </w:lvl>
    <w:lvl w:ilvl="7" w:tentative="0">
      <w:start w:val="1"/>
      <w:numFmt w:val="decimal"/>
      <w:lvlText w:val="%1.%2.%3.%4.%5.%6.%7.%8"/>
      <w:lvlJc w:val="left"/>
      <w:pPr>
        <w:tabs>
          <w:tab w:val="left" w:pos="2280"/>
        </w:tabs>
        <w:ind w:left="2280" w:hanging="1440"/>
      </w:pPr>
      <w:rPr>
        <w:rFonts w:hint="eastAsia"/>
      </w:rPr>
    </w:lvl>
    <w:lvl w:ilvl="8" w:tentative="0">
      <w:start w:val="1"/>
      <w:numFmt w:val="decimal"/>
      <w:lvlText w:val="%1.%2.%3.%4.%5.%6.%7.%8.%9"/>
      <w:lvlJc w:val="left"/>
      <w:pPr>
        <w:tabs>
          <w:tab w:val="left" w:pos="2424"/>
        </w:tabs>
        <w:ind w:left="2424" w:hanging="1584"/>
      </w:pPr>
      <w:rPr>
        <w:rFonts w:hint="eastAsia"/>
      </w:rPr>
    </w:lvl>
  </w:abstractNum>
  <w:abstractNum w:abstractNumId="14">
    <w:nsid w:val="68525DED"/>
    <w:multiLevelType w:val="multilevel"/>
    <w:tmpl w:val="68525DED"/>
    <w:lvl w:ilvl="0" w:tentative="0">
      <w:start w:val="1"/>
      <w:numFmt w:val="japaneseCounting"/>
      <w:lvlText w:val="（%1）"/>
      <w:lvlJc w:val="left"/>
      <w:pPr>
        <w:ind w:left="1080" w:hanging="1080"/>
      </w:pPr>
      <w:rPr>
        <w:rFonts w:hint="default"/>
      </w:rPr>
    </w:lvl>
    <w:lvl w:ilvl="1" w:tentative="0">
      <w:start w:val="1"/>
      <w:numFmt w:val="decimalEnclosedCircle"/>
      <w:lvlText w:val="%2"/>
      <w:lvlJc w:val="left"/>
      <w:pPr>
        <w:ind w:left="785" w:hanging="360"/>
      </w:pPr>
      <w:rPr>
        <w:rFonts w:hint="default"/>
        <w:sz w:val="24"/>
        <w:szCs w:val="22"/>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6305423"/>
    <w:multiLevelType w:val="multilevel"/>
    <w:tmpl w:val="76305423"/>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EAF5A21"/>
    <w:multiLevelType w:val="multilevel"/>
    <w:tmpl w:val="7EAF5A21"/>
    <w:lvl w:ilvl="0" w:tentative="0">
      <w:start w:val="1"/>
      <w:numFmt w:val="decimal"/>
      <w:pStyle w:val="994"/>
      <w:lvlText w:val="4.3.8.1.%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3"/>
  </w:num>
  <w:num w:numId="2">
    <w:abstractNumId w:val="9"/>
  </w:num>
  <w:num w:numId="3">
    <w:abstractNumId w:val="16"/>
  </w:num>
  <w:num w:numId="4">
    <w:abstractNumId w:val="7"/>
  </w:num>
  <w:num w:numId="5">
    <w:abstractNumId w:val="1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5"/>
  </w:num>
  <w:num w:numId="10">
    <w:abstractNumId w:val="15"/>
  </w:num>
  <w:num w:numId="11">
    <w:abstractNumId w:val="11"/>
  </w:num>
  <w:num w:numId="12">
    <w:abstractNumId w:val="8"/>
  </w:num>
  <w:num w:numId="13">
    <w:abstractNumId w:val="1"/>
  </w:num>
  <w:num w:numId="14">
    <w:abstractNumId w:val="14"/>
  </w:num>
  <w:num w:numId="15">
    <w:abstractNumId w:val="2"/>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6B0"/>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759"/>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734"/>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53D1"/>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6E2C"/>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70E"/>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735"/>
    <w:rsid w:val="002E587E"/>
    <w:rsid w:val="002E5DCB"/>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18D"/>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946"/>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3A2"/>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0CEA"/>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69"/>
    <w:rsid w:val="004475F7"/>
    <w:rsid w:val="0045030F"/>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CD"/>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3B8"/>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CEB"/>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6F5"/>
    <w:rsid w:val="005E09CA"/>
    <w:rsid w:val="005E1AB4"/>
    <w:rsid w:val="005E255B"/>
    <w:rsid w:val="005E2CF7"/>
    <w:rsid w:val="005E4543"/>
    <w:rsid w:val="005E4A1C"/>
    <w:rsid w:val="005E5214"/>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93B"/>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541"/>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874"/>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363"/>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A7F"/>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0E6A"/>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1B8E"/>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6CF"/>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897"/>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391"/>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30D"/>
    <w:rsid w:val="00B72CF0"/>
    <w:rsid w:val="00B7380E"/>
    <w:rsid w:val="00B740F6"/>
    <w:rsid w:val="00B742AD"/>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671"/>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065B"/>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3EB6"/>
    <w:rsid w:val="00C148B2"/>
    <w:rsid w:val="00C14ABD"/>
    <w:rsid w:val="00C151E0"/>
    <w:rsid w:val="00C155A8"/>
    <w:rsid w:val="00C159FD"/>
    <w:rsid w:val="00C15B31"/>
    <w:rsid w:val="00C15F66"/>
    <w:rsid w:val="00C1604F"/>
    <w:rsid w:val="00C166D4"/>
    <w:rsid w:val="00C16708"/>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17E"/>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5CA6"/>
    <w:rsid w:val="00C4602B"/>
    <w:rsid w:val="00C46564"/>
    <w:rsid w:val="00C46BFA"/>
    <w:rsid w:val="00C46DDF"/>
    <w:rsid w:val="00C500A1"/>
    <w:rsid w:val="00C50A02"/>
    <w:rsid w:val="00C51149"/>
    <w:rsid w:val="00C5117E"/>
    <w:rsid w:val="00C512D1"/>
    <w:rsid w:val="00C51856"/>
    <w:rsid w:val="00C51B04"/>
    <w:rsid w:val="00C51D01"/>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0B9"/>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5FA"/>
    <w:rsid w:val="00CC1AF5"/>
    <w:rsid w:val="00CC1B74"/>
    <w:rsid w:val="00CC291E"/>
    <w:rsid w:val="00CC2D03"/>
    <w:rsid w:val="00CC2EB0"/>
    <w:rsid w:val="00CC3398"/>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37E"/>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986"/>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1C9"/>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3C09"/>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65D"/>
    <w:rsid w:val="00E84C04"/>
    <w:rsid w:val="00E84F72"/>
    <w:rsid w:val="00E856A2"/>
    <w:rsid w:val="00E8572B"/>
    <w:rsid w:val="00E8575B"/>
    <w:rsid w:val="00E85929"/>
    <w:rsid w:val="00E85AD2"/>
    <w:rsid w:val="00E86A55"/>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010"/>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5A1"/>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E52"/>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8C8"/>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67D"/>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0E1"/>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01E2E"/>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BFB3F2C"/>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CC6AB7"/>
    <w:rsid w:val="30DF1478"/>
    <w:rsid w:val="30EC586F"/>
    <w:rsid w:val="319C6071"/>
    <w:rsid w:val="31AC537E"/>
    <w:rsid w:val="31E3679B"/>
    <w:rsid w:val="31E732FD"/>
    <w:rsid w:val="32517576"/>
    <w:rsid w:val="32BE5C2C"/>
    <w:rsid w:val="32FB6478"/>
    <w:rsid w:val="33263B3F"/>
    <w:rsid w:val="33621DF2"/>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2F3A4D"/>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29533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8874EB"/>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87B61"/>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FA1001"/>
    <w:rsid w:val="5E006862"/>
    <w:rsid w:val="5E0207B9"/>
    <w:rsid w:val="5E1834A1"/>
    <w:rsid w:val="5E1A3CFC"/>
    <w:rsid w:val="5E261785"/>
    <w:rsid w:val="5E4A7017"/>
    <w:rsid w:val="5E552BBA"/>
    <w:rsid w:val="5E611C10"/>
    <w:rsid w:val="5EFC7377"/>
    <w:rsid w:val="5F06174D"/>
    <w:rsid w:val="5F3A3602"/>
    <w:rsid w:val="5F6277C6"/>
    <w:rsid w:val="5F6D0B1D"/>
    <w:rsid w:val="5F8D0B82"/>
    <w:rsid w:val="5FCC5339"/>
    <w:rsid w:val="5FE34A5B"/>
    <w:rsid w:val="5FFE1E36"/>
    <w:rsid w:val="602045A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D358FF"/>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97E00"/>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CF7043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935AC3"/>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0" w:name="Table Colorful 1"/>
    <w:lsdException w:qFormat="1" w:uiPriority="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link w:val="83"/>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0"/>
    <w:qFormat/>
    <w:uiPriority w:val="0"/>
    <w:pPr>
      <w:spacing w:line="480" w:lineRule="exact"/>
      <w:ind w:firstLine="480" w:firstLineChars="200"/>
    </w:pPr>
    <w:rPr>
      <w:rFonts w:ascii="宋体" w:hAnsi="宋体"/>
      <w:sz w:val="24"/>
    </w:rPr>
  </w:style>
  <w:style w:type="paragraph" w:styleId="6">
    <w:name w:val="Normal Indent"/>
    <w:basedOn w:val="1"/>
    <w:link w:val="8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39"/>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90"/>
    <w:qFormat/>
    <w:uiPriority w:val="35"/>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1"/>
    <w:qFormat/>
    <w:uiPriority w:val="0"/>
    <w:pPr>
      <w:shd w:val="clear" w:color="auto" w:fill="000080"/>
    </w:pPr>
  </w:style>
  <w:style w:type="paragraph" w:styleId="20">
    <w:name w:val="annotation text"/>
    <w:basedOn w:val="1"/>
    <w:link w:val="92"/>
    <w:qFormat/>
    <w:uiPriority w:val="99"/>
    <w:pPr>
      <w:jc w:val="left"/>
    </w:pPr>
  </w:style>
  <w:style w:type="paragraph" w:styleId="21">
    <w:name w:val="Salutation"/>
    <w:basedOn w:val="1"/>
    <w:next w:val="1"/>
    <w:link w:val="93"/>
    <w:qFormat/>
    <w:uiPriority w:val="0"/>
    <w:rPr>
      <w:rFonts w:ascii="仿宋_GB2312" w:eastAsia="仿宋_GB2312"/>
      <w:sz w:val="28"/>
      <w:szCs w:val="20"/>
    </w:rPr>
  </w:style>
  <w:style w:type="paragraph" w:styleId="22">
    <w:name w:val="Body Text 3"/>
    <w:basedOn w:val="1"/>
    <w:link w:val="94"/>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95"/>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96"/>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39"/>
    <w:pPr>
      <w:ind w:left="1680" w:leftChars="800"/>
    </w:pPr>
  </w:style>
  <w:style w:type="paragraph" w:styleId="31">
    <w:name w:val="toc 3"/>
    <w:basedOn w:val="1"/>
    <w:next w:val="1"/>
    <w:qFormat/>
    <w:uiPriority w:val="39"/>
    <w:pPr>
      <w:tabs>
        <w:tab w:val="right" w:leader="dot" w:pos="8268"/>
      </w:tabs>
      <w:spacing w:line="460" w:lineRule="exact"/>
      <w:ind w:left="840" w:leftChars="400" w:firstLine="482"/>
    </w:pPr>
    <w:rPr>
      <w:rFonts w:ascii="宋体" w:hAnsi="宋体"/>
    </w:rPr>
  </w:style>
  <w:style w:type="paragraph" w:styleId="32">
    <w:name w:val="Plain Text"/>
    <w:basedOn w:val="1"/>
    <w:link w:val="9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39"/>
    <w:pPr>
      <w:ind w:left="2940" w:leftChars="1400"/>
    </w:pPr>
  </w:style>
  <w:style w:type="paragraph" w:styleId="35">
    <w:name w:val="Date"/>
    <w:basedOn w:val="1"/>
    <w:next w:val="1"/>
    <w:link w:val="98"/>
    <w:qFormat/>
    <w:uiPriority w:val="0"/>
    <w:pPr>
      <w:ind w:left="100" w:leftChars="2500"/>
    </w:pPr>
    <w:rPr>
      <w:rFonts w:ascii="宋体"/>
      <w:sz w:val="24"/>
      <w:szCs w:val="21"/>
      <w:lang w:val="zh-CN"/>
    </w:rPr>
  </w:style>
  <w:style w:type="paragraph" w:styleId="36">
    <w:name w:val="Body Text Indent 2"/>
    <w:basedOn w:val="1"/>
    <w:link w:val="99"/>
    <w:qFormat/>
    <w:uiPriority w:val="0"/>
    <w:pPr>
      <w:spacing w:line="360" w:lineRule="auto"/>
      <w:ind w:firstLine="601"/>
      <w:textAlignment w:val="baseline"/>
    </w:pPr>
    <w:rPr>
      <w:rFonts w:ascii="宋体"/>
      <w:kern w:val="0"/>
      <w:sz w:val="28"/>
      <w:szCs w:val="20"/>
    </w:rPr>
  </w:style>
  <w:style w:type="paragraph" w:styleId="37">
    <w:name w:val="endnote text"/>
    <w:basedOn w:val="1"/>
    <w:link w:val="100"/>
    <w:qFormat/>
    <w:uiPriority w:val="0"/>
    <w:rPr>
      <w:lang w:val="zh-CN"/>
    </w:rPr>
  </w:style>
  <w:style w:type="paragraph" w:styleId="38">
    <w:name w:val="Balloon Text"/>
    <w:basedOn w:val="1"/>
    <w:link w:val="101"/>
    <w:qFormat/>
    <w:uiPriority w:val="99"/>
    <w:rPr>
      <w:sz w:val="18"/>
      <w:szCs w:val="18"/>
    </w:rPr>
  </w:style>
  <w:style w:type="paragraph" w:styleId="39">
    <w:name w:val="footer"/>
    <w:basedOn w:val="1"/>
    <w:link w:val="102"/>
    <w:qFormat/>
    <w:uiPriority w:val="99"/>
    <w:pPr>
      <w:tabs>
        <w:tab w:val="center" w:pos="4153"/>
        <w:tab w:val="right" w:pos="8306"/>
      </w:tabs>
      <w:snapToGrid w:val="0"/>
      <w:jc w:val="left"/>
    </w:pPr>
    <w:rPr>
      <w:sz w:val="18"/>
      <w:szCs w:val="18"/>
    </w:rPr>
  </w:style>
  <w:style w:type="paragraph" w:styleId="40">
    <w:name w:val="header"/>
    <w:basedOn w:val="1"/>
    <w:link w:val="10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39"/>
  </w:style>
  <w:style w:type="paragraph" w:styleId="43">
    <w:name w:val="toc 4"/>
    <w:basedOn w:val="1"/>
    <w:next w:val="1"/>
    <w:qFormat/>
    <w:uiPriority w:val="39"/>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05"/>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106"/>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39"/>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107"/>
    <w:qFormat/>
    <w:uiPriority w:val="0"/>
    <w:pPr>
      <w:spacing w:line="360" w:lineRule="auto"/>
      <w:ind w:firstLine="420"/>
    </w:pPr>
    <w:rPr>
      <w:sz w:val="24"/>
      <w:szCs w:val="20"/>
    </w:rPr>
  </w:style>
  <w:style w:type="paragraph" w:styleId="53">
    <w:name w:val="table of figures"/>
    <w:basedOn w:val="1"/>
    <w:next w:val="1"/>
    <w:qFormat/>
    <w:uiPriority w:val="99"/>
    <w:pPr>
      <w:adjustRightInd/>
      <w:spacing w:line="360" w:lineRule="auto"/>
    </w:pPr>
    <w:rPr>
      <w:rFonts w:ascii="Arial" w:hAnsi="Arial" w:cs="宋体"/>
      <w:sz w:val="24"/>
      <w:szCs w:val="20"/>
    </w:rPr>
  </w:style>
  <w:style w:type="paragraph" w:styleId="54">
    <w:name w:val="toc 2"/>
    <w:basedOn w:val="1"/>
    <w:next w:val="1"/>
    <w:qFormat/>
    <w:uiPriority w:val="39"/>
    <w:pPr>
      <w:ind w:left="420" w:leftChars="200"/>
    </w:pPr>
  </w:style>
  <w:style w:type="paragraph" w:styleId="55">
    <w:name w:val="toc 9"/>
    <w:basedOn w:val="1"/>
    <w:next w:val="1"/>
    <w:qFormat/>
    <w:uiPriority w:val="39"/>
    <w:pPr>
      <w:ind w:left="3360" w:leftChars="1600"/>
    </w:pPr>
  </w:style>
  <w:style w:type="paragraph" w:styleId="56">
    <w:name w:val="Body Text 2"/>
    <w:basedOn w:val="1"/>
    <w:link w:val="108"/>
    <w:qFormat/>
    <w:uiPriority w:val="0"/>
    <w:pPr>
      <w:spacing w:after="120" w:line="480" w:lineRule="auto"/>
    </w:pPr>
  </w:style>
  <w:style w:type="paragraph" w:styleId="57">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0"/>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11"/>
    <w:qFormat/>
    <w:uiPriority w:val="0"/>
    <w:rPr>
      <w:b/>
      <w:bCs/>
    </w:rPr>
  </w:style>
  <w:style w:type="paragraph" w:styleId="61">
    <w:name w:val="Body Text First Indent"/>
    <w:basedOn w:val="24"/>
    <w:link w:val="112"/>
    <w:qFormat/>
    <w:uiPriority w:val="0"/>
    <w:pPr>
      <w:ind w:firstLine="420"/>
    </w:pPr>
    <w:rPr>
      <w:rFonts w:hAnsi="Calibri" w:cs="Times New Roman"/>
      <w:snapToGrid/>
      <w:szCs w:val="20"/>
    </w:rPr>
  </w:style>
  <w:style w:type="paragraph" w:styleId="62">
    <w:name w:val="Body Text First Indent 2"/>
    <w:basedOn w:val="2"/>
    <w:link w:val="11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正文文本缩进 Char3"/>
    <w:link w:val="2"/>
    <w:qFormat/>
    <w:uiPriority w:val="0"/>
    <w:rPr>
      <w:rFonts w:ascii="宋体" w:hAnsi="宋体"/>
      <w:kern w:val="2"/>
      <w:sz w:val="24"/>
      <w:szCs w:val="24"/>
    </w:rPr>
  </w:style>
  <w:style w:type="character" w:customStyle="1" w:styleId="81">
    <w:name w:val="标题 1 Char"/>
    <w:link w:val="3"/>
    <w:qFormat/>
    <w:uiPriority w:val="0"/>
    <w:rPr>
      <w:b/>
      <w:bCs/>
      <w:kern w:val="44"/>
      <w:sz w:val="44"/>
      <w:szCs w:val="44"/>
    </w:rPr>
  </w:style>
  <w:style w:type="character" w:customStyle="1" w:styleId="82">
    <w:name w:val="正文缩进 Char2"/>
    <w:link w:val="6"/>
    <w:qFormat/>
    <w:uiPriority w:val="0"/>
    <w:rPr>
      <w:rFonts w:ascii="宋体" w:eastAsia="宋体"/>
      <w:snapToGrid w:val="0"/>
      <w:color w:val="000000"/>
      <w:kern w:val="28"/>
      <w:sz w:val="28"/>
      <w:lang w:val="en-US" w:eastAsia="zh-CN" w:bidi="ar-SA"/>
    </w:rPr>
  </w:style>
  <w:style w:type="character" w:customStyle="1" w:styleId="83">
    <w:name w:val="标题 3 Char"/>
    <w:basedOn w:val="70"/>
    <w:link w:val="5"/>
    <w:qFormat/>
    <w:uiPriority w:val="0"/>
    <w:rPr>
      <w:b/>
      <w:bCs/>
      <w:kern w:val="2"/>
      <w:sz w:val="32"/>
      <w:szCs w:val="32"/>
    </w:rPr>
  </w:style>
  <w:style w:type="character" w:customStyle="1" w:styleId="84">
    <w:name w:val="标题 4 Char2"/>
    <w:link w:val="7"/>
    <w:qFormat/>
    <w:uiPriority w:val="9"/>
    <w:rPr>
      <w:rFonts w:ascii="Arial" w:hAnsi="Arial" w:eastAsia="黑体"/>
      <w:b/>
      <w:bCs/>
      <w:kern w:val="2"/>
      <w:sz w:val="28"/>
      <w:szCs w:val="28"/>
      <w:lang w:val="zh-CN"/>
    </w:rPr>
  </w:style>
  <w:style w:type="character" w:customStyle="1" w:styleId="85">
    <w:name w:val="标题 5 Char"/>
    <w:link w:val="8"/>
    <w:qFormat/>
    <w:uiPriority w:val="0"/>
    <w:rPr>
      <w:b/>
      <w:bCs/>
      <w:kern w:val="2"/>
      <w:sz w:val="28"/>
      <w:szCs w:val="28"/>
    </w:rPr>
  </w:style>
  <w:style w:type="character" w:customStyle="1" w:styleId="86">
    <w:name w:val="标题 6 Char"/>
    <w:link w:val="9"/>
    <w:qFormat/>
    <w:uiPriority w:val="0"/>
    <w:rPr>
      <w:rFonts w:ascii="Arial" w:hAnsi="Arial" w:eastAsia="黑体"/>
      <w:b/>
      <w:bCs/>
      <w:kern w:val="2"/>
      <w:sz w:val="24"/>
      <w:szCs w:val="24"/>
    </w:rPr>
  </w:style>
  <w:style w:type="character" w:customStyle="1" w:styleId="87">
    <w:name w:val="标题 7 Char"/>
    <w:link w:val="10"/>
    <w:qFormat/>
    <w:uiPriority w:val="0"/>
    <w:rPr>
      <w:b/>
      <w:bCs/>
      <w:kern w:val="2"/>
      <w:sz w:val="24"/>
      <w:szCs w:val="24"/>
    </w:rPr>
  </w:style>
  <w:style w:type="character" w:customStyle="1" w:styleId="88">
    <w:name w:val="标题 8 Char"/>
    <w:link w:val="11"/>
    <w:qFormat/>
    <w:uiPriority w:val="0"/>
    <w:rPr>
      <w:rFonts w:ascii="Arial" w:hAnsi="Arial" w:eastAsia="黑体"/>
      <w:kern w:val="2"/>
      <w:sz w:val="24"/>
      <w:szCs w:val="24"/>
    </w:rPr>
  </w:style>
  <w:style w:type="character" w:customStyle="1" w:styleId="89">
    <w:name w:val="标题 9 Char"/>
    <w:link w:val="12"/>
    <w:qFormat/>
    <w:uiPriority w:val="0"/>
    <w:rPr>
      <w:rFonts w:ascii="Arial" w:hAnsi="Arial" w:eastAsia="黑体"/>
      <w:kern w:val="2"/>
      <w:sz w:val="21"/>
      <w:szCs w:val="21"/>
    </w:rPr>
  </w:style>
  <w:style w:type="character" w:customStyle="1" w:styleId="90">
    <w:name w:val="题注 Char"/>
    <w:link w:val="17"/>
    <w:qFormat/>
    <w:uiPriority w:val="35"/>
    <w:rPr>
      <w:b/>
      <w:kern w:val="2"/>
      <w:sz w:val="28"/>
    </w:rPr>
  </w:style>
  <w:style w:type="character" w:customStyle="1" w:styleId="91">
    <w:name w:val="文档结构图 Char1"/>
    <w:link w:val="19"/>
    <w:qFormat/>
    <w:uiPriority w:val="0"/>
    <w:rPr>
      <w:kern w:val="2"/>
      <w:sz w:val="21"/>
      <w:szCs w:val="24"/>
      <w:shd w:val="clear" w:color="auto" w:fill="000080"/>
    </w:rPr>
  </w:style>
  <w:style w:type="character" w:customStyle="1" w:styleId="92">
    <w:name w:val="批注文字 Char1"/>
    <w:link w:val="20"/>
    <w:qFormat/>
    <w:uiPriority w:val="0"/>
    <w:rPr>
      <w:kern w:val="2"/>
      <w:sz w:val="21"/>
      <w:szCs w:val="24"/>
    </w:rPr>
  </w:style>
  <w:style w:type="character" w:customStyle="1" w:styleId="93">
    <w:name w:val="称呼 Char"/>
    <w:link w:val="21"/>
    <w:qFormat/>
    <w:uiPriority w:val="0"/>
    <w:rPr>
      <w:rFonts w:ascii="仿宋_GB2312" w:eastAsia="仿宋_GB2312"/>
      <w:kern w:val="2"/>
      <w:sz w:val="28"/>
    </w:rPr>
  </w:style>
  <w:style w:type="character" w:customStyle="1" w:styleId="94">
    <w:name w:val="正文文本 3 Char"/>
    <w:link w:val="22"/>
    <w:qFormat/>
    <w:uiPriority w:val="0"/>
    <w:rPr>
      <w:kern w:val="2"/>
      <w:sz w:val="21"/>
    </w:rPr>
  </w:style>
  <w:style w:type="character" w:customStyle="1" w:styleId="95">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6">
    <w:name w:val="HTML 地址 Char"/>
    <w:link w:val="29"/>
    <w:qFormat/>
    <w:uiPriority w:val="0"/>
    <w:rPr>
      <w:rFonts w:ascii="宋体" w:hAnsi="宋体"/>
      <w:i/>
      <w:iCs/>
      <w:sz w:val="24"/>
      <w:szCs w:val="24"/>
    </w:rPr>
  </w:style>
  <w:style w:type="character" w:customStyle="1" w:styleId="97">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98">
    <w:name w:val="日期 Char"/>
    <w:link w:val="35"/>
    <w:qFormat/>
    <w:uiPriority w:val="0"/>
    <w:rPr>
      <w:rFonts w:ascii="宋体"/>
      <w:kern w:val="2"/>
      <w:sz w:val="24"/>
      <w:szCs w:val="21"/>
      <w:lang w:val="zh-CN"/>
    </w:rPr>
  </w:style>
  <w:style w:type="character" w:customStyle="1" w:styleId="99">
    <w:name w:val="正文文本缩进 2 Char"/>
    <w:link w:val="36"/>
    <w:qFormat/>
    <w:uiPriority w:val="0"/>
    <w:rPr>
      <w:rFonts w:ascii="宋体"/>
      <w:sz w:val="28"/>
    </w:rPr>
  </w:style>
  <w:style w:type="character" w:customStyle="1" w:styleId="100">
    <w:name w:val="尾注文本 Char"/>
    <w:link w:val="37"/>
    <w:qFormat/>
    <w:uiPriority w:val="0"/>
    <w:rPr>
      <w:kern w:val="2"/>
      <w:sz w:val="21"/>
      <w:szCs w:val="24"/>
      <w:lang w:val="zh-CN"/>
    </w:rPr>
  </w:style>
  <w:style w:type="character" w:customStyle="1" w:styleId="101">
    <w:name w:val="批注框文本 Char"/>
    <w:link w:val="38"/>
    <w:qFormat/>
    <w:uiPriority w:val="99"/>
    <w:rPr>
      <w:kern w:val="2"/>
      <w:sz w:val="18"/>
      <w:szCs w:val="18"/>
    </w:rPr>
  </w:style>
  <w:style w:type="character" w:customStyle="1" w:styleId="102">
    <w:name w:val="页脚 Char2"/>
    <w:link w:val="39"/>
    <w:qFormat/>
    <w:locked/>
    <w:uiPriority w:val="99"/>
    <w:rPr>
      <w:kern w:val="2"/>
      <w:sz w:val="18"/>
      <w:szCs w:val="18"/>
    </w:rPr>
  </w:style>
  <w:style w:type="character" w:customStyle="1" w:styleId="103">
    <w:name w:val="页眉 Char2"/>
    <w:link w:val="40"/>
    <w:qFormat/>
    <w:uiPriority w:val="99"/>
    <w:rPr>
      <w:kern w:val="2"/>
      <w:sz w:val="18"/>
      <w:szCs w:val="18"/>
    </w:rPr>
  </w:style>
  <w:style w:type="character" w:customStyle="1" w:styleId="104">
    <w:name w:val="签名 Char"/>
    <w:link w:val="41"/>
    <w:qFormat/>
    <w:uiPriority w:val="0"/>
    <w:rPr>
      <w:rFonts w:eastAsia="仿宋_GB2312"/>
      <w:sz w:val="24"/>
    </w:rPr>
  </w:style>
  <w:style w:type="character" w:customStyle="1" w:styleId="105">
    <w:name w:val="副标题 Char"/>
    <w:link w:val="46"/>
    <w:qFormat/>
    <w:uiPriority w:val="11"/>
    <w:rPr>
      <w:rFonts w:ascii="Arial" w:hAnsi="Arial" w:eastAsia="隶书"/>
      <w:b/>
      <w:bCs/>
      <w:kern w:val="28"/>
      <w:sz w:val="44"/>
      <w:szCs w:val="32"/>
      <w:lang w:val="en-US" w:eastAsia="zh-CN" w:bidi="ar-SA"/>
    </w:rPr>
  </w:style>
  <w:style w:type="character" w:customStyle="1" w:styleId="106">
    <w:name w:val="脚注文本 Char"/>
    <w:link w:val="49"/>
    <w:qFormat/>
    <w:uiPriority w:val="0"/>
    <w:rPr>
      <w:color w:val="0000FF"/>
      <w:sz w:val="21"/>
    </w:rPr>
  </w:style>
  <w:style w:type="character" w:customStyle="1" w:styleId="107">
    <w:name w:val="正文文本缩进 3 Char"/>
    <w:link w:val="52"/>
    <w:qFormat/>
    <w:uiPriority w:val="0"/>
    <w:rPr>
      <w:kern w:val="2"/>
      <w:sz w:val="24"/>
    </w:rPr>
  </w:style>
  <w:style w:type="character" w:customStyle="1" w:styleId="108">
    <w:name w:val="正文文本 2 Char1"/>
    <w:link w:val="56"/>
    <w:qFormat/>
    <w:uiPriority w:val="0"/>
    <w:rPr>
      <w:kern w:val="2"/>
      <w:sz w:val="21"/>
      <w:szCs w:val="24"/>
    </w:rPr>
  </w:style>
  <w:style w:type="character" w:customStyle="1" w:styleId="109">
    <w:name w:val="HTML 预设格式 Char"/>
    <w:link w:val="57"/>
    <w:qFormat/>
    <w:uiPriority w:val="0"/>
    <w:rPr>
      <w:rFonts w:ascii="黑体" w:hAnsi="Courier New" w:eastAsia="黑体"/>
    </w:rPr>
  </w:style>
  <w:style w:type="character" w:customStyle="1" w:styleId="110">
    <w:name w:val="标题 Char2"/>
    <w:link w:val="59"/>
    <w:qFormat/>
    <w:uiPriority w:val="10"/>
    <w:rPr>
      <w:b/>
      <w:sz w:val="24"/>
      <w:lang w:val="en-GB"/>
    </w:rPr>
  </w:style>
  <w:style w:type="character" w:customStyle="1" w:styleId="111">
    <w:name w:val="批注主题 Char1"/>
    <w:link w:val="60"/>
    <w:qFormat/>
    <w:uiPriority w:val="0"/>
    <w:rPr>
      <w:b/>
      <w:bCs/>
      <w:kern w:val="2"/>
      <w:sz w:val="21"/>
      <w:szCs w:val="24"/>
    </w:rPr>
  </w:style>
  <w:style w:type="character" w:customStyle="1" w:styleId="112">
    <w:name w:val="正文首行缩进 Char"/>
    <w:link w:val="61"/>
    <w:qFormat/>
    <w:uiPriority w:val="0"/>
    <w:rPr>
      <w:rFonts w:ascii="宋体"/>
      <w:kern w:val="2"/>
      <w:sz w:val="24"/>
      <w:lang w:val="zh-CN"/>
    </w:rPr>
  </w:style>
  <w:style w:type="character" w:customStyle="1" w:styleId="113">
    <w:name w:val="正文首行缩进 2 Char"/>
    <w:link w:val="62"/>
    <w:qFormat/>
    <w:uiPriority w:val="0"/>
    <w:rPr>
      <w:rFonts w:ascii="宋体" w:hAnsi="宋体"/>
      <w:kern w:val="2"/>
      <w:sz w:val="21"/>
      <w:szCs w:val="24"/>
    </w:rPr>
  </w:style>
  <w:style w:type="character" w:customStyle="1" w:styleId="114">
    <w:name w:val="表格非标题文字 Char"/>
    <w:link w:val="115"/>
    <w:qFormat/>
    <w:uiPriority w:val="0"/>
    <w:rPr>
      <w:rFonts w:ascii="Futura Bk" w:hAnsi="Futura Bk"/>
      <w:kern w:val="2"/>
      <w:sz w:val="18"/>
      <w:szCs w:val="21"/>
      <w:lang w:val="en-US" w:eastAsia="zh-CN" w:bidi="ar-SA"/>
    </w:rPr>
  </w:style>
  <w:style w:type="paragraph" w:customStyle="1" w:styleId="115">
    <w:name w:val="表格非标题文字"/>
    <w:link w:val="11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6">
    <w:name w:val="*正文 Char"/>
    <w:link w:val="117"/>
    <w:qFormat/>
    <w:locked/>
    <w:uiPriority w:val="0"/>
    <w:rPr>
      <w:rFonts w:ascii="宋体" w:hAnsi="宋体"/>
      <w:sz w:val="24"/>
    </w:rPr>
  </w:style>
  <w:style w:type="paragraph" w:customStyle="1" w:styleId="117">
    <w:name w:val="*正文"/>
    <w:basedOn w:val="1"/>
    <w:link w:val="116"/>
    <w:qFormat/>
    <w:uiPriority w:val="0"/>
    <w:pPr>
      <w:snapToGrid w:val="0"/>
      <w:spacing w:line="360" w:lineRule="auto"/>
      <w:ind w:firstLine="482"/>
      <w:jc w:val="left"/>
    </w:pPr>
    <w:rPr>
      <w:rFonts w:ascii="宋体" w:hAnsi="宋体"/>
      <w:kern w:val="0"/>
      <w:sz w:val="24"/>
      <w:szCs w:val="20"/>
    </w:rPr>
  </w:style>
  <w:style w:type="character" w:customStyle="1" w:styleId="118">
    <w:name w:val="Char Char71"/>
    <w:semiHidden/>
    <w:qFormat/>
    <w:uiPriority w:val="0"/>
    <w:rPr>
      <w:rFonts w:eastAsia="宋体"/>
      <w:kern w:val="2"/>
      <w:sz w:val="21"/>
      <w:szCs w:val="24"/>
      <w:lang w:val="en-US" w:eastAsia="zh-CN" w:bidi="ar-SA"/>
    </w:rPr>
  </w:style>
  <w:style w:type="character" w:customStyle="1" w:styleId="119">
    <w:name w:val="Char Char6"/>
    <w:qFormat/>
    <w:uiPriority w:val="0"/>
    <w:rPr>
      <w:rFonts w:eastAsia="宋体"/>
      <w:kern w:val="2"/>
      <w:sz w:val="21"/>
      <w:szCs w:val="24"/>
      <w:lang w:val="en-US" w:eastAsia="zh-CN" w:bidi="ar-SA"/>
    </w:rPr>
  </w:style>
  <w:style w:type="character" w:customStyle="1" w:styleId="120">
    <w:name w:val="正文缩进 Char"/>
    <w:qFormat/>
    <w:uiPriority w:val="0"/>
    <w:rPr>
      <w:rFonts w:eastAsia="宋体"/>
      <w:kern w:val="2"/>
      <w:sz w:val="21"/>
      <w:lang w:val="en-US" w:eastAsia="zh-CN"/>
    </w:rPr>
  </w:style>
  <w:style w:type="character" w:customStyle="1" w:styleId="121">
    <w:name w:val="正文首行缩进 Char1"/>
    <w:qFormat/>
    <w:uiPriority w:val="0"/>
    <w:rPr>
      <w:rFonts w:ascii="宋体" w:hAnsi="Times New Roman" w:eastAsia="宋体" w:cs="Times New Roman"/>
      <w:snapToGrid w:val="0"/>
      <w:kern w:val="2"/>
      <w:sz w:val="24"/>
      <w:szCs w:val="21"/>
      <w:lang w:val="zh-CN"/>
    </w:rPr>
  </w:style>
  <w:style w:type="character" w:customStyle="1" w:styleId="122">
    <w:name w:val="Char Char28"/>
    <w:qFormat/>
    <w:uiPriority w:val="6"/>
    <w:rPr>
      <w:rFonts w:ascii="仿宋_GB2312" w:hAnsi="仿宋_GB2312" w:eastAsia="仿宋_GB2312"/>
      <w:kern w:val="1"/>
      <w:sz w:val="28"/>
    </w:rPr>
  </w:style>
  <w:style w:type="character" w:customStyle="1" w:styleId="12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4">
    <w:name w:val="Heading 1 Char"/>
    <w:qFormat/>
    <w:uiPriority w:val="6"/>
    <w:rPr>
      <w:rFonts w:ascii="Times New Roman" w:hAnsi="Times New Roman" w:eastAsia="黑体" w:cs="Times New Roman"/>
      <w:b/>
      <w:kern w:val="0"/>
      <w:sz w:val="24"/>
      <w:szCs w:val="24"/>
    </w:rPr>
  </w:style>
  <w:style w:type="character" w:customStyle="1" w:styleId="125">
    <w:name w:val="U_正文 Char"/>
    <w:link w:val="126"/>
    <w:qFormat/>
    <w:uiPriority w:val="0"/>
    <w:rPr>
      <w:sz w:val="24"/>
      <w:szCs w:val="24"/>
    </w:rPr>
  </w:style>
  <w:style w:type="paragraph" w:customStyle="1" w:styleId="126">
    <w:name w:val="U_正文"/>
    <w:basedOn w:val="1"/>
    <w:link w:val="125"/>
    <w:qFormat/>
    <w:uiPriority w:val="0"/>
    <w:pPr>
      <w:adjustRightInd/>
      <w:spacing w:beforeLines="20" w:afterLines="20" w:line="300" w:lineRule="auto"/>
      <w:ind w:firstLine="200" w:firstLineChars="200"/>
    </w:pPr>
    <w:rPr>
      <w:kern w:val="0"/>
      <w:sz w:val="24"/>
    </w:rPr>
  </w:style>
  <w:style w:type="character" w:customStyle="1" w:styleId="127">
    <w:name w:val="HTML 地址 Char1"/>
    <w:qFormat/>
    <w:uiPriority w:val="0"/>
    <w:rPr>
      <w:rFonts w:ascii="Times New Roman" w:hAnsi="Times New Roman" w:eastAsia="宋体" w:cs="Times New Roman"/>
      <w:i/>
      <w:iCs/>
      <w:szCs w:val="24"/>
    </w:rPr>
  </w:style>
  <w:style w:type="character" w:customStyle="1" w:styleId="128">
    <w:name w:val="Char Char51"/>
    <w:qFormat/>
    <w:uiPriority w:val="0"/>
    <w:rPr>
      <w:rFonts w:ascii="宋体" w:hAnsi="Courier New" w:eastAsia="宋体"/>
      <w:kern w:val="2"/>
      <w:sz w:val="21"/>
      <w:lang w:val="en-US" w:eastAsia="zh-CN"/>
    </w:rPr>
  </w:style>
  <w:style w:type="character" w:customStyle="1" w:styleId="129">
    <w:name w:val="表正文 Char"/>
    <w:qFormat/>
    <w:uiPriority w:val="0"/>
    <w:rPr>
      <w:rFonts w:ascii="宋体" w:eastAsia="宋体"/>
      <w:snapToGrid w:val="0"/>
      <w:color w:val="000000"/>
      <w:kern w:val="28"/>
      <w:sz w:val="28"/>
      <w:lang w:val="en-US" w:eastAsia="zh-CN" w:bidi="ar-SA"/>
    </w:rPr>
  </w:style>
  <w:style w:type="character" w:customStyle="1" w:styleId="130">
    <w:name w:val="Char Char34"/>
    <w:qFormat/>
    <w:uiPriority w:val="6"/>
    <w:rPr>
      <w:b/>
      <w:kern w:val="1"/>
      <w:sz w:val="28"/>
      <w:szCs w:val="28"/>
    </w:rPr>
  </w:style>
  <w:style w:type="character" w:customStyle="1" w:styleId="13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2">
    <w:name w:val="哈哈正文 Char"/>
    <w:link w:val="133"/>
    <w:qFormat/>
    <w:uiPriority w:val="0"/>
    <w:rPr>
      <w:rFonts w:ascii="宋体" w:hAnsi="宋体" w:eastAsia="宋体"/>
      <w:kern w:val="2"/>
      <w:sz w:val="24"/>
      <w:lang w:bidi="ar-SA"/>
    </w:rPr>
  </w:style>
  <w:style w:type="paragraph" w:customStyle="1" w:styleId="133">
    <w:name w:val="哈哈正文"/>
    <w:basedOn w:val="1"/>
    <w:link w:val="132"/>
    <w:qFormat/>
    <w:uiPriority w:val="0"/>
    <w:pPr>
      <w:adjustRightInd/>
      <w:spacing w:line="360" w:lineRule="auto"/>
      <w:ind w:firstLine="200" w:firstLineChars="200"/>
    </w:pPr>
    <w:rPr>
      <w:rFonts w:ascii="宋体" w:hAnsi="宋体"/>
      <w:sz w:val="24"/>
      <w:szCs w:val="20"/>
    </w:rPr>
  </w:style>
  <w:style w:type="character" w:customStyle="1" w:styleId="134">
    <w:name w:val="未处理的提及1"/>
    <w:qFormat/>
    <w:uiPriority w:val="0"/>
    <w:rPr>
      <w:color w:val="808080"/>
      <w:shd w:val="clear" w:color="auto" w:fill="E6E6E6"/>
    </w:rPr>
  </w:style>
  <w:style w:type="character" w:customStyle="1" w:styleId="135">
    <w:name w:val="txt"/>
    <w:qFormat/>
    <w:uiPriority w:val="0"/>
    <w:rPr>
      <w:rFonts w:ascii="仿宋_GB2312" w:eastAsia="微软雅黑"/>
      <w:b/>
      <w:kern w:val="2"/>
      <w:sz w:val="32"/>
      <w:szCs w:val="32"/>
      <w:lang w:val="en-US" w:eastAsia="zh-CN" w:bidi="ar-SA"/>
    </w:rPr>
  </w:style>
  <w:style w:type="character" w:customStyle="1" w:styleId="136">
    <w:name w:val="二级标题 Char Char"/>
    <w:qFormat/>
    <w:uiPriority w:val="0"/>
    <w:rPr>
      <w:rFonts w:ascii="宋体" w:hAnsi="宋体" w:eastAsia="宋体"/>
      <w:b/>
      <w:snapToGrid w:val="0"/>
      <w:kern w:val="2"/>
      <w:sz w:val="24"/>
      <w:szCs w:val="24"/>
      <w:lang w:val="en-US" w:eastAsia="zh-CN" w:bidi="ar-SA"/>
    </w:rPr>
  </w:style>
  <w:style w:type="character" w:customStyle="1" w:styleId="137">
    <w:name w:val="Char Char32"/>
    <w:qFormat/>
    <w:uiPriority w:val="6"/>
    <w:rPr>
      <w:b/>
      <w:kern w:val="1"/>
      <w:sz w:val="24"/>
      <w:szCs w:val="24"/>
    </w:rPr>
  </w:style>
  <w:style w:type="character" w:customStyle="1" w:styleId="138">
    <w:name w:val="PI Char1"/>
    <w:qFormat/>
    <w:uiPriority w:val="0"/>
    <w:rPr>
      <w:rFonts w:ascii="宋体" w:hAnsi="宋体"/>
      <w:kern w:val="2"/>
      <w:sz w:val="24"/>
      <w:szCs w:val="24"/>
    </w:rPr>
  </w:style>
  <w:style w:type="character" w:customStyle="1" w:styleId="139">
    <w:name w:val="tw4winTerm"/>
    <w:qFormat/>
    <w:uiPriority w:val="0"/>
    <w:rPr>
      <w:color w:val="0000FF"/>
    </w:rPr>
  </w:style>
  <w:style w:type="character" w:customStyle="1" w:styleId="140">
    <w:name w:val="Footer Char"/>
    <w:qFormat/>
    <w:locked/>
    <w:uiPriority w:val="0"/>
    <w:rPr>
      <w:rFonts w:eastAsia="宋体"/>
      <w:kern w:val="2"/>
      <w:sz w:val="18"/>
      <w:lang w:val="en-US" w:eastAsia="zh-CN" w:bidi="ar-SA"/>
    </w:rPr>
  </w:style>
  <w:style w:type="character" w:customStyle="1" w:styleId="141">
    <w:name w:val="普通文字 Char Char1"/>
    <w:qFormat/>
    <w:uiPriority w:val="0"/>
    <w:rPr>
      <w:rFonts w:ascii="宋体" w:hAnsi="Courier New"/>
      <w:kern w:val="2"/>
      <w:sz w:val="21"/>
    </w:rPr>
  </w:style>
  <w:style w:type="character" w:customStyle="1" w:styleId="142">
    <w:name w:val="Char Char101"/>
    <w:qFormat/>
    <w:uiPriority w:val="6"/>
    <w:rPr>
      <w:rFonts w:ascii="宋体" w:hAnsi="宋体"/>
      <w:kern w:val="2"/>
      <w:sz w:val="21"/>
      <w:szCs w:val="24"/>
      <w:lang w:val="en-US" w:eastAsia="zh-CN"/>
    </w:rPr>
  </w:style>
  <w:style w:type="character" w:customStyle="1" w:styleId="143">
    <w:name w:val="标题 4 Char"/>
    <w:qFormat/>
    <w:uiPriority w:val="0"/>
    <w:rPr>
      <w:rFonts w:ascii="Arial" w:hAnsi="Arial" w:eastAsia="黑体"/>
      <w:b/>
      <w:kern w:val="2"/>
      <w:sz w:val="28"/>
    </w:rPr>
  </w:style>
  <w:style w:type="character" w:customStyle="1" w:styleId="144">
    <w:name w:val="链接"/>
    <w:qFormat/>
    <w:uiPriority w:val="0"/>
    <w:rPr>
      <w:color w:val="0000FF"/>
      <w:sz w:val="21"/>
      <w:szCs w:val="21"/>
      <w:u w:val="single"/>
    </w:rPr>
  </w:style>
  <w:style w:type="character" w:customStyle="1" w:styleId="145">
    <w:name w:val="h4 Char"/>
    <w:qFormat/>
    <w:uiPriority w:val="0"/>
    <w:rPr>
      <w:rFonts w:ascii="Arial" w:hAnsi="Arial" w:eastAsia="黑体"/>
      <w:b/>
      <w:bCs/>
      <w:kern w:val="2"/>
      <w:sz w:val="28"/>
      <w:szCs w:val="28"/>
      <w:lang w:val="zh-CN" w:eastAsia="zh-CN" w:bidi="ar-SA"/>
    </w:rPr>
  </w:style>
  <w:style w:type="character" w:customStyle="1" w:styleId="146">
    <w:name w:val="5正文 Char"/>
    <w:link w:val="147"/>
    <w:qFormat/>
    <w:uiPriority w:val="0"/>
    <w:rPr>
      <w:rFonts w:ascii="仿宋_GB2312" w:hAnsi="微软雅黑" w:eastAsia="仿宋_GB2312"/>
      <w:sz w:val="28"/>
      <w:szCs w:val="21"/>
    </w:rPr>
  </w:style>
  <w:style w:type="paragraph" w:customStyle="1" w:styleId="147">
    <w:name w:val="5正文"/>
    <w:basedOn w:val="1"/>
    <w:link w:val="14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8">
    <w:name w:val="标题 3 字符"/>
    <w:qFormat/>
    <w:uiPriority w:val="9"/>
    <w:rPr>
      <w:b/>
      <w:bCs/>
      <w:kern w:val="2"/>
      <w:sz w:val="32"/>
      <w:szCs w:val="32"/>
    </w:rPr>
  </w:style>
  <w:style w:type="character" w:customStyle="1" w:styleId="149">
    <w:name w:val="样式6 Char"/>
    <w:qFormat/>
    <w:uiPriority w:val="0"/>
    <w:rPr>
      <w:rFonts w:ascii="仿宋_GB2312" w:hAnsi="宋体" w:eastAsia="仿宋_GB2312"/>
      <w:b/>
      <w:bCs/>
      <w:kern w:val="2"/>
      <w:sz w:val="24"/>
      <w:szCs w:val="24"/>
      <w:lang w:val="en-US" w:eastAsia="zh-CN" w:bidi="ar-SA"/>
    </w:rPr>
  </w:style>
  <w:style w:type="character" w:customStyle="1" w:styleId="150">
    <w:name w:val="Char Char14"/>
    <w:qFormat/>
    <w:uiPriority w:val="6"/>
    <w:rPr>
      <w:rFonts w:ascii="黑体" w:hAnsi="黑体" w:eastAsia="黑体"/>
    </w:rPr>
  </w:style>
  <w:style w:type="character" w:customStyle="1" w:styleId="151">
    <w:name w:val="Heading 2 Hidden Char"/>
    <w:qFormat/>
    <w:uiPriority w:val="0"/>
    <w:rPr>
      <w:rFonts w:ascii="仿宋_GB2312" w:eastAsia="仿宋_GB2312"/>
      <w:b/>
      <w:bCs/>
      <w:kern w:val="2"/>
      <w:sz w:val="24"/>
      <w:szCs w:val="24"/>
      <w:lang w:val="zh-CN" w:eastAsia="zh-CN" w:bidi="ar-SA"/>
    </w:rPr>
  </w:style>
  <w:style w:type="character" w:customStyle="1" w:styleId="152">
    <w:name w:val="font11"/>
    <w:qFormat/>
    <w:uiPriority w:val="0"/>
    <w:rPr>
      <w:rFonts w:hint="default" w:ascii="Times New Roman" w:hAnsi="Times New Roman" w:cs="Times New Roman"/>
      <w:color w:val="000000"/>
      <w:sz w:val="22"/>
      <w:szCs w:val="22"/>
      <w:u w:val="none"/>
    </w:rPr>
  </w:style>
  <w:style w:type="character" w:customStyle="1" w:styleId="153">
    <w:name w:val="表正文 Char1"/>
    <w:qFormat/>
    <w:uiPriority w:val="0"/>
    <w:rPr>
      <w:rFonts w:ascii="宋体" w:eastAsia="宋体"/>
      <w:snapToGrid w:val="0"/>
      <w:color w:val="000000"/>
      <w:kern w:val="28"/>
      <w:sz w:val="28"/>
    </w:rPr>
  </w:style>
  <w:style w:type="character" w:customStyle="1" w:styleId="154">
    <w:name w:val="blue1"/>
    <w:basedOn w:val="70"/>
    <w:qFormat/>
    <w:uiPriority w:val="0"/>
    <w:rPr>
      <w:rFonts w:ascii="Arial" w:hAnsi="Arial" w:eastAsia="黑体" w:cs="Arial"/>
      <w:snapToGrid w:val="0"/>
      <w:kern w:val="0"/>
      <w:szCs w:val="21"/>
    </w:rPr>
  </w:style>
  <w:style w:type="character" w:customStyle="1" w:styleId="155">
    <w:name w:val="标书1 Char"/>
    <w:qFormat/>
    <w:uiPriority w:val="0"/>
    <w:rPr>
      <w:rFonts w:eastAsia="宋体"/>
      <w:b/>
      <w:bCs/>
      <w:kern w:val="44"/>
      <w:sz w:val="44"/>
      <w:szCs w:val="44"/>
      <w:lang w:val="en-US" w:eastAsia="zh-CN" w:bidi="ar-SA"/>
    </w:rPr>
  </w:style>
  <w:style w:type="character" w:customStyle="1" w:styleId="156">
    <w:name w:val="样式5 Char"/>
    <w:qFormat/>
    <w:uiPriority w:val="0"/>
    <w:rPr>
      <w:rFonts w:ascii="仿宋_GB2312" w:hAnsi="仿宋" w:eastAsia="仿宋_GB2312"/>
      <w:kern w:val="2"/>
      <w:sz w:val="24"/>
      <w:szCs w:val="24"/>
    </w:rPr>
  </w:style>
  <w:style w:type="character" w:customStyle="1" w:styleId="157">
    <w:name w:val="样式4 Char"/>
    <w:qFormat/>
    <w:uiPriority w:val="0"/>
    <w:rPr>
      <w:rFonts w:ascii="仿宋_GB2312" w:hAnsi="仿宋" w:eastAsia="仿宋_GB2312"/>
      <w:b/>
      <w:kern w:val="2"/>
      <w:sz w:val="32"/>
      <w:szCs w:val="32"/>
      <w:lang w:bidi="ar-SA"/>
    </w:rPr>
  </w:style>
  <w:style w:type="character" w:customStyle="1" w:styleId="158">
    <w:name w:val="插图说明 Char"/>
    <w:qFormat/>
    <w:uiPriority w:val="0"/>
    <w:rPr>
      <w:rFonts w:eastAsia="黑体"/>
      <w:sz w:val="24"/>
      <w:lang w:val="en-US" w:eastAsia="zh-CN"/>
    </w:rPr>
  </w:style>
  <w:style w:type="character" w:customStyle="1" w:styleId="159">
    <w:name w:val="正文2 Char Char"/>
    <w:link w:val="160"/>
    <w:qFormat/>
    <w:uiPriority w:val="0"/>
    <w:rPr>
      <w:rFonts w:eastAsia="宋体"/>
      <w:kern w:val="2"/>
      <w:sz w:val="24"/>
      <w:lang w:val="en-US" w:eastAsia="zh-CN" w:bidi="ar-SA"/>
    </w:rPr>
  </w:style>
  <w:style w:type="paragraph" w:customStyle="1" w:styleId="160">
    <w:name w:val="正文2"/>
    <w:basedOn w:val="1"/>
    <w:link w:val="159"/>
    <w:qFormat/>
    <w:uiPriority w:val="0"/>
    <w:pPr>
      <w:spacing w:before="156" w:line="360" w:lineRule="auto"/>
      <w:ind w:firstLine="510" w:firstLineChars="200"/>
    </w:pPr>
    <w:rPr>
      <w:sz w:val="24"/>
      <w:szCs w:val="20"/>
    </w:rPr>
  </w:style>
  <w:style w:type="character" w:customStyle="1" w:styleId="161">
    <w:name w:val="Char Char24"/>
    <w:qFormat/>
    <w:uiPriority w:val="6"/>
    <w:rPr>
      <w:kern w:val="1"/>
      <w:sz w:val="21"/>
    </w:rPr>
  </w:style>
  <w:style w:type="character" w:customStyle="1" w:styleId="162">
    <w:name w:val="普通文字 Char1 Char"/>
    <w:qFormat/>
    <w:uiPriority w:val="0"/>
    <w:rPr>
      <w:rFonts w:ascii="宋体" w:hAnsi="Courier New" w:eastAsia="宋体"/>
      <w:kern w:val="2"/>
      <w:sz w:val="21"/>
      <w:szCs w:val="24"/>
      <w:lang w:val="en-US" w:eastAsia="zh-CN" w:bidi="ar-SA"/>
    </w:rPr>
  </w:style>
  <w:style w:type="character" w:customStyle="1" w:styleId="163">
    <w:name w:val="h3 Char1"/>
    <w:qFormat/>
    <w:uiPriority w:val="0"/>
    <w:rPr>
      <w:rFonts w:eastAsia="宋体"/>
      <w:b/>
      <w:bCs/>
      <w:kern w:val="2"/>
      <w:sz w:val="32"/>
      <w:szCs w:val="32"/>
      <w:lang w:bidi="ar-SA"/>
    </w:rPr>
  </w:style>
  <w:style w:type="character" w:customStyle="1" w:styleId="164">
    <w:name w:val="标题 Char1"/>
    <w:qFormat/>
    <w:uiPriority w:val="0"/>
    <w:rPr>
      <w:rFonts w:ascii="Cambria" w:hAnsi="Cambria" w:eastAsia="宋体" w:cs="Times New Roman"/>
      <w:b/>
      <w:bCs/>
      <w:sz w:val="32"/>
      <w:szCs w:val="32"/>
      <w:lang w:bidi="ar-SA"/>
    </w:rPr>
  </w:style>
  <w:style w:type="character" w:customStyle="1" w:styleId="165">
    <w:name w:val="gf正文1 Char"/>
    <w:qFormat/>
    <w:uiPriority w:val="0"/>
    <w:rPr>
      <w:rFonts w:ascii="宋体" w:hAnsi="宋体" w:eastAsia="宋体" w:cs="宋体"/>
      <w:kern w:val="2"/>
      <w:sz w:val="24"/>
      <w:szCs w:val="24"/>
      <w:lang w:val="en-US" w:eastAsia="zh-CN" w:bidi="ar-SA"/>
    </w:rPr>
  </w:style>
  <w:style w:type="character" w:customStyle="1" w:styleId="166">
    <w:name w:val="正文文本缩进 Char1"/>
    <w:qFormat/>
    <w:uiPriority w:val="0"/>
    <w:rPr>
      <w:rFonts w:ascii="Calibri" w:hAnsi="Calibri"/>
      <w:sz w:val="28"/>
    </w:rPr>
  </w:style>
  <w:style w:type="character" w:customStyle="1" w:styleId="167">
    <w:name w:val="No Spacing Char"/>
    <w:link w:val="168"/>
    <w:qFormat/>
    <w:uiPriority w:val="1"/>
    <w:rPr>
      <w:sz w:val="22"/>
      <w:szCs w:val="22"/>
      <w:lang w:val="en-US" w:eastAsia="zh-CN" w:bidi="ar-SA"/>
    </w:rPr>
  </w:style>
  <w:style w:type="paragraph" w:customStyle="1" w:styleId="168">
    <w:name w:val="无间隔1"/>
    <w:link w:val="167"/>
    <w:qFormat/>
    <w:uiPriority w:val="1"/>
    <w:rPr>
      <w:rFonts w:ascii="Times New Roman" w:hAnsi="Times New Roman" w:eastAsia="宋体" w:cs="Times New Roman"/>
      <w:sz w:val="22"/>
      <w:szCs w:val="22"/>
      <w:lang w:val="en-US" w:eastAsia="zh-CN" w:bidi="ar-SA"/>
    </w:rPr>
  </w:style>
  <w:style w:type="character" w:customStyle="1" w:styleId="169">
    <w:name w:val="样式7 Char"/>
    <w:qFormat/>
    <w:uiPriority w:val="0"/>
    <w:rPr>
      <w:rFonts w:ascii="仿宋_GB2312" w:hAnsi="仿宋" w:eastAsia="仿宋_GB2312"/>
      <w:b/>
      <w:kern w:val="2"/>
      <w:sz w:val="24"/>
      <w:szCs w:val="24"/>
    </w:rPr>
  </w:style>
  <w:style w:type="character" w:customStyle="1" w:styleId="170">
    <w:name w:val="font12gray1"/>
    <w:qFormat/>
    <w:uiPriority w:val="0"/>
    <w:rPr>
      <w:rFonts w:ascii="仿宋_GB2312" w:eastAsia="微软雅黑"/>
      <w:b/>
      <w:spacing w:val="300"/>
      <w:kern w:val="2"/>
      <w:sz w:val="18"/>
      <w:szCs w:val="18"/>
      <w:lang w:val="en-US" w:eastAsia="zh-CN" w:bidi="ar-SA"/>
    </w:rPr>
  </w:style>
  <w:style w:type="character" w:customStyle="1" w:styleId="171">
    <w:name w:val="Char Char7"/>
    <w:semiHidden/>
    <w:qFormat/>
    <w:uiPriority w:val="0"/>
    <w:rPr>
      <w:rFonts w:eastAsia="宋体"/>
      <w:kern w:val="2"/>
      <w:sz w:val="21"/>
      <w:szCs w:val="24"/>
      <w:lang w:val="en-US" w:eastAsia="zh-CN" w:bidi="ar-SA"/>
    </w:rPr>
  </w:style>
  <w:style w:type="character" w:customStyle="1" w:styleId="172">
    <w:name w:val="表名 Char"/>
    <w:qFormat/>
    <w:uiPriority w:val="0"/>
    <w:rPr>
      <w:rFonts w:eastAsia="宋体"/>
      <w:b/>
      <w:bCs/>
      <w:kern w:val="2"/>
      <w:sz w:val="24"/>
      <w:szCs w:val="24"/>
      <w:lang w:val="en-US" w:eastAsia="zh-CN" w:bidi="ar-SA"/>
    </w:rPr>
  </w:style>
  <w:style w:type="character" w:customStyle="1" w:styleId="173">
    <w:name w:val="Document Map Char"/>
    <w:qFormat/>
    <w:locked/>
    <w:uiPriority w:val="0"/>
    <w:rPr>
      <w:rFonts w:eastAsia="宋体"/>
      <w:kern w:val="2"/>
      <w:sz w:val="21"/>
      <w:szCs w:val="24"/>
      <w:lang w:val="en-US" w:eastAsia="zh-CN" w:bidi="ar-SA"/>
    </w:rPr>
  </w:style>
  <w:style w:type="character" w:customStyle="1" w:styleId="174">
    <w:name w:val="font41"/>
    <w:qFormat/>
    <w:uiPriority w:val="0"/>
    <w:rPr>
      <w:rFonts w:hint="eastAsia" w:ascii="仿宋_GB2312" w:eastAsia="仿宋_GB2312" w:cs="仿宋_GB2312"/>
      <w:color w:val="000000"/>
      <w:sz w:val="22"/>
      <w:szCs w:val="22"/>
      <w:u w:val="none"/>
    </w:rPr>
  </w:style>
  <w:style w:type="character" w:customStyle="1" w:styleId="175">
    <w:name w:val="纯文本 Char_0"/>
    <w:link w:val="176"/>
    <w:qFormat/>
    <w:uiPriority w:val="0"/>
    <w:rPr>
      <w:rFonts w:ascii="宋体" w:hAnsi="Courier New"/>
      <w:kern w:val="2"/>
      <w:sz w:val="21"/>
      <w:szCs w:val="21"/>
      <w:lang w:val="en-US" w:eastAsia="zh-CN"/>
    </w:rPr>
  </w:style>
  <w:style w:type="paragraph" w:customStyle="1" w:styleId="176">
    <w:name w:val="纯文本_0_0"/>
    <w:basedOn w:val="177"/>
    <w:link w:val="175"/>
    <w:qFormat/>
    <w:uiPriority w:val="0"/>
    <w:rPr>
      <w:rFonts w:ascii="宋体" w:hAnsi="Courier New"/>
      <w:szCs w:val="21"/>
    </w:rPr>
  </w:style>
  <w:style w:type="paragraph" w:customStyle="1" w:styleId="17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8">
    <w:name w:val="Balloon Text Char"/>
    <w:qFormat/>
    <w:locked/>
    <w:uiPriority w:val="0"/>
    <w:rPr>
      <w:rFonts w:eastAsia="宋体"/>
      <w:kern w:val="2"/>
      <w:sz w:val="18"/>
      <w:szCs w:val="18"/>
      <w:lang w:val="en-US" w:eastAsia="zh-CN" w:bidi="ar-SA"/>
    </w:rPr>
  </w:style>
  <w:style w:type="character" w:customStyle="1" w:styleId="179">
    <w:name w:val="正文 项目2 Char"/>
    <w:basedOn w:val="180"/>
    <w:qFormat/>
    <w:uiPriority w:val="0"/>
    <w:rPr>
      <w:rFonts w:ascii="仿宋_GB2312" w:hAnsi="仿宋_GB2312" w:eastAsia="仿宋_GB2312"/>
      <w:kern w:val="2"/>
      <w:sz w:val="24"/>
      <w:lang w:bidi="ar-SA"/>
    </w:rPr>
  </w:style>
  <w:style w:type="character" w:customStyle="1" w:styleId="180">
    <w:name w:val="正文 项目 Char"/>
    <w:qFormat/>
    <w:uiPriority w:val="0"/>
    <w:rPr>
      <w:rFonts w:ascii="仿宋_GB2312" w:hAnsi="仿宋_GB2312" w:eastAsia="仿宋_GB2312"/>
      <w:kern w:val="2"/>
      <w:sz w:val="24"/>
      <w:lang w:bidi="ar-SA"/>
    </w:rPr>
  </w:style>
  <w:style w:type="character" w:customStyle="1" w:styleId="181">
    <w:name w:val="h Char Char1"/>
    <w:qFormat/>
    <w:uiPriority w:val="0"/>
    <w:rPr>
      <w:rFonts w:eastAsia="宋体"/>
      <w:kern w:val="2"/>
      <w:sz w:val="18"/>
      <w:szCs w:val="18"/>
      <w:lang w:val="en-US" w:eastAsia="zh-CN" w:bidi="ar-SA"/>
    </w:rPr>
  </w:style>
  <w:style w:type="character" w:customStyle="1" w:styleId="182">
    <w:name w:val="Char Char27"/>
    <w:qFormat/>
    <w:uiPriority w:val="6"/>
    <w:rPr>
      <w:rFonts w:ascii="宋体" w:hAnsi="宋体" w:eastAsia="宋体"/>
      <w:color w:val="000000"/>
      <w:kern w:val="1"/>
      <w:sz w:val="28"/>
      <w:lang w:val="en-US" w:eastAsia="zh-CN" w:bidi="ar-SA"/>
    </w:rPr>
  </w:style>
  <w:style w:type="character" w:customStyle="1" w:styleId="183">
    <w:name w:val="px14"/>
    <w:qFormat/>
    <w:uiPriority w:val="0"/>
    <w:rPr>
      <w:rFonts w:ascii="仿宋_GB2312" w:eastAsia="微软雅黑" w:cs="Times New Roman"/>
      <w:b/>
      <w:kern w:val="2"/>
      <w:sz w:val="32"/>
      <w:szCs w:val="32"/>
      <w:lang w:val="en-US" w:eastAsia="zh-CN" w:bidi="ar-SA"/>
    </w:rPr>
  </w:style>
  <w:style w:type="character" w:customStyle="1" w:styleId="184">
    <w:name w:val="HTML 预设格式 Char1"/>
    <w:qFormat/>
    <w:uiPriority w:val="0"/>
    <w:rPr>
      <w:rFonts w:ascii="Courier New" w:hAnsi="Courier New" w:eastAsia="宋体" w:cs="Courier New"/>
      <w:sz w:val="20"/>
      <w:szCs w:val="20"/>
    </w:rPr>
  </w:style>
  <w:style w:type="character" w:customStyle="1" w:styleId="185">
    <w:name w:val="普通文字 Char1"/>
    <w:qFormat/>
    <w:uiPriority w:val="0"/>
    <w:rPr>
      <w:rFonts w:ascii="宋体" w:hAnsi="Courier New" w:eastAsia="宋体"/>
      <w:kern w:val="2"/>
      <w:sz w:val="21"/>
      <w:lang w:val="en-US" w:eastAsia="zh-CN"/>
    </w:rPr>
  </w:style>
  <w:style w:type="character" w:customStyle="1" w:styleId="186">
    <w:name w:val="hei16b1"/>
    <w:qFormat/>
    <w:uiPriority w:val="0"/>
    <w:rPr>
      <w:rFonts w:hint="default" w:ascii="Arial" w:hAnsi="Arial" w:cs="Arial"/>
      <w:b/>
      <w:bCs/>
      <w:color w:val="000000"/>
      <w:sz w:val="24"/>
      <w:szCs w:val="24"/>
    </w:rPr>
  </w:style>
  <w:style w:type="character" w:customStyle="1" w:styleId="187">
    <w:name w:val="正文（绿盟科技） Char"/>
    <w:link w:val="188"/>
    <w:qFormat/>
    <w:uiPriority w:val="0"/>
    <w:rPr>
      <w:rFonts w:ascii="Arial" w:hAnsi="Arial"/>
      <w:sz w:val="21"/>
      <w:szCs w:val="21"/>
    </w:rPr>
  </w:style>
  <w:style w:type="paragraph" w:customStyle="1" w:styleId="188">
    <w:name w:val="正文（绿盟科技）"/>
    <w:link w:val="187"/>
    <w:qFormat/>
    <w:uiPriority w:val="0"/>
    <w:pPr>
      <w:spacing w:line="300" w:lineRule="auto"/>
    </w:pPr>
    <w:rPr>
      <w:rFonts w:ascii="Arial" w:hAnsi="Arial" w:eastAsia="宋体" w:cs="Times New Roman"/>
      <w:sz w:val="21"/>
      <w:szCs w:val="21"/>
      <w:lang w:val="en-US" w:eastAsia="zh-CN" w:bidi="ar-SA"/>
    </w:rPr>
  </w:style>
  <w:style w:type="character" w:customStyle="1" w:styleId="189">
    <w:name w:val="Char Char19"/>
    <w:qFormat/>
    <w:uiPriority w:val="6"/>
    <w:rPr>
      <w:rFonts w:ascii="宋体" w:hAnsi="宋体"/>
      <w:i/>
      <w:sz w:val="24"/>
      <w:szCs w:val="24"/>
    </w:rPr>
  </w:style>
  <w:style w:type="character" w:customStyle="1" w:styleId="190">
    <w:name w:val="页脚 Char"/>
    <w:qFormat/>
    <w:uiPriority w:val="99"/>
    <w:rPr>
      <w:rFonts w:eastAsia="仿宋_GB2312"/>
      <w:kern w:val="2"/>
      <w:sz w:val="18"/>
      <w:lang w:val="en-US" w:eastAsia="zh-CN"/>
    </w:rPr>
  </w:style>
  <w:style w:type="character" w:customStyle="1" w:styleId="191">
    <w:name w:val="批注主题 Char"/>
    <w:qFormat/>
    <w:uiPriority w:val="0"/>
    <w:rPr>
      <w:rFonts w:eastAsia="宋体"/>
      <w:b/>
      <w:bCs/>
      <w:kern w:val="2"/>
      <w:sz w:val="21"/>
      <w:szCs w:val="24"/>
      <w:lang w:val="en-US" w:eastAsia="zh-CN" w:bidi="ar-SA"/>
    </w:rPr>
  </w:style>
  <w:style w:type="character" w:customStyle="1" w:styleId="192">
    <w:name w:val="Comment Text Char"/>
    <w:qFormat/>
    <w:locked/>
    <w:uiPriority w:val="0"/>
    <w:rPr>
      <w:rFonts w:ascii="宋体" w:hAnsi="宋体" w:eastAsia="宋体"/>
      <w:kern w:val="2"/>
      <w:sz w:val="24"/>
      <w:lang w:val="en-US" w:eastAsia="zh-CN" w:bidi="ar-SA"/>
    </w:rPr>
  </w:style>
  <w:style w:type="character" w:customStyle="1" w:styleId="193">
    <w:name w:val="标题 2 字符"/>
    <w:qFormat/>
    <w:uiPriority w:val="1"/>
    <w:rPr>
      <w:rFonts w:ascii="仿宋_GB2312" w:hAnsi="Times New Roman" w:eastAsia="仿宋_GB2312" w:cs="Times New Roman"/>
      <w:b/>
      <w:kern w:val="2"/>
      <w:sz w:val="24"/>
      <w:lang w:val="zh-CN"/>
    </w:rPr>
  </w:style>
  <w:style w:type="character" w:customStyle="1" w:styleId="194">
    <w:name w:val="Char Char72"/>
    <w:qFormat/>
    <w:uiPriority w:val="0"/>
    <w:rPr>
      <w:rFonts w:eastAsia="宋体"/>
      <w:kern w:val="2"/>
      <w:sz w:val="21"/>
      <w:szCs w:val="24"/>
      <w:lang w:val="en-US" w:eastAsia="zh-CN" w:bidi="ar-SA"/>
    </w:rPr>
  </w:style>
  <w:style w:type="character" w:customStyle="1" w:styleId="195">
    <w:name w:val="正文文本缩进 Char2"/>
    <w:qFormat/>
    <w:uiPriority w:val="0"/>
    <w:rPr>
      <w:rFonts w:ascii="Times New Roman" w:hAnsi="Times New Roman" w:eastAsia="宋体" w:cs="Times New Roman"/>
      <w:snapToGrid w:val="0"/>
      <w:kern w:val="0"/>
      <w:szCs w:val="24"/>
    </w:rPr>
  </w:style>
  <w:style w:type="character" w:customStyle="1" w:styleId="196">
    <w:name w:val="样式2 Char"/>
    <w:qFormat/>
    <w:uiPriority w:val="0"/>
    <w:rPr>
      <w:rFonts w:ascii="仿宋_GB2312" w:hAnsi="仿宋" w:eastAsia="仿宋_GB2312" w:cs="仿宋_GB2312"/>
      <w:b/>
      <w:bCs/>
      <w:sz w:val="32"/>
      <w:szCs w:val="30"/>
      <w:lang w:val="zh-CN"/>
    </w:rPr>
  </w:style>
  <w:style w:type="character" w:customStyle="1" w:styleId="197">
    <w:name w:val="表格名称[858D7CFB-ED40-4347-BF05-701D383B685F]"/>
    <w:link w:val="198"/>
    <w:qFormat/>
    <w:uiPriority w:val="0"/>
    <w:rPr>
      <w:sz w:val="32"/>
    </w:rPr>
  </w:style>
  <w:style w:type="paragraph" w:customStyle="1" w:styleId="198">
    <w:name w:val="表格名称"/>
    <w:basedOn w:val="4"/>
    <w:link w:val="19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99">
    <w:name w:val="Char Char4"/>
    <w:qFormat/>
    <w:uiPriority w:val="0"/>
    <w:rPr>
      <w:rFonts w:eastAsia="宋体"/>
      <w:b/>
      <w:sz w:val="24"/>
      <w:lang w:val="en-GB" w:eastAsia="zh-CN" w:bidi="ar-SA"/>
    </w:rPr>
  </w:style>
  <w:style w:type="character" w:customStyle="1" w:styleId="200">
    <w:name w:val="c7 style3"/>
    <w:qFormat/>
    <w:uiPriority w:val="0"/>
  </w:style>
  <w:style w:type="character" w:customStyle="1" w:styleId="201">
    <w:name w:val="正文文本 3 Char1"/>
    <w:semiHidden/>
    <w:qFormat/>
    <w:uiPriority w:val="99"/>
    <w:rPr>
      <w:rFonts w:ascii="Times New Roman" w:hAnsi="Times New Roman" w:eastAsia="宋体" w:cs="Times New Roman"/>
      <w:sz w:val="16"/>
      <w:szCs w:val="16"/>
    </w:rPr>
  </w:style>
  <w:style w:type="character" w:customStyle="1" w:styleId="202">
    <w:name w:val="tw4winInternal"/>
    <w:qFormat/>
    <w:uiPriority w:val="0"/>
    <w:rPr>
      <w:rFonts w:ascii="Courier New" w:hAnsi="Courier New" w:cs="Courier New"/>
      <w:color w:val="FF0000"/>
      <w:lang w:val="en-US" w:eastAsia="zh-CN"/>
    </w:rPr>
  </w:style>
  <w:style w:type="character" w:customStyle="1" w:styleId="203">
    <w:name w:val="Char Char10"/>
    <w:semiHidden/>
    <w:qFormat/>
    <w:uiPriority w:val="0"/>
    <w:rPr>
      <w:rFonts w:ascii="宋体" w:hAnsi="宋体"/>
      <w:kern w:val="2"/>
      <w:sz w:val="21"/>
      <w:szCs w:val="24"/>
      <w:lang w:val="en-US" w:eastAsia="zh-CN"/>
    </w:rPr>
  </w:style>
  <w:style w:type="character" w:customStyle="1" w:styleId="204">
    <w:name w:val="shadow11"/>
    <w:qFormat/>
    <w:uiPriority w:val="0"/>
    <w:rPr>
      <w:color w:val="000000"/>
      <w:sz w:val="21"/>
    </w:rPr>
  </w:style>
  <w:style w:type="character" w:customStyle="1" w:styleId="205">
    <w:name w:val="正文非缩进 Char3"/>
    <w:qFormat/>
    <w:uiPriority w:val="0"/>
    <w:rPr>
      <w:rFonts w:ascii="宋体" w:eastAsia="宋体"/>
      <w:snapToGrid w:val="0"/>
      <w:color w:val="000000"/>
      <w:kern w:val="28"/>
      <w:sz w:val="28"/>
      <w:lang w:val="en-US" w:eastAsia="zh-CN" w:bidi="ar-SA"/>
    </w:rPr>
  </w:style>
  <w:style w:type="character" w:customStyle="1" w:styleId="206">
    <w:name w:val="Char Char"/>
    <w:qFormat/>
    <w:uiPriority w:val="0"/>
    <w:rPr>
      <w:rFonts w:ascii="宋体" w:hAnsi="Courier New" w:eastAsia="宋体"/>
      <w:kern w:val="2"/>
      <w:sz w:val="21"/>
      <w:lang w:val="en-US" w:eastAsia="zh-CN" w:bidi="ar-SA"/>
    </w:rPr>
  </w:style>
  <w:style w:type="character" w:customStyle="1" w:styleId="207">
    <w:name w:val="签名 Char1"/>
    <w:qFormat/>
    <w:uiPriority w:val="0"/>
    <w:rPr>
      <w:rFonts w:ascii="Times New Roman" w:hAnsi="Times New Roman" w:eastAsia="宋体" w:cs="Times New Roman"/>
      <w:szCs w:val="24"/>
    </w:rPr>
  </w:style>
  <w:style w:type="character" w:customStyle="1" w:styleId="208">
    <w:name w:val="Char Char18"/>
    <w:qFormat/>
    <w:uiPriority w:val="6"/>
    <w:rPr>
      <w:rFonts w:ascii="宋体" w:hAnsi="宋体"/>
      <w:sz w:val="28"/>
    </w:rPr>
  </w:style>
  <w:style w:type="character" w:customStyle="1" w:styleId="209">
    <w:name w:val="批注文字 Char"/>
    <w:qFormat/>
    <w:uiPriority w:val="0"/>
    <w:rPr>
      <w:kern w:val="2"/>
      <w:sz w:val="21"/>
      <w:szCs w:val="24"/>
    </w:rPr>
  </w:style>
  <w:style w:type="character" w:customStyle="1" w:styleId="210">
    <w:name w:val="Char Char22"/>
    <w:qFormat/>
    <w:uiPriority w:val="6"/>
    <w:rPr>
      <w:rFonts w:ascii="宋体" w:hAnsi="宋体"/>
      <w:kern w:val="1"/>
      <w:sz w:val="24"/>
      <w:szCs w:val="24"/>
    </w:rPr>
  </w:style>
  <w:style w:type="character" w:customStyle="1" w:styleId="211">
    <w:name w:val="pt141"/>
    <w:qFormat/>
    <w:uiPriority w:val="0"/>
    <w:rPr>
      <w:color w:val="330066"/>
      <w:sz w:val="22"/>
      <w:szCs w:val="22"/>
    </w:rPr>
  </w:style>
  <w:style w:type="character" w:customStyle="1" w:styleId="212">
    <w:name w:val="正文文本缩进 2 Char1"/>
    <w:semiHidden/>
    <w:qFormat/>
    <w:uiPriority w:val="99"/>
    <w:rPr>
      <w:rFonts w:ascii="Times New Roman" w:hAnsi="Times New Roman" w:eastAsia="宋体" w:cs="Times New Roman"/>
      <w:szCs w:val="24"/>
    </w:rPr>
  </w:style>
  <w:style w:type="character" w:customStyle="1" w:styleId="213">
    <w:name w:val="Char Char611"/>
    <w:qFormat/>
    <w:uiPriority w:val="0"/>
    <w:rPr>
      <w:rFonts w:eastAsia="宋体"/>
      <w:kern w:val="2"/>
      <w:sz w:val="21"/>
      <w:szCs w:val="24"/>
      <w:lang w:val="en-US" w:eastAsia="zh-CN" w:bidi="ar-SA"/>
    </w:rPr>
  </w:style>
  <w:style w:type="character" w:customStyle="1" w:styleId="214">
    <w:name w:val="highlight1"/>
    <w:qFormat/>
    <w:uiPriority w:val="0"/>
    <w:rPr>
      <w:rFonts w:ascii="仿宋_GB2312" w:eastAsia="微软雅黑"/>
      <w:b/>
      <w:kern w:val="2"/>
      <w:sz w:val="23"/>
      <w:szCs w:val="23"/>
      <w:lang w:val="en-US" w:eastAsia="zh-CN" w:bidi="ar-SA"/>
    </w:rPr>
  </w:style>
  <w:style w:type="character" w:customStyle="1" w:styleId="215">
    <w:name w:val="my正文 Char"/>
    <w:link w:val="216"/>
    <w:qFormat/>
    <w:locked/>
    <w:uiPriority w:val="0"/>
    <w:rPr>
      <w:rFonts w:ascii="Tahoma" w:hAnsi="Tahoma"/>
      <w:sz w:val="24"/>
      <w:szCs w:val="24"/>
    </w:rPr>
  </w:style>
  <w:style w:type="paragraph" w:customStyle="1" w:styleId="216">
    <w:name w:val="my正文"/>
    <w:basedOn w:val="1"/>
    <w:link w:val="215"/>
    <w:qFormat/>
    <w:uiPriority w:val="0"/>
    <w:pPr>
      <w:adjustRightInd/>
      <w:spacing w:line="360" w:lineRule="auto"/>
      <w:ind w:firstLine="480" w:firstLineChars="200"/>
    </w:pPr>
    <w:rPr>
      <w:rFonts w:ascii="Tahoma" w:hAnsi="Tahoma"/>
      <w:kern w:val="0"/>
      <w:sz w:val="24"/>
    </w:rPr>
  </w:style>
  <w:style w:type="character" w:customStyle="1" w:styleId="217">
    <w:name w:val="Used by Word for text of Help footnotes Char Char1"/>
    <w:qFormat/>
    <w:uiPriority w:val="0"/>
    <w:rPr>
      <w:color w:val="0000FF"/>
      <w:sz w:val="21"/>
    </w:rPr>
  </w:style>
  <w:style w:type="character" w:customStyle="1" w:styleId="218">
    <w:name w:val="页眉 Char"/>
    <w:qFormat/>
    <w:uiPriority w:val="99"/>
    <w:rPr>
      <w:rFonts w:eastAsia="仿宋_GB2312"/>
      <w:kern w:val="2"/>
      <w:sz w:val="18"/>
      <w:lang w:val="en-US" w:eastAsia="zh-CN"/>
    </w:rPr>
  </w:style>
  <w:style w:type="character" w:customStyle="1" w:styleId="219">
    <w:name w:val="FA正文 Char Char"/>
    <w:qFormat/>
    <w:uiPriority w:val="0"/>
    <w:rPr>
      <w:rFonts w:hAnsi="宋体"/>
      <w:kern w:val="2"/>
      <w:sz w:val="24"/>
      <w:lang w:bidi="ar-SA"/>
    </w:rPr>
  </w:style>
  <w:style w:type="character" w:customStyle="1" w:styleId="220">
    <w:name w:val="纯文本 字符"/>
    <w:qFormat/>
    <w:uiPriority w:val="0"/>
    <w:rPr>
      <w:rFonts w:ascii="宋体" w:hAnsi="Courier New" w:eastAsia="宋体" w:cs="Arial"/>
      <w:snapToGrid w:val="0"/>
      <w:kern w:val="2"/>
      <w:sz w:val="21"/>
      <w:szCs w:val="21"/>
      <w:lang w:val="en-US" w:eastAsia="zh-CN" w:bidi="ar-SA"/>
    </w:rPr>
  </w:style>
  <w:style w:type="character" w:customStyle="1" w:styleId="221">
    <w:name w:val="3级 Char"/>
    <w:link w:val="222"/>
    <w:qFormat/>
    <w:uiPriority w:val="0"/>
    <w:rPr>
      <w:rFonts w:ascii="宋体" w:hAnsi="宋体"/>
      <w:b/>
      <w:bCs/>
      <w:snapToGrid/>
      <w:sz w:val="28"/>
    </w:rPr>
  </w:style>
  <w:style w:type="paragraph" w:customStyle="1" w:styleId="222">
    <w:name w:val="3级"/>
    <w:basedOn w:val="223"/>
    <w:link w:val="221"/>
    <w:qFormat/>
    <w:uiPriority w:val="0"/>
    <w:pPr>
      <w:ind w:left="0" w:right="466" w:firstLine="288"/>
    </w:pPr>
    <w:rPr>
      <w:rFonts w:hAnsi="宋体"/>
      <w:snapToGrid/>
    </w:rPr>
  </w:style>
  <w:style w:type="paragraph" w:customStyle="1" w:styleId="22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4">
    <w:name w:val="myp11"/>
    <w:qFormat/>
    <w:uiPriority w:val="0"/>
    <w:rPr>
      <w:rFonts w:ascii="仿宋_GB2312" w:eastAsia="微软雅黑"/>
      <w:b/>
      <w:kern w:val="2"/>
      <w:sz w:val="32"/>
      <w:szCs w:val="32"/>
      <w:lang w:val="en-US" w:eastAsia="zh-CN" w:bidi="ar-SA"/>
    </w:rPr>
  </w:style>
  <w:style w:type="character" w:customStyle="1" w:styleId="225">
    <w:name w:val="H6 Char"/>
    <w:qFormat/>
    <w:uiPriority w:val="0"/>
    <w:rPr>
      <w:rFonts w:ascii="Arial" w:hAnsi="Arial" w:eastAsia="黑体"/>
      <w:b/>
      <w:bCs/>
      <w:kern w:val="2"/>
      <w:sz w:val="24"/>
      <w:szCs w:val="24"/>
    </w:rPr>
  </w:style>
  <w:style w:type="character" w:customStyle="1" w:styleId="226">
    <w:name w:val="Char Char91"/>
    <w:qFormat/>
    <w:uiPriority w:val="0"/>
    <w:rPr>
      <w:rFonts w:eastAsia="宋体"/>
      <w:kern w:val="2"/>
      <w:sz w:val="18"/>
      <w:szCs w:val="18"/>
      <w:lang w:val="en-US" w:eastAsia="zh-CN" w:bidi="ar-SA"/>
    </w:rPr>
  </w:style>
  <w:style w:type="character" w:customStyle="1" w:styleId="227">
    <w:name w:val="副标题 Char1"/>
    <w:qFormat/>
    <w:uiPriority w:val="0"/>
    <w:rPr>
      <w:rFonts w:ascii="Cambria" w:hAnsi="Cambria" w:eastAsia="宋体" w:cs="Times New Roman"/>
      <w:b/>
      <w:bCs/>
      <w:snapToGrid w:val="0"/>
      <w:kern w:val="28"/>
      <w:sz w:val="32"/>
      <w:szCs w:val="32"/>
    </w:rPr>
  </w:style>
  <w:style w:type="character" w:customStyle="1" w:styleId="228">
    <w:name w:val="font61"/>
    <w:qFormat/>
    <w:uiPriority w:val="0"/>
    <w:rPr>
      <w:rFonts w:hint="eastAsia" w:ascii="仿宋" w:hAnsi="仿宋" w:eastAsia="仿宋" w:cs="仿宋"/>
      <w:color w:val="000000"/>
      <w:sz w:val="20"/>
      <w:szCs w:val="20"/>
      <w:u w:val="none"/>
    </w:rPr>
  </w:style>
  <w:style w:type="character" w:customStyle="1" w:styleId="22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0">
    <w:name w:val="Char Char211"/>
    <w:qFormat/>
    <w:uiPriority w:val="0"/>
    <w:rPr>
      <w:rFonts w:eastAsia="宋体"/>
      <w:b/>
      <w:bCs/>
      <w:kern w:val="2"/>
      <w:sz w:val="21"/>
      <w:szCs w:val="24"/>
      <w:lang w:val="en-US" w:eastAsia="zh-CN" w:bidi="ar-SA"/>
    </w:rPr>
  </w:style>
  <w:style w:type="character" w:customStyle="1" w:styleId="231">
    <w:name w:val="标题 2 Char"/>
    <w:qFormat/>
    <w:uiPriority w:val="0"/>
    <w:rPr>
      <w:rFonts w:ascii="Arial" w:hAnsi="Arial" w:eastAsia="黑体"/>
      <w:b/>
      <w:kern w:val="2"/>
      <w:sz w:val="32"/>
      <w:lang w:val="en-US" w:eastAsia="zh-CN"/>
    </w:rPr>
  </w:style>
  <w:style w:type="character" w:customStyle="1" w:styleId="232">
    <w:name w:val="maywed421"/>
    <w:qFormat/>
    <w:uiPriority w:val="0"/>
    <w:rPr>
      <w:color w:val="366FB6"/>
      <w:u w:val="none"/>
    </w:rPr>
  </w:style>
  <w:style w:type="character" w:customStyle="1" w:styleId="233">
    <w:name w:val="正文文本缩进 Char"/>
    <w:qFormat/>
    <w:uiPriority w:val="0"/>
    <w:rPr>
      <w:rFonts w:ascii="宋体" w:hAnsi="宋体"/>
      <w:kern w:val="2"/>
      <w:sz w:val="24"/>
      <w:szCs w:val="24"/>
    </w:rPr>
  </w:style>
  <w:style w:type="character" w:customStyle="1" w:styleId="234">
    <w:name w:val="Char Char102"/>
    <w:semiHidden/>
    <w:qFormat/>
    <w:uiPriority w:val="0"/>
    <w:rPr>
      <w:rFonts w:ascii="宋体" w:hAnsi="宋体"/>
      <w:kern w:val="2"/>
      <w:sz w:val="21"/>
      <w:szCs w:val="24"/>
      <w:lang w:val="en-US" w:eastAsia="zh-CN"/>
    </w:rPr>
  </w:style>
  <w:style w:type="character" w:customStyle="1" w:styleId="235">
    <w:name w:val="页眉 Char1"/>
    <w:qFormat/>
    <w:uiPriority w:val="0"/>
    <w:rPr>
      <w:rFonts w:eastAsia="宋体"/>
      <w:kern w:val="2"/>
      <w:sz w:val="18"/>
      <w:szCs w:val="18"/>
      <w:lang w:val="en-US" w:eastAsia="zh-CN" w:bidi="ar-SA"/>
    </w:rPr>
  </w:style>
  <w:style w:type="character" w:customStyle="1" w:styleId="236">
    <w:name w:val="md"/>
    <w:basedOn w:val="70"/>
    <w:qFormat/>
    <w:uiPriority w:val="0"/>
    <w:rPr>
      <w:rFonts w:ascii="Arial" w:hAnsi="Arial" w:eastAsia="黑体" w:cs="Arial"/>
      <w:snapToGrid w:val="0"/>
      <w:kern w:val="0"/>
      <w:szCs w:val="21"/>
    </w:rPr>
  </w:style>
  <w:style w:type="character" w:customStyle="1" w:styleId="237">
    <w:name w:val="big1"/>
    <w:qFormat/>
    <w:uiPriority w:val="0"/>
    <w:rPr>
      <w:rFonts w:hint="eastAsia" w:ascii="宋体" w:hAnsi="宋体" w:eastAsia="宋体"/>
      <w:color w:val="333333"/>
      <w:sz w:val="22"/>
      <w:szCs w:val="22"/>
    </w:rPr>
  </w:style>
  <w:style w:type="character" w:customStyle="1" w:styleId="238">
    <w:name w:val="Char Char311"/>
    <w:qFormat/>
    <w:uiPriority w:val="0"/>
    <w:rPr>
      <w:rFonts w:eastAsia="宋体"/>
      <w:kern w:val="2"/>
      <w:sz w:val="21"/>
      <w:szCs w:val="24"/>
      <w:lang w:val="en-US" w:eastAsia="zh-CN" w:bidi="ar-SA"/>
    </w:rPr>
  </w:style>
  <w:style w:type="character" w:customStyle="1" w:styleId="239">
    <w:name w:val="Char Char81"/>
    <w:qFormat/>
    <w:uiPriority w:val="6"/>
    <w:rPr>
      <w:rFonts w:eastAsia="宋体"/>
      <w:b/>
      <w:sz w:val="24"/>
      <w:lang w:val="en-GB" w:eastAsia="zh-CN"/>
    </w:rPr>
  </w:style>
  <w:style w:type="character" w:customStyle="1" w:styleId="240">
    <w:name w:val="样式3 Char"/>
    <w:basedOn w:val="196"/>
    <w:qFormat/>
    <w:uiPriority w:val="0"/>
    <w:rPr>
      <w:rFonts w:ascii="仿宋_GB2312" w:hAnsi="仿宋" w:eastAsia="仿宋_GB2312" w:cs="仿宋_GB2312"/>
      <w:sz w:val="32"/>
      <w:szCs w:val="30"/>
      <w:lang w:val="zh-CN"/>
    </w:rPr>
  </w:style>
  <w:style w:type="character" w:customStyle="1" w:styleId="241">
    <w:name w:val="正文首行缩进 2 Char1"/>
    <w:qFormat/>
    <w:uiPriority w:val="0"/>
    <w:rPr>
      <w:rFonts w:ascii="Times New Roman" w:hAnsi="Times New Roman" w:eastAsia="宋体" w:cs="Times New Roman"/>
      <w:kern w:val="2"/>
      <w:sz w:val="24"/>
      <w:szCs w:val="24"/>
    </w:rPr>
  </w:style>
  <w:style w:type="character" w:customStyle="1" w:styleId="242">
    <w:name w:val="副标题 Char2"/>
    <w:qFormat/>
    <w:uiPriority w:val="0"/>
    <w:rPr>
      <w:rFonts w:ascii="Cambria" w:hAnsi="Cambria" w:eastAsia="宋体" w:cs="Times New Roman"/>
      <w:b/>
      <w:bCs/>
      <w:snapToGrid w:val="0"/>
      <w:kern w:val="28"/>
      <w:sz w:val="32"/>
      <w:szCs w:val="32"/>
    </w:rPr>
  </w:style>
  <w:style w:type="character" w:customStyle="1" w:styleId="243">
    <w:name w:val="标题4-dyf Char"/>
    <w:link w:val="244"/>
    <w:qFormat/>
    <w:uiPriority w:val="0"/>
    <w:rPr>
      <w:rFonts w:ascii="Cambria" w:hAnsi="Cambria"/>
      <w:b/>
      <w:bCs/>
      <w:color w:val="000000"/>
      <w:kern w:val="2"/>
      <w:sz w:val="21"/>
      <w:szCs w:val="21"/>
    </w:rPr>
  </w:style>
  <w:style w:type="paragraph" w:customStyle="1" w:styleId="244">
    <w:name w:val="标题4-dyf"/>
    <w:basedOn w:val="7"/>
    <w:link w:val="24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45">
    <w:name w:val="dectext1"/>
    <w:qFormat/>
    <w:uiPriority w:val="0"/>
    <w:rPr>
      <w:rFonts w:ascii="宋体" w:hAnsi="宋体" w:eastAsia="宋体"/>
      <w:color w:val="333333"/>
      <w:sz w:val="21"/>
      <w:szCs w:val="21"/>
      <w:u w:val="none"/>
    </w:rPr>
  </w:style>
  <w:style w:type="character" w:customStyle="1" w:styleId="246">
    <w:name w:val="冯 Char"/>
    <w:link w:val="247"/>
    <w:qFormat/>
    <w:uiPriority w:val="0"/>
    <w:rPr>
      <w:rFonts w:ascii="宋体" w:hAnsi="宋体"/>
      <w:color w:val="000000"/>
      <w:sz w:val="24"/>
      <w:szCs w:val="24"/>
    </w:rPr>
  </w:style>
  <w:style w:type="paragraph" w:customStyle="1" w:styleId="247">
    <w:name w:val="冯"/>
    <w:basedOn w:val="1"/>
    <w:link w:val="246"/>
    <w:qFormat/>
    <w:uiPriority w:val="0"/>
    <w:pPr>
      <w:widowControl/>
      <w:adjustRightInd/>
      <w:spacing w:line="360" w:lineRule="auto"/>
      <w:ind w:firstLine="480" w:firstLineChars="200"/>
    </w:pPr>
    <w:rPr>
      <w:rFonts w:ascii="宋体" w:hAnsi="宋体"/>
      <w:color w:val="000000"/>
      <w:kern w:val="0"/>
      <w:sz w:val="24"/>
    </w:rPr>
  </w:style>
  <w:style w:type="character" w:customStyle="1" w:styleId="248">
    <w:name w:val="Header Char"/>
    <w:qFormat/>
    <w:locked/>
    <w:uiPriority w:val="0"/>
    <w:rPr>
      <w:rFonts w:eastAsia="宋体"/>
      <w:kern w:val="2"/>
      <w:sz w:val="18"/>
      <w:szCs w:val="18"/>
      <w:lang w:val="en-US" w:eastAsia="zh-CN" w:bidi="ar-SA"/>
    </w:rPr>
  </w:style>
  <w:style w:type="character" w:customStyle="1" w:styleId="249">
    <w:name w:val="Char Char12"/>
    <w:qFormat/>
    <w:uiPriority w:val="0"/>
    <w:rPr>
      <w:rFonts w:ascii="仿宋_GB2312" w:eastAsia="仿宋_GB2312"/>
      <w:b/>
      <w:bCs/>
      <w:kern w:val="2"/>
      <w:sz w:val="24"/>
      <w:szCs w:val="24"/>
      <w:lang w:val="zh-CN" w:eastAsia="zh-CN" w:bidi="ar-SA"/>
    </w:rPr>
  </w:style>
  <w:style w:type="character" w:customStyle="1" w:styleId="250">
    <w:name w:val="普通文字 Char3"/>
    <w:qFormat/>
    <w:uiPriority w:val="0"/>
    <w:rPr>
      <w:rFonts w:ascii="宋体" w:hAnsi="Courier New" w:eastAsia="宋体"/>
      <w:kern w:val="2"/>
      <w:sz w:val="21"/>
      <w:lang w:val="en-US" w:eastAsia="zh-CN" w:bidi="ar-SA"/>
    </w:rPr>
  </w:style>
  <w:style w:type="character" w:customStyle="1" w:styleId="251">
    <w:name w:val="公文正文 Char"/>
    <w:qFormat/>
    <w:uiPriority w:val="0"/>
    <w:rPr>
      <w:rFonts w:ascii="仿宋_GB2312" w:eastAsia="仿宋_GB2312"/>
      <w:kern w:val="2"/>
      <w:sz w:val="24"/>
      <w:szCs w:val="24"/>
      <w:lang w:val="en-US" w:eastAsia="zh-CN" w:bidi="ar-SA"/>
    </w:rPr>
  </w:style>
  <w:style w:type="character" w:customStyle="1" w:styleId="252">
    <w:name w:val="正文首行缩进 Char Char Char Char Char"/>
    <w:qFormat/>
    <w:uiPriority w:val="0"/>
    <w:rPr>
      <w:rFonts w:ascii="宋体"/>
      <w:kern w:val="2"/>
      <w:sz w:val="24"/>
      <w:lang w:val="zh-CN"/>
    </w:rPr>
  </w:style>
  <w:style w:type="character" w:customStyle="1" w:styleId="253">
    <w:name w:val="PI Char"/>
    <w:qFormat/>
    <w:uiPriority w:val="0"/>
    <w:rPr>
      <w:rFonts w:ascii="宋体" w:hAnsi="宋体" w:eastAsia="宋体"/>
      <w:kern w:val="2"/>
      <w:sz w:val="24"/>
      <w:szCs w:val="24"/>
      <w:lang w:val="en-US" w:eastAsia="zh-CN" w:bidi="ar-SA"/>
    </w:rPr>
  </w:style>
  <w:style w:type="character" w:customStyle="1" w:styleId="254">
    <w:name w:val="Default Char"/>
    <w:link w:val="255"/>
    <w:qFormat/>
    <w:uiPriority w:val="0"/>
    <w:rPr>
      <w:rFonts w:ascii="仿宋_GB2312" w:eastAsia="仿宋_GB2312" w:cs="仿宋_GB2312"/>
      <w:color w:val="000000"/>
      <w:sz w:val="24"/>
      <w:szCs w:val="24"/>
      <w:lang w:val="en-US" w:eastAsia="zh-CN" w:bidi="ar-SA"/>
    </w:rPr>
  </w:style>
  <w:style w:type="paragraph" w:customStyle="1" w:styleId="255">
    <w:name w:val="Default"/>
    <w:link w:val="25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56">
    <w:name w:val="style91"/>
    <w:qFormat/>
    <w:uiPriority w:val="0"/>
    <w:rPr>
      <w:color w:val="333333"/>
    </w:rPr>
  </w:style>
  <w:style w:type="character" w:customStyle="1" w:styleId="257">
    <w:name w:val="列出段落 Char2"/>
    <w:qFormat/>
    <w:uiPriority w:val="34"/>
    <w:rPr>
      <w:rFonts w:ascii="Calibri" w:hAnsi="Calibri"/>
      <w:kern w:val="2"/>
      <w:sz w:val="28"/>
    </w:rPr>
  </w:style>
  <w:style w:type="character" w:customStyle="1" w:styleId="258">
    <w:name w:val="mdeck"/>
    <w:qFormat/>
    <w:uiPriority w:val="0"/>
    <w:rPr>
      <w:rFonts w:ascii="仿宋_GB2312" w:eastAsia="微软雅黑"/>
      <w:b/>
      <w:kern w:val="2"/>
      <w:sz w:val="32"/>
      <w:szCs w:val="32"/>
      <w:lang w:val="en-US" w:eastAsia="zh-CN" w:bidi="ar-SA"/>
    </w:rPr>
  </w:style>
  <w:style w:type="character" w:customStyle="1" w:styleId="259">
    <w:name w:val="unnamed11"/>
    <w:qFormat/>
    <w:uiPriority w:val="0"/>
    <w:rPr>
      <w:sz w:val="20"/>
      <w:szCs w:val="20"/>
    </w:rPr>
  </w:style>
  <w:style w:type="character" w:customStyle="1" w:styleId="260">
    <w:name w:val="正文文本 Char2"/>
    <w:semiHidden/>
    <w:qFormat/>
    <w:uiPriority w:val="99"/>
    <w:rPr>
      <w:rFonts w:ascii="Times New Roman" w:hAnsi="Times New Roman" w:eastAsia="宋体" w:cs="Times New Roman"/>
      <w:snapToGrid w:val="0"/>
      <w:kern w:val="0"/>
      <w:szCs w:val="24"/>
    </w:rPr>
  </w:style>
  <w:style w:type="character" w:customStyle="1" w:styleId="261">
    <w:name w:val="标书正文格式 Char"/>
    <w:qFormat/>
    <w:uiPriority w:val="0"/>
    <w:rPr>
      <w:rFonts w:eastAsia="楷体_GB2312"/>
      <w:kern w:val="2"/>
      <w:sz w:val="24"/>
      <w:szCs w:val="24"/>
      <w:lang w:bidi="ar-SA"/>
    </w:rPr>
  </w:style>
  <w:style w:type="character" w:customStyle="1" w:styleId="262">
    <w:name w:val="Char Char11"/>
    <w:qFormat/>
    <w:locked/>
    <w:uiPriority w:val="0"/>
    <w:rPr>
      <w:rFonts w:ascii="宋体" w:hAnsi="宋体" w:eastAsia="宋体"/>
      <w:b/>
      <w:kern w:val="2"/>
      <w:sz w:val="24"/>
      <w:szCs w:val="24"/>
      <w:lang w:val="en-US" w:eastAsia="zh-CN" w:bidi="ar-SA"/>
    </w:rPr>
  </w:style>
  <w:style w:type="character" w:customStyle="1" w:styleId="263">
    <w:name w:val="ca-131"/>
    <w:qFormat/>
    <w:uiPriority w:val="0"/>
    <w:rPr>
      <w:rFonts w:hint="eastAsia" w:ascii="仿宋_GB2312" w:eastAsia="仿宋_GB2312"/>
      <w:b/>
      <w:bCs/>
      <w:color w:val="000000"/>
      <w:spacing w:val="-20"/>
      <w:sz w:val="24"/>
      <w:szCs w:val="24"/>
    </w:rPr>
  </w:style>
  <w:style w:type="character" w:customStyle="1" w:styleId="264">
    <w:name w:val="tw4winMark"/>
    <w:qFormat/>
    <w:uiPriority w:val="0"/>
    <w:rPr>
      <w:rFonts w:ascii="Courier New" w:hAnsi="Courier New" w:cs="Courier New"/>
      <w:vanish/>
      <w:color w:val="800080"/>
      <w:sz w:val="24"/>
      <w:szCs w:val="24"/>
      <w:vertAlign w:val="subscript"/>
    </w:rPr>
  </w:style>
  <w:style w:type="character" w:customStyle="1" w:styleId="265">
    <w:name w:val="正文样式 Char"/>
    <w:link w:val="266"/>
    <w:qFormat/>
    <w:uiPriority w:val="0"/>
    <w:rPr>
      <w:rFonts w:ascii="Calibri" w:hAnsi="Calibri"/>
      <w:sz w:val="24"/>
      <w:szCs w:val="24"/>
    </w:rPr>
  </w:style>
  <w:style w:type="paragraph" w:customStyle="1" w:styleId="266">
    <w:name w:val="正文样式"/>
    <w:basedOn w:val="1"/>
    <w:link w:val="265"/>
    <w:qFormat/>
    <w:uiPriority w:val="0"/>
    <w:pPr>
      <w:adjustRightInd/>
      <w:spacing w:line="360" w:lineRule="auto"/>
      <w:ind w:firstLine="480" w:firstLineChars="200"/>
    </w:pPr>
    <w:rPr>
      <w:kern w:val="0"/>
      <w:sz w:val="24"/>
    </w:rPr>
  </w:style>
  <w:style w:type="character" w:customStyle="1" w:styleId="267">
    <w:name w:val="表正文 Char3"/>
    <w:qFormat/>
    <w:uiPriority w:val="0"/>
    <w:rPr>
      <w:rFonts w:eastAsia="宋体"/>
    </w:rPr>
  </w:style>
  <w:style w:type="character" w:customStyle="1" w:styleId="268">
    <w:name w:val="H5 Char"/>
    <w:qFormat/>
    <w:uiPriority w:val="0"/>
    <w:rPr>
      <w:b/>
      <w:bCs/>
      <w:kern w:val="2"/>
      <w:sz w:val="28"/>
      <w:szCs w:val="28"/>
    </w:rPr>
  </w:style>
  <w:style w:type="character" w:customStyle="1" w:styleId="269">
    <w:name w:val="Char Char3"/>
    <w:qFormat/>
    <w:uiPriority w:val="0"/>
    <w:rPr>
      <w:rFonts w:eastAsia="宋体"/>
      <w:kern w:val="2"/>
      <w:sz w:val="21"/>
      <w:szCs w:val="24"/>
      <w:lang w:val="en-US" w:eastAsia="zh-CN" w:bidi="ar-SA"/>
    </w:rPr>
  </w:style>
  <w:style w:type="character" w:customStyle="1" w:styleId="270">
    <w:name w:val="正文 编号 Char"/>
    <w:qFormat/>
    <w:uiPriority w:val="0"/>
    <w:rPr>
      <w:rFonts w:ascii="仿宋_GB2312" w:hAnsi="仿宋_GB2312" w:eastAsia="仿宋_GB2312"/>
      <w:kern w:val="2"/>
      <w:sz w:val="24"/>
      <w:lang w:bidi="ar-SA"/>
    </w:rPr>
  </w:style>
  <w:style w:type="character" w:customStyle="1" w:styleId="271">
    <w:name w:val="question-title2"/>
    <w:qFormat/>
    <w:uiPriority w:val="6"/>
    <w:rPr>
      <w:rFonts w:ascii="Arial" w:hAnsi="Arial" w:eastAsia="黑体" w:cs="Arial"/>
      <w:snapToGrid w:val="0"/>
      <w:kern w:val="0"/>
      <w:szCs w:val="21"/>
    </w:rPr>
  </w:style>
  <w:style w:type="character" w:customStyle="1" w:styleId="272">
    <w:name w:val="gf正文1 Char Char"/>
    <w:link w:val="273"/>
    <w:qFormat/>
    <w:uiPriority w:val="0"/>
    <w:rPr>
      <w:rFonts w:ascii="宋体" w:hAnsi="宋体" w:cs="宋体"/>
      <w:kern w:val="2"/>
      <w:sz w:val="24"/>
      <w:szCs w:val="24"/>
    </w:rPr>
  </w:style>
  <w:style w:type="paragraph" w:customStyle="1" w:styleId="273">
    <w:name w:val="gf正文1"/>
    <w:basedOn w:val="1"/>
    <w:link w:val="27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4">
    <w:name w:val="Char Char15"/>
    <w:qFormat/>
    <w:uiPriority w:val="6"/>
    <w:rPr>
      <w:rFonts w:ascii="宋体" w:hAnsi="宋体"/>
      <w:kern w:val="1"/>
      <w:sz w:val="21"/>
    </w:rPr>
  </w:style>
  <w:style w:type="character" w:customStyle="1" w:styleId="275">
    <w:name w:val="正文缩进 Char3"/>
    <w:qFormat/>
    <w:uiPriority w:val="0"/>
    <w:rPr>
      <w:rFonts w:ascii="宋体" w:eastAsia="宋体"/>
      <w:snapToGrid w:val="0"/>
      <w:color w:val="000000"/>
      <w:kern w:val="28"/>
      <w:sz w:val="28"/>
      <w:lang w:val="en-US" w:eastAsia="zh-CN" w:bidi="ar-SA"/>
    </w:rPr>
  </w:style>
  <w:style w:type="character" w:customStyle="1" w:styleId="276">
    <w:name w:val="列出段落 Char1"/>
    <w:link w:val="277"/>
    <w:qFormat/>
    <w:uiPriority w:val="0"/>
    <w:rPr>
      <w:rFonts w:ascii="Calibri" w:hAnsi="Calibri"/>
      <w:sz w:val="24"/>
      <w:lang w:eastAsia="en-US"/>
    </w:rPr>
  </w:style>
  <w:style w:type="paragraph" w:customStyle="1" w:styleId="277">
    <w:name w:val="列表1"/>
    <w:basedOn w:val="1"/>
    <w:next w:val="278"/>
    <w:link w:val="276"/>
    <w:qFormat/>
    <w:uiPriority w:val="0"/>
    <w:pPr>
      <w:widowControl/>
      <w:adjustRightInd/>
      <w:spacing w:after="200" w:line="360" w:lineRule="auto"/>
      <w:ind w:left="720" w:firstLine="200" w:firstLineChars="200"/>
      <w:jc w:val="left"/>
    </w:pPr>
    <w:rPr>
      <w:kern w:val="0"/>
      <w:sz w:val="24"/>
      <w:szCs w:val="20"/>
      <w:lang w:eastAsia="en-US"/>
    </w:rPr>
  </w:style>
  <w:style w:type="paragraph" w:styleId="278">
    <w:name w:val="List Paragraph"/>
    <w:basedOn w:val="1"/>
    <w:qFormat/>
    <w:uiPriority w:val="34"/>
    <w:pPr>
      <w:spacing w:line="360" w:lineRule="auto"/>
      <w:ind w:firstLine="200" w:firstLineChars="200"/>
    </w:pPr>
    <w:rPr>
      <w:rFonts w:eastAsia="楷体_GB2312" w:cs="Lucida Sans"/>
      <w:sz w:val="24"/>
    </w:rPr>
  </w:style>
  <w:style w:type="character" w:customStyle="1" w:styleId="279">
    <w:name w:val="Char Char8"/>
    <w:qFormat/>
    <w:uiPriority w:val="0"/>
    <w:rPr>
      <w:rFonts w:eastAsia="宋体"/>
      <w:b/>
      <w:sz w:val="24"/>
      <w:lang w:val="en-GB" w:eastAsia="zh-CN"/>
    </w:rPr>
  </w:style>
  <w:style w:type="character" w:customStyle="1" w:styleId="280">
    <w:name w:val="Normal Indent Char Char"/>
    <w:qFormat/>
    <w:uiPriority w:val="0"/>
    <w:rPr>
      <w:rFonts w:eastAsia="宋体"/>
      <w:kern w:val="2"/>
      <w:sz w:val="21"/>
      <w:lang w:val="en-US" w:eastAsia="zh-CN" w:bidi="ar-SA"/>
    </w:rPr>
  </w:style>
  <w:style w:type="character" w:customStyle="1" w:styleId="281">
    <w:name w:val="列表段落 字符"/>
    <w:qFormat/>
    <w:uiPriority w:val="99"/>
  </w:style>
  <w:style w:type="character" w:customStyle="1" w:styleId="282">
    <w:name w:val="Ò³Ã¼ Char Char1"/>
    <w:qFormat/>
    <w:uiPriority w:val="0"/>
    <w:rPr>
      <w:rFonts w:eastAsia="宋体"/>
      <w:kern w:val="2"/>
      <w:sz w:val="18"/>
      <w:szCs w:val="18"/>
      <w:lang w:val="en-US" w:eastAsia="zh-CN" w:bidi="ar-SA"/>
    </w:rPr>
  </w:style>
  <w:style w:type="character" w:customStyle="1" w:styleId="283">
    <w:name w:val="方案正文 Char"/>
    <w:qFormat/>
    <w:uiPriority w:val="0"/>
    <w:rPr>
      <w:rFonts w:ascii="仿宋_GB2312" w:eastAsia="仿宋_GB2312"/>
      <w:b/>
      <w:color w:val="000000"/>
      <w:kern w:val="2"/>
      <w:sz w:val="24"/>
      <w:lang w:val="en-US" w:eastAsia="zh-CN" w:bidi="ar-SA"/>
    </w:rPr>
  </w:style>
  <w:style w:type="character" w:customStyle="1" w:styleId="284">
    <w:name w:val="Char Char30"/>
    <w:qFormat/>
    <w:uiPriority w:val="6"/>
    <w:rPr>
      <w:rFonts w:ascii="Arial" w:hAnsi="Arial" w:eastAsia="黑体"/>
      <w:kern w:val="1"/>
      <w:sz w:val="21"/>
      <w:szCs w:val="21"/>
    </w:rPr>
  </w:style>
  <w:style w:type="character" w:customStyle="1" w:styleId="285">
    <w:name w:val="font01"/>
    <w:qFormat/>
    <w:uiPriority w:val="0"/>
    <w:rPr>
      <w:rFonts w:hint="eastAsia" w:ascii="微软雅黑" w:hAnsi="微软雅黑" w:eastAsia="微软雅黑" w:cs="微软雅黑"/>
      <w:color w:val="000000"/>
      <w:sz w:val="20"/>
      <w:szCs w:val="20"/>
      <w:u w:val="none"/>
    </w:rPr>
  </w:style>
  <w:style w:type="character" w:customStyle="1" w:styleId="286">
    <w:name w:val="Char Char20"/>
    <w:qFormat/>
    <w:uiPriority w:val="6"/>
    <w:rPr>
      <w:kern w:val="1"/>
      <w:sz w:val="24"/>
    </w:rPr>
  </w:style>
  <w:style w:type="character" w:customStyle="1" w:styleId="287">
    <w:name w:val="tw4winExternal"/>
    <w:qFormat/>
    <w:uiPriority w:val="0"/>
    <w:rPr>
      <w:rFonts w:ascii="Courier New" w:hAnsi="Courier New" w:cs="Courier New"/>
      <w:color w:val="808080"/>
      <w:lang w:val="en-US" w:eastAsia="zh-CN"/>
    </w:rPr>
  </w:style>
  <w:style w:type="character" w:customStyle="1" w:styleId="288">
    <w:name w:val="标题 4 Char1"/>
    <w:qFormat/>
    <w:uiPriority w:val="9"/>
    <w:rPr>
      <w:rFonts w:ascii="Cambria" w:hAnsi="Cambria" w:eastAsia="宋体" w:cs="Times New Roman"/>
      <w:b/>
      <w:bCs/>
      <w:kern w:val="2"/>
      <w:sz w:val="28"/>
      <w:szCs w:val="28"/>
    </w:rPr>
  </w:style>
  <w:style w:type="character" w:customStyle="1" w:styleId="289">
    <w:name w:val="批注文字 Char2"/>
    <w:qFormat/>
    <w:uiPriority w:val="99"/>
    <w:rPr>
      <w:rFonts w:ascii="Times New Roman" w:hAnsi="Times New Roman" w:eastAsia="宋体" w:cs="Times New Roman"/>
      <w:snapToGrid w:val="0"/>
      <w:kern w:val="0"/>
      <w:szCs w:val="24"/>
    </w:rPr>
  </w:style>
  <w:style w:type="character" w:customStyle="1" w:styleId="290">
    <w:name w:val="正文文本 2 Char"/>
    <w:qFormat/>
    <w:uiPriority w:val="0"/>
    <w:rPr>
      <w:rFonts w:eastAsia="宋体"/>
      <w:kern w:val="2"/>
      <w:sz w:val="21"/>
      <w:szCs w:val="24"/>
      <w:lang w:val="en-US" w:eastAsia="zh-CN" w:bidi="ar-SA"/>
    </w:rPr>
  </w:style>
  <w:style w:type="character" w:customStyle="1" w:styleId="291">
    <w:name w:val="Ò³Ã¼ Char Char"/>
    <w:qFormat/>
    <w:uiPriority w:val="0"/>
    <w:rPr>
      <w:rFonts w:eastAsia="宋体"/>
      <w:kern w:val="2"/>
      <w:sz w:val="18"/>
      <w:lang w:val="en-US" w:eastAsia="zh-CN" w:bidi="ar-SA"/>
    </w:rPr>
  </w:style>
  <w:style w:type="character" w:customStyle="1" w:styleId="292">
    <w:name w:val="message1"/>
    <w:qFormat/>
    <w:uiPriority w:val="0"/>
    <w:rPr>
      <w:rFonts w:hint="default" w:ascii="Tahoma" w:hAnsi="Tahoma" w:cs="Tahoma"/>
      <w:sz w:val="18"/>
      <w:szCs w:val="18"/>
    </w:rPr>
  </w:style>
  <w:style w:type="character" w:customStyle="1" w:styleId="293">
    <w:name w:val="Char Char23"/>
    <w:qFormat/>
    <w:uiPriority w:val="6"/>
    <w:rPr>
      <w:color w:val="0000FF"/>
      <w:sz w:val="21"/>
    </w:rPr>
  </w:style>
  <w:style w:type="character" w:customStyle="1" w:styleId="294">
    <w:name w:val="批注框文本 字符"/>
    <w:qFormat/>
    <w:uiPriority w:val="0"/>
    <w:rPr>
      <w:rFonts w:ascii="Arial" w:hAnsi="Arial" w:eastAsia="黑体" w:cs="Arial"/>
      <w:snapToGrid w:val="0"/>
      <w:kern w:val="0"/>
      <w:sz w:val="18"/>
      <w:szCs w:val="18"/>
    </w:rPr>
  </w:style>
  <w:style w:type="character" w:customStyle="1" w:styleId="295">
    <w:name w:val="纯文本 Char2"/>
    <w:semiHidden/>
    <w:qFormat/>
    <w:uiPriority w:val="99"/>
    <w:rPr>
      <w:rFonts w:ascii="宋体" w:hAnsi="Courier New" w:eastAsia="宋体" w:cs="Courier New"/>
    </w:rPr>
  </w:style>
  <w:style w:type="character" w:customStyle="1" w:styleId="296">
    <w:name w:val="Char Char25"/>
    <w:qFormat/>
    <w:uiPriority w:val="6"/>
    <w:rPr>
      <w:rFonts w:ascii="宋体" w:hAnsi="宋体"/>
      <w:kern w:val="1"/>
      <w:sz w:val="24"/>
      <w:lang w:val="zh-CN"/>
    </w:rPr>
  </w:style>
  <w:style w:type="character" w:customStyle="1" w:styleId="297">
    <w:name w:val="Char Char411"/>
    <w:qFormat/>
    <w:uiPriority w:val="0"/>
    <w:rPr>
      <w:rFonts w:eastAsia="宋体"/>
      <w:b/>
      <w:sz w:val="24"/>
      <w:lang w:val="en-GB" w:eastAsia="zh-CN" w:bidi="ar-SA"/>
    </w:rPr>
  </w:style>
  <w:style w:type="character" w:customStyle="1" w:styleId="298">
    <w:name w:val="Heading 7 Char"/>
    <w:qFormat/>
    <w:locked/>
    <w:uiPriority w:val="0"/>
    <w:rPr>
      <w:rFonts w:ascii="宋体" w:hAnsi="宋体" w:eastAsia="宋体"/>
      <w:b/>
      <w:bCs/>
      <w:kern w:val="2"/>
      <w:sz w:val="24"/>
      <w:szCs w:val="24"/>
      <w:lang w:val="en-US" w:eastAsia="zh-CN" w:bidi="ar-SA"/>
    </w:rPr>
  </w:style>
  <w:style w:type="character" w:customStyle="1" w:styleId="299">
    <w:name w:val="此正文 Char"/>
    <w:link w:val="300"/>
    <w:qFormat/>
    <w:uiPriority w:val="0"/>
    <w:rPr>
      <w:kern w:val="2"/>
      <w:sz w:val="24"/>
      <w:szCs w:val="24"/>
    </w:rPr>
  </w:style>
  <w:style w:type="paragraph" w:customStyle="1" w:styleId="300">
    <w:name w:val="此正文"/>
    <w:basedOn w:val="1"/>
    <w:link w:val="299"/>
    <w:qFormat/>
    <w:uiPriority w:val="0"/>
    <w:pPr>
      <w:adjustRightInd/>
      <w:spacing w:line="360" w:lineRule="auto"/>
      <w:ind w:firstLine="200" w:firstLineChars="200"/>
    </w:pPr>
    <w:rPr>
      <w:sz w:val="24"/>
    </w:rPr>
  </w:style>
  <w:style w:type="character" w:customStyle="1" w:styleId="301">
    <w:name w:val="Char Char2"/>
    <w:qFormat/>
    <w:uiPriority w:val="0"/>
    <w:rPr>
      <w:rFonts w:eastAsia="宋体"/>
      <w:b/>
      <w:bCs/>
      <w:kern w:val="2"/>
      <w:sz w:val="21"/>
      <w:szCs w:val="24"/>
      <w:lang w:val="en-US" w:eastAsia="zh-CN" w:bidi="ar-SA"/>
    </w:rPr>
  </w:style>
  <w:style w:type="character" w:customStyle="1" w:styleId="302">
    <w:name w:val="Footer-Even Char1"/>
    <w:qFormat/>
    <w:uiPriority w:val="0"/>
    <w:rPr>
      <w:rFonts w:eastAsia="宋体"/>
      <w:kern w:val="2"/>
      <w:sz w:val="18"/>
      <w:szCs w:val="18"/>
      <w:lang w:val="en-US" w:eastAsia="zh-CN" w:bidi="ar-SA"/>
    </w:rPr>
  </w:style>
  <w:style w:type="character" w:customStyle="1" w:styleId="303">
    <w:name w:val="Char Char29"/>
    <w:qFormat/>
    <w:uiPriority w:val="6"/>
    <w:rPr>
      <w:rFonts w:ascii="Arial" w:hAnsi="Arial" w:eastAsia="微软雅黑"/>
      <w:b/>
      <w:kern w:val="1"/>
      <w:sz w:val="44"/>
      <w:szCs w:val="32"/>
      <w:lang w:val="en-US" w:eastAsia="zh-CN" w:bidi="ar-SA"/>
    </w:rPr>
  </w:style>
  <w:style w:type="character" w:customStyle="1" w:styleId="304">
    <w:name w:val="font81"/>
    <w:qFormat/>
    <w:uiPriority w:val="0"/>
    <w:rPr>
      <w:rFonts w:ascii="微软雅黑" w:hAnsi="微软雅黑" w:eastAsia="微软雅黑" w:cs="微软雅黑"/>
      <w:color w:val="000000"/>
      <w:sz w:val="20"/>
      <w:szCs w:val="20"/>
      <w:u w:val="none"/>
    </w:rPr>
  </w:style>
  <w:style w:type="character" w:customStyle="1" w:styleId="305">
    <w:name w:val="Char Char312"/>
    <w:qFormat/>
    <w:uiPriority w:val="0"/>
    <w:rPr>
      <w:rFonts w:ascii="Times New Roman" w:hAnsi="Times New Roman" w:eastAsia="宋体" w:cs="Times New Roman"/>
      <w:b/>
      <w:kern w:val="2"/>
      <w:sz w:val="32"/>
      <w:szCs w:val="24"/>
      <w:lang w:val="en-US" w:eastAsia="zh-CN" w:bidi="ar-SA"/>
    </w:rPr>
  </w:style>
  <w:style w:type="character" w:customStyle="1" w:styleId="306">
    <w:name w:val="t21"/>
    <w:qFormat/>
    <w:uiPriority w:val="0"/>
    <w:rPr>
      <w:rFonts w:ascii="仿宋_GB2312" w:eastAsia="微软雅黑"/>
      <w:b/>
      <w:kern w:val="2"/>
      <w:sz w:val="23"/>
      <w:szCs w:val="23"/>
      <w:lang w:val="en-US" w:eastAsia="zh-CN" w:bidi="ar-SA"/>
    </w:rPr>
  </w:style>
  <w:style w:type="character" w:customStyle="1" w:styleId="307">
    <w:name w:val="样式8 Char"/>
    <w:qFormat/>
    <w:uiPriority w:val="0"/>
    <w:rPr>
      <w:rFonts w:ascii="仿宋_GB2312" w:hAnsi="宋体" w:eastAsia="仿宋_GB2312"/>
      <w:b/>
      <w:bCs/>
      <w:kern w:val="2"/>
      <w:sz w:val="24"/>
      <w:szCs w:val="24"/>
    </w:rPr>
  </w:style>
  <w:style w:type="character" w:customStyle="1" w:styleId="308">
    <w:name w:val="表格 Char Char"/>
    <w:qFormat/>
    <w:uiPriority w:val="0"/>
    <w:rPr>
      <w:rFonts w:ascii="宋体" w:hAnsi="宋体" w:eastAsia="宋体"/>
      <w:lang w:bidi="ar-SA"/>
    </w:rPr>
  </w:style>
  <w:style w:type="character" w:customStyle="1" w:styleId="309">
    <w:name w:val="正文文本 字符1"/>
    <w:qFormat/>
    <w:uiPriority w:val="0"/>
    <w:rPr>
      <w:rFonts w:ascii="Calibri" w:hAnsi="Calibri" w:eastAsia="黑体" w:cs="Arial"/>
      <w:snapToGrid w:val="0"/>
      <w:kern w:val="2"/>
      <w:sz w:val="28"/>
      <w:szCs w:val="21"/>
    </w:rPr>
  </w:style>
  <w:style w:type="character" w:customStyle="1" w:styleId="310">
    <w:name w:val="标题 6 Char1"/>
    <w:qFormat/>
    <w:uiPriority w:val="0"/>
    <w:rPr>
      <w:rFonts w:ascii="Arial" w:hAnsi="Arial" w:eastAsia="黑体" w:cs="Times New Roman"/>
      <w:b/>
      <w:sz w:val="24"/>
      <w:szCs w:val="20"/>
      <w:lang w:bidi="ar-SA"/>
    </w:rPr>
  </w:style>
  <w:style w:type="character" w:customStyle="1" w:styleId="311">
    <w:name w:val="带编号样式 Char"/>
    <w:qFormat/>
    <w:uiPriority w:val="0"/>
    <w:rPr>
      <w:rFonts w:ascii="仿宋_GB2312" w:eastAsia="仿宋_GB2312"/>
      <w:color w:val="000000"/>
      <w:sz w:val="24"/>
      <w:lang w:bidi="ar-SA"/>
    </w:rPr>
  </w:style>
  <w:style w:type="character" w:customStyle="1" w:styleId="312">
    <w:name w:val="unnamed31"/>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qFormat/>
    <w:uiPriority w:val="0"/>
    <w:rPr>
      <w:rFonts w:ascii="宋体" w:eastAsia="宋体"/>
      <w:kern w:val="2"/>
      <w:sz w:val="24"/>
      <w:szCs w:val="24"/>
      <w:lang w:val="zh-CN" w:bidi="ar-SA"/>
    </w:rPr>
  </w:style>
  <w:style w:type="character" w:customStyle="1" w:styleId="314">
    <w:name w:val="文本正文 Char Char"/>
    <w:qFormat/>
    <w:locked/>
    <w:uiPriority w:val="0"/>
    <w:rPr>
      <w:sz w:val="24"/>
      <w:lang w:bidi="ar-SA"/>
    </w:rPr>
  </w:style>
  <w:style w:type="character" w:customStyle="1" w:styleId="315">
    <w:name w:val="正文缩进 字符"/>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qFormat/>
    <w:uiPriority w:val="0"/>
    <w:pPr>
      <w:tabs>
        <w:tab w:val="left" w:pos="2356"/>
      </w:tabs>
    </w:pPr>
  </w:style>
  <w:style w:type="paragraph" w:customStyle="1" w:styleId="318">
    <w:name w:val="样式 标题 4h4H4Fab-4T5Ref Heading 1rh1Heading sqlsect 1.2.3...."/>
    <w:basedOn w:val="7"/>
    <w:link w:val="319"/>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qFormat/>
    <w:uiPriority w:val="0"/>
    <w:rPr>
      <w:rFonts w:ascii="微软雅黑" w:hAnsi="微软雅黑" w:eastAsia="微软雅黑"/>
      <w:b/>
      <w:bCs/>
      <w:kern w:val="2"/>
      <w:sz w:val="24"/>
      <w:szCs w:val="28"/>
    </w:rPr>
  </w:style>
  <w:style w:type="character" w:customStyle="1" w:styleId="320">
    <w:name w:val="正文非缩进 Char"/>
    <w:qFormat/>
    <w:uiPriority w:val="0"/>
    <w:rPr>
      <w:rFonts w:ascii="宋体" w:eastAsia="宋体"/>
      <w:snapToGrid w:val="0"/>
      <w:color w:val="000000"/>
      <w:kern w:val="28"/>
      <w:sz w:val="28"/>
      <w:lang w:val="en-US" w:eastAsia="zh-CN" w:bidi="ar-SA"/>
    </w:rPr>
  </w:style>
  <w:style w:type="character" w:customStyle="1" w:styleId="321">
    <w:name w:val="Char Char5"/>
    <w:qFormat/>
    <w:uiPriority w:val="0"/>
    <w:rPr>
      <w:rFonts w:ascii="宋体" w:hAnsi="Courier New" w:eastAsia="宋体"/>
      <w:kern w:val="2"/>
      <w:sz w:val="21"/>
      <w:lang w:val="en-US" w:eastAsia="zh-CN"/>
    </w:rPr>
  </w:style>
  <w:style w:type="character" w:customStyle="1" w:styleId="322">
    <w:name w:val="称呼 Char1"/>
    <w:qFormat/>
    <w:uiPriority w:val="0"/>
    <w:rPr>
      <w:rFonts w:ascii="Times New Roman" w:hAnsi="Times New Roman" w:eastAsia="宋体" w:cs="Times New Roman"/>
      <w:szCs w:val="24"/>
    </w:rPr>
  </w:style>
  <w:style w:type="character" w:customStyle="1" w:styleId="323">
    <w:name w:val="正文1 Char"/>
    <w:qFormat/>
    <w:uiPriority w:val="0"/>
    <w:rPr>
      <w:rFonts w:ascii="宋体" w:eastAsia="宋体"/>
      <w:snapToGrid w:val="0"/>
      <w:color w:val="000000"/>
      <w:kern w:val="28"/>
      <w:sz w:val="28"/>
      <w:lang w:val="en-US" w:eastAsia="zh-CN" w:bidi="ar-SA"/>
    </w:rPr>
  </w:style>
  <w:style w:type="character" w:customStyle="1" w:styleId="324">
    <w:name w:val="正文缩进 Char1"/>
    <w:qFormat/>
    <w:uiPriority w:val="0"/>
    <w:rPr>
      <w:rFonts w:ascii="宋体" w:eastAsia="宋体"/>
      <w:snapToGrid w:val="0"/>
      <w:color w:val="000000"/>
      <w:kern w:val="28"/>
      <w:sz w:val="28"/>
      <w:lang w:val="en-US" w:eastAsia="zh-CN" w:bidi="ar-SA"/>
    </w:rPr>
  </w:style>
  <w:style w:type="character" w:customStyle="1" w:styleId="325">
    <w:name w:val="font21"/>
    <w:qFormat/>
    <w:uiPriority w:val="0"/>
    <w:rPr>
      <w:rFonts w:hint="eastAsia" w:ascii="宋体" w:hAnsi="宋体" w:eastAsia="宋体"/>
      <w:kern w:val="2"/>
      <w:sz w:val="28"/>
      <w:szCs w:val="28"/>
      <w:lang w:val="en-US" w:eastAsia="zh-CN" w:bidi="ar-SA"/>
    </w:rPr>
  </w:style>
  <w:style w:type="character" w:customStyle="1" w:styleId="326">
    <w:name w:val="Char Char26"/>
    <w:qFormat/>
    <w:uiPriority w:val="6"/>
    <w:rPr>
      <w:kern w:val="1"/>
      <w:sz w:val="21"/>
      <w:szCs w:val="24"/>
    </w:rPr>
  </w:style>
  <w:style w:type="character" w:customStyle="1" w:styleId="327">
    <w:name w:val="Item List Char"/>
    <w:link w:val="328"/>
    <w:qFormat/>
    <w:uiPriority w:val="0"/>
    <w:rPr>
      <w:rFonts w:ascii="Arial"/>
      <w:bCs/>
      <w:sz w:val="21"/>
      <w:szCs w:val="21"/>
      <w:lang w:val="en-US" w:eastAsia="zh-CN" w:bidi="ar-SA"/>
    </w:rPr>
  </w:style>
  <w:style w:type="paragraph" w:customStyle="1" w:styleId="328">
    <w:name w:val="Item List"/>
    <w:link w:val="32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qFormat/>
    <w:uiPriority w:val="0"/>
    <w:rPr>
      <w:rFonts w:ascii="Times New Roman" w:hAnsi="Times New Roman" w:eastAsia="宋体" w:cs="Times New Roman"/>
      <w:sz w:val="18"/>
      <w:szCs w:val="18"/>
    </w:rPr>
  </w:style>
  <w:style w:type="character" w:customStyle="1" w:styleId="330">
    <w:name w:val="纯文本 Char1"/>
    <w:link w:val="331"/>
    <w:qFormat/>
    <w:uiPriority w:val="0"/>
    <w:rPr>
      <w:rFonts w:ascii="宋体" w:hAnsi="Courier New"/>
    </w:rPr>
  </w:style>
  <w:style w:type="paragraph" w:customStyle="1" w:styleId="331">
    <w:name w:val="纯文本1"/>
    <w:basedOn w:val="1"/>
    <w:link w:val="330"/>
    <w:qFormat/>
    <w:uiPriority w:val="0"/>
    <w:pPr>
      <w:adjustRightInd/>
    </w:pPr>
    <w:rPr>
      <w:rFonts w:ascii="宋体" w:hAnsi="Courier New"/>
      <w:kern w:val="0"/>
      <w:sz w:val="20"/>
      <w:szCs w:val="20"/>
    </w:rPr>
  </w:style>
  <w:style w:type="character" w:customStyle="1" w:styleId="332">
    <w:name w:val="h3 Char"/>
    <w:qFormat/>
    <w:uiPriority w:val="0"/>
    <w:rPr>
      <w:rFonts w:eastAsia="宋体"/>
      <w:b/>
      <w:kern w:val="2"/>
      <w:sz w:val="32"/>
      <w:lang w:val="en-US" w:eastAsia="zh-CN" w:bidi="ar-SA"/>
    </w:rPr>
  </w:style>
  <w:style w:type="character" w:customStyle="1" w:styleId="333">
    <w:name w:val="dandyren_title1"/>
    <w:qFormat/>
    <w:uiPriority w:val="0"/>
    <w:rPr>
      <w:b/>
      <w:bCs/>
      <w:color w:val="FF6633"/>
      <w:sz w:val="18"/>
      <w:szCs w:val="18"/>
    </w:rPr>
  </w:style>
  <w:style w:type="character" w:customStyle="1" w:styleId="334">
    <w:name w:val="Char Char31"/>
    <w:qFormat/>
    <w:uiPriority w:val="6"/>
    <w:rPr>
      <w:rFonts w:ascii="Arial" w:hAnsi="Arial" w:eastAsia="黑体"/>
      <w:kern w:val="1"/>
      <w:sz w:val="24"/>
      <w:szCs w:val="24"/>
    </w:rPr>
  </w:style>
  <w:style w:type="character" w:customStyle="1" w:styleId="335">
    <w:name w:val="h Char1"/>
    <w:qFormat/>
    <w:uiPriority w:val="0"/>
    <w:rPr>
      <w:sz w:val="18"/>
      <w:szCs w:val="18"/>
    </w:rPr>
  </w:style>
  <w:style w:type="character" w:customStyle="1" w:styleId="336">
    <w:name w:val="solutionfonts"/>
    <w:qFormat/>
    <w:uiPriority w:val="0"/>
  </w:style>
  <w:style w:type="character" w:customStyle="1" w:styleId="337">
    <w:name w:val="首行缩进 Char"/>
    <w:qFormat/>
    <w:uiPriority w:val="0"/>
    <w:rPr>
      <w:rFonts w:ascii="宋体" w:eastAsia="宋体"/>
      <w:kern w:val="2"/>
      <w:sz w:val="24"/>
      <w:lang w:val="en-US" w:eastAsia="zh-CN" w:bidi="ar-SA"/>
    </w:rPr>
  </w:style>
  <w:style w:type="character" w:customStyle="1" w:styleId="338">
    <w:name w:val="Char Char52"/>
    <w:qFormat/>
    <w:uiPriority w:val="0"/>
    <w:rPr>
      <w:rFonts w:ascii="宋体" w:hAnsi="Courier New" w:eastAsia="宋体"/>
      <w:kern w:val="2"/>
      <w:sz w:val="21"/>
      <w:lang w:val="en-US" w:eastAsia="zh-CN"/>
    </w:rPr>
  </w:style>
  <w:style w:type="character" w:customStyle="1" w:styleId="339">
    <w:name w:val="font31"/>
    <w:qFormat/>
    <w:uiPriority w:val="0"/>
    <w:rPr>
      <w:rFonts w:hint="eastAsia" w:ascii="仿宋" w:hAnsi="仿宋" w:eastAsia="仿宋" w:cs="仿宋"/>
      <w:color w:val="000000"/>
      <w:sz w:val="20"/>
      <w:szCs w:val="20"/>
      <w:u w:val="none"/>
    </w:rPr>
  </w:style>
  <w:style w:type="character" w:customStyle="1" w:styleId="340">
    <w:name w:val="正文说明 Char"/>
    <w:link w:val="341"/>
    <w:qFormat/>
    <w:uiPriority w:val="0"/>
    <w:rPr>
      <w:sz w:val="24"/>
      <w:szCs w:val="24"/>
    </w:rPr>
  </w:style>
  <w:style w:type="paragraph" w:customStyle="1" w:styleId="341">
    <w:name w:val="正文说明"/>
    <w:basedOn w:val="1"/>
    <w:link w:val="340"/>
    <w:qFormat/>
    <w:uiPriority w:val="0"/>
    <w:pPr>
      <w:adjustRightInd/>
      <w:spacing w:line="360" w:lineRule="auto"/>
    </w:pPr>
    <w:rPr>
      <w:kern w:val="0"/>
      <w:sz w:val="24"/>
    </w:rPr>
  </w:style>
  <w:style w:type="character" w:customStyle="1" w:styleId="342">
    <w:name w:val="脚注文本 Char1"/>
    <w:qFormat/>
    <w:uiPriority w:val="0"/>
    <w:rPr>
      <w:rFonts w:ascii="Times New Roman" w:hAnsi="Times New Roman" w:eastAsia="宋体" w:cs="Times New Roman"/>
      <w:sz w:val="18"/>
      <w:szCs w:val="18"/>
    </w:rPr>
  </w:style>
  <w:style w:type="character" w:customStyle="1" w:styleId="343">
    <w:name w:val="Char Char1211"/>
    <w:qFormat/>
    <w:uiPriority w:val="0"/>
    <w:rPr>
      <w:rFonts w:ascii="仿宋_GB2312" w:eastAsia="仿宋_GB2312"/>
      <w:b/>
      <w:bCs/>
      <w:kern w:val="2"/>
      <w:sz w:val="24"/>
      <w:szCs w:val="24"/>
      <w:lang w:val="zh-CN" w:eastAsia="zh-CN" w:bidi="ar-SA"/>
    </w:rPr>
  </w:style>
  <w:style w:type="character" w:customStyle="1" w:styleId="344">
    <w:name w:val="标题 Char"/>
    <w:qFormat/>
    <w:uiPriority w:val="10"/>
    <w:rPr>
      <w:rFonts w:eastAsia="宋体"/>
      <w:b/>
      <w:sz w:val="24"/>
      <w:lang w:val="en-GB" w:eastAsia="zh-CN" w:bidi="ar-SA"/>
    </w:rPr>
  </w:style>
  <w:style w:type="character" w:customStyle="1" w:styleId="345">
    <w:name w:val="Char Char35"/>
    <w:qFormat/>
    <w:uiPriority w:val="6"/>
    <w:rPr>
      <w:rFonts w:ascii="Arial" w:hAnsi="Arial" w:eastAsia="黑体"/>
      <w:b/>
      <w:kern w:val="1"/>
      <w:sz w:val="28"/>
      <w:szCs w:val="28"/>
      <w:lang w:val="zh-CN"/>
    </w:rPr>
  </w:style>
  <w:style w:type="character" w:customStyle="1" w:styleId="346">
    <w:name w:val="纯文本 Char Char Char"/>
    <w:qFormat/>
    <w:uiPriority w:val="0"/>
    <w:rPr>
      <w:rFonts w:ascii="宋体" w:hAnsi="Courier New" w:eastAsia="宋体"/>
      <w:kern w:val="2"/>
      <w:sz w:val="21"/>
      <w:lang w:val="en-US" w:eastAsia="zh-CN" w:bidi="ar-SA"/>
    </w:rPr>
  </w:style>
  <w:style w:type="character" w:customStyle="1" w:styleId="347">
    <w:name w:val="Table Text Char"/>
    <w:link w:val="348"/>
    <w:qFormat/>
    <w:uiPriority w:val="0"/>
    <w:rPr>
      <w:sz w:val="24"/>
      <w:szCs w:val="24"/>
    </w:rPr>
  </w:style>
  <w:style w:type="paragraph" w:customStyle="1" w:styleId="348">
    <w:name w:val="Table Text"/>
    <w:basedOn w:val="1"/>
    <w:link w:val="347"/>
    <w:qFormat/>
    <w:uiPriority w:val="0"/>
    <w:pPr>
      <w:widowControl/>
      <w:spacing w:before="60" w:after="60"/>
      <w:jc w:val="left"/>
    </w:pPr>
    <w:rPr>
      <w:kern w:val="0"/>
      <w:sz w:val="24"/>
    </w:rPr>
  </w:style>
  <w:style w:type="character" w:customStyle="1" w:styleId="349">
    <w:name w:val="正文1 Char1"/>
    <w:qFormat/>
    <w:uiPriority w:val="0"/>
    <w:rPr>
      <w:rFonts w:ascii="仿宋_GB2312" w:hAnsi="Courier New" w:eastAsia="仿宋_GB2312"/>
      <w:kern w:val="28"/>
      <w:sz w:val="24"/>
      <w:szCs w:val="24"/>
      <w:lang w:val="en-US" w:eastAsia="zh-CN"/>
    </w:rPr>
  </w:style>
  <w:style w:type="character" w:customStyle="1" w:styleId="350">
    <w:name w:val="页脚 Char1"/>
    <w:qFormat/>
    <w:uiPriority w:val="99"/>
    <w:rPr>
      <w:rFonts w:eastAsia="宋体"/>
      <w:kern w:val="2"/>
      <w:sz w:val="18"/>
      <w:szCs w:val="18"/>
      <w:lang w:val="en-US" w:eastAsia="zh-CN" w:bidi="ar-SA"/>
    </w:rPr>
  </w:style>
  <w:style w:type="character" w:customStyle="1" w:styleId="351">
    <w:name w:val="Bold"/>
    <w:qFormat/>
    <w:uiPriority w:val="0"/>
    <w:rPr>
      <w:rFonts w:ascii="Arial" w:hAnsi="Arial" w:eastAsia="黑体" w:cs="Times New Roman"/>
      <w:b/>
      <w:kern w:val="2"/>
      <w:sz w:val="32"/>
      <w:szCs w:val="32"/>
      <w:lang w:val="en-US" w:eastAsia="zh-CN" w:bidi="ar-SA"/>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34"/>
    <w:rPr>
      <w:rFonts w:eastAsia="楷体_GB2312" w:cs="Lucida Sans"/>
      <w:kern w:val="2"/>
      <w:sz w:val="24"/>
      <w:szCs w:val="24"/>
      <w:lang w:val="en-US" w:eastAsia="zh-CN" w:bidi="ar-SA"/>
    </w:rPr>
  </w:style>
  <w:style w:type="character" w:customStyle="1" w:styleId="357">
    <w:name w:val="正文文本缩进 3 Char1"/>
    <w:semiHidden/>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0"/>
    <w:rPr>
      <w:kern w:val="2"/>
      <w:sz w:val="21"/>
      <w:szCs w:val="24"/>
      <w:lang w:bidi="ar-SA"/>
    </w:rPr>
  </w:style>
  <w:style w:type="character" w:customStyle="1" w:styleId="365">
    <w:name w:val="tw4winError"/>
    <w:qFormat/>
    <w:uiPriority w:val="0"/>
    <w:rPr>
      <w:rFonts w:ascii="Courier New" w:hAnsi="Courier New" w:cs="Courier New"/>
      <w:color w:val="00FF00"/>
      <w:sz w:val="40"/>
      <w:szCs w:val="40"/>
    </w:rPr>
  </w:style>
  <w:style w:type="character" w:customStyle="1" w:styleId="366">
    <w:name w:val="Body Text(ch) Char Char"/>
    <w:qFormat/>
    <w:uiPriority w:val="0"/>
    <w:rPr>
      <w:rFonts w:ascii="宋体"/>
      <w:kern w:val="2"/>
      <w:sz w:val="24"/>
      <w:szCs w:val="21"/>
      <w:lang w:val="zh-CN"/>
    </w:rPr>
  </w:style>
  <w:style w:type="character" w:customStyle="1" w:styleId="367">
    <w:name w:val="正文首行缩进两字 Char"/>
    <w:qFormat/>
    <w:uiPriority w:val="0"/>
    <w:rPr>
      <w:sz w:val="24"/>
      <w:szCs w:val="24"/>
      <w:lang w:val="en-US" w:eastAsia="zh-CN" w:bidi="ar-SA"/>
    </w:rPr>
  </w:style>
  <w:style w:type="character" w:customStyle="1" w:styleId="368">
    <w:name w:val="正文文本 Char"/>
    <w:qFormat/>
    <w:uiPriority w:val="0"/>
    <w:rPr>
      <w:rFonts w:eastAsia="宋体"/>
      <w:kern w:val="2"/>
      <w:sz w:val="24"/>
      <w:szCs w:val="24"/>
      <w:lang w:val="en-US" w:eastAsia="zh-CN" w:bidi="ar-SA"/>
    </w:rPr>
  </w:style>
  <w:style w:type="character" w:customStyle="1" w:styleId="369">
    <w:name w:val="文档结构图 字符1"/>
    <w:qFormat/>
    <w:uiPriority w:val="0"/>
    <w:rPr>
      <w:rFonts w:ascii="宋体" w:hAnsi="Calibri" w:eastAsia="黑体" w:cs="Arial"/>
      <w:snapToGrid w:val="0"/>
      <w:kern w:val="2"/>
      <w:sz w:val="18"/>
      <w:szCs w:val="18"/>
    </w:rPr>
  </w:style>
  <w:style w:type="character" w:customStyle="1" w:styleId="370">
    <w:name w:val="content"/>
    <w:qFormat/>
    <w:uiPriority w:val="0"/>
  </w:style>
  <w:style w:type="character" w:customStyle="1" w:styleId="371">
    <w:name w:val="tw4winPopup"/>
    <w:qFormat/>
    <w:uiPriority w:val="0"/>
    <w:rPr>
      <w:rFonts w:ascii="Courier New" w:hAnsi="Courier New" w:cs="Courier New"/>
      <w:color w:val="008000"/>
      <w:lang w:val="en-US" w:eastAsia="zh-CN"/>
    </w:rPr>
  </w:style>
  <w:style w:type="character" w:customStyle="1" w:styleId="372">
    <w:name w:val="param-name"/>
    <w:qFormat/>
    <w:uiPriority w:val="99"/>
    <w:rPr>
      <w:rFonts w:ascii="Arial" w:hAnsi="Arial" w:eastAsia="黑体" w:cs="Arial"/>
      <w:snapToGrid w:val="0"/>
      <w:kern w:val="0"/>
      <w:szCs w:val="21"/>
    </w:rPr>
  </w:style>
  <w:style w:type="character" w:customStyle="1" w:styleId="373">
    <w:name w:val="标准正文格式 Char"/>
    <w:qFormat/>
    <w:uiPriority w:val="0"/>
    <w:rPr>
      <w:rFonts w:ascii="宋体" w:eastAsia="仿宋_GB2312" w:cs="宋体"/>
      <w:color w:val="000000"/>
      <w:sz w:val="24"/>
      <w:lang w:val="en-US" w:eastAsia="zh-CN" w:bidi="ar-SA"/>
    </w:rPr>
  </w:style>
  <w:style w:type="character" w:customStyle="1" w:styleId="374">
    <w:name w:val="Char Char212"/>
    <w:qFormat/>
    <w:uiPriority w:val="0"/>
    <w:rPr>
      <w:rFonts w:eastAsia="宋体"/>
      <w:b/>
      <w:bCs/>
      <w:kern w:val="2"/>
      <w:sz w:val="21"/>
      <w:szCs w:val="24"/>
      <w:lang w:val="en-US" w:eastAsia="zh-CN" w:bidi="ar-SA"/>
    </w:rPr>
  </w:style>
  <w:style w:type="character" w:customStyle="1" w:styleId="375">
    <w:name w:val="文档结构图 Char"/>
    <w:qFormat/>
    <w:uiPriority w:val="0"/>
    <w:rPr>
      <w:rFonts w:eastAsia="宋体"/>
      <w:kern w:val="2"/>
      <w:sz w:val="21"/>
      <w:szCs w:val="24"/>
      <w:lang w:val="en-US" w:eastAsia="zh-CN" w:bidi="ar-SA"/>
    </w:rPr>
  </w:style>
  <w:style w:type="character" w:customStyle="1" w:styleId="376">
    <w:name w:val="zbggmain style9"/>
    <w:qFormat/>
    <w:uiPriority w:val="0"/>
  </w:style>
  <w:style w:type="character" w:customStyle="1" w:styleId="377">
    <w:name w:val="Char Char16"/>
    <w:qFormat/>
    <w:uiPriority w:val="6"/>
    <w:rPr>
      <w:kern w:val="1"/>
      <w:sz w:val="18"/>
      <w:szCs w:val="18"/>
    </w:rPr>
  </w:style>
  <w:style w:type="character" w:customStyle="1" w:styleId="378">
    <w:name w:val="font51"/>
    <w:qFormat/>
    <w:uiPriority w:val="0"/>
    <w:rPr>
      <w:rFonts w:hint="eastAsia" w:ascii="仿宋" w:hAnsi="仿宋" w:eastAsia="仿宋" w:cs="仿宋"/>
      <w:color w:val="000000"/>
      <w:sz w:val="20"/>
      <w:szCs w:val="20"/>
      <w:u w:val="none"/>
    </w:rPr>
  </w:style>
  <w:style w:type="character" w:customStyle="1" w:styleId="379">
    <w:name w:val="Char Char82"/>
    <w:qFormat/>
    <w:uiPriority w:val="0"/>
    <w:rPr>
      <w:rFonts w:eastAsia="宋体"/>
      <w:b/>
      <w:sz w:val="24"/>
      <w:lang w:val="en-GB" w:eastAsia="zh-CN"/>
    </w:rPr>
  </w:style>
  <w:style w:type="character" w:customStyle="1" w:styleId="380">
    <w:name w:val="日期 Char1"/>
    <w:semiHidden/>
    <w:qFormat/>
    <w:uiPriority w:val="99"/>
    <w:rPr>
      <w:rFonts w:ascii="Times New Roman" w:hAnsi="Times New Roman" w:eastAsia="宋体" w:cs="Times New Roman"/>
      <w:szCs w:val="24"/>
    </w:rPr>
  </w:style>
  <w:style w:type="character" w:customStyle="1" w:styleId="381">
    <w:name w:val="页眉 字符"/>
    <w:qFormat/>
    <w:uiPriority w:val="99"/>
    <w:rPr>
      <w:kern w:val="2"/>
      <w:sz w:val="18"/>
      <w:szCs w:val="18"/>
    </w:rPr>
  </w:style>
  <w:style w:type="character" w:customStyle="1" w:styleId="382">
    <w:name w:val="Char Char33"/>
    <w:qFormat/>
    <w:uiPriority w:val="6"/>
    <w:rPr>
      <w:rFonts w:ascii="Arial" w:hAnsi="Arial" w:eastAsia="黑体"/>
      <w:b/>
      <w:kern w:val="1"/>
      <w:sz w:val="24"/>
      <w:szCs w:val="24"/>
    </w:rPr>
  </w:style>
  <w:style w:type="character" w:customStyle="1" w:styleId="383">
    <w:name w:val="b11_01b Char"/>
    <w:link w:val="384"/>
    <w:qFormat/>
    <w:uiPriority w:val="0"/>
    <w:rPr>
      <w:rFonts w:ascii="Verdana" w:hAnsi="Verdana"/>
      <w:b/>
      <w:bCs/>
      <w:color w:val="4A82CA"/>
      <w:sz w:val="17"/>
      <w:szCs w:val="17"/>
    </w:rPr>
  </w:style>
  <w:style w:type="paragraph" w:customStyle="1" w:styleId="384">
    <w:name w:val="b11_01b"/>
    <w:basedOn w:val="1"/>
    <w:next w:val="1"/>
    <w:link w:val="383"/>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qFormat/>
    <w:uiPriority w:val="6"/>
    <w:rPr>
      <w:rFonts w:ascii="仿宋_GB2312" w:eastAsia="仿宋_GB2312"/>
      <w:b/>
      <w:bCs/>
      <w:kern w:val="2"/>
      <w:sz w:val="24"/>
      <w:szCs w:val="24"/>
      <w:lang w:val="zh-CN" w:eastAsia="zh-CN" w:bidi="ar-SA"/>
    </w:rPr>
  </w:style>
  <w:style w:type="character" w:customStyle="1" w:styleId="386">
    <w:name w:val="Footer-Even Char"/>
    <w:qFormat/>
    <w:uiPriority w:val="0"/>
    <w:rPr>
      <w:rFonts w:eastAsia="宋体"/>
      <w:kern w:val="2"/>
      <w:sz w:val="18"/>
      <w:lang w:val="en-US" w:eastAsia="zh-CN" w:bidi="ar-SA"/>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99"/>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link w:val="464"/>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character" w:customStyle="1" w:styleId="464">
    <w:name w:val="标书标题2 Char"/>
    <w:basedOn w:val="231"/>
    <w:link w:val="463"/>
    <w:qFormat/>
    <w:uiPriority w:val="0"/>
    <w:rPr>
      <w:rFonts w:ascii="Arial Narrow" w:hAnsi="Arial Narrow" w:eastAsia="仿宋_GB2312"/>
      <w:bCs/>
      <w:snapToGrid w:val="0"/>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78"/>
    <w:link w:val="47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character" w:customStyle="1" w:styleId="477">
    <w:name w:val="4级标题 Char"/>
    <w:link w:val="476"/>
    <w:qFormat/>
    <w:locked/>
    <w:uiPriority w:val="0"/>
    <w:rPr>
      <w:rFonts w:ascii="黑体" w:hAnsi="黑体" w:eastAsia="黑体"/>
      <w:sz w:val="28"/>
      <w:szCs w:val="24"/>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5">
    <w:name w:val="No Spacing"/>
    <w:basedOn w:val="1"/>
    <w:link w:val="486"/>
    <w:qFormat/>
    <w:uiPriority w:val="1"/>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99"/>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0"/>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55"/>
    <w:next w:val="255"/>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55"/>
    <w:next w:val="255"/>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link w:val="633"/>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character" w:customStyle="1" w:styleId="633">
    <w:name w:val="标书标题4 Char"/>
    <w:basedOn w:val="143"/>
    <w:link w:val="632"/>
    <w:qFormat/>
    <w:uiPriority w:val="0"/>
    <w:rPr>
      <w:rFonts w:ascii="Arial Narrow" w:hAnsi="Arial Narrow" w:eastAsia="仿宋_GB2312"/>
      <w:color w:val="000000"/>
      <w:szCs w:val="32"/>
    </w:rPr>
  </w:style>
  <w:style w:type="paragraph" w:customStyle="1" w:styleId="63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Lines="0" w:afterLines="0"/>
      <w:ind w:left="1680"/>
      <w:outlineLvl w:val="2"/>
    </w:pPr>
  </w:style>
  <w:style w:type="paragraph" w:customStyle="1" w:styleId="662">
    <w:name w:val="章标题"/>
    <w:next w:val="64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7"/>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Lines="50"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6"/>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link w:val="729"/>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729">
    <w:name w:val="样式1 Char"/>
    <w:link w:val="728"/>
    <w:qFormat/>
    <w:uiPriority w:val="0"/>
    <w:rPr>
      <w:rFonts w:ascii="宋体" w:hAnsi="宋体"/>
      <w:sz w:val="24"/>
    </w:rPr>
  </w:style>
  <w:style w:type="paragraph" w:customStyle="1" w:styleId="730">
    <w:name w:val="样式 标题 3H3 + 两端对齐"/>
    <w:basedOn w:val="5"/>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qFormat/>
    <w:uiPriority w:val="0"/>
    <w:rPr>
      <w:rFonts w:ascii="仿宋_GB2312" w:eastAsia="仿宋_GB2312"/>
      <w:b/>
      <w:sz w:val="32"/>
      <w:szCs w:val="20"/>
    </w:rPr>
  </w:style>
  <w:style w:type="paragraph" w:customStyle="1" w:styleId="737">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qFormat/>
    <w:uiPriority w:val="0"/>
    <w:rPr>
      <w:rFonts w:ascii="仿宋_GB2312" w:eastAsia="仿宋_GB2312"/>
      <w:b/>
      <w:sz w:val="32"/>
      <w:szCs w:val="32"/>
    </w:rPr>
  </w:style>
  <w:style w:type="paragraph" w:customStyle="1" w:styleId="741">
    <w:name w:val="Char3 Char Char Char1"/>
    <w:basedOn w:val="1"/>
    <w:qFormat/>
    <w:uiPriority w:val="6"/>
    <w:pPr>
      <w:widowControl/>
      <w:adjustRightInd/>
      <w:spacing w:after="160" w:line="240" w:lineRule="exact"/>
      <w:jc w:val="left"/>
    </w:pPr>
    <w:rPr>
      <w:szCs w:val="20"/>
    </w:rPr>
  </w:style>
  <w:style w:type="paragraph" w:customStyle="1" w:styleId="742">
    <w:name w:val="Char1 Char Char Char21"/>
    <w:basedOn w:val="1"/>
    <w:qFormat/>
    <w:uiPriority w:val="0"/>
    <w:rPr>
      <w:rFonts w:ascii="Tahoma" w:hAnsi="Tahoma"/>
      <w:sz w:val="24"/>
      <w:szCs w:val="20"/>
    </w:rPr>
  </w:style>
  <w:style w:type="paragraph" w:customStyle="1" w:styleId="74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qFormat/>
    <w:uiPriority w:val="0"/>
    <w:pPr>
      <w:spacing w:line="360" w:lineRule="auto"/>
      <w:ind w:firstLine="200" w:firstLineChars="200"/>
    </w:pPr>
    <w:rPr>
      <w:sz w:val="24"/>
    </w:rPr>
  </w:style>
  <w:style w:type="paragraph" w:customStyle="1" w:styleId="74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qFormat/>
    <w:uiPriority w:val="0"/>
    <w:pPr>
      <w:adjustRightInd/>
      <w:ind w:firstLine="200" w:firstLineChars="200"/>
    </w:pPr>
    <w:rPr>
      <w:rFonts w:ascii="Tahoma" w:hAnsi="Tahoma"/>
      <w:sz w:val="24"/>
      <w:szCs w:val="20"/>
    </w:rPr>
  </w:style>
  <w:style w:type="paragraph" w:customStyle="1" w:styleId="751">
    <w:name w:val="_标题2"/>
    <w:basedOn w:val="717"/>
    <w:next w:val="717"/>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2">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qFormat/>
    <w:uiPriority w:val="0"/>
    <w:pPr>
      <w:adjustRightInd/>
      <w:spacing w:line="360" w:lineRule="auto"/>
    </w:pPr>
    <w:rPr>
      <w:rFonts w:ascii="宋体" w:hAnsi="宋体"/>
      <w:szCs w:val="20"/>
    </w:rPr>
  </w:style>
  <w:style w:type="paragraph" w:customStyle="1" w:styleId="75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qFormat/>
    <w:uiPriority w:val="0"/>
    <w:pPr>
      <w:adjustRightInd/>
    </w:pPr>
    <w:rPr>
      <w:rFonts w:ascii="Tahoma" w:hAnsi="Tahoma"/>
      <w:sz w:val="24"/>
    </w:rPr>
  </w:style>
  <w:style w:type="paragraph" w:customStyle="1" w:styleId="759">
    <w:name w:val="Char Char Char Char11"/>
    <w:basedOn w:val="1"/>
    <w:qFormat/>
    <w:uiPriority w:val="0"/>
    <w:rPr>
      <w:rFonts w:ascii="Tahoma" w:hAnsi="Tahoma"/>
      <w:sz w:val="24"/>
      <w:szCs w:val="20"/>
    </w:rPr>
  </w:style>
  <w:style w:type="paragraph" w:customStyle="1" w:styleId="76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qFormat/>
    <w:uiPriority w:val="0"/>
    <w:rPr>
      <w:rFonts w:ascii="Tahoma" w:hAnsi="Tahoma"/>
      <w:sz w:val="24"/>
      <w:szCs w:val="20"/>
    </w:rPr>
  </w:style>
  <w:style w:type="paragraph" w:customStyle="1" w:styleId="76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qFormat/>
    <w:uiPriority w:val="0"/>
    <w:pPr>
      <w:adjustRightInd/>
    </w:pPr>
    <w:rPr>
      <w:szCs w:val="20"/>
    </w:rPr>
  </w:style>
  <w:style w:type="paragraph" w:customStyle="1" w:styleId="76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6">
    <w:name w:val="_Style 5"/>
    <w:basedOn w:val="1"/>
    <w:qFormat/>
    <w:uiPriority w:val="34"/>
    <w:pPr>
      <w:adjustRightInd/>
      <w:ind w:firstLine="420" w:firstLineChars="200"/>
    </w:pPr>
    <w:rPr>
      <w:rFonts w:eastAsia="仿宋_GB2312"/>
      <w:sz w:val="28"/>
    </w:rPr>
  </w:style>
  <w:style w:type="paragraph" w:customStyle="1" w:styleId="76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qFormat/>
    <w:uiPriority w:val="99"/>
    <w:rPr>
      <w:rFonts w:ascii="Times New Roman" w:hAnsi="Times New Roman" w:eastAsia="宋体" w:cs="Times New Roman"/>
      <w:kern w:val="2"/>
      <w:sz w:val="21"/>
      <w:lang w:val="en-US" w:eastAsia="zh-CN" w:bidi="ar-SA"/>
    </w:rPr>
  </w:style>
  <w:style w:type="paragraph" w:customStyle="1" w:styleId="774">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qFormat/>
    <w:uiPriority w:val="0"/>
    <w:rPr>
      <w:rFonts w:ascii="宋体" w:hAnsi="Times New Roman" w:eastAsia="宋体" w:cs="Times New Roman"/>
      <w:kern w:val="2"/>
      <w:lang w:val="en-US" w:eastAsia="zh-CN" w:bidi="ar-SA"/>
    </w:rPr>
  </w:style>
  <w:style w:type="paragraph" w:customStyle="1" w:styleId="777">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qFormat/>
    <w:uiPriority w:val="0"/>
    <w:pPr>
      <w:tabs>
        <w:tab w:val="left" w:pos="360"/>
      </w:tabs>
    </w:pPr>
    <w:rPr>
      <w:sz w:val="24"/>
      <w:szCs w:val="20"/>
    </w:rPr>
  </w:style>
  <w:style w:type="paragraph" w:customStyle="1" w:styleId="78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9">
    <w:name w:val="p0"/>
    <w:basedOn w:val="1"/>
    <w:qFormat/>
    <w:uiPriority w:val="0"/>
    <w:pPr>
      <w:widowControl/>
      <w:adjustRightInd/>
    </w:pPr>
    <w:rPr>
      <w:kern w:val="0"/>
      <w:szCs w:val="21"/>
    </w:rPr>
  </w:style>
  <w:style w:type="paragraph" w:customStyle="1" w:styleId="790">
    <w:name w:val="Char6"/>
    <w:basedOn w:val="1"/>
    <w:qFormat/>
    <w:uiPriority w:val="0"/>
    <w:rPr>
      <w:rFonts w:ascii="仿宋_GB2312" w:eastAsia="仿宋_GB2312"/>
      <w:b/>
      <w:sz w:val="32"/>
      <w:szCs w:val="32"/>
    </w:rPr>
  </w:style>
  <w:style w:type="paragraph" w:customStyle="1" w:styleId="791">
    <w:name w:val="Char111"/>
    <w:basedOn w:val="1"/>
    <w:qFormat/>
    <w:uiPriority w:val="0"/>
    <w:rPr>
      <w:rFonts w:ascii="仿宋_GB2312" w:eastAsia="仿宋_GB2312"/>
      <w:b/>
      <w:sz w:val="32"/>
      <w:szCs w:val="32"/>
    </w:rPr>
  </w:style>
  <w:style w:type="paragraph" w:customStyle="1" w:styleId="792">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9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qFormat/>
    <w:uiPriority w:val="0"/>
    <w:pPr>
      <w:adjustRightInd/>
      <w:ind w:firstLine="200" w:firstLineChars="200"/>
    </w:pPr>
    <w:rPr>
      <w:rFonts w:ascii="Tahoma" w:hAnsi="Tahoma"/>
      <w:sz w:val="24"/>
      <w:szCs w:val="20"/>
    </w:rPr>
  </w:style>
  <w:style w:type="paragraph" w:customStyle="1" w:styleId="79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qFormat/>
    <w:uiPriority w:val="0"/>
    <w:rPr>
      <w:rFonts w:ascii="仿宋_GB2312" w:eastAsia="仿宋_GB2312"/>
      <w:b/>
      <w:sz w:val="32"/>
      <w:szCs w:val="32"/>
    </w:rPr>
  </w:style>
  <w:style w:type="paragraph" w:customStyle="1" w:styleId="799">
    <w:name w:val="五级条标题"/>
    <w:basedOn w:val="800"/>
    <w:next w:val="644"/>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59"/>
    <w:next w:val="644"/>
    <w:qFormat/>
    <w:uiPriority w:val="0"/>
    <w:pPr>
      <w:tabs>
        <w:tab w:val="left" w:pos="2940"/>
        <w:tab w:val="clear" w:pos="2520"/>
      </w:tabs>
      <w:ind w:left="2940"/>
      <w:outlineLvl w:val="5"/>
    </w:pPr>
  </w:style>
  <w:style w:type="paragraph" w:customStyle="1" w:styleId="80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qFormat/>
    <w:uiPriority w:val="0"/>
    <w:rPr>
      <w:rFonts w:ascii="仿宋_GB2312" w:eastAsia="仿宋_GB2312"/>
      <w:b/>
      <w:sz w:val="32"/>
      <w:szCs w:val="32"/>
    </w:rPr>
  </w:style>
  <w:style w:type="paragraph" w:customStyle="1" w:styleId="80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5">
    <w:name w:val="首行缩进"/>
    <w:basedOn w:val="1"/>
    <w:qFormat/>
    <w:uiPriority w:val="0"/>
    <w:pPr>
      <w:spacing w:line="360" w:lineRule="auto"/>
      <w:ind w:firstLine="480" w:firstLineChars="200"/>
    </w:pPr>
    <w:rPr>
      <w:rFonts w:ascii="宋体"/>
      <w:sz w:val="24"/>
      <w:szCs w:val="20"/>
    </w:rPr>
  </w:style>
  <w:style w:type="paragraph" w:customStyle="1" w:styleId="80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7">
    <w:name w:val="单元格左对齐"/>
    <w:basedOn w:val="1"/>
    <w:qFormat/>
    <w:uiPriority w:val="0"/>
    <w:pPr>
      <w:adjustRightInd/>
      <w:spacing w:line="360" w:lineRule="auto"/>
    </w:pPr>
    <w:rPr>
      <w:sz w:val="24"/>
    </w:rPr>
  </w:style>
  <w:style w:type="paragraph" w:customStyle="1" w:styleId="808">
    <w:name w:val="正文主体"/>
    <w:basedOn w:val="627"/>
    <w:qFormat/>
    <w:uiPriority w:val="0"/>
  </w:style>
  <w:style w:type="paragraph" w:customStyle="1" w:styleId="80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qFormat/>
    <w:uiPriority w:val="0"/>
    <w:pPr>
      <w:adjustRightInd/>
      <w:spacing w:line="360" w:lineRule="auto"/>
      <w:ind w:firstLine="480" w:firstLineChars="200"/>
    </w:pPr>
    <w:rPr>
      <w:sz w:val="24"/>
      <w:szCs w:val="20"/>
    </w:rPr>
  </w:style>
  <w:style w:type="paragraph" w:customStyle="1" w:styleId="813">
    <w:name w:val="P1"/>
    <w:basedOn w:val="1"/>
    <w:qFormat/>
    <w:uiPriority w:val="0"/>
    <w:pPr>
      <w:adjustRightInd/>
      <w:spacing w:line="288" w:lineRule="auto"/>
      <w:ind w:firstLine="425" w:firstLineChars="200"/>
    </w:pPr>
  </w:style>
  <w:style w:type="paragraph" w:customStyle="1" w:styleId="814">
    <w:name w:val="列表内容"/>
    <w:basedOn w:val="1"/>
    <w:next w:val="1"/>
    <w:qFormat/>
    <w:uiPriority w:val="0"/>
    <w:pPr>
      <w:widowControl/>
      <w:tabs>
        <w:tab w:val="left" w:pos="840"/>
      </w:tabs>
      <w:ind w:left="840" w:hanging="420"/>
      <w:jc w:val="left"/>
    </w:pPr>
    <w:rPr>
      <w:kern w:val="0"/>
      <w:sz w:val="18"/>
    </w:rPr>
  </w:style>
  <w:style w:type="paragraph" w:customStyle="1" w:styleId="815">
    <w:name w:val="Char Char11 Char Char Char1"/>
    <w:basedOn w:val="1"/>
    <w:qFormat/>
    <w:uiPriority w:val="6"/>
    <w:pPr>
      <w:spacing w:line="360" w:lineRule="auto"/>
    </w:pPr>
    <w:rPr>
      <w:szCs w:val="20"/>
    </w:rPr>
  </w:style>
  <w:style w:type="paragraph" w:customStyle="1" w:styleId="8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7">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8">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qFormat/>
    <w:uiPriority w:val="0"/>
    <w:pPr>
      <w:spacing w:line="360" w:lineRule="auto"/>
    </w:pPr>
    <w:rPr>
      <w:szCs w:val="20"/>
    </w:rPr>
  </w:style>
  <w:style w:type="paragraph" w:customStyle="1" w:styleId="82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qFormat/>
    <w:uiPriority w:val="0"/>
    <w:rPr>
      <w:rFonts w:ascii="仿宋_GB2312" w:eastAsia="仿宋_GB2312"/>
      <w:b/>
      <w:sz w:val="32"/>
      <w:szCs w:val="32"/>
    </w:rPr>
  </w:style>
  <w:style w:type="paragraph" w:customStyle="1" w:styleId="82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qFormat/>
    <w:uiPriority w:val="0"/>
    <w:pPr>
      <w:adjustRightInd/>
      <w:spacing w:line="360" w:lineRule="auto"/>
      <w:ind w:firstLine="480"/>
    </w:pPr>
    <w:rPr>
      <w:rFonts w:cs="宋体"/>
      <w:sz w:val="24"/>
      <w:szCs w:val="20"/>
    </w:rPr>
  </w:style>
  <w:style w:type="paragraph" w:customStyle="1" w:styleId="828">
    <w:name w:val="Char Char4 Char Char"/>
    <w:basedOn w:val="1"/>
    <w:qFormat/>
    <w:uiPriority w:val="0"/>
    <w:pPr>
      <w:widowControl/>
      <w:adjustRightInd/>
      <w:spacing w:after="160" w:line="240" w:lineRule="exact"/>
      <w:jc w:val="left"/>
    </w:pPr>
  </w:style>
  <w:style w:type="paragraph" w:customStyle="1" w:styleId="82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qFormat/>
    <w:uiPriority w:val="0"/>
    <w:pPr>
      <w:spacing w:line="360" w:lineRule="auto"/>
    </w:pPr>
    <w:rPr>
      <w:szCs w:val="20"/>
    </w:rPr>
  </w:style>
  <w:style w:type="paragraph" w:customStyle="1" w:styleId="8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qFormat/>
    <w:uiPriority w:val="0"/>
    <w:pPr>
      <w:adjustRightInd/>
      <w:ind w:firstLine="200" w:firstLineChars="200"/>
    </w:pPr>
    <w:rPr>
      <w:rFonts w:ascii="Tahoma" w:hAnsi="Tahoma"/>
      <w:sz w:val="24"/>
      <w:szCs w:val="20"/>
    </w:rPr>
  </w:style>
  <w:style w:type="paragraph" w:customStyle="1" w:styleId="838">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5"/>
    <w:qFormat/>
    <w:uiPriority w:val="0"/>
    <w:pPr>
      <w:tabs>
        <w:tab w:val="left" w:pos="0"/>
      </w:tabs>
      <w:ind w:left="900" w:firstLine="0" w:firstLineChars="0"/>
    </w:pPr>
  </w:style>
  <w:style w:type="paragraph" w:customStyle="1" w:styleId="841">
    <w:name w:val="Bulleted List"/>
    <w:basedOn w:val="1"/>
    <w:qFormat/>
    <w:uiPriority w:val="0"/>
    <w:pPr>
      <w:tabs>
        <w:tab w:val="left" w:pos="1260"/>
      </w:tabs>
      <w:adjustRightInd/>
      <w:ind w:left="1260" w:hanging="420"/>
    </w:pPr>
  </w:style>
  <w:style w:type="paragraph" w:customStyle="1" w:styleId="842">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qFormat/>
    <w:uiPriority w:val="0"/>
    <w:rPr>
      <w:rFonts w:ascii="Tahoma" w:hAnsi="Tahoma" w:cs="仿宋_GB2312"/>
      <w:sz w:val="24"/>
      <w:szCs w:val="20"/>
    </w:rPr>
  </w:style>
  <w:style w:type="paragraph" w:customStyle="1" w:styleId="845">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
    <w:qFormat/>
    <w:uiPriority w:val="0"/>
    <w:pPr>
      <w:adjustRightInd/>
      <w:spacing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qFormat/>
    <w:uiPriority w:val="0"/>
    <w:rPr>
      <w:rFonts w:ascii="仿宋_GB2312" w:eastAsia="仿宋_GB2312"/>
      <w:b/>
      <w:sz w:val="32"/>
      <w:szCs w:val="20"/>
    </w:rPr>
  </w:style>
  <w:style w:type="paragraph" w:customStyle="1" w:styleId="850">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qFormat/>
    <w:uiPriority w:val="0"/>
    <w:rPr>
      <w:rFonts w:ascii="仿宋_GB2312" w:eastAsia="仿宋_GB2312"/>
      <w:b/>
      <w:sz w:val="32"/>
      <w:szCs w:val="20"/>
    </w:rPr>
  </w:style>
  <w:style w:type="paragraph" w:customStyle="1" w:styleId="852">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9">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3">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qFormat/>
    <w:uiPriority w:val="0"/>
    <w:pPr>
      <w:widowControl/>
      <w:spacing w:after="160" w:line="240" w:lineRule="exact"/>
      <w:jc w:val="left"/>
    </w:pPr>
    <w:rPr>
      <w:rFonts w:eastAsia="仿宋_GB2312"/>
      <w:sz w:val="28"/>
    </w:rPr>
  </w:style>
  <w:style w:type="paragraph" w:customStyle="1" w:styleId="866">
    <w:name w:val="Char21"/>
    <w:basedOn w:val="1"/>
    <w:qFormat/>
    <w:uiPriority w:val="0"/>
    <w:pPr>
      <w:adjustRightInd/>
      <w:ind w:firstLine="200" w:firstLineChars="200"/>
    </w:pPr>
    <w:rPr>
      <w:rFonts w:ascii="仿宋_GB2312" w:eastAsia="仿宋_GB2312"/>
      <w:b/>
      <w:sz w:val="32"/>
      <w:szCs w:val="32"/>
    </w:rPr>
  </w:style>
  <w:style w:type="paragraph" w:customStyle="1" w:styleId="867">
    <w:name w:val="列表段落1"/>
    <w:basedOn w:val="1"/>
    <w:qFormat/>
    <w:uiPriority w:val="34"/>
    <w:pPr>
      <w:adjustRightInd/>
      <w:ind w:right="238" w:firstLine="420"/>
    </w:pPr>
    <w:rPr>
      <w:rFonts w:ascii="Calibri" w:hAnsi="Calibri"/>
      <w:sz w:val="24"/>
    </w:rPr>
  </w:style>
  <w:style w:type="paragraph" w:customStyle="1" w:styleId="868">
    <w:name w:val="Char Char110"/>
    <w:basedOn w:val="1"/>
    <w:qFormat/>
    <w:uiPriority w:val="6"/>
    <w:pPr>
      <w:spacing w:line="360" w:lineRule="auto"/>
    </w:pPr>
    <w:rPr>
      <w:rFonts w:ascii="Tahoma" w:hAnsi="Tahoma"/>
      <w:sz w:val="24"/>
      <w:szCs w:val="20"/>
    </w:rPr>
  </w:style>
  <w:style w:type="paragraph" w:customStyle="1" w:styleId="869">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1">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qFormat/>
    <w:uiPriority w:val="0"/>
    <w:rPr>
      <w:rFonts w:ascii="Tahoma" w:hAnsi="Tahoma" w:cs="仿宋_GB2312"/>
      <w:sz w:val="24"/>
      <w:szCs w:val="20"/>
    </w:rPr>
  </w:style>
  <w:style w:type="paragraph" w:customStyle="1" w:styleId="874">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7">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8">
    <w:name w:val="_Style 12"/>
    <w:basedOn w:val="19"/>
    <w:qFormat/>
    <w:uiPriority w:val="0"/>
    <w:pPr>
      <w:snapToGrid w:val="0"/>
      <w:spacing w:line="360" w:lineRule="auto"/>
    </w:pPr>
  </w:style>
  <w:style w:type="paragraph" w:customStyle="1" w:styleId="879">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78"/>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6"/>
    <w:link w:val="886"/>
    <w:qFormat/>
    <w:uiPriority w:val="0"/>
    <w:pPr>
      <w:outlineLvl w:val="2"/>
    </w:pPr>
  </w:style>
  <w:style w:type="character" w:customStyle="1" w:styleId="886">
    <w:name w:val="3级标题 Char"/>
    <w:link w:val="885"/>
    <w:qFormat/>
    <w:uiPriority w:val="0"/>
    <w:rPr>
      <w:rFonts w:eastAsia="仿宋"/>
      <w:b/>
      <w:kern w:val="2"/>
      <w:sz w:val="30"/>
      <w:szCs w:val="22"/>
    </w:rPr>
  </w:style>
  <w:style w:type="paragraph" w:customStyle="1" w:styleId="887">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qFormat/>
    <w:uiPriority w:val="0"/>
    <w:pPr>
      <w:adjustRightInd/>
      <w:ind w:firstLine="200" w:firstLineChars="200"/>
    </w:pPr>
    <w:rPr>
      <w:rFonts w:ascii="Tahoma" w:hAnsi="Tahoma"/>
      <w:sz w:val="24"/>
      <w:szCs w:val="20"/>
    </w:rPr>
  </w:style>
  <w:style w:type="paragraph" w:customStyle="1" w:styleId="889">
    <w:name w:val="GP正文(首行缩进)"/>
    <w:basedOn w:val="1"/>
    <w:link w:val="890"/>
    <w:qFormat/>
    <w:uiPriority w:val="0"/>
    <w:pPr>
      <w:adjustRightInd/>
      <w:spacing w:line="360" w:lineRule="auto"/>
      <w:ind w:firstLine="200" w:firstLineChars="200"/>
    </w:pPr>
    <w:rPr>
      <w:rFonts w:eastAsia="仿宋_GB2312"/>
      <w:sz w:val="28"/>
      <w:szCs w:val="21"/>
    </w:rPr>
  </w:style>
  <w:style w:type="character" w:customStyle="1" w:styleId="890">
    <w:name w:val="GP正文(首行缩进) Char Char"/>
    <w:link w:val="889"/>
    <w:qFormat/>
    <w:uiPriority w:val="0"/>
    <w:rPr>
      <w:rFonts w:eastAsia="仿宋_GB2312"/>
      <w:kern w:val="2"/>
      <w:sz w:val="28"/>
      <w:szCs w:val="21"/>
    </w:rPr>
  </w:style>
  <w:style w:type="paragraph" w:customStyle="1" w:styleId="891">
    <w:name w:val="MM Empty"/>
    <w:basedOn w:val="1"/>
    <w:qFormat/>
    <w:uiPriority w:val="0"/>
    <w:pPr>
      <w:adjustRightInd/>
    </w:pPr>
  </w:style>
  <w:style w:type="paragraph" w:customStyle="1" w:styleId="892">
    <w:name w:val="Char24"/>
    <w:basedOn w:val="1"/>
    <w:qFormat/>
    <w:uiPriority w:val="0"/>
    <w:rPr>
      <w:rFonts w:ascii="仿宋_GB2312" w:eastAsia="仿宋_GB2312"/>
      <w:b/>
      <w:sz w:val="32"/>
      <w:szCs w:val="32"/>
    </w:rPr>
  </w:style>
  <w:style w:type="paragraph" w:customStyle="1" w:styleId="893">
    <w:name w:val="正文箭头"/>
    <w:basedOn w:val="541"/>
    <w:qFormat/>
    <w:uiPriority w:val="0"/>
  </w:style>
  <w:style w:type="paragraph" w:customStyle="1" w:styleId="894">
    <w:name w:val="U_编号2"/>
    <w:basedOn w:val="1"/>
    <w:qFormat/>
    <w:uiPriority w:val="0"/>
    <w:pPr>
      <w:tabs>
        <w:tab w:val="left" w:pos="785"/>
      </w:tabs>
      <w:adjustRightInd/>
      <w:spacing w:beforeLines="10" w:afterLines="10" w:line="300" w:lineRule="auto"/>
    </w:pPr>
    <w:rPr>
      <w:sz w:val="24"/>
    </w:rPr>
  </w:style>
  <w:style w:type="paragraph" w:customStyle="1" w:styleId="89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7">
    <w:name w:val="标书标题3"/>
    <w:basedOn w:val="5"/>
    <w:link w:val="89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character" w:customStyle="1" w:styleId="898">
    <w:name w:val="标书标题3 Char"/>
    <w:basedOn w:val="83"/>
    <w:link w:val="897"/>
    <w:qFormat/>
    <w:uiPriority w:val="0"/>
    <w:rPr>
      <w:rFonts w:ascii="Arial Narrow" w:hAnsi="Arial Narrow" w:eastAsia="仿宋_GB2312"/>
      <w:color w:val="000000"/>
      <w:sz w:val="28"/>
    </w:rPr>
  </w:style>
  <w:style w:type="paragraph" w:customStyle="1" w:styleId="89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900">
    <w:name w:val="_Style 1"/>
    <w:basedOn w:val="1"/>
    <w:qFormat/>
    <w:uiPriority w:val="34"/>
    <w:pPr>
      <w:adjustRightInd/>
      <w:ind w:firstLine="420" w:firstLineChars="200"/>
    </w:pPr>
    <w:rPr>
      <w:rFonts w:eastAsia="仿宋_GB2312"/>
      <w:sz w:val="28"/>
    </w:rPr>
  </w:style>
  <w:style w:type="paragraph" w:customStyle="1" w:styleId="901">
    <w:name w:val="表格 内容"/>
    <w:basedOn w:val="734"/>
    <w:qFormat/>
    <w:uiPriority w:val="0"/>
    <w:rPr>
      <w:b w:val="0"/>
      <w:sz w:val="20"/>
    </w:rPr>
  </w:style>
  <w:style w:type="paragraph" w:customStyle="1" w:styleId="90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3">
    <w:name w:val="标准正文"/>
    <w:basedOn w:val="1"/>
    <w:link w:val="904"/>
    <w:qFormat/>
    <w:uiPriority w:val="0"/>
    <w:pPr>
      <w:tabs>
        <w:tab w:val="left" w:pos="780"/>
      </w:tabs>
      <w:adjustRightInd/>
      <w:spacing w:line="360" w:lineRule="auto"/>
      <w:ind w:left="200" w:leftChars="200" w:firstLine="200" w:firstLineChars="200"/>
    </w:pPr>
    <w:rPr>
      <w:sz w:val="24"/>
    </w:rPr>
  </w:style>
  <w:style w:type="character" w:customStyle="1" w:styleId="904">
    <w:name w:val="标准正文 Char"/>
    <w:link w:val="903"/>
    <w:qFormat/>
    <w:locked/>
    <w:uiPriority w:val="0"/>
    <w:rPr>
      <w:kern w:val="2"/>
      <w:sz w:val="24"/>
      <w:szCs w:val="24"/>
    </w:rPr>
  </w:style>
  <w:style w:type="paragraph" w:customStyle="1" w:styleId="905">
    <w:name w:val="数字标题5"/>
    <w:basedOn w:val="8"/>
    <w:next w:val="1"/>
    <w:qFormat/>
    <w:uiPriority w:val="0"/>
    <w:pPr>
      <w:tabs>
        <w:tab w:val="left" w:pos="1080"/>
      </w:tabs>
      <w:ind w:left="1080" w:hanging="1080"/>
    </w:pPr>
  </w:style>
  <w:style w:type="paragraph" w:customStyle="1" w:styleId="906">
    <w:name w:val="数字标题1"/>
    <w:basedOn w:val="3"/>
    <w:next w:val="1"/>
    <w:qFormat/>
    <w:uiPriority w:val="0"/>
    <w:pPr>
      <w:tabs>
        <w:tab w:val="left" w:pos="480"/>
      </w:tabs>
      <w:ind w:left="480" w:hanging="480"/>
    </w:pPr>
  </w:style>
  <w:style w:type="paragraph" w:customStyle="1" w:styleId="90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1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1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1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13">
    <w:name w:val="0"/>
    <w:basedOn w:val="1"/>
    <w:qFormat/>
    <w:uiPriority w:val="0"/>
    <w:pPr>
      <w:widowControl/>
    </w:pPr>
    <w:rPr>
      <w:kern w:val="0"/>
      <w:sz w:val="24"/>
      <w:szCs w:val="20"/>
    </w:rPr>
  </w:style>
  <w:style w:type="paragraph" w:customStyle="1" w:styleId="914">
    <w:name w:val="Char Char113"/>
    <w:basedOn w:val="1"/>
    <w:qFormat/>
    <w:uiPriority w:val="0"/>
    <w:pPr>
      <w:widowControl/>
      <w:spacing w:after="160" w:line="240" w:lineRule="exact"/>
      <w:jc w:val="left"/>
    </w:pPr>
    <w:rPr>
      <w:rFonts w:eastAsia="仿宋_GB2312"/>
      <w:sz w:val="28"/>
    </w:rPr>
  </w:style>
  <w:style w:type="paragraph" w:customStyle="1" w:styleId="91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6">
    <w:name w:val="_Style 8"/>
    <w:basedOn w:val="1"/>
    <w:qFormat/>
    <w:uiPriority w:val="34"/>
    <w:pPr>
      <w:adjustRightInd/>
      <w:ind w:firstLine="420" w:firstLineChars="200"/>
    </w:pPr>
    <w:rPr>
      <w:rFonts w:eastAsia="仿宋_GB2312"/>
      <w:sz w:val="28"/>
    </w:rPr>
  </w:style>
  <w:style w:type="paragraph" w:customStyle="1" w:styleId="91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2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2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22">
    <w:name w:val="Char Char112"/>
    <w:basedOn w:val="1"/>
    <w:qFormat/>
    <w:uiPriority w:val="6"/>
    <w:pPr>
      <w:widowControl/>
      <w:spacing w:after="160" w:line="240" w:lineRule="exact"/>
      <w:jc w:val="left"/>
    </w:pPr>
    <w:rPr>
      <w:rFonts w:eastAsia="仿宋_GB2312"/>
      <w:sz w:val="28"/>
    </w:rPr>
  </w:style>
  <w:style w:type="paragraph" w:customStyle="1" w:styleId="923">
    <w:name w:val="正文 图"/>
    <w:basedOn w:val="443"/>
    <w:qFormat/>
    <w:uiPriority w:val="0"/>
    <w:pPr>
      <w:adjustRightInd/>
      <w:spacing w:before="0"/>
      <w:ind w:firstLine="0"/>
      <w:jc w:val="center"/>
    </w:pPr>
    <w:rPr>
      <w:rFonts w:ascii="微软雅黑" w:hAnsi="微软雅黑"/>
    </w:rPr>
  </w:style>
  <w:style w:type="paragraph" w:customStyle="1" w:styleId="92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6">
    <w:name w:val="Thf"/>
    <w:basedOn w:val="565"/>
    <w:qFormat/>
    <w:uiPriority w:val="0"/>
    <w:pPr>
      <w:ind w:left="0"/>
    </w:pPr>
  </w:style>
  <w:style w:type="paragraph" w:customStyle="1" w:styleId="92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9">
    <w:name w:val="注释"/>
    <w:basedOn w:val="1"/>
    <w:qFormat/>
    <w:uiPriority w:val="0"/>
    <w:pPr>
      <w:adjustRightInd/>
      <w:spacing w:line="360" w:lineRule="auto"/>
      <w:ind w:firstLine="480"/>
    </w:pPr>
    <w:rPr>
      <w:sz w:val="24"/>
    </w:rPr>
  </w:style>
  <w:style w:type="table" w:customStyle="1" w:styleId="93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6">
    <w:name w:val="列出段落111"/>
    <w:basedOn w:val="1"/>
    <w:qFormat/>
    <w:uiPriority w:val="34"/>
    <w:pPr>
      <w:ind w:firstLine="420" w:firstLineChars="200"/>
    </w:pPr>
  </w:style>
  <w:style w:type="character" w:customStyle="1" w:styleId="937">
    <w:name w:val="交叉引用"/>
    <w:qFormat/>
    <w:uiPriority w:val="1"/>
    <w:rPr>
      <w:rFonts w:ascii="Arial" w:hAnsi="Arial" w:eastAsia="黑体"/>
      <w:snapToGrid w:val="0"/>
      <w:color w:val="0000FF"/>
      <w:kern w:val="0"/>
      <w:sz w:val="20"/>
      <w:szCs w:val="21"/>
      <w:u w:val="single"/>
      <w:lang w:val="en-US" w:eastAsia="zh-CN"/>
    </w:rPr>
  </w:style>
  <w:style w:type="character" w:customStyle="1" w:styleId="938">
    <w:name w:val="正文缩进 字符1"/>
    <w:qFormat/>
    <w:uiPriority w:val="0"/>
    <w:rPr>
      <w:rFonts w:ascii="宋体" w:eastAsia="宋体"/>
      <w:snapToGrid w:val="0"/>
      <w:color w:val="000000"/>
      <w:kern w:val="28"/>
      <w:sz w:val="28"/>
      <w:lang w:val="en-US" w:eastAsia="zh-CN" w:bidi="ar-SA"/>
    </w:rPr>
  </w:style>
  <w:style w:type="character" w:customStyle="1" w:styleId="939">
    <w:name w:val="页脚 字符1"/>
    <w:qFormat/>
    <w:locked/>
    <w:uiPriority w:val="99"/>
    <w:rPr>
      <w:kern w:val="2"/>
      <w:sz w:val="18"/>
      <w:szCs w:val="18"/>
    </w:rPr>
  </w:style>
  <w:style w:type="character" w:customStyle="1" w:styleId="940">
    <w:name w:val="页眉 字符1"/>
    <w:qFormat/>
    <w:uiPriority w:val="99"/>
    <w:rPr>
      <w:kern w:val="2"/>
      <w:sz w:val="18"/>
      <w:szCs w:val="18"/>
    </w:rPr>
  </w:style>
  <w:style w:type="character" w:customStyle="1" w:styleId="941">
    <w:name w:val="标准文本 Char Char"/>
    <w:link w:val="942"/>
    <w:qFormat/>
    <w:uiPriority w:val="0"/>
    <w:rPr>
      <w:rFonts w:cs="宋体"/>
      <w:kern w:val="2"/>
      <w:sz w:val="24"/>
    </w:rPr>
  </w:style>
  <w:style w:type="paragraph" w:customStyle="1" w:styleId="942">
    <w:name w:val="标准文本"/>
    <w:basedOn w:val="1"/>
    <w:link w:val="941"/>
    <w:qFormat/>
    <w:uiPriority w:val="0"/>
    <w:pPr>
      <w:adjustRightInd/>
      <w:spacing w:line="360" w:lineRule="auto"/>
      <w:ind w:firstLine="480" w:firstLineChars="200"/>
    </w:pPr>
    <w:rPr>
      <w:rFonts w:cs="宋体"/>
      <w:sz w:val="24"/>
      <w:szCs w:val="20"/>
    </w:rPr>
  </w:style>
  <w:style w:type="character" w:customStyle="1" w:styleId="943">
    <w:name w:val="Char Char213"/>
    <w:qFormat/>
    <w:uiPriority w:val="0"/>
    <w:rPr>
      <w:rFonts w:eastAsia="Century Gothic"/>
      <w:b/>
      <w:bCs/>
      <w:kern w:val="44"/>
      <w:sz w:val="32"/>
      <w:szCs w:val="44"/>
      <w:lang w:val="en-US" w:eastAsia="zh-CN" w:bidi="ar-SA"/>
    </w:rPr>
  </w:style>
  <w:style w:type="character" w:customStyle="1" w:styleId="944">
    <w:name w:val="apple-style-span"/>
    <w:qFormat/>
    <w:uiPriority w:val="0"/>
    <w:rPr>
      <w:rFonts w:ascii="Arial" w:hAnsi="Arial" w:eastAsia="黑体" w:cs="Arial"/>
      <w:snapToGrid w:val="0"/>
      <w:kern w:val="0"/>
      <w:szCs w:val="21"/>
    </w:rPr>
  </w:style>
  <w:style w:type="character" w:customStyle="1" w:styleId="945">
    <w:name w:val="15"/>
    <w:qFormat/>
    <w:uiPriority w:val="0"/>
    <w:rPr>
      <w:rFonts w:hint="default" w:ascii="Calibri" w:hAnsi="Calibri"/>
      <w:color w:val="0000FF"/>
      <w:u w:val="single"/>
    </w:rPr>
  </w:style>
  <w:style w:type="character" w:customStyle="1" w:styleId="946">
    <w:name w:val="16"/>
    <w:qFormat/>
    <w:uiPriority w:val="0"/>
    <w:rPr>
      <w:rFonts w:hint="eastAsia" w:ascii="宋体" w:hAnsi="宋体" w:eastAsia="宋体"/>
      <w:color w:val="000000"/>
      <w:sz w:val="20"/>
      <w:szCs w:val="20"/>
    </w:rPr>
  </w:style>
  <w:style w:type="character" w:customStyle="1" w:styleId="947">
    <w:name w:val="edui-unclickable"/>
    <w:qFormat/>
    <w:uiPriority w:val="0"/>
    <w:rPr>
      <w:color w:val="808080"/>
    </w:rPr>
  </w:style>
  <w:style w:type="character" w:customStyle="1" w:styleId="948">
    <w:name w:val="tpc_content1"/>
    <w:qFormat/>
    <w:uiPriority w:val="0"/>
    <w:rPr>
      <w:sz w:val="20"/>
      <w:szCs w:val="20"/>
    </w:rPr>
  </w:style>
  <w:style w:type="character" w:customStyle="1" w:styleId="949">
    <w:name w:val="正文文本缩进 字符"/>
    <w:qFormat/>
    <w:uiPriority w:val="0"/>
    <w:rPr>
      <w:rFonts w:ascii="Century Gothic" w:hAnsi="Century Gothic" w:eastAsia="Century Gothic"/>
      <w:kern w:val="2"/>
      <w:sz w:val="24"/>
      <w:lang w:val="en-US" w:eastAsia="zh-CN" w:bidi="ar-SA"/>
    </w:rPr>
  </w:style>
  <w:style w:type="character" w:customStyle="1" w:styleId="950">
    <w:name w:val="正文文本 2 字符"/>
    <w:qFormat/>
    <w:uiPriority w:val="0"/>
    <w:rPr>
      <w:rFonts w:ascii="Arial" w:hAnsi="Arial" w:eastAsia="宋体"/>
      <w:kern w:val="2"/>
      <w:sz w:val="24"/>
      <w:szCs w:val="24"/>
      <w:lang w:val="en-US" w:eastAsia="zh-CN" w:bidi="ar-SA"/>
    </w:rPr>
  </w:style>
  <w:style w:type="character" w:customStyle="1" w:styleId="951">
    <w:name w:val="edui-clickable2"/>
    <w:qFormat/>
    <w:uiPriority w:val="0"/>
    <w:rPr>
      <w:color w:val="0000FF"/>
      <w:u w:val="single"/>
    </w:rPr>
  </w:style>
  <w:style w:type="character" w:customStyle="1" w:styleId="952">
    <w:name w:val="style1"/>
    <w:qFormat/>
    <w:uiPriority w:val="0"/>
    <w:rPr>
      <w:rFonts w:ascii="Arial" w:hAnsi="Arial" w:eastAsia="黑体" w:cs="Arial"/>
      <w:snapToGrid w:val="0"/>
      <w:kern w:val="0"/>
      <w:szCs w:val="21"/>
    </w:rPr>
  </w:style>
  <w:style w:type="character" w:customStyle="1" w:styleId="953">
    <w:name w:val="zbggtop11 style5"/>
    <w:qFormat/>
    <w:uiPriority w:val="0"/>
    <w:rPr>
      <w:rFonts w:ascii="Arial" w:hAnsi="Arial" w:eastAsia="黑体" w:cs="Arial"/>
      <w:snapToGrid w:val="0"/>
      <w:kern w:val="0"/>
      <w:szCs w:val="21"/>
    </w:rPr>
  </w:style>
  <w:style w:type="character" w:customStyle="1" w:styleId="95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5">
    <w:name w:val="bulletintext1"/>
    <w:qFormat/>
    <w:uiPriority w:val="0"/>
    <w:rPr>
      <w:color w:val="000000"/>
      <w:sz w:val="18"/>
    </w:rPr>
  </w:style>
  <w:style w:type="paragraph" w:customStyle="1" w:styleId="956">
    <w:name w:val="_Style 947"/>
    <w:basedOn w:val="1"/>
    <w:next w:val="278"/>
    <w:qFormat/>
    <w:uiPriority w:val="34"/>
    <w:pPr>
      <w:adjustRightInd/>
      <w:ind w:firstLine="420" w:firstLineChars="200"/>
    </w:pPr>
  </w:style>
  <w:style w:type="paragraph" w:customStyle="1" w:styleId="95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8">
    <w:name w:val="纯文本2"/>
    <w:basedOn w:val="1"/>
    <w:qFormat/>
    <w:uiPriority w:val="0"/>
    <w:pPr>
      <w:adjustRightInd/>
      <w:snapToGrid w:val="0"/>
      <w:jc w:val="left"/>
    </w:pPr>
    <w:rPr>
      <w:rFonts w:ascii="Century Gothic" w:hAnsi="楷体_GB2312" w:eastAsia="Century Gothic"/>
      <w:szCs w:val="20"/>
    </w:rPr>
  </w:style>
  <w:style w:type="paragraph" w:customStyle="1" w:styleId="95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6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6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2">
    <w:name w:val="Blockquote"/>
    <w:basedOn w:val="1"/>
    <w:qFormat/>
    <w:uiPriority w:val="0"/>
    <w:pPr>
      <w:autoSpaceDE w:val="0"/>
      <w:autoSpaceDN w:val="0"/>
      <w:spacing w:before="100" w:after="100"/>
      <w:ind w:left="360" w:right="360"/>
      <w:jc w:val="left"/>
    </w:pPr>
    <w:rPr>
      <w:kern w:val="0"/>
      <w:sz w:val="24"/>
      <w:szCs w:val="20"/>
    </w:rPr>
  </w:style>
  <w:style w:type="paragraph" w:customStyle="1" w:styleId="963">
    <w:name w:val="p1"/>
    <w:basedOn w:val="1"/>
    <w:qFormat/>
    <w:uiPriority w:val="0"/>
    <w:pPr>
      <w:widowControl/>
      <w:adjustRightInd/>
      <w:jc w:val="left"/>
    </w:pPr>
    <w:rPr>
      <w:rFonts w:ascii=".PingFang SC" w:eastAsia=".PingFang SC"/>
      <w:color w:val="454545"/>
      <w:kern w:val="0"/>
      <w:sz w:val="18"/>
      <w:szCs w:val="18"/>
    </w:rPr>
  </w:style>
  <w:style w:type="paragraph" w:customStyle="1" w:styleId="964">
    <w:name w:val="Table Paragraph"/>
    <w:basedOn w:val="1"/>
    <w:qFormat/>
    <w:uiPriority w:val="0"/>
    <w:pPr>
      <w:adjustRightInd/>
      <w:jc w:val="left"/>
    </w:pPr>
    <w:rPr>
      <w:rFonts w:ascii="Calibri" w:hAnsi="Calibri"/>
      <w:kern w:val="0"/>
      <w:sz w:val="22"/>
      <w:szCs w:val="22"/>
      <w:lang w:eastAsia="en-US"/>
    </w:rPr>
  </w:style>
  <w:style w:type="paragraph" w:customStyle="1" w:styleId="96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8">
    <w:name w:val="ksfind_class_select1"/>
    <w:basedOn w:val="70"/>
    <w:qFormat/>
    <w:uiPriority w:val="0"/>
    <w:rPr>
      <w:color w:val="000000"/>
      <w:shd w:val="clear" w:color="auto" w:fill="EFD200"/>
    </w:rPr>
  </w:style>
  <w:style w:type="character" w:customStyle="1" w:styleId="969">
    <w:name w:val="font71"/>
    <w:qFormat/>
    <w:uiPriority w:val="0"/>
    <w:rPr>
      <w:rFonts w:hint="eastAsia" w:ascii="宋体" w:hAnsi="宋体" w:eastAsia="宋体" w:cs="宋体"/>
      <w:color w:val="000000"/>
      <w:sz w:val="22"/>
      <w:szCs w:val="22"/>
      <w:u w:val="none"/>
    </w:rPr>
  </w:style>
  <w:style w:type="character" w:customStyle="1" w:styleId="970">
    <w:name w:val="font91"/>
    <w:qFormat/>
    <w:uiPriority w:val="0"/>
    <w:rPr>
      <w:rFonts w:hint="eastAsia" w:ascii="仿宋" w:hAnsi="仿宋" w:eastAsia="仿宋" w:cs="仿宋"/>
      <w:color w:val="000000"/>
      <w:sz w:val="22"/>
      <w:szCs w:val="22"/>
      <w:u w:val="none"/>
    </w:rPr>
  </w:style>
  <w:style w:type="paragraph" w:customStyle="1" w:styleId="971">
    <w:name w:val="表格正文"/>
    <w:basedOn w:val="1"/>
    <w:qFormat/>
    <w:uiPriority w:val="0"/>
    <w:pPr>
      <w:widowControl/>
      <w:jc w:val="center"/>
    </w:pPr>
    <w:rPr>
      <w:rFonts w:hint="eastAsia" w:ascii="宋体" w:hAnsi="宋体"/>
      <w:color w:val="000000"/>
      <w:kern w:val="0"/>
      <w:szCs w:val="21"/>
    </w:rPr>
  </w:style>
  <w:style w:type="paragraph" w:customStyle="1" w:styleId="972">
    <w:name w:val="List Paragraph11"/>
    <w:basedOn w:val="1"/>
    <w:qFormat/>
    <w:uiPriority w:val="0"/>
    <w:pPr>
      <w:adjustRightInd/>
      <w:spacing w:line="360" w:lineRule="auto"/>
      <w:ind w:firstLine="420" w:firstLineChars="200"/>
    </w:pPr>
    <w:rPr>
      <w:rFonts w:ascii="Calibri" w:hAnsi="Calibri"/>
      <w:sz w:val="24"/>
      <w:szCs w:val="22"/>
    </w:rPr>
  </w:style>
  <w:style w:type="character" w:customStyle="1" w:styleId="973">
    <w:name w:val="DH 正文 Char"/>
    <w:link w:val="974"/>
    <w:qFormat/>
    <w:uiPriority w:val="99"/>
    <w:rPr>
      <w:rFonts w:ascii="宋体" w:cs="宋体"/>
      <w:sz w:val="24"/>
      <w:szCs w:val="24"/>
    </w:rPr>
  </w:style>
  <w:style w:type="paragraph" w:customStyle="1" w:styleId="974">
    <w:name w:val="DH 正文"/>
    <w:basedOn w:val="1"/>
    <w:link w:val="973"/>
    <w:qFormat/>
    <w:uiPriority w:val="99"/>
    <w:pPr>
      <w:adjustRightInd/>
      <w:spacing w:line="360" w:lineRule="auto"/>
      <w:ind w:firstLine="200" w:firstLineChars="200"/>
    </w:pPr>
    <w:rPr>
      <w:rFonts w:ascii="宋体" w:cs="宋体"/>
      <w:kern w:val="0"/>
      <w:sz w:val="24"/>
    </w:rPr>
  </w:style>
  <w:style w:type="paragraph" w:customStyle="1" w:styleId="975">
    <w:name w:val="DH 图片"/>
    <w:basedOn w:val="1"/>
    <w:next w:val="1"/>
    <w:link w:val="976"/>
    <w:qFormat/>
    <w:uiPriority w:val="0"/>
    <w:pPr>
      <w:adjustRightInd/>
      <w:spacing w:line="360" w:lineRule="auto"/>
      <w:jc w:val="center"/>
    </w:pPr>
    <w:rPr>
      <w:rFonts w:cstheme="minorBidi"/>
      <w:b/>
      <w:kern w:val="44"/>
      <w:sz w:val="44"/>
      <w:szCs w:val="44"/>
    </w:rPr>
  </w:style>
  <w:style w:type="character" w:customStyle="1" w:styleId="976">
    <w:name w:val="DH 图片 字符"/>
    <w:basedOn w:val="70"/>
    <w:link w:val="975"/>
    <w:qFormat/>
    <w:uiPriority w:val="0"/>
    <w:rPr>
      <w:rFonts w:cstheme="minorBidi"/>
      <w:b/>
      <w:kern w:val="44"/>
      <w:sz w:val="44"/>
      <w:szCs w:val="44"/>
    </w:rPr>
  </w:style>
  <w:style w:type="character" w:customStyle="1" w:styleId="977">
    <w:name w:val="正文文本缩进 字符1"/>
    <w:basedOn w:val="70"/>
    <w:qFormat/>
    <w:uiPriority w:val="0"/>
    <w:rPr>
      <w:rFonts w:asciiTheme="minorHAnsi" w:hAnsiTheme="minorHAnsi" w:eastAsiaTheme="minorEastAsia" w:cstheme="minorBidi"/>
      <w:kern w:val="2"/>
      <w:sz w:val="21"/>
      <w:szCs w:val="24"/>
    </w:rPr>
  </w:style>
  <w:style w:type="paragraph" w:customStyle="1" w:styleId="978">
    <w:name w:val="样式 标题 7 +"/>
    <w:basedOn w:val="10"/>
    <w:qFormat/>
    <w:uiPriority w:val="0"/>
    <w:pPr>
      <w:tabs>
        <w:tab w:val="clear" w:pos="1296"/>
      </w:tabs>
      <w:adjustRightInd/>
      <w:spacing w:before="120" w:line="360" w:lineRule="auto"/>
      <w:ind w:left="0" w:firstLine="0"/>
      <w:jc w:val="center"/>
    </w:pPr>
    <w:rPr>
      <w:rFonts w:ascii="Arial" w:hAnsi="Arial" w:cs="宋体"/>
      <w:lang w:eastAsia="en-US"/>
    </w:rPr>
  </w:style>
  <w:style w:type="paragraph" w:customStyle="1" w:styleId="979">
    <w:name w:val="表格表头"/>
    <w:basedOn w:val="1"/>
    <w:qFormat/>
    <w:uiPriority w:val="0"/>
    <w:pPr>
      <w:adjustRightInd/>
      <w:spacing w:line="360" w:lineRule="auto"/>
      <w:jc w:val="center"/>
      <w:outlineLvl w:val="0"/>
    </w:pPr>
    <w:rPr>
      <w:rFonts w:ascii="宋体" w:hAnsi="宋体" w:eastAsia="黑体" w:cs="宋体"/>
      <w:sz w:val="24"/>
      <w:szCs w:val="21"/>
    </w:rPr>
  </w:style>
  <w:style w:type="paragraph" w:customStyle="1" w:styleId="980">
    <w:name w:val="CM51"/>
    <w:basedOn w:val="255"/>
    <w:next w:val="255"/>
    <w:qFormat/>
    <w:uiPriority w:val="0"/>
    <w:pPr>
      <w:spacing w:after="103"/>
    </w:pPr>
    <w:rPr>
      <w:rFonts w:ascii="黑体" w:hAnsi="Calibri" w:eastAsia="黑体" w:cs="Times New Roman"/>
      <w:color w:val="auto"/>
      <w:kern w:val="2"/>
    </w:rPr>
  </w:style>
  <w:style w:type="paragraph" w:customStyle="1" w:styleId="981">
    <w:name w:val="标题6"/>
    <w:basedOn w:val="9"/>
    <w:next w:val="1"/>
    <w:link w:val="982"/>
    <w:qFormat/>
    <w:uiPriority w:val="0"/>
    <w:pPr>
      <w:tabs>
        <w:tab w:val="clear" w:pos="1152"/>
      </w:tabs>
      <w:adjustRightInd/>
    </w:pPr>
    <w:rPr>
      <w:rFonts w:cs="宋体"/>
      <w:szCs w:val="20"/>
    </w:rPr>
  </w:style>
  <w:style w:type="character" w:customStyle="1" w:styleId="982">
    <w:name w:val="标题6 Char"/>
    <w:link w:val="981"/>
    <w:qFormat/>
    <w:uiPriority w:val="0"/>
    <w:rPr>
      <w:rFonts w:ascii="Arial" w:hAnsi="Arial" w:eastAsia="黑体" w:cs="宋体"/>
      <w:b/>
      <w:bCs/>
      <w:kern w:val="2"/>
      <w:sz w:val="24"/>
    </w:rPr>
  </w:style>
  <w:style w:type="paragraph" w:customStyle="1" w:styleId="983">
    <w:name w:val="标题7"/>
    <w:basedOn w:val="10"/>
    <w:next w:val="1"/>
    <w:qFormat/>
    <w:uiPriority w:val="0"/>
    <w:pPr>
      <w:numPr>
        <w:ilvl w:val="6"/>
        <w:numId w:val="1"/>
      </w:numPr>
      <w:tabs>
        <w:tab w:val="clear" w:pos="1296"/>
      </w:tabs>
      <w:adjustRightInd/>
      <w:spacing w:beforeLines="50" w:afterLines="50" w:line="360" w:lineRule="auto"/>
      <w:ind w:left="0" w:firstLine="288"/>
      <w:jc w:val="left"/>
    </w:pPr>
    <w:rPr>
      <w:rFonts w:ascii="Arial" w:hAnsi="Arial" w:eastAsia="黑体" w:cs="宋体"/>
      <w:szCs w:val="20"/>
    </w:rPr>
  </w:style>
  <w:style w:type="paragraph" w:customStyle="1" w:styleId="984">
    <w:name w:val="标题8"/>
    <w:basedOn w:val="11"/>
    <w:next w:val="1"/>
    <w:qFormat/>
    <w:uiPriority w:val="0"/>
    <w:pPr>
      <w:numPr>
        <w:ilvl w:val="7"/>
        <w:numId w:val="2"/>
      </w:numPr>
      <w:tabs>
        <w:tab w:val="clear" w:pos="1440"/>
      </w:tabs>
      <w:adjustRightInd/>
      <w:spacing w:beforeLines="50" w:afterLines="50" w:line="360" w:lineRule="auto"/>
      <w:ind w:left="0" w:firstLine="288"/>
      <w:jc w:val="left"/>
    </w:pPr>
    <w:rPr>
      <w:sz w:val="21"/>
      <w:szCs w:val="20"/>
    </w:rPr>
  </w:style>
  <w:style w:type="paragraph" w:customStyle="1" w:styleId="985">
    <w:name w:val="标题9"/>
    <w:basedOn w:val="12"/>
    <w:next w:val="1"/>
    <w:qFormat/>
    <w:uiPriority w:val="0"/>
    <w:pPr>
      <w:tabs>
        <w:tab w:val="clear" w:pos="1584"/>
      </w:tabs>
      <w:adjustRightInd/>
    </w:pPr>
    <w:rPr>
      <w:rFonts w:ascii="Cambria" w:hAnsi="Cambria" w:eastAsia="宋体"/>
      <w:lang w:eastAsia="en-US"/>
    </w:rPr>
  </w:style>
  <w:style w:type="paragraph" w:customStyle="1" w:styleId="986">
    <w:name w:val="正文黑体"/>
    <w:basedOn w:val="879"/>
    <w:qFormat/>
    <w:uiPriority w:val="0"/>
    <w:pPr>
      <w:ind w:firstLine="480"/>
    </w:pPr>
    <w:rPr>
      <w:rFonts w:ascii="黑体" w:hAnsi="黑体" w:eastAsia="黑体"/>
    </w:rPr>
  </w:style>
  <w:style w:type="paragraph" w:customStyle="1" w:styleId="987">
    <w:name w:val="样式 标题6 + 左"/>
    <w:basedOn w:val="981"/>
    <w:qFormat/>
    <w:uiPriority w:val="0"/>
    <w:pPr>
      <w:spacing w:line="319" w:lineRule="auto"/>
      <w:jc w:val="left"/>
    </w:pPr>
  </w:style>
  <w:style w:type="paragraph" w:customStyle="1" w:styleId="988">
    <w:name w:val="样式 标题 8 + 左"/>
    <w:basedOn w:val="11"/>
    <w:qFormat/>
    <w:uiPriority w:val="0"/>
    <w:pPr>
      <w:tabs>
        <w:tab w:val="clear" w:pos="1440"/>
      </w:tabs>
      <w:adjustRightInd/>
      <w:spacing w:line="319" w:lineRule="auto"/>
      <w:ind w:left="0" w:firstLine="0"/>
      <w:jc w:val="left"/>
    </w:pPr>
    <w:rPr>
      <w:rFonts w:ascii="Cambria" w:hAnsi="Cambria" w:eastAsia="宋体" w:cs="宋体"/>
      <w:szCs w:val="20"/>
      <w:lang w:eastAsia="en-US"/>
    </w:rPr>
  </w:style>
  <w:style w:type="paragraph" w:customStyle="1" w:styleId="989">
    <w:name w:val="样式 标题8 + 段前: 0.5 行 段后: 0.5 行"/>
    <w:basedOn w:val="984"/>
    <w:next w:val="1"/>
    <w:qFormat/>
    <w:uiPriority w:val="0"/>
    <w:pPr>
      <w:ind w:firstLine="0"/>
    </w:pPr>
    <w:rPr>
      <w:rFonts w:cs="宋体"/>
    </w:rPr>
  </w:style>
  <w:style w:type="paragraph" w:customStyle="1" w:styleId="990">
    <w:name w:val="样式 标题 8 +"/>
    <w:basedOn w:val="11"/>
    <w:qFormat/>
    <w:uiPriority w:val="0"/>
    <w:pPr>
      <w:tabs>
        <w:tab w:val="clear" w:pos="1440"/>
      </w:tabs>
      <w:adjustRightInd/>
      <w:spacing w:line="319" w:lineRule="auto"/>
      <w:ind w:left="0" w:firstLine="0"/>
      <w:jc w:val="left"/>
    </w:pPr>
    <w:rPr>
      <w:rFonts w:ascii="Cambria" w:hAnsi="Cambria" w:eastAsia="宋体"/>
      <w:lang w:eastAsia="en-US"/>
    </w:rPr>
  </w:style>
  <w:style w:type="paragraph" w:customStyle="1" w:styleId="991">
    <w:name w:val="样式 标题 9 +"/>
    <w:basedOn w:val="985"/>
    <w:qFormat/>
    <w:uiPriority w:val="0"/>
    <w:pPr/>
  </w:style>
  <w:style w:type="character" w:customStyle="1" w:styleId="992">
    <w:name w:val="内容文本 Char"/>
    <w:link w:val="993"/>
    <w:qFormat/>
    <w:locked/>
    <w:uiPriority w:val="0"/>
    <w:rPr>
      <w:rFonts w:ascii="宋体" w:hAnsi="宋体"/>
      <w:sz w:val="24"/>
      <w:szCs w:val="24"/>
      <w:lang w:val="zh-CN" w:eastAsia="en-US" w:bidi="en-US"/>
    </w:rPr>
  </w:style>
  <w:style w:type="paragraph" w:customStyle="1" w:styleId="993">
    <w:name w:val="内容文本"/>
    <w:basedOn w:val="278"/>
    <w:link w:val="992"/>
    <w:qFormat/>
    <w:uiPriority w:val="0"/>
    <w:pPr>
      <w:adjustRightInd/>
      <w:contextualSpacing/>
    </w:pPr>
    <w:rPr>
      <w:rFonts w:ascii="宋体" w:hAnsi="宋体" w:eastAsia="宋体" w:cs="Times New Roman"/>
      <w:kern w:val="0"/>
      <w:lang w:val="zh-CN" w:eastAsia="en-US" w:bidi="en-US"/>
    </w:rPr>
  </w:style>
  <w:style w:type="paragraph" w:customStyle="1" w:styleId="994">
    <w:name w:val="标题5-2"/>
    <w:basedOn w:val="1"/>
    <w:next w:val="903"/>
    <w:link w:val="995"/>
    <w:qFormat/>
    <w:uiPriority w:val="0"/>
    <w:pPr>
      <w:numPr>
        <w:ilvl w:val="0"/>
        <w:numId w:val="3"/>
      </w:numPr>
      <w:adjustRightInd/>
      <w:spacing w:beforeLines="50" w:afterLines="50" w:line="360" w:lineRule="auto"/>
      <w:ind w:left="0" w:firstLine="0"/>
      <w:outlineLvl w:val="4"/>
    </w:pPr>
    <w:rPr>
      <w:rFonts w:ascii="Calibri" w:hAnsi="Calibri"/>
      <w:sz w:val="24"/>
      <w:lang w:val="zh-CN"/>
    </w:rPr>
  </w:style>
  <w:style w:type="character" w:customStyle="1" w:styleId="995">
    <w:name w:val="标题5-2 Char"/>
    <w:link w:val="994"/>
    <w:qFormat/>
    <w:locked/>
    <w:uiPriority w:val="0"/>
    <w:rPr>
      <w:rFonts w:ascii="Calibri" w:hAnsi="Calibri"/>
      <w:kern w:val="2"/>
      <w:sz w:val="24"/>
      <w:szCs w:val="24"/>
      <w:lang w:val="zh-CN"/>
    </w:rPr>
  </w:style>
  <w:style w:type="character" w:customStyle="1" w:styleId="996">
    <w:name w:val="已访问的超链接1"/>
    <w:qFormat/>
    <w:uiPriority w:val="0"/>
    <w:rPr>
      <w:color w:val="800080"/>
      <w:u w:val="single"/>
    </w:rPr>
  </w:style>
  <w:style w:type="character" w:customStyle="1" w:styleId="997">
    <w:name w:val="标题 1 Char1"/>
    <w:qFormat/>
    <w:uiPriority w:val="0"/>
    <w:rPr>
      <w:b/>
      <w:bCs/>
      <w:kern w:val="44"/>
      <w:sz w:val="44"/>
      <w:szCs w:val="44"/>
    </w:rPr>
  </w:style>
  <w:style w:type="paragraph" w:customStyle="1" w:styleId="998">
    <w:name w:val="样式 正文首行缩进 + 首行缩进:  1 字符"/>
    <w:basedOn w:val="61"/>
    <w:qFormat/>
    <w:uiPriority w:val="0"/>
    <w:pPr>
      <w:widowControl/>
      <w:autoSpaceDE/>
      <w:autoSpaceDN/>
      <w:adjustRightInd/>
      <w:spacing w:after="40" w:line="240" w:lineRule="auto"/>
      <w:ind w:firstLine="200" w:firstLineChars="200"/>
      <w:jc w:val="left"/>
    </w:pPr>
    <w:rPr>
      <w:rFonts w:ascii="Times New Roman" w:hAnsi="Times New Roman" w:cs="宋体" w:eastAsiaTheme="minorEastAsia"/>
      <w:sz w:val="21"/>
    </w:rPr>
  </w:style>
  <w:style w:type="paragraph" w:customStyle="1" w:styleId="999">
    <w:name w:val="段落正文"/>
    <w:qFormat/>
    <w:uiPriority w:val="0"/>
    <w:pPr>
      <w:spacing w:before="60" w:after="60"/>
      <w:ind w:firstLine="200" w:firstLineChars="200"/>
      <w:jc w:val="both"/>
    </w:pPr>
    <w:rPr>
      <w:rFonts w:ascii="Arial" w:hAnsi="Arial" w:eastAsia="宋体" w:cs="Times New Roman"/>
      <w:kern w:val="2"/>
      <w:sz w:val="24"/>
      <w:szCs w:val="24"/>
      <w:lang w:val="en-US" w:eastAsia="zh-CN" w:bidi="ar-SA"/>
    </w:rPr>
  </w:style>
  <w:style w:type="paragraph" w:customStyle="1" w:styleId="1000">
    <w:name w:val="InfoBlue"/>
    <w:basedOn w:val="1"/>
    <w:next w:val="24"/>
    <w:qFormat/>
    <w:uiPriority w:val="0"/>
    <w:pPr>
      <w:widowControl/>
      <w:adjustRightInd/>
      <w:spacing w:after="120" w:line="240" w:lineRule="atLeast"/>
      <w:ind w:left="720"/>
      <w:jc w:val="left"/>
    </w:pPr>
    <w:rPr>
      <w:i/>
      <w:color w:val="0000FF"/>
      <w:kern w:val="0"/>
      <w:sz w:val="20"/>
      <w:szCs w:val="20"/>
      <w:lang w:eastAsia="en-US"/>
    </w:rPr>
  </w:style>
  <w:style w:type="character" w:customStyle="1" w:styleId="1001">
    <w:name w:val="标题5 Char"/>
    <w:link w:val="1002"/>
    <w:qFormat/>
    <w:locked/>
    <w:uiPriority w:val="0"/>
    <w:rPr>
      <w:sz w:val="24"/>
      <w:szCs w:val="24"/>
      <w:lang w:val="zh-CN"/>
    </w:rPr>
  </w:style>
  <w:style w:type="paragraph" w:customStyle="1" w:styleId="1002">
    <w:name w:val="标题5"/>
    <w:basedOn w:val="1"/>
    <w:next w:val="903"/>
    <w:link w:val="1001"/>
    <w:qFormat/>
    <w:uiPriority w:val="0"/>
    <w:pPr>
      <w:adjustRightInd/>
      <w:spacing w:beforeLines="50" w:afterLines="50" w:line="360" w:lineRule="auto"/>
      <w:outlineLvl w:val="4"/>
    </w:pPr>
    <w:rPr>
      <w:kern w:val="0"/>
      <w:sz w:val="24"/>
      <w:lang w:val="zh-CN"/>
    </w:rPr>
  </w:style>
  <w:style w:type="paragraph" w:customStyle="1" w:styleId="1003">
    <w:name w:val="正文缩进4"/>
    <w:basedOn w:val="1"/>
    <w:qFormat/>
    <w:uiPriority w:val="0"/>
    <w:pPr>
      <w:widowControl/>
      <w:adjustRightInd/>
      <w:ind w:firstLine="420"/>
      <w:jc w:val="left"/>
    </w:pPr>
    <w:rPr>
      <w:szCs w:val="21"/>
    </w:rPr>
  </w:style>
  <w:style w:type="character" w:customStyle="1" w:styleId="1004">
    <w:name w:val="明显强调1"/>
    <w:qFormat/>
    <w:uiPriority w:val="21"/>
    <w:rPr>
      <w:b/>
      <w:bCs/>
      <w:i/>
      <w:iCs/>
      <w:color w:val="4F81BD"/>
    </w:rPr>
  </w:style>
  <w:style w:type="paragraph" w:customStyle="1" w:styleId="1005">
    <w:name w:val="标题6-1"/>
    <w:basedOn w:val="6"/>
    <w:qFormat/>
    <w:uiPriority w:val="0"/>
    <w:pPr>
      <w:widowControl w:val="0"/>
      <w:adjustRightInd/>
      <w:snapToGrid/>
      <w:spacing w:beforeLines="50" w:afterLines="50" w:line="360" w:lineRule="auto"/>
      <w:ind w:left="1134" w:hanging="1134"/>
      <w:outlineLvl w:val="3"/>
    </w:pPr>
    <w:rPr>
      <w:rFonts w:ascii="Calibri" w:hAnsi="Calibri"/>
      <w:snapToGrid/>
      <w:color w:val="auto"/>
      <w:kern w:val="2"/>
      <w:sz w:val="24"/>
      <w:szCs w:val="24"/>
      <w:lang w:val="zh-CN"/>
    </w:rPr>
  </w:style>
  <w:style w:type="paragraph" w:customStyle="1" w:styleId="1006">
    <w:name w:val="正文缩进2"/>
    <w:basedOn w:val="1"/>
    <w:qFormat/>
    <w:uiPriority w:val="0"/>
    <w:pPr>
      <w:widowControl/>
      <w:adjustRightInd/>
      <w:ind w:firstLine="420"/>
      <w:jc w:val="left"/>
    </w:pPr>
    <w:rPr>
      <w:szCs w:val="21"/>
    </w:rPr>
  </w:style>
  <w:style w:type="paragraph" w:customStyle="1" w:styleId="1007">
    <w:name w:val="p18"/>
    <w:basedOn w:val="1"/>
    <w:qFormat/>
    <w:uiPriority w:val="0"/>
    <w:pPr>
      <w:widowControl/>
      <w:adjustRightInd/>
      <w:ind w:firstLine="420"/>
      <w:jc w:val="left"/>
    </w:pPr>
    <w:rPr>
      <w:kern w:val="0"/>
      <w:szCs w:val="21"/>
    </w:rPr>
  </w:style>
  <w:style w:type="paragraph" w:customStyle="1" w:styleId="1008">
    <w:name w:val="正文缩进3"/>
    <w:basedOn w:val="1"/>
    <w:qFormat/>
    <w:uiPriority w:val="0"/>
    <w:pPr>
      <w:widowControl/>
      <w:adjustRightInd/>
      <w:ind w:firstLine="420"/>
      <w:jc w:val="left"/>
    </w:pPr>
    <w:rPr>
      <w:szCs w:val="21"/>
    </w:rPr>
  </w:style>
  <w:style w:type="character" w:customStyle="1" w:styleId="1009">
    <w:name w:val="标题5-1 Char"/>
    <w:link w:val="1010"/>
    <w:qFormat/>
    <w:locked/>
    <w:uiPriority w:val="0"/>
  </w:style>
  <w:style w:type="paragraph" w:customStyle="1" w:styleId="1010">
    <w:name w:val="标题5-1"/>
    <w:basedOn w:val="6"/>
    <w:link w:val="1009"/>
    <w:qFormat/>
    <w:uiPriority w:val="0"/>
    <w:pPr>
      <w:widowControl w:val="0"/>
      <w:adjustRightInd/>
      <w:snapToGrid/>
      <w:spacing w:beforeLines="50" w:afterLines="50" w:line="360" w:lineRule="auto"/>
      <w:ind w:left="992" w:hanging="992"/>
      <w:outlineLvl w:val="3"/>
    </w:pPr>
    <w:rPr>
      <w:rFonts w:ascii="Times New Roman"/>
      <w:snapToGrid/>
      <w:color w:val="auto"/>
      <w:kern w:val="0"/>
      <w:sz w:val="20"/>
    </w:rPr>
  </w:style>
  <w:style w:type="character" w:customStyle="1" w:styleId="1011">
    <w:name w:val="标题6 Char Char"/>
    <w:qFormat/>
    <w:uiPriority w:val="0"/>
    <w:rPr>
      <w:rFonts w:hint="eastAsia" w:ascii="宋体" w:hAnsi="宋体" w:eastAsia="宋体"/>
      <w:kern w:val="2"/>
      <w:sz w:val="24"/>
      <w:szCs w:val="24"/>
      <w:lang w:val="en-US" w:eastAsia="zh-CN" w:bidi="ar-SA"/>
    </w:rPr>
  </w:style>
  <w:style w:type="paragraph" w:customStyle="1" w:styleId="1012">
    <w:name w:val="01 标题-封面"/>
    <w:next w:val="32"/>
    <w:qFormat/>
    <w:uiPriority w:val="0"/>
    <w:pPr>
      <w:spacing w:line="312" w:lineRule="auto"/>
      <w:ind w:left="721" w:hanging="420"/>
      <w:jc w:val="right"/>
    </w:pPr>
    <w:rPr>
      <w:rFonts w:ascii="Arial" w:hAnsi="Arial" w:eastAsia="黑体" w:cs="Times New Roman"/>
      <w:b/>
      <w:color w:val="800000"/>
      <w:kern w:val="2"/>
      <w:sz w:val="72"/>
      <w:lang w:val="en-US" w:eastAsia="zh-CN" w:bidi="ar-SA"/>
    </w:rPr>
  </w:style>
  <w:style w:type="paragraph" w:styleId="1013">
    <w:name w:val="Quote"/>
    <w:basedOn w:val="1"/>
    <w:next w:val="1"/>
    <w:link w:val="1014"/>
    <w:qFormat/>
    <w:uiPriority w:val="29"/>
    <w:pPr>
      <w:widowControl/>
      <w:adjustRightInd/>
      <w:spacing w:before="200" w:line="360" w:lineRule="auto"/>
      <w:ind w:left="360" w:right="360" w:firstLine="482"/>
      <w:jc w:val="left"/>
    </w:pPr>
    <w:rPr>
      <w:rFonts w:asciiTheme="minorHAnsi" w:hAnsiTheme="minorHAnsi" w:eastAsiaTheme="minorEastAsia" w:cstheme="minorBidi"/>
      <w:i/>
      <w:iCs/>
      <w:kern w:val="0"/>
      <w:sz w:val="24"/>
    </w:rPr>
  </w:style>
  <w:style w:type="character" w:customStyle="1" w:styleId="1014">
    <w:name w:val="引用 Char"/>
    <w:basedOn w:val="70"/>
    <w:link w:val="1013"/>
    <w:qFormat/>
    <w:uiPriority w:val="29"/>
    <w:rPr>
      <w:rFonts w:asciiTheme="minorHAnsi" w:hAnsiTheme="minorHAnsi" w:eastAsiaTheme="minorEastAsia" w:cstheme="minorBidi"/>
      <w:i/>
      <w:iCs/>
      <w:sz w:val="24"/>
      <w:szCs w:val="24"/>
    </w:rPr>
  </w:style>
  <w:style w:type="paragraph" w:styleId="1015">
    <w:name w:val="Intense Quote"/>
    <w:basedOn w:val="1"/>
    <w:next w:val="1"/>
    <w:link w:val="1016"/>
    <w:qFormat/>
    <w:uiPriority w:val="30"/>
    <w:pPr>
      <w:widowControl/>
      <w:pBdr>
        <w:bottom w:val="single" w:color="auto" w:sz="4" w:space="1"/>
      </w:pBdr>
      <w:adjustRightInd/>
      <w:spacing w:before="200" w:after="280" w:line="360" w:lineRule="auto"/>
      <w:ind w:left="1008" w:right="1152" w:firstLine="482"/>
    </w:pPr>
    <w:rPr>
      <w:rFonts w:asciiTheme="minorHAnsi" w:hAnsiTheme="minorHAnsi" w:eastAsiaTheme="minorEastAsia" w:cstheme="minorBidi"/>
      <w:b/>
      <w:bCs/>
      <w:i/>
      <w:iCs/>
      <w:kern w:val="0"/>
      <w:sz w:val="24"/>
    </w:rPr>
  </w:style>
  <w:style w:type="character" w:customStyle="1" w:styleId="1016">
    <w:name w:val="明显引用 Char"/>
    <w:basedOn w:val="70"/>
    <w:link w:val="1015"/>
    <w:qFormat/>
    <w:uiPriority w:val="30"/>
    <w:rPr>
      <w:rFonts w:asciiTheme="minorHAnsi" w:hAnsiTheme="minorHAnsi" w:eastAsiaTheme="minorEastAsia" w:cstheme="minorBidi"/>
      <w:b/>
      <w:bCs/>
      <w:i/>
      <w:iCs/>
      <w:sz w:val="24"/>
      <w:szCs w:val="24"/>
    </w:rPr>
  </w:style>
  <w:style w:type="character" w:customStyle="1" w:styleId="1017">
    <w:name w:val="不明显强调1"/>
    <w:qFormat/>
    <w:uiPriority w:val="19"/>
    <w:rPr>
      <w:i/>
      <w:iCs/>
    </w:rPr>
  </w:style>
  <w:style w:type="character" w:customStyle="1" w:styleId="1018">
    <w:name w:val="不明显参考1"/>
    <w:qFormat/>
    <w:uiPriority w:val="31"/>
    <w:rPr>
      <w:smallCaps/>
    </w:rPr>
  </w:style>
  <w:style w:type="character" w:customStyle="1" w:styleId="1019">
    <w:name w:val="明显参考1"/>
    <w:qFormat/>
    <w:uiPriority w:val="32"/>
    <w:rPr>
      <w:smallCaps/>
      <w:spacing w:val="5"/>
      <w:u w:val="single"/>
    </w:rPr>
  </w:style>
  <w:style w:type="character" w:customStyle="1" w:styleId="1020">
    <w:name w:val="书籍标题1"/>
    <w:qFormat/>
    <w:uiPriority w:val="33"/>
    <w:rPr>
      <w:i/>
      <w:iCs/>
      <w:smallCaps/>
      <w:spacing w:val="5"/>
    </w:rPr>
  </w:style>
  <w:style w:type="character" w:customStyle="1" w:styleId="1021">
    <w:name w:val="*正文 Char Char"/>
    <w:qFormat/>
    <w:uiPriority w:val="0"/>
    <w:rPr>
      <w:rFonts w:ascii="宋体" w:hAnsi="宋体"/>
      <w:szCs w:val="24"/>
    </w:rPr>
  </w:style>
  <w:style w:type="paragraph" w:customStyle="1" w:styleId="1022">
    <w:name w:val="我的默认值"/>
    <w:basedOn w:val="1"/>
    <w:qFormat/>
    <w:uiPriority w:val="0"/>
    <w:pPr>
      <w:widowControl/>
      <w:adjustRightInd/>
      <w:spacing w:line="360" w:lineRule="auto"/>
      <w:ind w:firstLine="200" w:firstLineChars="200"/>
      <w:jc w:val="left"/>
    </w:pPr>
    <w:rPr>
      <w:rFonts w:ascii="宋体" w:hAnsi="宋体" w:eastAsia="仿宋" w:cs="宋体"/>
      <w:color w:val="000000"/>
      <w:kern w:val="0"/>
      <w:sz w:val="28"/>
    </w:rPr>
  </w:style>
  <w:style w:type="paragraph" w:customStyle="1" w:styleId="1023">
    <w:name w:val="箭头样式1"/>
    <w:basedOn w:val="278"/>
    <w:link w:val="1024"/>
    <w:qFormat/>
    <w:uiPriority w:val="0"/>
    <w:pPr>
      <w:numPr>
        <w:ilvl w:val="0"/>
        <w:numId w:val="4"/>
      </w:numPr>
      <w:adjustRightInd/>
      <w:ind w:left="0" w:firstLine="0" w:firstLineChars="0"/>
      <w:jc w:val="left"/>
    </w:pPr>
    <w:rPr>
      <w:rFonts w:ascii="Calibri" w:hAnsi="Calibri" w:eastAsia="宋体" w:cs="Times New Roman"/>
    </w:rPr>
  </w:style>
  <w:style w:type="character" w:customStyle="1" w:styleId="1024">
    <w:name w:val="箭头样式1 Char"/>
    <w:basedOn w:val="356"/>
    <w:link w:val="1023"/>
    <w:qFormat/>
    <w:uiPriority w:val="0"/>
    <w:rPr>
      <w:rFonts w:ascii="Calibri" w:hAnsi="Calibri"/>
    </w:rPr>
  </w:style>
  <w:style w:type="paragraph" w:customStyle="1" w:styleId="1025">
    <w:name w:val="正文（缩进）"/>
    <w:basedOn w:val="1"/>
    <w:link w:val="1026"/>
    <w:qFormat/>
    <w:uiPriority w:val="0"/>
    <w:pPr>
      <w:adjustRightInd/>
      <w:spacing w:beforeLines="50" w:afterLines="50" w:line="360" w:lineRule="auto"/>
      <w:ind w:firstLine="480" w:firstLineChars="200"/>
    </w:pPr>
    <w:rPr>
      <w:kern w:val="0"/>
      <w:sz w:val="24"/>
    </w:rPr>
  </w:style>
  <w:style w:type="character" w:customStyle="1" w:styleId="1026">
    <w:name w:val="正文（缩进） Char"/>
    <w:link w:val="1025"/>
    <w:qFormat/>
    <w:uiPriority w:val="0"/>
    <w:rPr>
      <w:sz w:val="24"/>
      <w:szCs w:val="24"/>
    </w:rPr>
  </w:style>
  <w:style w:type="paragraph" w:customStyle="1" w:styleId="1027">
    <w:name w:val="无序列表新"/>
    <w:basedOn w:val="1"/>
    <w:link w:val="1028"/>
    <w:qFormat/>
    <w:uiPriority w:val="0"/>
    <w:pPr>
      <w:numPr>
        <w:ilvl w:val="0"/>
        <w:numId w:val="5"/>
      </w:numPr>
      <w:adjustRightInd/>
      <w:spacing w:line="360" w:lineRule="auto"/>
      <w:ind w:firstLine="0"/>
    </w:pPr>
    <w:rPr>
      <w:sz w:val="24"/>
    </w:rPr>
  </w:style>
  <w:style w:type="character" w:customStyle="1" w:styleId="1028">
    <w:name w:val="无序列表新 Char"/>
    <w:link w:val="1027"/>
    <w:qFormat/>
    <w:uiPriority w:val="0"/>
    <w:rPr>
      <w:kern w:val="2"/>
      <w:sz w:val="24"/>
      <w:szCs w:val="24"/>
    </w:rPr>
  </w:style>
  <w:style w:type="character" w:customStyle="1" w:styleId="1029">
    <w:name w:val="正文对齐 Char"/>
    <w:basedOn w:val="70"/>
    <w:qFormat/>
    <w:uiPriority w:val="0"/>
    <w:rPr>
      <w:rFonts w:eastAsiaTheme="minorEastAsia" w:cstheme="minorBidi"/>
      <w:kern w:val="2"/>
      <w:sz w:val="21"/>
      <w:szCs w:val="22"/>
    </w:rPr>
  </w:style>
  <w:style w:type="paragraph" w:customStyle="1" w:styleId="1030">
    <w:name w:val="para"/>
    <w:qFormat/>
    <w:uiPriority w:val="99"/>
    <w:pPr>
      <w:widowControl w:val="0"/>
      <w:autoSpaceDE w:val="0"/>
      <w:autoSpaceDN w:val="0"/>
      <w:adjustRightInd w:val="0"/>
    </w:pPr>
    <w:rPr>
      <w:rFonts w:ascii="宋体" w:hAnsi="Calibri" w:eastAsia="宋体" w:cs="Times New Roman"/>
      <w:sz w:val="24"/>
      <w:szCs w:val="24"/>
      <w:lang w:val="en-US" w:eastAsia="zh-CN" w:bidi="ar-SA"/>
    </w:rPr>
  </w:style>
  <w:style w:type="paragraph" w:customStyle="1" w:styleId="1031">
    <w:name w:val="link"/>
    <w:qFormat/>
    <w:uiPriority w:val="99"/>
    <w:pPr>
      <w:widowControl w:val="0"/>
      <w:autoSpaceDE w:val="0"/>
      <w:autoSpaceDN w:val="0"/>
      <w:adjustRightInd w:val="0"/>
    </w:pPr>
    <w:rPr>
      <w:rFonts w:ascii="宋体" w:hAnsi="Calibri" w:eastAsia="宋体" w:cs="Times New Roman"/>
      <w:sz w:val="24"/>
      <w:szCs w:val="24"/>
      <w:lang w:val="en-US" w:eastAsia="zh-CN" w:bidi="ar-SA"/>
    </w:rPr>
  </w:style>
  <w:style w:type="paragraph" w:customStyle="1" w:styleId="1032">
    <w:name w:val="Step1说明并列"/>
    <w:basedOn w:val="1"/>
    <w:link w:val="1033"/>
    <w:qFormat/>
    <w:uiPriority w:val="0"/>
    <w:pPr>
      <w:numPr>
        <w:ilvl w:val="4"/>
        <w:numId w:val="6"/>
      </w:numPr>
      <w:adjustRightInd/>
      <w:ind w:firstLine="0"/>
    </w:pPr>
    <w:rPr>
      <w:rFonts w:ascii="Myriad Pro" w:hAnsi="Myriad Pro"/>
      <w:szCs w:val="21"/>
      <w:shd w:val="clear" w:color="auto" w:fill="D9D9D9"/>
    </w:rPr>
  </w:style>
  <w:style w:type="character" w:customStyle="1" w:styleId="1033">
    <w:name w:val="Step1说明并列 Char"/>
    <w:link w:val="1032"/>
    <w:qFormat/>
    <w:uiPriority w:val="0"/>
    <w:rPr>
      <w:rFonts w:ascii="Myriad Pro" w:hAnsi="Myriad Pro"/>
      <w:kern w:val="2"/>
      <w:sz w:val="21"/>
      <w:szCs w:val="21"/>
    </w:rPr>
  </w:style>
  <w:style w:type="paragraph" w:customStyle="1" w:styleId="1034">
    <w:name w:val="正文小四"/>
    <w:basedOn w:val="1"/>
    <w:link w:val="1035"/>
    <w:qFormat/>
    <w:uiPriority w:val="0"/>
    <w:pPr>
      <w:widowControl/>
      <w:adjustRightInd/>
      <w:spacing w:line="360" w:lineRule="auto"/>
      <w:ind w:firstLine="200" w:firstLineChars="200"/>
      <w:jc w:val="left"/>
    </w:pPr>
    <w:rPr>
      <w:rFonts w:asciiTheme="minorHAnsi" w:hAnsiTheme="minorHAnsi" w:eastAsiaTheme="minorEastAsia" w:cstheme="minorBidi"/>
      <w:sz w:val="24"/>
      <w:szCs w:val="21"/>
    </w:rPr>
  </w:style>
  <w:style w:type="character" w:customStyle="1" w:styleId="1035">
    <w:name w:val="正文小四 Char"/>
    <w:basedOn w:val="70"/>
    <w:link w:val="1034"/>
    <w:qFormat/>
    <w:uiPriority w:val="0"/>
    <w:rPr>
      <w:rFonts w:asciiTheme="minorHAnsi" w:hAnsiTheme="minorHAnsi" w:eastAsiaTheme="minorEastAsia" w:cstheme="minorBidi"/>
      <w:kern w:val="2"/>
      <w:sz w:val="24"/>
      <w:szCs w:val="21"/>
    </w:rPr>
  </w:style>
  <w:style w:type="paragraph" w:customStyle="1" w:styleId="1036">
    <w:name w:val="xl6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宋体" w:hAnsi="宋体" w:cs="宋体"/>
      <w:kern w:val="0"/>
      <w:sz w:val="24"/>
    </w:rPr>
  </w:style>
  <w:style w:type="paragraph" w:customStyle="1" w:styleId="1037">
    <w:name w:val="表序与表题"/>
    <w:basedOn w:val="1"/>
    <w:qFormat/>
    <w:uiPriority w:val="0"/>
    <w:pPr>
      <w:tabs>
        <w:tab w:val="left" w:pos="720"/>
      </w:tabs>
      <w:adjustRightInd/>
      <w:spacing w:line="360" w:lineRule="auto"/>
    </w:pPr>
    <w:rPr>
      <w:rFonts w:ascii="Times" w:hAnsi="Times" w:cstheme="minorBidi"/>
      <w:sz w:val="24"/>
      <w:szCs w:val="22"/>
    </w:rPr>
  </w:style>
  <w:style w:type="paragraph" w:customStyle="1" w:styleId="1038">
    <w:name w:val="图序与图题"/>
    <w:basedOn w:val="1"/>
    <w:qFormat/>
    <w:uiPriority w:val="0"/>
    <w:pPr>
      <w:tabs>
        <w:tab w:val="left" w:pos="3780"/>
      </w:tabs>
      <w:adjustRightInd/>
      <w:spacing w:line="360" w:lineRule="auto"/>
      <w:ind w:left="3060"/>
    </w:pPr>
    <w:rPr>
      <w:rFonts w:ascii="Times" w:hAnsi="Times" w:cstheme="minorBidi"/>
      <w:sz w:val="24"/>
      <w:szCs w:val="22"/>
    </w:rPr>
  </w:style>
  <w:style w:type="paragraph" w:customStyle="1" w:styleId="1039">
    <w:name w:val="图片序号"/>
    <w:basedOn w:val="1"/>
    <w:link w:val="1040"/>
    <w:qFormat/>
    <w:uiPriority w:val="0"/>
    <w:pPr>
      <w:numPr>
        <w:ilvl w:val="1"/>
        <w:numId w:val="7"/>
      </w:numPr>
      <w:adjustRightInd/>
      <w:spacing w:line="360" w:lineRule="auto"/>
      <w:ind w:left="0" w:firstLine="0"/>
      <w:jc w:val="center"/>
    </w:pPr>
    <w:rPr>
      <w:rFonts w:ascii="Times" w:hAnsi="Times" w:cstheme="minorBidi"/>
      <w:szCs w:val="22"/>
    </w:rPr>
  </w:style>
  <w:style w:type="character" w:customStyle="1" w:styleId="1040">
    <w:name w:val="图片序号 字符"/>
    <w:basedOn w:val="70"/>
    <w:link w:val="1039"/>
    <w:qFormat/>
    <w:uiPriority w:val="0"/>
    <w:rPr>
      <w:rFonts w:ascii="Times" w:hAnsi="Times" w:cstheme="minorBidi"/>
      <w:kern w:val="2"/>
      <w:sz w:val="21"/>
      <w:szCs w:val="22"/>
    </w:rPr>
  </w:style>
  <w:style w:type="paragraph" w:customStyle="1" w:styleId="1041">
    <w:name w:val="插入VISIO图"/>
    <w:basedOn w:val="1"/>
    <w:link w:val="1042"/>
    <w:qFormat/>
    <w:uiPriority w:val="0"/>
    <w:pPr>
      <w:adjustRightInd/>
      <w:spacing w:line="360" w:lineRule="auto"/>
      <w:jc w:val="center"/>
    </w:pPr>
    <w:rPr>
      <w:rFonts w:ascii="微软雅黑" w:hAnsi="微软雅黑" w:eastAsia="微软雅黑" w:cstheme="minorBidi"/>
      <w:sz w:val="24"/>
      <w:szCs w:val="22"/>
    </w:rPr>
  </w:style>
  <w:style w:type="character" w:customStyle="1" w:styleId="1042">
    <w:name w:val="插入VISIO图 字符"/>
    <w:basedOn w:val="70"/>
    <w:link w:val="1041"/>
    <w:qFormat/>
    <w:uiPriority w:val="0"/>
    <w:rPr>
      <w:rFonts w:ascii="微软雅黑" w:hAnsi="微软雅黑" w:eastAsia="微软雅黑" w:cstheme="minorBidi"/>
      <w:kern w:val="2"/>
      <w:sz w:val="24"/>
      <w:szCs w:val="22"/>
    </w:rPr>
  </w:style>
  <w:style w:type="paragraph" w:customStyle="1" w:styleId="1043">
    <w:name w:val="PVD正文格式"/>
    <w:basedOn w:val="1"/>
    <w:link w:val="1044"/>
    <w:qFormat/>
    <w:uiPriority w:val="0"/>
    <w:pPr>
      <w:adjustRightInd/>
      <w:spacing w:line="360" w:lineRule="auto"/>
      <w:ind w:firstLine="480" w:firstLineChars="200"/>
    </w:pPr>
    <w:rPr>
      <w:rFonts w:ascii="Times" w:hAnsi="Times" w:cstheme="minorBidi"/>
      <w:sz w:val="24"/>
      <w:szCs w:val="22"/>
    </w:rPr>
  </w:style>
  <w:style w:type="character" w:customStyle="1" w:styleId="1044">
    <w:name w:val="PVD正文格式 Char"/>
    <w:link w:val="1043"/>
    <w:qFormat/>
    <w:uiPriority w:val="0"/>
    <w:rPr>
      <w:rFonts w:ascii="Times" w:hAnsi="Times" w:cstheme="minorBidi"/>
      <w:kern w:val="2"/>
      <w:sz w:val="24"/>
      <w:szCs w:val="22"/>
    </w:rPr>
  </w:style>
  <w:style w:type="paragraph" w:customStyle="1" w:styleId="1045">
    <w:name w:val="正文首行缩进2字符"/>
    <w:basedOn w:val="1"/>
    <w:link w:val="1046"/>
    <w:qFormat/>
    <w:uiPriority w:val="0"/>
    <w:pPr>
      <w:adjustRightInd/>
      <w:spacing w:line="360" w:lineRule="auto"/>
      <w:ind w:firstLine="420" w:firstLineChars="200"/>
    </w:pPr>
    <w:rPr>
      <w:sz w:val="24"/>
    </w:rPr>
  </w:style>
  <w:style w:type="character" w:customStyle="1" w:styleId="1046">
    <w:name w:val="正文首行缩进2字符 Char"/>
    <w:link w:val="1045"/>
    <w:qFormat/>
    <w:uiPriority w:val="0"/>
    <w:rPr>
      <w:kern w:val="2"/>
      <w:sz w:val="24"/>
      <w:szCs w:val="24"/>
    </w:rPr>
  </w:style>
  <w:style w:type="character" w:customStyle="1" w:styleId="1047">
    <w:name w:val="hik 正文 Char"/>
    <w:link w:val="1048"/>
    <w:qFormat/>
    <w:uiPriority w:val="0"/>
    <w:rPr>
      <w:sz w:val="24"/>
      <w:szCs w:val="24"/>
    </w:rPr>
  </w:style>
  <w:style w:type="paragraph" w:customStyle="1" w:styleId="1048">
    <w:name w:val="hik 正文"/>
    <w:basedOn w:val="1"/>
    <w:link w:val="1047"/>
    <w:qFormat/>
    <w:uiPriority w:val="0"/>
    <w:pPr>
      <w:adjustRightInd/>
      <w:spacing w:line="360" w:lineRule="auto"/>
      <w:ind w:firstLine="480" w:firstLineChars="200"/>
    </w:pPr>
    <w:rPr>
      <w:kern w:val="0"/>
      <w:sz w:val="24"/>
    </w:rPr>
  </w:style>
  <w:style w:type="paragraph" w:customStyle="1" w:styleId="1049">
    <w:name w:val="Step1正文"/>
    <w:basedOn w:val="1"/>
    <w:link w:val="1050"/>
    <w:qFormat/>
    <w:uiPriority w:val="0"/>
    <w:pPr>
      <w:adjustRightInd/>
      <w:ind w:left="1588"/>
    </w:pPr>
    <w:rPr>
      <w:rFonts w:eastAsiaTheme="minorEastAsia" w:cstheme="minorBidi"/>
      <w:szCs w:val="21"/>
    </w:rPr>
  </w:style>
  <w:style w:type="character" w:customStyle="1" w:styleId="1050">
    <w:name w:val="Step1正文 Char"/>
    <w:basedOn w:val="70"/>
    <w:link w:val="1049"/>
    <w:qFormat/>
    <w:uiPriority w:val="0"/>
    <w:rPr>
      <w:rFonts w:eastAsiaTheme="minorEastAsia" w:cstheme="minorBidi"/>
      <w:kern w:val="2"/>
      <w:sz w:val="21"/>
      <w:szCs w:val="21"/>
    </w:rPr>
  </w:style>
  <w:style w:type="paragraph" w:customStyle="1" w:styleId="1051">
    <w:name w:val="标书标题1"/>
    <w:basedOn w:val="3"/>
    <w:link w:val="1052"/>
    <w:qFormat/>
    <w:uiPriority w:val="0"/>
    <w:pPr>
      <w:numPr>
        <w:ilvl w:val="0"/>
        <w:numId w:val="8"/>
      </w:numPr>
      <w:tabs>
        <w:tab w:val="clear" w:pos="432"/>
      </w:tabs>
      <w:adjustRightInd/>
      <w:spacing w:before="120" w:after="120" w:line="360" w:lineRule="auto"/>
    </w:pPr>
    <w:rPr>
      <w:rFonts w:eastAsia="黑体" w:asciiTheme="majorHAnsi" w:hAnsiTheme="majorHAnsi" w:cstheme="majorBidi"/>
    </w:rPr>
  </w:style>
  <w:style w:type="character" w:customStyle="1" w:styleId="1052">
    <w:name w:val="标书标题1 Char"/>
    <w:basedOn w:val="81"/>
    <w:link w:val="1051"/>
    <w:qFormat/>
    <w:uiPriority w:val="0"/>
    <w:rPr>
      <w:rFonts w:eastAsia="黑体" w:asciiTheme="majorHAnsi" w:hAnsiTheme="majorHAnsi" w:cstheme="majorBidi"/>
    </w:rPr>
  </w:style>
  <w:style w:type="paragraph" w:customStyle="1" w:styleId="1053">
    <w:name w:val="标书标题5"/>
    <w:basedOn w:val="8"/>
    <w:qFormat/>
    <w:uiPriority w:val="0"/>
    <w:pPr>
      <w:autoSpaceDE w:val="0"/>
      <w:autoSpaceDN w:val="0"/>
      <w:spacing w:before="0" w:after="0" w:line="360" w:lineRule="auto"/>
      <w:ind w:left="992" w:hanging="992"/>
      <w:jc w:val="left"/>
    </w:pPr>
    <w:rPr>
      <w:rFonts w:eastAsia="黑体"/>
      <w:kern w:val="0"/>
      <w:sz w:val="21"/>
    </w:rPr>
  </w:style>
  <w:style w:type="paragraph" w:customStyle="1" w:styleId="1054">
    <w:name w:val="标书正文"/>
    <w:basedOn w:val="1"/>
    <w:link w:val="1055"/>
    <w:qFormat/>
    <w:uiPriority w:val="0"/>
    <w:pPr>
      <w:adjustRightInd/>
      <w:spacing w:line="360" w:lineRule="auto"/>
      <w:ind w:firstLine="480"/>
    </w:pPr>
    <w:rPr>
      <w:rFonts w:ascii="宋体" w:hAnsi="宋体"/>
      <w:sz w:val="24"/>
      <w:szCs w:val="21"/>
    </w:rPr>
  </w:style>
  <w:style w:type="character" w:customStyle="1" w:styleId="1055">
    <w:name w:val="标书正文 Char"/>
    <w:basedOn w:val="70"/>
    <w:link w:val="1054"/>
    <w:qFormat/>
    <w:uiPriority w:val="0"/>
    <w:rPr>
      <w:rFonts w:ascii="宋体" w:hAnsi="宋体"/>
      <w:kern w:val="2"/>
      <w:sz w:val="24"/>
      <w:szCs w:val="21"/>
    </w:rPr>
  </w:style>
  <w:style w:type="paragraph" w:customStyle="1" w:styleId="1056">
    <w:name w:val="p17"/>
    <w:basedOn w:val="1"/>
    <w:qFormat/>
    <w:uiPriority w:val="0"/>
    <w:pPr>
      <w:widowControl/>
      <w:adjustRightInd/>
    </w:pPr>
    <w:rPr>
      <w:kern w:val="0"/>
      <w:szCs w:val="21"/>
    </w:rPr>
  </w:style>
  <w:style w:type="paragraph" w:customStyle="1" w:styleId="1057">
    <w:name w:val="Free Form"/>
    <w:basedOn w:val="1"/>
    <w:qFormat/>
    <w:uiPriority w:val="0"/>
    <w:pPr>
      <w:widowControl/>
      <w:adjustRightInd/>
      <w:jc w:val="left"/>
    </w:pPr>
    <w:rPr>
      <w:rFonts w:cs="宋体"/>
      <w:color w:val="000000"/>
      <w:kern w:val="0"/>
      <w:sz w:val="20"/>
      <w:szCs w:val="20"/>
    </w:rPr>
  </w:style>
  <w:style w:type="paragraph" w:customStyle="1" w:styleId="1058">
    <w:name w:val="Hd 1"/>
    <w:basedOn w:val="1"/>
    <w:qFormat/>
    <w:uiPriority w:val="0"/>
    <w:pPr>
      <w:keepNext/>
      <w:widowControl/>
      <w:adjustRightInd/>
      <w:spacing w:after="240"/>
      <w:ind w:left="432" w:hanging="432"/>
      <w:jc w:val="left"/>
    </w:pPr>
    <w:rPr>
      <w:rFonts w:ascii="Arial Unicode MS" w:hAnsi="Arial Unicode MS" w:eastAsia="Arial Unicode MS" w:cs="Arial Unicode MS"/>
      <w:color w:val="000000"/>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1E10CB-1517-430B-B541-E1FC70CEDE88}">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131</Pages>
  <Words>13241</Words>
  <Characters>75475</Characters>
  <Lines>628</Lines>
  <Paragraphs>177</Paragraphs>
  <TotalTime>0</TotalTime>
  <ScaleCrop>false</ScaleCrop>
  <LinksUpToDate>false</LinksUpToDate>
  <CharactersWithSpaces>88539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BIEI BLUE</cp:lastModifiedBy>
  <cp:lastPrinted>2021-12-27T03:06:00Z</cp:lastPrinted>
  <dcterms:modified xsi:type="dcterms:W3CDTF">2022-03-08T08:33:23Z</dcterms:modified>
  <dc:title>杭州市市民卡扩大发卡工程</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7EBFDA8BBE174241BAFC34FA66271E76</vt:lpwstr>
  </property>
</Properties>
</file>