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auto"/>
        <w:spacing w:line="360" w:lineRule="auto"/>
        <w:jc w:val="center"/>
        <w:rPr>
          <w:rFonts w:hint="eastAsia" w:ascii="宋体" w:hAnsi="宋体" w:cs="宋体"/>
          <w:b/>
          <w:color w:val="000000"/>
          <w:sz w:val="24"/>
          <w:highlight w:val="none"/>
        </w:rPr>
      </w:pPr>
      <w:bookmarkStart w:id="471" w:name="_GoBack"/>
      <w:bookmarkEnd w:id="471"/>
    </w:p>
    <w:p>
      <w:pPr>
        <w:shd w:val="clear" w:color="auto" w:fill="auto"/>
        <w:spacing w:line="360" w:lineRule="auto"/>
        <w:jc w:val="center"/>
        <w:rPr>
          <w:rFonts w:hint="eastAsia" w:ascii="宋体" w:hAnsi="宋体" w:cs="宋体"/>
          <w:b/>
          <w:color w:val="000000"/>
          <w:sz w:val="24"/>
          <w:highlight w:val="none"/>
        </w:rPr>
      </w:pPr>
    </w:p>
    <w:p>
      <w:pPr>
        <w:shd w:val="clear" w:color="auto" w:fill="auto"/>
        <w:adjustRightInd/>
        <w:spacing w:line="360" w:lineRule="auto"/>
        <w:jc w:val="center"/>
        <w:rPr>
          <w:rFonts w:hint="eastAsia" w:ascii="宋体" w:hAnsi="宋体" w:cs="宋体"/>
          <w:b/>
          <w:color w:val="000000"/>
          <w:sz w:val="44"/>
          <w:szCs w:val="44"/>
          <w:highlight w:val="none"/>
        </w:rPr>
      </w:pPr>
      <w:r>
        <w:rPr>
          <w:rFonts w:hint="eastAsia" w:ascii="宋体" w:hAnsi="宋体" w:cs="宋体"/>
          <w:b/>
          <w:bCs/>
          <w:color w:val="000000"/>
          <w:sz w:val="44"/>
          <w:szCs w:val="44"/>
          <w:highlight w:val="none"/>
        </w:rPr>
        <w:t>城厢街道商品房智慧安防小区建设项目</w:t>
      </w:r>
    </w:p>
    <w:p>
      <w:pPr>
        <w:shd w:val="clear" w:color="auto" w:fill="auto"/>
        <w:adjustRightInd/>
        <w:spacing w:line="360" w:lineRule="auto"/>
        <w:jc w:val="center"/>
        <w:rPr>
          <w:rFonts w:hint="eastAsia" w:ascii="宋体" w:hAnsi="宋体" w:cs="宋体"/>
          <w:b/>
          <w:color w:val="000000"/>
          <w:sz w:val="72"/>
          <w:szCs w:val="72"/>
          <w:highlight w:val="none"/>
        </w:rPr>
      </w:pPr>
      <w:r>
        <w:rPr>
          <w:rFonts w:hint="eastAsia" w:ascii="宋体" w:hAnsi="宋体" w:cs="宋体"/>
          <w:b/>
          <w:color w:val="000000"/>
          <w:sz w:val="72"/>
          <w:szCs w:val="72"/>
          <w:highlight w:val="none"/>
        </w:rPr>
        <w:t>招标文件</w:t>
      </w:r>
    </w:p>
    <w:p>
      <w:pPr>
        <w:shd w:val="clear" w:color="auto" w:fill="auto"/>
        <w:adjustRightInd/>
        <w:spacing w:line="360" w:lineRule="auto"/>
        <w:jc w:val="center"/>
        <w:rPr>
          <w:rFonts w:hint="eastAsia" w:ascii="宋体" w:hAnsi="宋体" w:cs="宋体"/>
          <w:b/>
          <w:color w:val="000000"/>
          <w:sz w:val="72"/>
          <w:szCs w:val="72"/>
          <w:highlight w:val="none"/>
        </w:rPr>
      </w:pPr>
    </w:p>
    <w:p>
      <w:pPr>
        <w:shd w:val="clear" w:color="auto" w:fill="auto"/>
        <w:spacing w:line="360" w:lineRule="auto"/>
        <w:jc w:val="center"/>
        <w:rPr>
          <w:rFonts w:hint="eastAsia" w:ascii="宋体" w:hAnsi="宋体" w:cs="宋体"/>
          <w:b/>
          <w:color w:val="000000"/>
          <w:sz w:val="24"/>
          <w:highlight w:val="none"/>
        </w:rPr>
      </w:pPr>
    </w:p>
    <w:p>
      <w:pPr>
        <w:shd w:val="clear" w:color="auto" w:fill="auto"/>
        <w:snapToGrid w:val="0"/>
        <w:spacing w:line="360" w:lineRule="auto"/>
        <w:jc w:val="center"/>
        <w:rPr>
          <w:rFonts w:hint="eastAsia" w:ascii="宋体" w:hAnsi="宋体" w:cs="宋体"/>
          <w:color w:val="000000"/>
          <w:sz w:val="30"/>
          <w:szCs w:val="30"/>
          <w:highlight w:val="none"/>
        </w:rPr>
      </w:pPr>
      <w:r>
        <w:rPr>
          <w:rFonts w:hint="eastAsia" w:ascii="宋体" w:hAnsi="宋体" w:cs="宋体"/>
          <w:color w:val="000000"/>
          <w:sz w:val="30"/>
          <w:szCs w:val="30"/>
          <w:highlight w:val="none"/>
        </w:rPr>
        <w:t>编号:</w:t>
      </w:r>
    </w:p>
    <w:p>
      <w:pPr>
        <w:shd w:val="clear" w:color="auto" w:fill="auto"/>
        <w:adjustRightInd/>
        <w:spacing w:line="360" w:lineRule="auto"/>
        <w:jc w:val="center"/>
        <w:rPr>
          <w:rFonts w:hint="eastAsia" w:ascii="宋体" w:hAnsi="宋体" w:cs="宋体"/>
          <w:color w:val="000000"/>
          <w:sz w:val="28"/>
          <w:szCs w:val="20"/>
          <w:highlight w:val="none"/>
        </w:rPr>
      </w:pPr>
      <w:r>
        <w:rPr>
          <w:rFonts w:hint="eastAsia" w:ascii="宋体" w:hAnsi="宋体" w:cs="宋体"/>
          <w:color w:val="000000"/>
          <w:sz w:val="30"/>
          <w:szCs w:val="30"/>
          <w:highlight w:val="none"/>
        </w:rPr>
        <w:t>城厢2021-052</w:t>
      </w:r>
    </w:p>
    <w:p>
      <w:pPr>
        <w:shd w:val="clear" w:color="auto" w:fill="auto"/>
        <w:spacing w:line="360" w:lineRule="auto"/>
        <w:jc w:val="center"/>
        <w:rPr>
          <w:rFonts w:hint="eastAsia" w:ascii="宋体" w:hAnsi="宋体" w:cs="宋体"/>
          <w:color w:val="000000"/>
          <w:sz w:val="24"/>
          <w:highlight w:val="none"/>
        </w:rPr>
      </w:pPr>
    </w:p>
    <w:p>
      <w:pPr>
        <w:shd w:val="clear" w:color="auto" w:fill="auto"/>
        <w:spacing w:line="360" w:lineRule="auto"/>
        <w:jc w:val="center"/>
        <w:rPr>
          <w:rFonts w:hint="eastAsia" w:ascii="宋体" w:hAnsi="宋体" w:cs="宋体"/>
          <w:color w:val="000000"/>
          <w:sz w:val="24"/>
          <w:highlight w:val="none"/>
        </w:rPr>
      </w:pPr>
    </w:p>
    <w:p>
      <w:pPr>
        <w:shd w:val="clear" w:color="auto" w:fill="auto"/>
        <w:spacing w:line="360" w:lineRule="auto"/>
        <w:jc w:val="center"/>
        <w:rPr>
          <w:rFonts w:hint="eastAsia" w:ascii="宋体" w:hAnsi="宋体" w:cs="宋体"/>
          <w:color w:val="000000"/>
          <w:sz w:val="24"/>
          <w:highlight w:val="none"/>
        </w:rPr>
      </w:pPr>
    </w:p>
    <w:p>
      <w:pPr>
        <w:shd w:val="clear" w:color="auto" w:fill="auto"/>
        <w:spacing w:line="360" w:lineRule="auto"/>
        <w:jc w:val="center"/>
        <w:rPr>
          <w:rFonts w:hint="eastAsia" w:ascii="宋体" w:hAnsi="宋体" w:cs="宋体"/>
          <w:color w:val="000000"/>
          <w:sz w:val="24"/>
          <w:highlight w:val="none"/>
        </w:rPr>
      </w:pPr>
    </w:p>
    <w:p>
      <w:pPr>
        <w:shd w:val="clear" w:color="auto" w:fill="auto"/>
        <w:spacing w:line="360" w:lineRule="auto"/>
        <w:rPr>
          <w:rFonts w:hint="eastAsia" w:ascii="宋体" w:hAnsi="宋体" w:cs="宋体"/>
          <w:color w:val="000000"/>
          <w:sz w:val="32"/>
          <w:szCs w:val="32"/>
          <w:highlight w:val="none"/>
        </w:rPr>
      </w:pPr>
    </w:p>
    <w:p>
      <w:pPr>
        <w:shd w:val="clear" w:color="auto" w:fill="auto"/>
        <w:spacing w:line="360" w:lineRule="auto"/>
        <w:jc w:val="center"/>
        <w:rPr>
          <w:rFonts w:hint="eastAsia" w:ascii="宋体" w:hAnsi="宋体" w:cs="宋体"/>
          <w:b/>
          <w:color w:val="000000"/>
          <w:spacing w:val="41"/>
          <w:sz w:val="32"/>
          <w:szCs w:val="30"/>
          <w:highlight w:val="none"/>
        </w:rPr>
      </w:pPr>
      <w:r>
        <w:rPr>
          <w:rFonts w:hint="eastAsia" w:ascii="宋体" w:hAnsi="宋体" w:cs="宋体"/>
          <w:b/>
          <w:color w:val="000000"/>
          <w:spacing w:val="41"/>
          <w:sz w:val="32"/>
          <w:szCs w:val="30"/>
          <w:highlight w:val="none"/>
        </w:rPr>
        <w:t>杭州市萧山区人民政府城厢街道办事处</w:t>
      </w:r>
    </w:p>
    <w:p>
      <w:pPr>
        <w:shd w:val="clear" w:color="auto" w:fill="auto"/>
        <w:snapToGrid w:val="0"/>
        <w:spacing w:line="360" w:lineRule="auto"/>
        <w:jc w:val="center"/>
        <w:rPr>
          <w:rFonts w:hint="eastAsia" w:ascii="宋体" w:hAnsi="宋体" w:cs="宋体"/>
          <w:b/>
          <w:color w:val="000000"/>
          <w:spacing w:val="-9"/>
          <w:sz w:val="32"/>
          <w:szCs w:val="30"/>
          <w:highlight w:val="none"/>
        </w:rPr>
      </w:pPr>
      <w:r>
        <w:rPr>
          <w:rFonts w:hint="eastAsia" w:ascii="宋体" w:hAnsi="宋体" w:cs="宋体"/>
          <w:b/>
          <w:color w:val="000000"/>
          <w:spacing w:val="-9"/>
          <w:sz w:val="32"/>
          <w:szCs w:val="30"/>
          <w:highlight w:val="none"/>
        </w:rPr>
        <w:t>浙江新诚信工程咨询有限公司</w:t>
      </w:r>
    </w:p>
    <w:p>
      <w:pPr>
        <w:shd w:val="clear" w:color="auto" w:fill="auto"/>
        <w:snapToGrid w:val="0"/>
        <w:spacing w:line="360" w:lineRule="auto"/>
        <w:jc w:val="center"/>
        <w:rPr>
          <w:rFonts w:hint="eastAsia" w:ascii="宋体" w:hAnsi="宋体" w:cs="宋体"/>
          <w:bCs/>
          <w:color w:val="000000"/>
          <w:sz w:val="32"/>
          <w:szCs w:val="32"/>
          <w:highlight w:val="none"/>
        </w:rPr>
      </w:pPr>
      <w:r>
        <w:rPr>
          <w:rFonts w:hint="eastAsia" w:ascii="宋体" w:hAnsi="宋体" w:cs="宋体"/>
          <w:bCs/>
          <w:color w:val="000000"/>
          <w:sz w:val="32"/>
          <w:szCs w:val="32"/>
          <w:highlight w:val="none"/>
        </w:rPr>
        <w:t xml:space="preserve">   2021年11月</w:t>
      </w:r>
    </w:p>
    <w:p>
      <w:pPr>
        <w:shd w:val="clear" w:color="auto" w:fill="auto"/>
        <w:spacing w:line="360" w:lineRule="auto"/>
        <w:jc w:val="center"/>
        <w:rPr>
          <w:rFonts w:hint="eastAsia" w:ascii="宋体" w:hAnsi="宋体" w:cs="宋体"/>
          <w:bCs/>
          <w:color w:val="000000"/>
          <w:sz w:val="32"/>
          <w:szCs w:val="32"/>
          <w:highlight w:val="none"/>
        </w:rPr>
      </w:pPr>
    </w:p>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br w:type="page"/>
      </w:r>
      <w:bookmarkStart w:id="0" w:name="_Hlt67893495"/>
      <w:bookmarkEnd w:id="0"/>
    </w:p>
    <w:p>
      <w:pPr>
        <w:shd w:val="clear" w:color="auto" w:fill="auto"/>
        <w:spacing w:line="360" w:lineRule="auto"/>
        <w:jc w:val="center"/>
        <w:rPr>
          <w:rFonts w:hint="eastAsia" w:ascii="宋体" w:hAnsi="宋体" w:cs="宋体"/>
          <w:color w:val="000000"/>
          <w:sz w:val="24"/>
          <w:highlight w:val="none"/>
        </w:rPr>
      </w:pPr>
    </w:p>
    <w:p>
      <w:pPr>
        <w:shd w:val="clear" w:color="auto" w:fill="auto"/>
        <w:spacing w:line="360" w:lineRule="auto"/>
        <w:jc w:val="center"/>
        <w:rPr>
          <w:rFonts w:hint="eastAsia" w:ascii="宋体" w:hAnsi="宋体" w:cs="宋体"/>
          <w:b/>
          <w:color w:val="000000"/>
          <w:sz w:val="48"/>
          <w:szCs w:val="48"/>
          <w:highlight w:val="none"/>
        </w:rPr>
      </w:pPr>
      <w:r>
        <w:rPr>
          <w:rFonts w:hint="eastAsia" w:ascii="宋体" w:hAnsi="宋体" w:cs="宋体"/>
          <w:b/>
          <w:color w:val="000000"/>
          <w:sz w:val="48"/>
          <w:szCs w:val="48"/>
          <w:highlight w:val="none"/>
        </w:rPr>
        <w:t>目  录</w:t>
      </w:r>
    </w:p>
    <w:p>
      <w:pPr>
        <w:shd w:val="clear" w:color="auto" w:fill="auto"/>
        <w:spacing w:line="360" w:lineRule="auto"/>
        <w:rPr>
          <w:rFonts w:hint="eastAsia" w:ascii="宋体" w:hAnsi="宋体" w:cs="宋体"/>
          <w:color w:val="000000"/>
          <w:sz w:val="32"/>
          <w:szCs w:val="32"/>
          <w:highlight w:val="none"/>
        </w:rPr>
      </w:pPr>
    </w:p>
    <w:p>
      <w:pPr>
        <w:shd w:val="clear" w:color="auto" w:fill="auto"/>
        <w:spacing w:line="360" w:lineRule="auto"/>
        <w:rPr>
          <w:rFonts w:hint="eastAsia" w:ascii="宋体" w:hAnsi="宋体" w:cs="宋体"/>
          <w:color w:val="000000"/>
          <w:sz w:val="32"/>
          <w:szCs w:val="32"/>
          <w:highlight w:val="none"/>
        </w:rPr>
      </w:pPr>
    </w:p>
    <w:p>
      <w:pPr>
        <w:shd w:val="clear" w:color="auto" w:fill="auto"/>
        <w:spacing w:line="360" w:lineRule="auto"/>
        <w:ind w:firstLine="1280" w:firstLineChars="400"/>
        <w:rPr>
          <w:rFonts w:hint="eastAsia" w:ascii="宋体" w:hAnsi="宋体" w:cs="宋体"/>
          <w:color w:val="000000"/>
          <w:sz w:val="32"/>
          <w:szCs w:val="32"/>
          <w:highlight w:val="none"/>
        </w:rPr>
      </w:pPr>
      <w:r>
        <w:rPr>
          <w:rFonts w:hint="eastAsia" w:ascii="宋体" w:hAnsi="宋体" w:cs="宋体"/>
          <w:color w:val="000000"/>
          <w:sz w:val="32"/>
          <w:szCs w:val="32"/>
          <w:highlight w:val="none"/>
        </w:rPr>
        <w:t>第一部分      招标公告</w:t>
      </w:r>
    </w:p>
    <w:p>
      <w:pPr>
        <w:shd w:val="clear" w:color="auto" w:fill="auto"/>
        <w:spacing w:line="360" w:lineRule="auto"/>
        <w:ind w:firstLine="1280" w:firstLineChars="400"/>
        <w:rPr>
          <w:rFonts w:hint="eastAsia" w:ascii="宋体" w:hAnsi="宋体" w:cs="宋体"/>
          <w:color w:val="000000"/>
          <w:sz w:val="32"/>
          <w:szCs w:val="32"/>
          <w:highlight w:val="none"/>
        </w:rPr>
      </w:pPr>
      <w:r>
        <w:rPr>
          <w:rFonts w:hint="eastAsia" w:ascii="宋体" w:hAnsi="宋体" w:cs="宋体"/>
          <w:color w:val="000000"/>
          <w:sz w:val="32"/>
          <w:szCs w:val="32"/>
          <w:highlight w:val="none"/>
        </w:rPr>
        <w:t>第二部分      投标人须知</w:t>
      </w:r>
    </w:p>
    <w:p>
      <w:pPr>
        <w:shd w:val="clear" w:color="auto" w:fill="auto"/>
        <w:spacing w:line="360" w:lineRule="auto"/>
        <w:ind w:firstLine="1280" w:firstLineChars="400"/>
        <w:rPr>
          <w:rFonts w:hint="eastAsia" w:ascii="宋体" w:hAnsi="宋体" w:cs="宋体"/>
          <w:color w:val="000000"/>
          <w:sz w:val="32"/>
          <w:szCs w:val="32"/>
          <w:highlight w:val="none"/>
        </w:rPr>
      </w:pPr>
      <w:r>
        <w:rPr>
          <w:rFonts w:hint="eastAsia" w:ascii="宋体" w:hAnsi="宋体" w:cs="宋体"/>
          <w:color w:val="000000"/>
          <w:sz w:val="32"/>
          <w:szCs w:val="32"/>
          <w:highlight w:val="none"/>
        </w:rPr>
        <w:t>第三部分      采购需求</w:t>
      </w:r>
    </w:p>
    <w:p>
      <w:pPr>
        <w:shd w:val="clear" w:color="auto" w:fill="auto"/>
        <w:spacing w:line="360" w:lineRule="auto"/>
        <w:ind w:firstLine="1280" w:firstLineChars="400"/>
        <w:rPr>
          <w:rFonts w:hint="eastAsia" w:ascii="宋体" w:hAnsi="宋体" w:cs="宋体"/>
          <w:color w:val="000000"/>
          <w:sz w:val="32"/>
          <w:szCs w:val="32"/>
          <w:highlight w:val="none"/>
        </w:rPr>
      </w:pPr>
      <w:r>
        <w:rPr>
          <w:rFonts w:hint="eastAsia" w:ascii="宋体" w:hAnsi="宋体" w:cs="宋体"/>
          <w:color w:val="000000"/>
          <w:sz w:val="32"/>
          <w:szCs w:val="32"/>
          <w:highlight w:val="none"/>
        </w:rPr>
        <w:t>第四部分      评标方法及评分标准</w:t>
      </w:r>
    </w:p>
    <w:p>
      <w:pPr>
        <w:shd w:val="clear" w:color="auto" w:fill="auto"/>
        <w:spacing w:line="360" w:lineRule="auto"/>
        <w:ind w:firstLine="1280" w:firstLineChars="400"/>
        <w:rPr>
          <w:rFonts w:hint="eastAsia" w:ascii="宋体" w:hAnsi="宋体" w:cs="宋体"/>
          <w:color w:val="000000"/>
          <w:sz w:val="32"/>
          <w:szCs w:val="32"/>
          <w:highlight w:val="none"/>
        </w:rPr>
      </w:pPr>
      <w:r>
        <w:rPr>
          <w:rFonts w:hint="eastAsia" w:ascii="宋体" w:hAnsi="宋体" w:cs="宋体"/>
          <w:color w:val="000000"/>
          <w:sz w:val="32"/>
          <w:szCs w:val="32"/>
          <w:highlight w:val="none"/>
        </w:rPr>
        <w:t>第五部分      拟签订的合同文本</w:t>
      </w:r>
    </w:p>
    <w:p>
      <w:pPr>
        <w:shd w:val="clear" w:color="auto" w:fill="auto"/>
        <w:spacing w:line="360" w:lineRule="auto"/>
        <w:ind w:firstLine="1280" w:firstLineChars="400"/>
        <w:rPr>
          <w:rFonts w:hint="eastAsia" w:ascii="宋体" w:hAnsi="宋体" w:cs="宋体"/>
          <w:color w:val="000000"/>
          <w:sz w:val="32"/>
          <w:szCs w:val="32"/>
          <w:highlight w:val="none"/>
        </w:rPr>
      </w:pPr>
      <w:r>
        <w:rPr>
          <w:rFonts w:hint="eastAsia" w:ascii="宋体" w:hAnsi="宋体" w:cs="宋体"/>
          <w:color w:val="000000"/>
          <w:sz w:val="32"/>
          <w:szCs w:val="32"/>
          <w:highlight w:val="none"/>
        </w:rPr>
        <w:t>第六部分      应提交的有关格式范例</w:t>
      </w:r>
    </w:p>
    <w:p>
      <w:pPr>
        <w:shd w:val="clear" w:color="auto" w:fill="auto"/>
        <w:spacing w:line="360" w:lineRule="auto"/>
        <w:ind w:firstLine="549" w:firstLineChars="229"/>
        <w:rPr>
          <w:rFonts w:hint="eastAsia" w:ascii="宋体" w:hAnsi="宋体" w:cs="宋体"/>
          <w:color w:val="000000"/>
          <w:sz w:val="24"/>
          <w:highlight w:val="none"/>
        </w:rPr>
      </w:pPr>
      <w:bookmarkStart w:id="1" w:name="_Hlt91233176"/>
      <w:bookmarkEnd w:id="1"/>
      <w:bookmarkStart w:id="2" w:name="_Toc91899869"/>
    </w:p>
    <w:p>
      <w:pPr>
        <w:shd w:val="clear" w:color="auto" w:fill="auto"/>
        <w:spacing w:line="360" w:lineRule="auto"/>
        <w:ind w:firstLine="549" w:firstLineChars="229"/>
        <w:rPr>
          <w:rFonts w:hint="eastAsia" w:ascii="宋体" w:hAnsi="宋体" w:cs="宋体"/>
          <w:color w:val="000000"/>
          <w:sz w:val="24"/>
          <w:highlight w:val="none"/>
        </w:rPr>
      </w:pPr>
    </w:p>
    <w:p>
      <w:pPr>
        <w:shd w:val="clear" w:color="auto" w:fill="auto"/>
        <w:spacing w:line="360" w:lineRule="auto"/>
        <w:ind w:firstLine="549" w:firstLineChars="229"/>
        <w:rPr>
          <w:rFonts w:hint="eastAsia" w:ascii="宋体" w:hAnsi="宋体" w:cs="宋体"/>
          <w:color w:val="000000"/>
          <w:sz w:val="24"/>
          <w:highlight w:val="none"/>
        </w:rPr>
      </w:pPr>
    </w:p>
    <w:p>
      <w:pPr>
        <w:shd w:val="clear" w:color="auto" w:fill="auto"/>
        <w:spacing w:line="360" w:lineRule="auto"/>
        <w:ind w:firstLine="549" w:firstLineChars="229"/>
        <w:rPr>
          <w:rFonts w:hint="eastAsia" w:ascii="宋体" w:hAnsi="宋体" w:cs="宋体"/>
          <w:color w:val="000000"/>
          <w:sz w:val="24"/>
          <w:highlight w:val="none"/>
        </w:rPr>
      </w:pPr>
    </w:p>
    <w:p>
      <w:pPr>
        <w:shd w:val="clear" w:color="auto" w:fill="auto"/>
        <w:spacing w:line="360" w:lineRule="auto"/>
        <w:ind w:firstLine="549" w:firstLineChars="229"/>
        <w:rPr>
          <w:rFonts w:hint="eastAsia" w:ascii="宋体" w:hAnsi="宋体" w:cs="宋体"/>
          <w:color w:val="000000"/>
          <w:sz w:val="24"/>
          <w:highlight w:val="none"/>
        </w:rPr>
      </w:pPr>
    </w:p>
    <w:p>
      <w:pPr>
        <w:shd w:val="clear" w:color="auto" w:fill="auto"/>
        <w:spacing w:line="360" w:lineRule="auto"/>
        <w:ind w:firstLine="549" w:firstLineChars="229"/>
        <w:rPr>
          <w:rFonts w:hint="eastAsia" w:ascii="宋体" w:hAnsi="宋体" w:cs="宋体"/>
          <w:color w:val="000000"/>
          <w:sz w:val="24"/>
          <w:highlight w:val="none"/>
        </w:rPr>
      </w:pPr>
    </w:p>
    <w:p>
      <w:pPr>
        <w:shd w:val="clear" w:color="auto" w:fill="auto"/>
        <w:spacing w:line="360" w:lineRule="auto"/>
        <w:ind w:firstLine="549" w:firstLineChars="229"/>
        <w:rPr>
          <w:rFonts w:hint="eastAsia" w:ascii="宋体" w:hAnsi="宋体" w:cs="宋体"/>
          <w:color w:val="000000"/>
          <w:sz w:val="24"/>
          <w:highlight w:val="none"/>
        </w:rPr>
      </w:pPr>
    </w:p>
    <w:p>
      <w:pPr>
        <w:shd w:val="clear" w:color="auto" w:fill="auto"/>
        <w:spacing w:line="360" w:lineRule="auto"/>
        <w:ind w:firstLine="549" w:firstLineChars="229"/>
        <w:rPr>
          <w:rFonts w:hint="eastAsia" w:ascii="宋体" w:hAnsi="宋体" w:cs="宋体"/>
          <w:color w:val="000000"/>
          <w:sz w:val="24"/>
          <w:highlight w:val="none"/>
        </w:rPr>
      </w:pPr>
    </w:p>
    <w:p>
      <w:pPr>
        <w:shd w:val="clear" w:color="auto" w:fill="auto"/>
        <w:spacing w:line="360" w:lineRule="auto"/>
        <w:ind w:firstLine="549" w:firstLineChars="229"/>
        <w:rPr>
          <w:rFonts w:hint="eastAsia" w:ascii="宋体" w:hAnsi="宋体" w:cs="宋体"/>
          <w:color w:val="000000"/>
          <w:sz w:val="24"/>
          <w:highlight w:val="none"/>
        </w:rPr>
      </w:pPr>
    </w:p>
    <w:p>
      <w:pPr>
        <w:shd w:val="clear" w:color="auto" w:fill="auto"/>
        <w:spacing w:line="360" w:lineRule="auto"/>
        <w:ind w:firstLine="549" w:firstLineChars="229"/>
        <w:rPr>
          <w:rFonts w:hint="eastAsia" w:ascii="宋体" w:hAnsi="宋体" w:cs="宋体"/>
          <w:color w:val="000000"/>
          <w:sz w:val="24"/>
          <w:highlight w:val="none"/>
        </w:rPr>
      </w:pPr>
    </w:p>
    <w:p>
      <w:pPr>
        <w:shd w:val="clear" w:color="auto" w:fill="auto"/>
        <w:spacing w:line="360" w:lineRule="auto"/>
        <w:ind w:firstLine="549" w:firstLineChars="229"/>
        <w:rPr>
          <w:rFonts w:hint="eastAsia" w:ascii="宋体" w:hAnsi="宋体" w:cs="宋体"/>
          <w:color w:val="000000"/>
          <w:sz w:val="24"/>
          <w:highlight w:val="none"/>
        </w:rPr>
      </w:pPr>
    </w:p>
    <w:p>
      <w:pPr>
        <w:shd w:val="clear" w:color="auto" w:fill="auto"/>
        <w:spacing w:line="360" w:lineRule="auto"/>
        <w:ind w:firstLine="549" w:firstLineChars="229"/>
        <w:rPr>
          <w:rFonts w:hint="eastAsia" w:ascii="宋体" w:hAnsi="宋体" w:cs="宋体"/>
          <w:color w:val="000000"/>
          <w:sz w:val="24"/>
          <w:highlight w:val="none"/>
        </w:rPr>
      </w:pPr>
    </w:p>
    <w:p>
      <w:pPr>
        <w:shd w:val="clear" w:color="auto" w:fill="auto"/>
        <w:spacing w:line="360" w:lineRule="auto"/>
        <w:ind w:firstLine="549" w:firstLineChars="229"/>
        <w:rPr>
          <w:rFonts w:hint="eastAsia" w:ascii="宋体" w:hAnsi="宋体" w:cs="宋体"/>
          <w:color w:val="000000"/>
          <w:sz w:val="24"/>
          <w:highlight w:val="none"/>
        </w:rPr>
      </w:pPr>
    </w:p>
    <w:p>
      <w:pPr>
        <w:shd w:val="clear" w:color="auto" w:fill="auto"/>
        <w:spacing w:line="360" w:lineRule="auto"/>
        <w:rPr>
          <w:rFonts w:hint="eastAsia" w:ascii="宋体" w:hAnsi="宋体" w:cs="宋体"/>
          <w:color w:val="000000"/>
          <w:sz w:val="24"/>
          <w:highlight w:val="none"/>
        </w:rPr>
      </w:pPr>
    </w:p>
    <w:p>
      <w:pPr>
        <w:shd w:val="clear" w:color="auto" w:fill="auto"/>
        <w:adjustRightInd/>
        <w:spacing w:line="360" w:lineRule="auto"/>
        <w:jc w:val="center"/>
        <w:outlineLvl w:val="0"/>
        <w:rPr>
          <w:rFonts w:hint="eastAsia" w:ascii="宋体" w:hAnsi="宋体" w:cs="宋体"/>
          <w:b/>
          <w:color w:val="000000"/>
          <w:sz w:val="36"/>
          <w:szCs w:val="20"/>
          <w:highlight w:val="none"/>
        </w:rPr>
      </w:pPr>
      <w:bookmarkStart w:id="3" w:name="第一部分"/>
      <w:r>
        <w:rPr>
          <w:rFonts w:hint="eastAsia" w:ascii="宋体" w:hAnsi="宋体" w:cs="宋体"/>
          <w:b/>
          <w:color w:val="000000"/>
          <w:sz w:val="36"/>
          <w:szCs w:val="36"/>
          <w:highlight w:val="none"/>
        </w:rPr>
        <w:br w:type="page"/>
      </w:r>
      <w:bookmarkEnd w:id="2"/>
      <w:bookmarkEnd w:id="3"/>
      <w:bookmarkStart w:id="4" w:name="_Hlt74728647"/>
      <w:bookmarkEnd w:id="4"/>
      <w:bookmarkStart w:id="5" w:name="_Hlt74707423"/>
      <w:bookmarkEnd w:id="5"/>
      <w:bookmarkStart w:id="6" w:name="_Hlt74649545"/>
      <w:bookmarkEnd w:id="6"/>
      <w:bookmarkStart w:id="7" w:name="_Hlt74729822"/>
      <w:bookmarkEnd w:id="7"/>
      <w:bookmarkStart w:id="8" w:name="第二部分"/>
      <w:bookmarkStart w:id="9" w:name="_Toc91899870"/>
      <w:bookmarkStart w:id="10" w:name="_Toc91899871"/>
      <w:r>
        <w:rPr>
          <w:rFonts w:hint="eastAsia" w:ascii="宋体" w:hAnsi="宋体" w:cs="宋体"/>
          <w:b/>
          <w:color w:val="000000"/>
          <w:sz w:val="36"/>
          <w:szCs w:val="20"/>
          <w:highlight w:val="none"/>
        </w:rPr>
        <w:t>第一部分 招标公告</w:t>
      </w:r>
    </w:p>
    <w:p>
      <w:pPr>
        <w:pBdr>
          <w:top w:val="single" w:color="auto" w:sz="4" w:space="1"/>
          <w:left w:val="single" w:color="auto" w:sz="4" w:space="4"/>
          <w:bottom w:val="single" w:color="auto" w:sz="4" w:space="1"/>
          <w:right w:val="single" w:color="auto" w:sz="4" w:space="4"/>
        </w:pBdr>
        <w:shd w:val="clear" w:color="auto" w:fill="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项目概况</w:t>
      </w:r>
    </w:p>
    <w:p>
      <w:pPr>
        <w:pBdr>
          <w:top w:val="single" w:color="auto" w:sz="4" w:space="1"/>
          <w:left w:val="single" w:color="auto" w:sz="4" w:space="4"/>
          <w:bottom w:val="single" w:color="auto" w:sz="4" w:space="1"/>
          <w:right w:val="single" w:color="auto" w:sz="4" w:space="4"/>
        </w:pBdr>
        <w:shd w:val="clear" w:color="auto" w:fill="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 xml:space="preserve"> 城厢街道商品房智慧安防小区建设项目 招标项目的潜在投标人应在 政府采购云平台（https://www.zcygov.cn/）；获取（下载）招标文件，并于2021</w:t>
      </w:r>
      <w:r>
        <w:rPr>
          <w:rFonts w:hint="eastAsia" w:ascii="宋体" w:hAnsi="宋体" w:cs="宋体"/>
          <w:bCs/>
          <w:color w:val="000000"/>
          <w:sz w:val="24"/>
          <w:highlight w:val="none"/>
        </w:rPr>
        <w:t>年</w:t>
      </w:r>
      <w:r>
        <w:rPr>
          <w:rFonts w:hint="eastAsia" w:ascii="宋体" w:hAnsi="宋体" w:cs="宋体"/>
          <w:bCs/>
          <w:color w:val="000000"/>
          <w:sz w:val="24"/>
          <w:highlight w:val="none"/>
          <w:lang w:val="en-US" w:eastAsia="zh-CN"/>
        </w:rPr>
        <w:t>1</w:t>
      </w:r>
      <w:r>
        <w:rPr>
          <w:rFonts w:hint="eastAsia" w:ascii="宋体" w:hAnsi="宋体" w:cs="宋体"/>
          <w:bCs/>
          <w:color w:val="000000"/>
          <w:sz w:val="24"/>
          <w:highlight w:val="none"/>
          <w:lang w:val="en-US" w:eastAsia="zh-CN"/>
        </w:rPr>
        <w:t>2</w:t>
      </w:r>
      <w:r>
        <w:rPr>
          <w:rFonts w:hint="eastAsia" w:ascii="宋体" w:hAnsi="宋体" w:cs="宋体"/>
          <w:bCs/>
          <w:color w:val="000000"/>
          <w:sz w:val="24"/>
          <w:highlight w:val="none"/>
        </w:rPr>
        <w:t>月</w:t>
      </w:r>
      <w:r>
        <w:rPr>
          <w:rFonts w:hint="eastAsia" w:ascii="宋体" w:hAnsi="宋体" w:cs="宋体"/>
          <w:bCs/>
          <w:color w:val="000000"/>
          <w:sz w:val="24"/>
          <w:highlight w:val="none"/>
          <w:lang w:val="en-US" w:eastAsia="zh-CN"/>
        </w:rPr>
        <w:t>6</w:t>
      </w:r>
      <w:r>
        <w:rPr>
          <w:rFonts w:hint="eastAsia" w:ascii="宋体" w:hAnsi="宋体" w:cs="宋体"/>
          <w:bCs/>
          <w:color w:val="000000"/>
          <w:sz w:val="24"/>
          <w:highlight w:val="none"/>
        </w:rPr>
        <w:t>日09：00（北京时间）前递交（上传）投标文件</w:t>
      </w:r>
      <w:r>
        <w:rPr>
          <w:rFonts w:hint="eastAsia" w:ascii="宋体" w:hAnsi="宋体" w:cs="宋体"/>
          <w:color w:val="000000"/>
          <w:sz w:val="24"/>
          <w:highlight w:val="none"/>
        </w:rPr>
        <w:t>。</w:t>
      </w:r>
    </w:p>
    <w:p>
      <w:pPr>
        <w:shd w:val="clear" w:color="auto" w:fill="auto"/>
        <w:rPr>
          <w:rFonts w:hint="eastAsia" w:ascii="宋体" w:hAnsi="宋体" w:cs="宋体"/>
          <w:color w:val="000000"/>
          <w:sz w:val="24"/>
          <w:highlight w:val="none"/>
        </w:rPr>
      </w:pPr>
    </w:p>
    <w:p>
      <w:pPr>
        <w:pStyle w:val="4"/>
        <w:numPr>
          <w:ilvl w:val="0"/>
          <w:numId w:val="0"/>
        </w:numPr>
        <w:shd w:val="clear" w:color="auto" w:fill="auto"/>
        <w:rPr>
          <w:rFonts w:hint="eastAsia" w:ascii="宋体" w:hAnsi="宋体" w:eastAsia="宋体" w:cs="宋体"/>
          <w:bCs w:val="0"/>
          <w:color w:val="000000"/>
          <w:sz w:val="24"/>
          <w:szCs w:val="24"/>
          <w:highlight w:val="none"/>
        </w:rPr>
      </w:pPr>
      <w:bookmarkStart w:id="11" w:name="_Toc28359079"/>
      <w:bookmarkStart w:id="12" w:name="_Toc28359002"/>
      <w:bookmarkStart w:id="13" w:name="_Toc35393621"/>
      <w:bookmarkStart w:id="14" w:name="_Toc35393790"/>
      <w:bookmarkStart w:id="15" w:name="_Hlk24379207"/>
      <w:r>
        <w:rPr>
          <w:rFonts w:hint="eastAsia" w:ascii="宋体" w:hAnsi="宋体" w:eastAsia="宋体" w:cs="宋体"/>
          <w:bCs w:val="0"/>
          <w:color w:val="000000"/>
          <w:sz w:val="24"/>
          <w:szCs w:val="24"/>
          <w:highlight w:val="none"/>
        </w:rPr>
        <w:t>一、项目基本情况</w:t>
      </w:r>
      <w:bookmarkEnd w:id="11"/>
      <w:bookmarkEnd w:id="12"/>
      <w:bookmarkEnd w:id="13"/>
      <w:bookmarkEnd w:id="14"/>
    </w:p>
    <w:p>
      <w:pPr>
        <w:shd w:val="clear" w:color="auto" w:fill="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项目编号：城厢2021-052</w:t>
      </w:r>
    </w:p>
    <w:p>
      <w:pPr>
        <w:shd w:val="clear" w:color="auto" w:fill="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项目名称：城厢街道商品房智慧安防小区建设项目</w:t>
      </w:r>
    </w:p>
    <w:bookmarkEnd w:id="15"/>
    <w:p>
      <w:pPr>
        <w:shd w:val="clear" w:color="auto" w:fill="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 xml:space="preserve">预算金额（元）： 9570000   </w:t>
      </w:r>
    </w:p>
    <w:p>
      <w:pPr>
        <w:shd w:val="clear" w:color="auto" w:fill="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 xml:space="preserve">最高限价（元）： 2560000，2720000，2590000，1700000  </w:t>
      </w:r>
    </w:p>
    <w:p>
      <w:pPr>
        <w:shd w:val="clear" w:color="auto" w:fill="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采购需求：</w:t>
      </w:r>
    </w:p>
    <w:p>
      <w:pPr>
        <w:shd w:val="clear" w:color="auto" w:fill="auto"/>
        <w:ind w:firstLine="720" w:firstLineChars="300"/>
        <w:rPr>
          <w:rFonts w:hint="eastAsia" w:ascii="宋体" w:hAnsi="宋体" w:cs="宋体"/>
          <w:color w:val="000000"/>
          <w:sz w:val="24"/>
          <w:highlight w:val="none"/>
        </w:rPr>
      </w:pPr>
    </w:p>
    <w:p>
      <w:pPr>
        <w:shd w:val="clear" w:color="auto" w:fill="auto"/>
        <w:ind w:firstLine="720" w:firstLineChars="300"/>
        <w:rPr>
          <w:rFonts w:hint="eastAsia" w:ascii="宋体" w:hAnsi="宋体" w:cs="宋体"/>
          <w:color w:val="000000"/>
          <w:sz w:val="24"/>
          <w:highlight w:val="none"/>
        </w:rPr>
      </w:pPr>
      <w:r>
        <w:rPr>
          <w:rFonts w:hint="eastAsia" w:ascii="宋体" w:hAnsi="宋体" w:cs="宋体"/>
          <w:color w:val="000000"/>
          <w:sz w:val="24"/>
          <w:highlight w:val="none"/>
        </w:rPr>
        <w:t>标项一:</w:t>
      </w:r>
      <w:r>
        <w:rPr>
          <w:rFonts w:hint="eastAsia" w:ascii="宋体" w:hAnsi="宋体" w:cs="宋体"/>
          <w:color w:val="000000"/>
          <w:sz w:val="24"/>
          <w:highlight w:val="none"/>
        </w:rPr>
        <w:br w:type="textWrapping"/>
      </w:r>
      <w:r>
        <w:rPr>
          <w:rFonts w:hint="eastAsia" w:ascii="宋体" w:hAnsi="宋体" w:cs="宋体"/>
          <w:color w:val="000000"/>
          <w:sz w:val="24"/>
          <w:highlight w:val="none"/>
        </w:rPr>
        <w:t>    标项名称: 城厢街道商品房智慧安防小区建设项目标项一</w:t>
      </w:r>
      <w:r>
        <w:rPr>
          <w:rFonts w:hint="eastAsia" w:ascii="宋体" w:hAnsi="宋体" w:cs="宋体"/>
          <w:color w:val="000000"/>
          <w:sz w:val="24"/>
          <w:highlight w:val="none"/>
        </w:rPr>
        <w:br w:type="textWrapping"/>
      </w:r>
      <w:r>
        <w:rPr>
          <w:rFonts w:hint="eastAsia" w:ascii="宋体" w:hAnsi="宋体" w:cs="宋体"/>
          <w:color w:val="000000"/>
          <w:sz w:val="24"/>
          <w:highlight w:val="none"/>
        </w:rPr>
        <w:t>    数量: 1  </w:t>
      </w:r>
      <w:r>
        <w:rPr>
          <w:rFonts w:hint="eastAsia" w:ascii="宋体" w:hAnsi="宋体" w:cs="宋体"/>
          <w:color w:val="000000"/>
          <w:sz w:val="24"/>
          <w:highlight w:val="none"/>
        </w:rPr>
        <w:br w:type="textWrapping"/>
      </w:r>
      <w:r>
        <w:rPr>
          <w:rFonts w:hint="eastAsia" w:ascii="宋体" w:hAnsi="宋体" w:cs="宋体"/>
          <w:color w:val="000000"/>
          <w:sz w:val="24"/>
          <w:highlight w:val="none"/>
        </w:rPr>
        <w:t>    预算金额（元）: 2560000</w:t>
      </w:r>
      <w:r>
        <w:rPr>
          <w:rFonts w:hint="eastAsia" w:ascii="宋体" w:hAnsi="宋体" w:cs="宋体"/>
          <w:color w:val="000000"/>
          <w:sz w:val="24"/>
          <w:highlight w:val="none"/>
        </w:rPr>
        <w:br w:type="textWrapping"/>
      </w:r>
      <w:r>
        <w:rPr>
          <w:rFonts w:hint="eastAsia" w:ascii="宋体" w:hAnsi="宋体" w:cs="宋体"/>
          <w:color w:val="000000"/>
          <w:sz w:val="24"/>
          <w:highlight w:val="none"/>
        </w:rPr>
        <w:t>    简要规格描述或项目基本概况介绍、用途：详见采购需求 </w:t>
      </w:r>
      <w:r>
        <w:rPr>
          <w:rFonts w:hint="eastAsia" w:ascii="宋体" w:hAnsi="宋体" w:cs="宋体"/>
          <w:color w:val="000000"/>
          <w:sz w:val="24"/>
          <w:highlight w:val="none"/>
        </w:rPr>
        <w:br w:type="textWrapping"/>
      </w:r>
      <w:r>
        <w:rPr>
          <w:rFonts w:hint="eastAsia" w:ascii="宋体" w:hAnsi="宋体" w:cs="宋体"/>
          <w:color w:val="000000"/>
          <w:sz w:val="24"/>
          <w:highlight w:val="none"/>
        </w:rPr>
        <w:t>    备注：</w:t>
      </w:r>
    </w:p>
    <w:p>
      <w:pPr>
        <w:shd w:val="clear" w:color="auto" w:fill="auto"/>
        <w:ind w:firstLine="720" w:firstLineChars="300"/>
        <w:rPr>
          <w:rFonts w:hint="eastAsia" w:ascii="宋体" w:hAnsi="宋体" w:cs="宋体"/>
          <w:color w:val="000000"/>
          <w:sz w:val="24"/>
          <w:highlight w:val="none"/>
        </w:rPr>
      </w:pPr>
    </w:p>
    <w:p>
      <w:pPr>
        <w:shd w:val="clear" w:color="auto" w:fill="auto"/>
        <w:ind w:firstLine="720" w:firstLineChars="300"/>
        <w:rPr>
          <w:rFonts w:hint="eastAsia" w:ascii="宋体" w:hAnsi="宋体" w:cs="宋体"/>
          <w:color w:val="000000"/>
          <w:sz w:val="24"/>
          <w:highlight w:val="none"/>
        </w:rPr>
      </w:pPr>
      <w:r>
        <w:rPr>
          <w:rFonts w:hint="eastAsia" w:ascii="宋体" w:hAnsi="宋体" w:cs="宋体"/>
          <w:color w:val="000000"/>
          <w:sz w:val="24"/>
          <w:highlight w:val="none"/>
        </w:rPr>
        <w:t>标项二:</w:t>
      </w:r>
      <w:r>
        <w:rPr>
          <w:rFonts w:hint="eastAsia" w:ascii="宋体" w:hAnsi="宋体" w:cs="宋体"/>
          <w:color w:val="000000"/>
          <w:sz w:val="24"/>
          <w:highlight w:val="none"/>
        </w:rPr>
        <w:br w:type="textWrapping"/>
      </w:r>
      <w:r>
        <w:rPr>
          <w:rFonts w:hint="eastAsia" w:ascii="宋体" w:hAnsi="宋体" w:cs="宋体"/>
          <w:color w:val="000000"/>
          <w:sz w:val="24"/>
          <w:highlight w:val="none"/>
        </w:rPr>
        <w:t>    标项名称: 城厢街道商品房智慧安防小区建设项目标项二</w:t>
      </w:r>
      <w:r>
        <w:rPr>
          <w:rFonts w:hint="eastAsia" w:ascii="宋体" w:hAnsi="宋体" w:cs="宋体"/>
          <w:color w:val="000000"/>
          <w:sz w:val="24"/>
          <w:highlight w:val="none"/>
        </w:rPr>
        <w:br w:type="textWrapping"/>
      </w:r>
      <w:r>
        <w:rPr>
          <w:rFonts w:hint="eastAsia" w:ascii="宋体" w:hAnsi="宋体" w:cs="宋体"/>
          <w:color w:val="000000"/>
          <w:sz w:val="24"/>
          <w:highlight w:val="none"/>
        </w:rPr>
        <w:t>    数量: 1  </w:t>
      </w:r>
      <w:r>
        <w:rPr>
          <w:rFonts w:hint="eastAsia" w:ascii="宋体" w:hAnsi="宋体" w:cs="宋体"/>
          <w:color w:val="000000"/>
          <w:sz w:val="24"/>
          <w:highlight w:val="none"/>
        </w:rPr>
        <w:br w:type="textWrapping"/>
      </w:r>
      <w:r>
        <w:rPr>
          <w:rFonts w:hint="eastAsia" w:ascii="宋体" w:hAnsi="宋体" w:cs="宋体"/>
          <w:color w:val="000000"/>
          <w:sz w:val="24"/>
          <w:highlight w:val="none"/>
        </w:rPr>
        <w:t>    预算金额（元）: 2720000</w:t>
      </w:r>
      <w:r>
        <w:rPr>
          <w:rFonts w:hint="eastAsia" w:ascii="宋体" w:hAnsi="宋体" w:cs="宋体"/>
          <w:color w:val="000000"/>
          <w:sz w:val="24"/>
          <w:highlight w:val="none"/>
        </w:rPr>
        <w:br w:type="textWrapping"/>
      </w:r>
      <w:r>
        <w:rPr>
          <w:rFonts w:hint="eastAsia" w:ascii="宋体" w:hAnsi="宋体" w:cs="宋体"/>
          <w:color w:val="000000"/>
          <w:sz w:val="24"/>
          <w:highlight w:val="none"/>
        </w:rPr>
        <w:t>    简要规格描述或项目基本概况介绍、用途：详见采购需求 </w:t>
      </w:r>
      <w:r>
        <w:rPr>
          <w:rFonts w:hint="eastAsia" w:ascii="宋体" w:hAnsi="宋体" w:cs="宋体"/>
          <w:color w:val="000000"/>
          <w:sz w:val="24"/>
          <w:highlight w:val="none"/>
        </w:rPr>
        <w:br w:type="textWrapping"/>
      </w:r>
      <w:r>
        <w:rPr>
          <w:rFonts w:hint="eastAsia" w:ascii="宋体" w:hAnsi="宋体" w:cs="宋体"/>
          <w:color w:val="000000"/>
          <w:sz w:val="24"/>
          <w:highlight w:val="none"/>
        </w:rPr>
        <w:t>    备注：</w:t>
      </w:r>
    </w:p>
    <w:p>
      <w:pPr>
        <w:shd w:val="clear" w:color="auto" w:fill="auto"/>
        <w:ind w:firstLine="720" w:firstLineChars="300"/>
        <w:rPr>
          <w:rFonts w:hint="eastAsia" w:ascii="宋体" w:hAnsi="宋体" w:cs="宋体"/>
          <w:color w:val="000000"/>
          <w:sz w:val="24"/>
          <w:highlight w:val="none"/>
        </w:rPr>
      </w:pPr>
    </w:p>
    <w:p>
      <w:pPr>
        <w:shd w:val="clear" w:color="auto" w:fill="auto"/>
        <w:ind w:firstLine="720" w:firstLineChars="300"/>
        <w:rPr>
          <w:rFonts w:hint="eastAsia" w:ascii="宋体" w:hAnsi="宋体" w:cs="宋体"/>
          <w:color w:val="000000"/>
          <w:sz w:val="24"/>
          <w:highlight w:val="none"/>
        </w:rPr>
      </w:pPr>
      <w:r>
        <w:rPr>
          <w:rFonts w:hint="eastAsia" w:ascii="宋体" w:hAnsi="宋体" w:cs="宋体"/>
          <w:color w:val="000000"/>
          <w:sz w:val="24"/>
          <w:highlight w:val="none"/>
        </w:rPr>
        <w:t>标项三:</w:t>
      </w:r>
      <w:r>
        <w:rPr>
          <w:rFonts w:hint="eastAsia" w:ascii="宋体" w:hAnsi="宋体" w:cs="宋体"/>
          <w:color w:val="000000"/>
          <w:sz w:val="24"/>
          <w:highlight w:val="none"/>
        </w:rPr>
        <w:br w:type="textWrapping"/>
      </w:r>
      <w:r>
        <w:rPr>
          <w:rFonts w:hint="eastAsia" w:ascii="宋体" w:hAnsi="宋体" w:cs="宋体"/>
          <w:color w:val="000000"/>
          <w:sz w:val="24"/>
          <w:highlight w:val="none"/>
        </w:rPr>
        <w:t>    标项名称: 城厢街道商品房智慧安防小区建设项目标项三</w:t>
      </w:r>
      <w:r>
        <w:rPr>
          <w:rFonts w:hint="eastAsia" w:ascii="宋体" w:hAnsi="宋体" w:cs="宋体"/>
          <w:color w:val="000000"/>
          <w:sz w:val="24"/>
          <w:highlight w:val="none"/>
        </w:rPr>
        <w:br w:type="textWrapping"/>
      </w:r>
      <w:r>
        <w:rPr>
          <w:rFonts w:hint="eastAsia" w:ascii="宋体" w:hAnsi="宋体" w:cs="宋体"/>
          <w:color w:val="000000"/>
          <w:sz w:val="24"/>
          <w:highlight w:val="none"/>
        </w:rPr>
        <w:t>    数量: 1  </w:t>
      </w:r>
      <w:r>
        <w:rPr>
          <w:rFonts w:hint="eastAsia" w:ascii="宋体" w:hAnsi="宋体" w:cs="宋体"/>
          <w:color w:val="000000"/>
          <w:sz w:val="24"/>
          <w:highlight w:val="none"/>
        </w:rPr>
        <w:br w:type="textWrapping"/>
      </w:r>
      <w:r>
        <w:rPr>
          <w:rFonts w:hint="eastAsia" w:ascii="宋体" w:hAnsi="宋体" w:cs="宋体"/>
          <w:color w:val="000000"/>
          <w:sz w:val="24"/>
          <w:highlight w:val="none"/>
        </w:rPr>
        <w:t>    预算金额（元）: 2590000</w:t>
      </w:r>
      <w:r>
        <w:rPr>
          <w:rFonts w:hint="eastAsia" w:ascii="宋体" w:hAnsi="宋体" w:cs="宋体"/>
          <w:color w:val="000000"/>
          <w:sz w:val="24"/>
          <w:highlight w:val="none"/>
        </w:rPr>
        <w:br w:type="textWrapping"/>
      </w:r>
      <w:r>
        <w:rPr>
          <w:rFonts w:hint="eastAsia" w:ascii="宋体" w:hAnsi="宋体" w:cs="宋体"/>
          <w:color w:val="000000"/>
          <w:sz w:val="24"/>
          <w:highlight w:val="none"/>
        </w:rPr>
        <w:t>    简要规格描述或项目基本概况介绍、用途：详见采购需求 </w:t>
      </w:r>
      <w:r>
        <w:rPr>
          <w:rFonts w:hint="eastAsia" w:ascii="宋体" w:hAnsi="宋体" w:cs="宋体"/>
          <w:color w:val="000000"/>
          <w:sz w:val="24"/>
          <w:highlight w:val="none"/>
        </w:rPr>
        <w:br w:type="textWrapping"/>
      </w:r>
      <w:r>
        <w:rPr>
          <w:rFonts w:hint="eastAsia" w:ascii="宋体" w:hAnsi="宋体" w:cs="宋体"/>
          <w:color w:val="000000"/>
          <w:sz w:val="24"/>
          <w:highlight w:val="none"/>
        </w:rPr>
        <w:t>    备注：</w:t>
      </w:r>
    </w:p>
    <w:p>
      <w:pPr>
        <w:shd w:val="clear" w:color="auto" w:fill="auto"/>
        <w:ind w:firstLine="720" w:firstLineChars="300"/>
        <w:rPr>
          <w:rFonts w:hint="eastAsia" w:ascii="宋体" w:hAnsi="宋体" w:cs="宋体"/>
          <w:color w:val="000000"/>
          <w:sz w:val="24"/>
          <w:highlight w:val="none"/>
        </w:rPr>
      </w:pPr>
    </w:p>
    <w:p>
      <w:pPr>
        <w:shd w:val="clear" w:color="auto" w:fill="auto"/>
        <w:ind w:firstLine="720" w:firstLineChars="300"/>
        <w:rPr>
          <w:rFonts w:hint="eastAsia" w:ascii="宋体" w:hAnsi="宋体" w:cs="宋体"/>
          <w:color w:val="000000"/>
          <w:sz w:val="24"/>
          <w:highlight w:val="none"/>
        </w:rPr>
      </w:pPr>
      <w:r>
        <w:rPr>
          <w:rFonts w:hint="eastAsia" w:ascii="宋体" w:hAnsi="宋体" w:cs="宋体"/>
          <w:color w:val="000000"/>
          <w:sz w:val="24"/>
          <w:highlight w:val="none"/>
        </w:rPr>
        <w:t>标项四:</w:t>
      </w:r>
      <w:r>
        <w:rPr>
          <w:rFonts w:hint="eastAsia" w:ascii="宋体" w:hAnsi="宋体" w:cs="宋体"/>
          <w:color w:val="000000"/>
          <w:sz w:val="24"/>
          <w:highlight w:val="none"/>
        </w:rPr>
        <w:br w:type="textWrapping"/>
      </w:r>
      <w:r>
        <w:rPr>
          <w:rFonts w:hint="eastAsia" w:ascii="宋体" w:hAnsi="宋体" w:cs="宋体"/>
          <w:color w:val="000000"/>
          <w:sz w:val="24"/>
          <w:highlight w:val="none"/>
        </w:rPr>
        <w:t>    标项名称: 城厢街道商品房智慧安防小区建设项目标项四</w:t>
      </w:r>
      <w:r>
        <w:rPr>
          <w:rFonts w:hint="eastAsia" w:ascii="宋体" w:hAnsi="宋体" w:cs="宋体"/>
          <w:color w:val="000000"/>
          <w:sz w:val="24"/>
          <w:highlight w:val="none"/>
        </w:rPr>
        <w:br w:type="textWrapping"/>
      </w:r>
      <w:r>
        <w:rPr>
          <w:rFonts w:hint="eastAsia" w:ascii="宋体" w:hAnsi="宋体" w:cs="宋体"/>
          <w:color w:val="000000"/>
          <w:sz w:val="24"/>
          <w:highlight w:val="none"/>
        </w:rPr>
        <w:t>    数量: 1  </w:t>
      </w:r>
      <w:r>
        <w:rPr>
          <w:rFonts w:hint="eastAsia" w:ascii="宋体" w:hAnsi="宋体" w:cs="宋体"/>
          <w:color w:val="000000"/>
          <w:sz w:val="24"/>
          <w:highlight w:val="none"/>
        </w:rPr>
        <w:br w:type="textWrapping"/>
      </w:r>
      <w:r>
        <w:rPr>
          <w:rFonts w:hint="eastAsia" w:ascii="宋体" w:hAnsi="宋体" w:cs="宋体"/>
          <w:color w:val="000000"/>
          <w:sz w:val="24"/>
          <w:highlight w:val="none"/>
        </w:rPr>
        <w:t>    预算金额（元）: 1700000</w:t>
      </w:r>
      <w:r>
        <w:rPr>
          <w:rFonts w:hint="eastAsia" w:ascii="宋体" w:hAnsi="宋体" w:cs="宋体"/>
          <w:color w:val="000000"/>
          <w:sz w:val="24"/>
          <w:highlight w:val="none"/>
        </w:rPr>
        <w:br w:type="textWrapping"/>
      </w:r>
      <w:r>
        <w:rPr>
          <w:rFonts w:hint="eastAsia" w:ascii="宋体" w:hAnsi="宋体" w:cs="宋体"/>
          <w:color w:val="000000"/>
          <w:sz w:val="24"/>
          <w:highlight w:val="none"/>
        </w:rPr>
        <w:t>    简要规格描述或项目基本概况介绍、用途：详见采购需求 </w:t>
      </w:r>
      <w:r>
        <w:rPr>
          <w:rFonts w:hint="eastAsia" w:ascii="宋体" w:hAnsi="宋体" w:cs="宋体"/>
          <w:color w:val="000000"/>
          <w:sz w:val="24"/>
          <w:highlight w:val="none"/>
        </w:rPr>
        <w:br w:type="textWrapping"/>
      </w:r>
      <w:r>
        <w:rPr>
          <w:rFonts w:hint="eastAsia" w:ascii="宋体" w:hAnsi="宋体" w:cs="宋体"/>
          <w:color w:val="000000"/>
          <w:sz w:val="24"/>
          <w:highlight w:val="none"/>
        </w:rPr>
        <w:t>    备注：</w:t>
      </w:r>
    </w:p>
    <w:p>
      <w:pPr>
        <w:shd w:val="clear" w:color="auto" w:fill="auto"/>
        <w:ind w:firstLine="720" w:firstLineChars="300"/>
        <w:rPr>
          <w:rFonts w:hint="eastAsia" w:ascii="宋体" w:hAnsi="宋体" w:cs="宋体"/>
          <w:color w:val="000000"/>
          <w:sz w:val="24"/>
          <w:highlight w:val="none"/>
        </w:rPr>
      </w:pPr>
    </w:p>
    <w:p>
      <w:pPr>
        <w:shd w:val="clear" w:color="auto" w:fill="auto"/>
        <w:ind w:firstLine="630" w:firstLineChars="300"/>
        <w:rPr>
          <w:rFonts w:hint="eastAsia" w:ascii="宋体" w:hAnsi="宋体" w:cs="宋体"/>
          <w:color w:val="000000"/>
          <w:highlight w:val="none"/>
        </w:rPr>
      </w:pPr>
    </w:p>
    <w:p>
      <w:pPr>
        <w:shd w:val="clear" w:color="auto" w:fill="auto"/>
        <w:ind w:firstLine="480" w:firstLineChars="200"/>
        <w:rPr>
          <w:rFonts w:hint="eastAsia" w:ascii="宋体" w:hAnsi="宋体" w:cs="宋体"/>
          <w:color w:val="000000"/>
          <w:sz w:val="24"/>
          <w:highlight w:val="none"/>
          <w:u w:val="single"/>
        </w:rPr>
      </w:pPr>
      <w:r>
        <w:rPr>
          <w:rFonts w:hint="eastAsia" w:ascii="宋体" w:hAnsi="宋体" w:cs="宋体"/>
          <w:color w:val="000000"/>
          <w:sz w:val="24"/>
          <w:highlight w:val="none"/>
        </w:rPr>
        <w:t>合同履约期限：按招标文件要求。</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本项目（否）接受联合体投标。</w:t>
      </w:r>
    </w:p>
    <w:p>
      <w:pPr>
        <w:pStyle w:val="4"/>
        <w:numPr>
          <w:ilvl w:val="0"/>
          <w:numId w:val="0"/>
        </w:numPr>
        <w:shd w:val="clear" w:color="auto" w:fill="auto"/>
        <w:rPr>
          <w:rFonts w:hint="eastAsia" w:ascii="宋体" w:hAnsi="宋体" w:eastAsia="宋体" w:cs="宋体"/>
          <w:bCs w:val="0"/>
          <w:color w:val="000000"/>
          <w:sz w:val="24"/>
          <w:szCs w:val="24"/>
          <w:highlight w:val="none"/>
        </w:rPr>
      </w:pPr>
      <w:bookmarkStart w:id="16" w:name="_Toc28359080"/>
      <w:bookmarkStart w:id="17" w:name="_Toc35393622"/>
      <w:bookmarkStart w:id="18" w:name="_Toc28359003"/>
      <w:bookmarkStart w:id="19" w:name="_Toc35393791"/>
      <w:r>
        <w:rPr>
          <w:rFonts w:hint="eastAsia" w:ascii="宋体" w:hAnsi="宋体" w:eastAsia="宋体" w:cs="宋体"/>
          <w:bCs w:val="0"/>
          <w:color w:val="000000"/>
          <w:sz w:val="24"/>
          <w:szCs w:val="24"/>
          <w:highlight w:val="none"/>
        </w:rPr>
        <w:t>二、申请人的资格要求：</w:t>
      </w:r>
      <w:bookmarkEnd w:id="16"/>
      <w:bookmarkEnd w:id="17"/>
      <w:bookmarkEnd w:id="18"/>
      <w:bookmarkEnd w:id="19"/>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w:t>
      </w:r>
      <w:bookmarkStart w:id="20" w:name="_Toc28359081"/>
      <w:bookmarkStart w:id="21" w:name="_Toc28359004"/>
      <w:r>
        <w:rPr>
          <w:rFonts w:hint="eastAsia" w:ascii="宋体" w:hAnsi="宋体" w:cs="宋体"/>
          <w:color w:val="000000"/>
          <w:sz w:val="24"/>
          <w:highlight w:val="none"/>
        </w:rPr>
        <w:t>满足《中华人民共和国政府采购法》第二十二条规定;未被“信用中国”（www.creditchina.gov.cn)、中国政府采购网（www.ccgp.gov.cn）列入失信被执行人、重大税收违法案件当事人名单、政府采购严重违法失信行为记录名单。</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2.落实政府采购政策需满足的资格要求：无</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3.本项目的特定资格要求：标项1、2、3、4：具备在中华人民共和国范围内运营的基础电信运营商或其基础电信运营商授权的分支机构或者具备在中华人民共和国范围内运营的广电网络运营商或其广电网络运营商授权的分支机构。 </w:t>
      </w:r>
    </w:p>
    <w:p>
      <w:pPr>
        <w:pStyle w:val="4"/>
        <w:numPr>
          <w:ilvl w:val="0"/>
          <w:numId w:val="0"/>
        </w:numPr>
        <w:shd w:val="clear" w:color="auto" w:fill="auto"/>
        <w:rPr>
          <w:rFonts w:hint="eastAsia" w:ascii="宋体" w:hAnsi="宋体" w:eastAsia="宋体" w:cs="宋体"/>
          <w:bCs w:val="0"/>
          <w:color w:val="000000"/>
          <w:sz w:val="24"/>
          <w:szCs w:val="24"/>
          <w:highlight w:val="none"/>
        </w:rPr>
      </w:pPr>
      <w:bookmarkStart w:id="22" w:name="_Toc35393792"/>
      <w:bookmarkStart w:id="23" w:name="_Toc35393623"/>
    </w:p>
    <w:p>
      <w:pPr>
        <w:pStyle w:val="4"/>
        <w:numPr>
          <w:ilvl w:val="0"/>
          <w:numId w:val="0"/>
        </w:numPr>
        <w:shd w:val="clear" w:color="auto" w:fill="auto"/>
        <w:rPr>
          <w:rFonts w:hint="eastAsia" w:ascii="宋体" w:hAnsi="宋体" w:eastAsia="宋体" w:cs="宋体"/>
          <w:bCs w:val="0"/>
          <w:color w:val="000000"/>
          <w:sz w:val="24"/>
          <w:szCs w:val="24"/>
          <w:highlight w:val="none"/>
        </w:rPr>
      </w:pPr>
      <w:r>
        <w:rPr>
          <w:rFonts w:hint="eastAsia" w:ascii="宋体" w:hAnsi="宋体" w:eastAsia="宋体" w:cs="宋体"/>
          <w:bCs w:val="0"/>
          <w:color w:val="000000"/>
          <w:sz w:val="24"/>
          <w:szCs w:val="24"/>
          <w:highlight w:val="none"/>
        </w:rPr>
        <w:t>三、获取招标文件</w:t>
      </w:r>
      <w:bookmarkEnd w:id="20"/>
      <w:bookmarkEnd w:id="21"/>
      <w:bookmarkEnd w:id="22"/>
      <w:bookmarkEnd w:id="23"/>
    </w:p>
    <w:p>
      <w:pPr>
        <w:shd w:val="clear" w:color="auto" w:fill="auto"/>
        <w:spacing w:line="360" w:lineRule="auto"/>
        <w:ind w:firstLine="540"/>
        <w:rPr>
          <w:rFonts w:hint="eastAsia" w:ascii="宋体" w:hAnsi="宋体" w:cs="宋体"/>
          <w:color w:val="000000"/>
          <w:sz w:val="24"/>
          <w:highlight w:val="none"/>
        </w:rPr>
      </w:pPr>
      <w:r>
        <w:rPr>
          <w:rFonts w:hint="eastAsia" w:ascii="宋体" w:hAnsi="宋体" w:cs="宋体"/>
          <w:color w:val="000000"/>
          <w:sz w:val="24"/>
          <w:highlight w:val="none"/>
        </w:rPr>
        <w:t>时间： / 至 2021年</w:t>
      </w:r>
      <w:r>
        <w:rPr>
          <w:rFonts w:hint="eastAsia" w:ascii="宋体" w:hAnsi="宋体" w:cs="宋体"/>
          <w:color w:val="000000"/>
          <w:sz w:val="24"/>
          <w:highlight w:val="none"/>
          <w:lang w:val="en-US" w:eastAsia="zh-CN"/>
        </w:rPr>
        <w:t>12</w:t>
      </w:r>
      <w:r>
        <w:rPr>
          <w:rFonts w:hint="eastAsia" w:ascii="宋体" w:hAnsi="宋体" w:cs="宋体"/>
          <w:color w:val="000000"/>
          <w:sz w:val="24"/>
          <w:highlight w:val="none"/>
        </w:rPr>
        <w:t>月</w:t>
      </w:r>
      <w:r>
        <w:rPr>
          <w:rFonts w:hint="eastAsia" w:ascii="宋体" w:hAnsi="宋体" w:cs="宋体"/>
          <w:color w:val="000000"/>
          <w:sz w:val="24"/>
          <w:highlight w:val="none"/>
          <w:lang w:val="en-US" w:eastAsia="zh-CN"/>
        </w:rPr>
        <w:t>6</w:t>
      </w:r>
      <w:r>
        <w:rPr>
          <w:rFonts w:hint="eastAsia" w:ascii="宋体" w:hAnsi="宋体" w:cs="宋体"/>
          <w:color w:val="000000"/>
          <w:sz w:val="24"/>
          <w:highlight w:val="none"/>
        </w:rPr>
        <w:t>日，每天上午00：00至12：00，下午12：00至23：59（北京时间，线上获取法定节假日均可，线下获取文件法定节假日除外）</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地点（网址）：</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政府采购云平台（https://www.zcygov.cn/）；</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方式：</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潜在供应商登陆政采云平台，在线申请获取招标文件（进入“项目采购”应用，在获取招标文件菜单中选择项目，申请获取招标文件，本项目招标文件不收取工本费；仅需浏览招标文件的供应商可点击“游客，浏览招标文件”直接下载招标文件浏览）；</w:t>
      </w:r>
    </w:p>
    <w:p>
      <w:pPr>
        <w:widowControl/>
        <w:shd w:val="clear" w:color="auto" w:fill="auto"/>
        <w:snapToGrid w:val="0"/>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sz w:val="24"/>
          <w:highlight w:val="none"/>
        </w:rPr>
        <w:t>（2）</w:t>
      </w:r>
      <w:r>
        <w:rPr>
          <w:rFonts w:hint="eastAsia" w:ascii="宋体" w:hAnsi="宋体" w:cs="宋体"/>
          <w:color w:val="000000"/>
          <w:kern w:val="0"/>
          <w:sz w:val="24"/>
          <w:highlight w:val="none"/>
        </w:rPr>
        <w:t>供应商获取招标文件时须提交的文件资料：无；</w:t>
      </w:r>
    </w:p>
    <w:p>
      <w:pPr>
        <w:widowControl/>
        <w:shd w:val="clear" w:color="auto" w:fill="auto"/>
        <w:snapToGrid w:val="0"/>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sz w:val="24"/>
          <w:highlight w:val="none"/>
        </w:rPr>
        <w:t>（3）</w:t>
      </w:r>
      <w:r>
        <w:rPr>
          <w:rFonts w:hint="eastAsia" w:ascii="宋体" w:hAnsi="宋体" w:cs="宋体"/>
          <w:color w:val="000000"/>
          <w:kern w:val="0"/>
          <w:sz w:val="24"/>
          <w:highlight w:val="none"/>
        </w:rPr>
        <w:t>提示：招标公告附件内的招标文件（或采购需求）仅供阅览使用，供应商只有在“政府采购云平台”完成获取招标文件申请并下载了招标文件后才视作依法获取招标文件（法律法规所指的供应商获取招标文件时间以供应商完成获取招标文件申请后下载招标文件的时间为准）。</w:t>
      </w:r>
    </w:p>
    <w:p>
      <w:pPr>
        <w:widowControl/>
        <w:shd w:val="clear" w:color="auto" w:fill="auto"/>
        <w:snapToGrid w:val="0"/>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（4）</w:t>
      </w:r>
      <w:r>
        <w:rPr>
          <w:rFonts w:hint="eastAsia" w:ascii="宋体" w:hAnsi="宋体" w:cs="宋体"/>
          <w:color w:val="000000"/>
          <w:kern w:val="0"/>
          <w:sz w:val="24"/>
          <w:highlight w:val="none"/>
        </w:rPr>
        <w:t>请供应商按上述要求获取招标文件，如未在“</w:t>
      </w:r>
      <w:r>
        <w:rPr>
          <w:rFonts w:hint="eastAsia" w:ascii="宋体" w:hAnsi="宋体" w:cs="宋体"/>
          <w:color w:val="000000"/>
          <w:sz w:val="24"/>
          <w:highlight w:val="none"/>
        </w:rPr>
        <w:t>政采云”系统内完成相关流程，引起的投标无效责任自负。</w:t>
      </w:r>
    </w:p>
    <w:p>
      <w:pPr>
        <w:shd w:val="clear" w:color="auto" w:fill="auto"/>
        <w:spacing w:line="360" w:lineRule="auto"/>
        <w:ind w:firstLine="540"/>
        <w:rPr>
          <w:rFonts w:hint="eastAsia" w:ascii="宋体" w:hAnsi="宋体" w:cs="宋体"/>
          <w:color w:val="000000"/>
          <w:sz w:val="24"/>
          <w:highlight w:val="none"/>
        </w:rPr>
      </w:pPr>
      <w:r>
        <w:rPr>
          <w:rFonts w:hint="eastAsia" w:ascii="宋体" w:hAnsi="宋体" w:cs="宋体"/>
          <w:color w:val="000000"/>
          <w:sz w:val="24"/>
          <w:highlight w:val="none"/>
        </w:rPr>
        <w:t>售价（元）：0</w:t>
      </w:r>
      <w:bookmarkStart w:id="24" w:name="_Toc28359082"/>
      <w:bookmarkStart w:id="25" w:name="_Toc28359005"/>
      <w:bookmarkStart w:id="26" w:name="_Toc35393624"/>
      <w:bookmarkStart w:id="27" w:name="_Toc35393793"/>
    </w:p>
    <w:p>
      <w:pPr>
        <w:shd w:val="clear" w:color="auto" w:fill="auto"/>
        <w:spacing w:line="360" w:lineRule="auto"/>
        <w:rPr>
          <w:rFonts w:hint="eastAsia" w:ascii="宋体" w:hAnsi="宋体" w:cs="宋体"/>
          <w:b/>
          <w:bCs/>
          <w:color w:val="000000"/>
          <w:sz w:val="24"/>
          <w:highlight w:val="none"/>
        </w:rPr>
      </w:pPr>
      <w:r>
        <w:rPr>
          <w:rFonts w:hint="eastAsia" w:ascii="宋体" w:hAnsi="宋体" w:cs="宋体"/>
          <w:b/>
          <w:bCs/>
          <w:color w:val="000000"/>
          <w:sz w:val="24"/>
          <w:highlight w:val="none"/>
        </w:rPr>
        <w:t>四、提交投标文件</w:t>
      </w:r>
      <w:bookmarkEnd w:id="24"/>
      <w:bookmarkEnd w:id="25"/>
      <w:r>
        <w:rPr>
          <w:rFonts w:hint="eastAsia" w:ascii="宋体" w:hAnsi="宋体" w:cs="宋体"/>
          <w:b/>
          <w:bCs/>
          <w:color w:val="000000"/>
          <w:sz w:val="24"/>
          <w:highlight w:val="none"/>
        </w:rPr>
        <w:t>截止时间、开标时间和地点</w:t>
      </w:r>
      <w:bookmarkEnd w:id="26"/>
      <w:bookmarkEnd w:id="27"/>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提交投标文件截止时间：</w:t>
      </w:r>
      <w:r>
        <w:rPr>
          <w:rFonts w:hint="eastAsia" w:cs="宋体"/>
          <w:color w:val="000000"/>
          <w:highlight w:val="none"/>
          <w:u w:val="single"/>
        </w:rPr>
        <w:t>2021年</w:t>
      </w:r>
      <w:r>
        <w:rPr>
          <w:rFonts w:hint="eastAsia" w:cs="宋体"/>
          <w:color w:val="000000"/>
          <w:highlight w:val="none"/>
          <w:u w:val="single"/>
          <w:lang w:val="en-US" w:eastAsia="zh-CN"/>
        </w:rPr>
        <w:t>12</w:t>
      </w:r>
      <w:r>
        <w:rPr>
          <w:rFonts w:hint="eastAsia" w:cs="宋体"/>
          <w:color w:val="000000"/>
          <w:highlight w:val="none"/>
          <w:u w:val="single"/>
        </w:rPr>
        <w:t>月</w:t>
      </w:r>
      <w:r>
        <w:rPr>
          <w:rFonts w:hint="eastAsia" w:cs="宋体"/>
          <w:color w:val="000000"/>
          <w:highlight w:val="none"/>
          <w:u w:val="single"/>
          <w:lang w:val="en-US" w:eastAsia="zh-CN"/>
        </w:rPr>
        <w:t>6</w:t>
      </w:r>
      <w:r>
        <w:rPr>
          <w:rFonts w:hint="eastAsia" w:cs="宋体"/>
          <w:color w:val="000000"/>
          <w:highlight w:val="none"/>
          <w:u w:val="single"/>
        </w:rPr>
        <w:t>日</w:t>
      </w:r>
      <w:r>
        <w:rPr>
          <w:rFonts w:hint="eastAsia" w:cs="宋体"/>
          <w:bCs/>
          <w:color w:val="000000"/>
          <w:highlight w:val="none"/>
          <w:u w:val="single"/>
        </w:rPr>
        <w:t>09：00</w:t>
      </w:r>
      <w:r>
        <w:rPr>
          <w:rFonts w:hint="eastAsia" w:cs="宋体"/>
          <w:color w:val="000000"/>
          <w:highlight w:val="none"/>
          <w:u w:val="single"/>
        </w:rPr>
        <w:t>（北京时间）</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投标地点（网址）： 政府采购云平台（https://www.zcygov.cn/） </w:t>
      </w:r>
    </w:p>
    <w:p>
      <w:pPr>
        <w:pStyle w:val="24"/>
        <w:shd w:val="clear" w:color="auto" w:fill="auto"/>
        <w:snapToGrid w:val="0"/>
        <w:spacing w:line="360" w:lineRule="auto"/>
        <w:rPr>
          <w:rFonts w:hint="eastAsia" w:cs="宋体"/>
          <w:color w:val="000000"/>
          <w:highlight w:val="none"/>
          <w:u w:val="single"/>
        </w:rPr>
      </w:pPr>
      <w:r>
        <w:rPr>
          <w:rFonts w:hint="eastAsia" w:cs="宋体"/>
          <w:color w:val="000000"/>
          <w:highlight w:val="none"/>
        </w:rPr>
        <w:t>开标时间：</w:t>
      </w:r>
      <w:r>
        <w:rPr>
          <w:rFonts w:hint="eastAsia" w:cs="宋体"/>
          <w:color w:val="000000"/>
          <w:highlight w:val="none"/>
          <w:u w:val="single"/>
        </w:rPr>
        <w:t> 2021年</w:t>
      </w:r>
      <w:r>
        <w:rPr>
          <w:rFonts w:hint="eastAsia" w:cs="宋体"/>
          <w:color w:val="000000"/>
          <w:highlight w:val="none"/>
          <w:u w:val="single"/>
          <w:lang w:val="en-US" w:eastAsia="zh-CN"/>
        </w:rPr>
        <w:t>12</w:t>
      </w:r>
      <w:r>
        <w:rPr>
          <w:rFonts w:hint="eastAsia" w:cs="宋体"/>
          <w:color w:val="000000"/>
          <w:highlight w:val="none"/>
          <w:u w:val="single"/>
        </w:rPr>
        <w:t>月</w:t>
      </w:r>
      <w:r>
        <w:rPr>
          <w:rFonts w:hint="eastAsia" w:cs="宋体"/>
          <w:color w:val="000000"/>
          <w:highlight w:val="none"/>
          <w:u w:val="single"/>
          <w:lang w:val="en-US" w:eastAsia="zh-CN"/>
        </w:rPr>
        <w:t>6</w:t>
      </w:r>
      <w:r>
        <w:rPr>
          <w:rFonts w:hint="eastAsia" w:cs="宋体"/>
          <w:color w:val="000000"/>
          <w:highlight w:val="none"/>
          <w:u w:val="single"/>
        </w:rPr>
        <w:t>日09：00</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开标地点（网址）： 政府采购云平台（https://www.zcygov.cn/） </w:t>
      </w:r>
    </w:p>
    <w:p>
      <w:pPr>
        <w:pStyle w:val="4"/>
        <w:numPr>
          <w:ilvl w:val="0"/>
          <w:numId w:val="0"/>
        </w:numPr>
        <w:shd w:val="clear" w:color="auto" w:fill="auto"/>
        <w:rPr>
          <w:rFonts w:hint="eastAsia" w:ascii="宋体" w:hAnsi="宋体" w:eastAsia="宋体" w:cs="宋体"/>
          <w:bCs w:val="0"/>
          <w:color w:val="000000"/>
          <w:sz w:val="24"/>
          <w:szCs w:val="24"/>
          <w:highlight w:val="none"/>
        </w:rPr>
      </w:pPr>
      <w:bookmarkStart w:id="28" w:name="_Toc28359084"/>
      <w:bookmarkStart w:id="29" w:name="_Toc28359007"/>
      <w:bookmarkStart w:id="30" w:name="_Toc35393625"/>
      <w:bookmarkStart w:id="31" w:name="_Toc35393794"/>
      <w:r>
        <w:rPr>
          <w:rFonts w:hint="eastAsia" w:ascii="宋体" w:hAnsi="宋体" w:eastAsia="宋体" w:cs="宋体"/>
          <w:bCs w:val="0"/>
          <w:color w:val="000000"/>
          <w:sz w:val="24"/>
          <w:szCs w:val="24"/>
          <w:highlight w:val="none"/>
        </w:rPr>
        <w:t>五、公告期限</w:t>
      </w:r>
      <w:bookmarkEnd w:id="28"/>
      <w:bookmarkEnd w:id="29"/>
      <w:bookmarkEnd w:id="30"/>
      <w:bookmarkEnd w:id="31"/>
    </w:p>
    <w:p>
      <w:pPr>
        <w:shd w:val="clear" w:color="auto" w:fill="auto"/>
        <w:ind w:firstLine="480" w:firstLineChars="200"/>
        <w:rPr>
          <w:rFonts w:hint="eastAsia" w:ascii="宋体" w:hAnsi="宋体" w:cs="宋体"/>
          <w:color w:val="000000"/>
          <w:kern w:val="0"/>
          <w:sz w:val="24"/>
          <w:highlight w:val="none"/>
        </w:rPr>
      </w:pPr>
      <w:r>
        <w:rPr>
          <w:rFonts w:hint="eastAsia" w:ascii="宋体" w:hAnsi="宋体" w:cs="宋体"/>
          <w:color w:val="000000"/>
          <w:kern w:val="0"/>
          <w:sz w:val="24"/>
          <w:highlight w:val="none"/>
        </w:rPr>
        <w:t>自本公告发布之日起5个工作日。</w:t>
      </w:r>
    </w:p>
    <w:p>
      <w:pPr>
        <w:pStyle w:val="4"/>
        <w:numPr>
          <w:ilvl w:val="0"/>
          <w:numId w:val="0"/>
        </w:numPr>
        <w:shd w:val="clear" w:color="auto" w:fill="auto"/>
        <w:rPr>
          <w:rFonts w:hint="eastAsia" w:ascii="宋体" w:hAnsi="宋体" w:eastAsia="宋体" w:cs="宋体"/>
          <w:bCs w:val="0"/>
          <w:color w:val="000000"/>
          <w:sz w:val="24"/>
          <w:szCs w:val="24"/>
          <w:highlight w:val="none"/>
        </w:rPr>
      </w:pPr>
      <w:bookmarkStart w:id="32" w:name="_Toc35393626"/>
      <w:bookmarkStart w:id="33" w:name="_Toc35393795"/>
      <w:r>
        <w:rPr>
          <w:rFonts w:hint="eastAsia" w:ascii="宋体" w:hAnsi="宋体" w:eastAsia="宋体" w:cs="宋体"/>
          <w:bCs w:val="0"/>
          <w:color w:val="000000"/>
          <w:sz w:val="24"/>
          <w:szCs w:val="24"/>
          <w:highlight w:val="none"/>
        </w:rPr>
        <w:t>六、其他补充事宜</w:t>
      </w:r>
      <w:bookmarkEnd w:id="32"/>
      <w:bookmarkEnd w:id="33"/>
    </w:p>
    <w:p>
      <w:pPr>
        <w:pStyle w:val="473"/>
        <w:shd w:val="clear" w:color="auto" w:fill="auto"/>
        <w:ind w:firstLine="0" w:firstLineChars="0"/>
        <w:rPr>
          <w:rFonts w:hint="eastAsia" w:ascii="宋体" w:hAnsi="宋体" w:eastAsia="宋体" w:cs="宋体"/>
          <w:color w:val="000000"/>
          <w:highlight w:val="none"/>
        </w:rPr>
      </w:pPr>
      <w:r>
        <w:rPr>
          <w:rFonts w:hint="eastAsia" w:ascii="宋体" w:hAnsi="宋体" w:eastAsia="宋体" w:cs="宋体"/>
          <w:color w:val="000000"/>
          <w:highlight w:val="none"/>
        </w:rPr>
        <w:t xml:space="preserve"> 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473"/>
        <w:shd w:val="clear" w:color="auto" w:fill="auto"/>
        <w:ind w:firstLine="0" w:firstLineChars="0"/>
        <w:rPr>
          <w:rFonts w:hint="eastAsia" w:ascii="宋体" w:hAnsi="宋体" w:eastAsia="宋体" w:cs="宋体"/>
          <w:color w:val="000000"/>
          <w:highlight w:val="none"/>
        </w:rPr>
      </w:pPr>
      <w:r>
        <w:rPr>
          <w:rFonts w:hint="eastAsia" w:ascii="宋体" w:hAnsi="宋体" w:eastAsia="宋体" w:cs="宋体"/>
          <w:color w:val="000000"/>
          <w:highlight w:val="none"/>
        </w:rPr>
        <w:t>2、其他事项： 无</w:t>
      </w:r>
    </w:p>
    <w:p>
      <w:pPr>
        <w:pStyle w:val="4"/>
        <w:numPr>
          <w:ilvl w:val="0"/>
          <w:numId w:val="0"/>
        </w:numPr>
        <w:shd w:val="clear" w:color="auto" w:fill="auto"/>
        <w:rPr>
          <w:rFonts w:hint="eastAsia" w:ascii="宋体" w:hAnsi="宋体" w:eastAsia="宋体" w:cs="宋体"/>
          <w:bCs w:val="0"/>
          <w:color w:val="000000"/>
          <w:sz w:val="24"/>
          <w:szCs w:val="24"/>
          <w:highlight w:val="none"/>
        </w:rPr>
      </w:pPr>
      <w:bookmarkStart w:id="34" w:name="_Toc35393796"/>
      <w:bookmarkStart w:id="35" w:name="_Toc35393627"/>
      <w:bookmarkStart w:id="36" w:name="_Toc28359085"/>
      <w:bookmarkStart w:id="37" w:name="_Toc28359008"/>
      <w:r>
        <w:rPr>
          <w:rFonts w:hint="eastAsia" w:ascii="宋体" w:hAnsi="宋体" w:eastAsia="宋体" w:cs="宋体"/>
          <w:bCs w:val="0"/>
          <w:color w:val="000000"/>
          <w:sz w:val="24"/>
          <w:szCs w:val="24"/>
          <w:highlight w:val="none"/>
        </w:rPr>
        <w:t>七、</w:t>
      </w:r>
      <w:bookmarkEnd w:id="34"/>
      <w:bookmarkEnd w:id="35"/>
      <w:bookmarkEnd w:id="36"/>
      <w:bookmarkEnd w:id="37"/>
      <w:r>
        <w:rPr>
          <w:rStyle w:val="65"/>
          <w:rFonts w:hint="eastAsia" w:ascii="宋体" w:hAnsi="宋体" w:eastAsia="宋体" w:cs="宋体"/>
          <w:b/>
          <w:color w:val="000000"/>
          <w:sz w:val="25"/>
          <w:szCs w:val="25"/>
          <w:highlight w:val="none"/>
        </w:rPr>
        <w:t>对本次招标提出询问、质疑、投诉，请按以下方式联系。</w:t>
      </w:r>
      <w:r>
        <w:rPr>
          <w:rFonts w:hint="eastAsia" w:ascii="宋体" w:hAnsi="宋体" w:eastAsia="宋体" w:cs="宋体"/>
          <w:bCs w:val="0"/>
          <w:color w:val="000000"/>
          <w:sz w:val="19"/>
          <w:szCs w:val="19"/>
          <w:highlight w:val="none"/>
        </w:rPr>
        <w:t>　</w:t>
      </w:r>
    </w:p>
    <w:p>
      <w:pPr>
        <w:widowControl/>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1.采购人信息</w:t>
      </w:r>
    </w:p>
    <w:p>
      <w:pPr>
        <w:widowControl/>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名 称：杭州市萧山区人民政府城厢街道办事处</w:t>
      </w:r>
    </w:p>
    <w:p>
      <w:pPr>
        <w:widowControl/>
        <w:shd w:val="clear" w:color="auto" w:fill="auto"/>
        <w:spacing w:line="360" w:lineRule="auto"/>
        <w:ind w:firstLine="480" w:firstLineChars="200"/>
        <w:jc w:val="left"/>
        <w:rPr>
          <w:rFonts w:hint="eastAsia" w:ascii="宋体" w:hAnsi="宋体" w:cs="宋体"/>
          <w:color w:val="000000"/>
          <w:highlight w:val="none"/>
        </w:rPr>
      </w:pPr>
      <w:r>
        <w:rPr>
          <w:rFonts w:hint="eastAsia" w:ascii="宋体" w:hAnsi="宋体" w:cs="宋体"/>
          <w:color w:val="000000"/>
          <w:sz w:val="24"/>
          <w:highlight w:val="none"/>
        </w:rPr>
        <w:t>地 址： 杭州萧山文化路181号</w:t>
      </w:r>
    </w:p>
    <w:p>
      <w:pPr>
        <w:widowControl/>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传真：/</w:t>
      </w:r>
    </w:p>
    <w:p>
      <w:pPr>
        <w:widowControl/>
        <w:shd w:val="clear" w:color="auto" w:fill="auto"/>
        <w:spacing w:line="360" w:lineRule="auto"/>
        <w:ind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项目联系人（询问）： 李一天      </w:t>
      </w:r>
    </w:p>
    <w:p>
      <w:pPr>
        <w:widowControl/>
        <w:shd w:val="clear" w:color="auto" w:fill="auto"/>
        <w:spacing w:line="360" w:lineRule="auto"/>
        <w:ind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项目联系方式（询问）：0571-82722613</w:t>
      </w:r>
    </w:p>
    <w:p>
      <w:pPr>
        <w:widowControl/>
        <w:shd w:val="clear" w:color="auto" w:fill="auto"/>
        <w:spacing w:line="360" w:lineRule="auto"/>
        <w:ind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质疑联系人： 郭琛琛     </w:t>
      </w:r>
    </w:p>
    <w:p>
      <w:pPr>
        <w:widowControl/>
        <w:shd w:val="clear" w:color="auto" w:fill="auto"/>
        <w:spacing w:line="360" w:lineRule="auto"/>
        <w:ind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质疑联系方式 ：0571-83736979</w:t>
      </w:r>
    </w:p>
    <w:p>
      <w:pPr>
        <w:widowControl/>
        <w:shd w:val="clear" w:color="auto" w:fill="auto"/>
        <w:spacing w:line="360" w:lineRule="auto"/>
        <w:ind w:firstLine="480" w:firstLineChars="200"/>
        <w:jc w:val="left"/>
        <w:rPr>
          <w:rFonts w:hint="eastAsia" w:ascii="宋体" w:hAnsi="宋体" w:cs="宋体"/>
          <w:color w:val="000000"/>
          <w:sz w:val="24"/>
          <w:highlight w:val="none"/>
        </w:rPr>
      </w:pPr>
    </w:p>
    <w:p>
      <w:pPr>
        <w:widowControl/>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2.采购代理机构信息</w:t>
      </w:r>
    </w:p>
    <w:p>
      <w:pPr>
        <w:widowControl/>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名 称：浙江新诚信工程咨询有限公司</w:t>
      </w:r>
    </w:p>
    <w:p>
      <w:pPr>
        <w:widowControl/>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地 址：杭州市萧山区空间结构科技产业园3号楼</w:t>
      </w:r>
    </w:p>
    <w:p>
      <w:pPr>
        <w:widowControl/>
        <w:shd w:val="clear" w:color="auto" w:fill="auto"/>
        <w:spacing w:line="360" w:lineRule="auto"/>
        <w:ind w:firstLine="480" w:firstLineChars="200"/>
        <w:jc w:val="left"/>
        <w:rPr>
          <w:rFonts w:hint="eastAsia" w:ascii="宋体" w:hAnsi="宋体" w:cs="宋体"/>
          <w:color w:val="000000"/>
          <w:highlight w:val="none"/>
        </w:rPr>
      </w:pPr>
      <w:r>
        <w:rPr>
          <w:rFonts w:hint="eastAsia" w:ascii="宋体" w:hAnsi="宋体" w:cs="宋体"/>
          <w:color w:val="000000"/>
          <w:sz w:val="24"/>
          <w:highlight w:val="none"/>
        </w:rPr>
        <w:t>传真：/</w:t>
      </w:r>
    </w:p>
    <w:p>
      <w:pPr>
        <w:widowControl/>
        <w:shd w:val="clear" w:color="auto" w:fill="auto"/>
        <w:spacing w:line="360" w:lineRule="auto"/>
        <w:ind w:firstLine="480" w:firstLineChars="200"/>
        <w:jc w:val="left"/>
        <w:rPr>
          <w:rFonts w:hint="default" w:ascii="宋体" w:hAnsi="宋体" w:eastAsia="宋体" w:cs="宋体"/>
          <w:color w:val="000000"/>
          <w:sz w:val="24"/>
          <w:highlight w:val="none"/>
          <w:lang w:val="en-US" w:eastAsia="zh-CN"/>
        </w:rPr>
      </w:pPr>
      <w:r>
        <w:rPr>
          <w:rFonts w:hint="eastAsia" w:ascii="宋体" w:hAnsi="宋体" w:cs="宋体"/>
          <w:color w:val="000000"/>
          <w:sz w:val="24"/>
          <w:highlight w:val="none"/>
        </w:rPr>
        <w:t xml:space="preserve">项目联系人（询问）： </w:t>
      </w:r>
      <w:r>
        <w:rPr>
          <w:rFonts w:hint="eastAsia" w:ascii="宋体" w:hAnsi="宋体" w:cs="宋体"/>
          <w:color w:val="000000"/>
          <w:sz w:val="24"/>
          <w:highlight w:val="none"/>
          <w:lang w:val="en-US" w:eastAsia="zh-CN"/>
        </w:rPr>
        <w:t>李女士</w:t>
      </w:r>
    </w:p>
    <w:p>
      <w:pPr>
        <w:widowControl/>
        <w:shd w:val="clear" w:color="auto" w:fill="auto"/>
        <w:spacing w:line="360" w:lineRule="auto"/>
        <w:ind w:firstLine="480" w:firstLineChars="200"/>
        <w:jc w:val="left"/>
        <w:rPr>
          <w:rFonts w:hint="default" w:ascii="宋体" w:hAnsi="宋体" w:eastAsia="宋体" w:cs="宋体"/>
          <w:color w:val="000000"/>
          <w:sz w:val="24"/>
          <w:highlight w:val="none"/>
          <w:lang w:val="en-US" w:eastAsia="zh-CN"/>
        </w:rPr>
      </w:pPr>
      <w:r>
        <w:rPr>
          <w:rFonts w:hint="eastAsia" w:ascii="宋体" w:hAnsi="宋体" w:cs="宋体"/>
          <w:color w:val="000000"/>
          <w:sz w:val="24"/>
          <w:highlight w:val="none"/>
        </w:rPr>
        <w:t xml:space="preserve">项目联系方式（询问）： </w:t>
      </w:r>
      <w:r>
        <w:rPr>
          <w:rFonts w:hint="eastAsia" w:ascii="宋体" w:hAnsi="宋体" w:cs="宋体"/>
          <w:color w:val="000000"/>
          <w:sz w:val="24"/>
          <w:highlight w:val="none"/>
          <w:lang w:val="en-US" w:eastAsia="zh-CN"/>
        </w:rPr>
        <w:t>13634199815</w:t>
      </w:r>
    </w:p>
    <w:p>
      <w:pPr>
        <w:widowControl/>
        <w:shd w:val="clear" w:color="auto" w:fill="auto"/>
        <w:spacing w:line="360" w:lineRule="auto"/>
        <w:ind w:firstLine="480" w:firstLineChars="200"/>
        <w:jc w:val="left"/>
        <w:rPr>
          <w:rFonts w:hint="default" w:ascii="宋体" w:hAnsi="宋体" w:eastAsia="宋体" w:cs="宋体"/>
          <w:color w:val="000000"/>
          <w:sz w:val="24"/>
          <w:highlight w:val="none"/>
          <w:lang w:val="en-US" w:eastAsia="zh-CN"/>
        </w:rPr>
      </w:pPr>
      <w:r>
        <w:rPr>
          <w:rFonts w:hint="eastAsia" w:ascii="宋体" w:hAnsi="宋体" w:cs="宋体"/>
          <w:color w:val="000000"/>
          <w:sz w:val="24"/>
          <w:highlight w:val="none"/>
        </w:rPr>
        <w:t xml:space="preserve">质疑联系人： </w:t>
      </w:r>
      <w:r>
        <w:rPr>
          <w:rFonts w:hint="eastAsia" w:ascii="宋体" w:hAnsi="宋体" w:cs="宋体"/>
          <w:color w:val="000000"/>
          <w:sz w:val="24"/>
          <w:highlight w:val="none"/>
          <w:lang w:val="en-US" w:eastAsia="zh-CN"/>
        </w:rPr>
        <w:t>徐攀</w:t>
      </w:r>
    </w:p>
    <w:p>
      <w:pPr>
        <w:widowControl/>
        <w:shd w:val="clear" w:color="auto" w:fill="auto"/>
        <w:spacing w:line="360" w:lineRule="auto"/>
        <w:ind w:firstLine="480" w:firstLineChars="200"/>
        <w:jc w:val="left"/>
        <w:rPr>
          <w:rFonts w:hint="default" w:ascii="宋体" w:hAnsi="宋体" w:eastAsia="宋体" w:cs="宋体"/>
          <w:color w:val="000000"/>
          <w:sz w:val="24"/>
          <w:highlight w:val="none"/>
          <w:lang w:val="en-US" w:eastAsia="zh-CN"/>
        </w:rPr>
      </w:pPr>
      <w:r>
        <w:rPr>
          <w:rFonts w:hint="eastAsia" w:ascii="宋体" w:hAnsi="宋体" w:cs="宋体"/>
          <w:color w:val="000000"/>
          <w:sz w:val="24"/>
          <w:highlight w:val="none"/>
        </w:rPr>
        <w:t xml:space="preserve">质疑联系方式： </w:t>
      </w:r>
      <w:r>
        <w:rPr>
          <w:rFonts w:hint="eastAsia" w:ascii="宋体" w:hAnsi="宋体" w:cs="宋体"/>
          <w:color w:val="000000"/>
          <w:sz w:val="24"/>
          <w:highlight w:val="none"/>
          <w:lang w:val="en-US" w:eastAsia="zh-CN"/>
        </w:rPr>
        <w:t>18814864318</w:t>
      </w:r>
    </w:p>
    <w:p>
      <w:pPr>
        <w:widowControl/>
        <w:shd w:val="clear" w:color="auto" w:fill="auto"/>
        <w:spacing w:line="360" w:lineRule="auto"/>
        <w:ind w:firstLine="480" w:firstLineChars="200"/>
        <w:jc w:val="left"/>
        <w:rPr>
          <w:rFonts w:hint="eastAsia" w:ascii="宋体" w:hAnsi="宋体" w:cs="宋体"/>
          <w:color w:val="000000"/>
          <w:sz w:val="24"/>
          <w:highlight w:val="none"/>
        </w:rPr>
      </w:pPr>
    </w:p>
    <w:p>
      <w:pPr>
        <w:widowControl/>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3.同级政府采购监督管理部门</w:t>
      </w:r>
    </w:p>
    <w:p>
      <w:pPr>
        <w:widowControl/>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名 称：萧山区财政局</w:t>
      </w:r>
    </w:p>
    <w:p>
      <w:pPr>
        <w:widowControl/>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地 址：</w:t>
      </w:r>
      <w:r>
        <w:rPr>
          <w:rFonts w:hint="eastAsia" w:ascii="宋体" w:hAnsi="宋体" w:cs="宋体"/>
          <w:bCs/>
          <w:snapToGrid w:val="0"/>
          <w:color w:val="000000"/>
          <w:kern w:val="28"/>
          <w:sz w:val="24"/>
          <w:highlight w:val="none"/>
        </w:rPr>
        <w:t>萧山区人民路318号</w:t>
      </w:r>
    </w:p>
    <w:p>
      <w:pPr>
        <w:widowControl/>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传真：/</w:t>
      </w:r>
    </w:p>
    <w:p>
      <w:pPr>
        <w:widowControl/>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联系人：陈先生 </w:t>
      </w:r>
    </w:p>
    <w:p>
      <w:pPr>
        <w:widowControl/>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监督投诉电话：</w:t>
      </w:r>
      <w:r>
        <w:rPr>
          <w:rFonts w:hint="eastAsia" w:ascii="宋体" w:hAnsi="宋体" w:cs="宋体"/>
          <w:bCs/>
          <w:snapToGrid w:val="0"/>
          <w:color w:val="000000"/>
          <w:kern w:val="28"/>
          <w:sz w:val="24"/>
          <w:highlight w:val="none"/>
        </w:rPr>
        <w:t>0571-82752687</w:t>
      </w:r>
    </w:p>
    <w:p>
      <w:pPr>
        <w:widowControl/>
        <w:shd w:val="clear" w:color="auto" w:fill="auto"/>
        <w:jc w:val="left"/>
        <w:rPr>
          <w:rFonts w:hint="eastAsia" w:ascii="宋体" w:hAnsi="宋体" w:cs="宋体"/>
          <w:color w:val="000000"/>
          <w:sz w:val="28"/>
          <w:szCs w:val="28"/>
          <w:highlight w:val="none"/>
        </w:rPr>
      </w:pPr>
    </w:p>
    <w:p>
      <w:pPr>
        <w:widowControl/>
        <w:shd w:val="clear" w:color="auto" w:fill="auto"/>
        <w:jc w:val="left"/>
        <w:rPr>
          <w:rFonts w:hint="eastAsia" w:ascii="宋体" w:hAnsi="宋体" w:cs="宋体"/>
          <w:color w:val="000000"/>
          <w:sz w:val="28"/>
          <w:szCs w:val="28"/>
          <w:highlight w:val="none"/>
        </w:rPr>
      </w:pPr>
    </w:p>
    <w:p>
      <w:pPr>
        <w:widowControl/>
        <w:shd w:val="clear" w:color="auto" w:fill="auto"/>
        <w:spacing w:line="360" w:lineRule="auto"/>
        <w:jc w:val="left"/>
        <w:rPr>
          <w:rFonts w:hint="eastAsia" w:ascii="宋体" w:hAnsi="宋体" w:cs="宋体"/>
          <w:color w:val="000000"/>
          <w:sz w:val="24"/>
          <w:highlight w:val="none"/>
        </w:rPr>
      </w:pPr>
      <w:r>
        <w:rPr>
          <w:rFonts w:hint="eastAsia" w:ascii="宋体" w:hAnsi="宋体" w:cs="宋体"/>
          <w:color w:val="000000"/>
          <w:sz w:val="24"/>
          <w:highlight w:val="none"/>
        </w:rPr>
        <w:t>若对项目采购电子交易系统操作有疑问，可登录政采（https://www.zcygov.cn/），点击右侧咨询小采，获取采小蜜智能服务管家帮助，或拨打政采云服务热400-881-7190获取热线服务帮助。</w:t>
      </w:r>
    </w:p>
    <w:p>
      <w:pPr>
        <w:widowControl/>
        <w:shd w:val="clear" w:color="auto" w:fill="auto"/>
        <w:spacing w:line="360" w:lineRule="auto"/>
        <w:rPr>
          <w:rFonts w:hint="eastAsia" w:ascii="宋体" w:hAnsi="宋体" w:cs="宋体"/>
          <w:color w:val="000000"/>
          <w:sz w:val="24"/>
          <w:highlight w:val="none"/>
        </w:rPr>
      </w:pPr>
      <w:r>
        <w:rPr>
          <w:rFonts w:hint="eastAsia" w:ascii="宋体" w:hAnsi="宋体" w:cs="宋体"/>
          <w:color w:val="000000"/>
          <w:sz w:val="24"/>
          <w:highlight w:val="none"/>
        </w:rPr>
        <w:t>CA问题联系电话（人工）：汇信CA 400-888-4636；天谷CA 400-087-8198。</w:t>
      </w:r>
    </w:p>
    <w:p>
      <w:pPr>
        <w:shd w:val="clear" w:color="auto" w:fill="auto"/>
        <w:spacing w:line="360" w:lineRule="auto"/>
        <w:rPr>
          <w:rFonts w:hint="eastAsia" w:ascii="宋体" w:hAnsi="宋体" w:cs="宋体"/>
          <w:bCs/>
          <w:color w:val="000000"/>
          <w:sz w:val="24"/>
          <w:highlight w:val="none"/>
        </w:rPr>
      </w:pPr>
    </w:p>
    <w:p>
      <w:pPr>
        <w:shd w:val="clear" w:color="auto" w:fill="auto"/>
        <w:spacing w:line="360" w:lineRule="auto"/>
        <w:rPr>
          <w:rFonts w:hint="eastAsia" w:ascii="宋体" w:hAnsi="宋体" w:cs="宋体"/>
          <w:bCs/>
          <w:color w:val="000000"/>
          <w:sz w:val="24"/>
          <w:highlight w:val="none"/>
        </w:rPr>
      </w:pPr>
    </w:p>
    <w:p>
      <w:pPr>
        <w:pStyle w:val="24"/>
        <w:shd w:val="clear" w:color="auto" w:fill="auto"/>
        <w:rPr>
          <w:rFonts w:hint="eastAsia" w:cs="宋体"/>
          <w:bCs/>
          <w:color w:val="000000"/>
          <w:highlight w:val="none"/>
        </w:rPr>
      </w:pPr>
    </w:p>
    <w:p>
      <w:pPr>
        <w:pStyle w:val="24"/>
        <w:shd w:val="clear" w:color="auto" w:fill="auto"/>
        <w:rPr>
          <w:rFonts w:hint="eastAsia" w:cs="宋体"/>
          <w:bCs/>
          <w:color w:val="000000"/>
          <w:highlight w:val="none"/>
        </w:rPr>
      </w:pPr>
    </w:p>
    <w:p>
      <w:pPr>
        <w:shd w:val="clear" w:color="auto" w:fill="auto"/>
        <w:spacing w:line="360" w:lineRule="auto"/>
        <w:rPr>
          <w:rFonts w:hint="eastAsia" w:ascii="宋体" w:hAnsi="宋体" w:cs="宋体"/>
          <w:b/>
          <w:color w:val="000000"/>
          <w:sz w:val="24"/>
          <w:highlight w:val="none"/>
        </w:rPr>
      </w:pPr>
      <w:r>
        <w:rPr>
          <w:rFonts w:hint="eastAsia" w:ascii="宋体" w:hAnsi="宋体" w:cs="宋体"/>
          <w:b/>
          <w:color w:val="000000"/>
          <w:sz w:val="24"/>
          <w:highlight w:val="none"/>
        </w:rPr>
        <w:t>在线投标响应（电子投标）说明</w:t>
      </w:r>
    </w:p>
    <w:p>
      <w:pPr>
        <w:shd w:val="clear" w:color="auto" w:fill="auto"/>
        <w:spacing w:line="360" w:lineRule="auto"/>
        <w:ind w:firstLine="240" w:firstLineChars="100"/>
        <w:rPr>
          <w:rFonts w:hint="eastAsia" w:ascii="宋体" w:hAnsi="宋体" w:cs="宋体"/>
          <w:bCs/>
          <w:color w:val="000000"/>
          <w:sz w:val="24"/>
          <w:highlight w:val="none"/>
        </w:rPr>
      </w:pPr>
      <w:r>
        <w:rPr>
          <w:rFonts w:hint="eastAsia" w:ascii="宋体" w:hAnsi="宋体" w:cs="宋体"/>
          <w:bCs/>
          <w:color w:val="000000"/>
          <w:sz w:val="24"/>
          <w:highlight w:val="none"/>
        </w:rPr>
        <w:t>1、本项目通过“政府采购云平台（www.zcygov.cn）”实行在线投标响应（电子投标），供应商应先安装“政采云电子交易客户端”，并按照本招标文件和“政府采购云平台”的要求，通过“政采云电子交易客户端”编制并加密投标文件。供应商未按规定加密的投标文件，“政府采购云平台”将予以拒收。</w:t>
      </w:r>
    </w:p>
    <w:p>
      <w:pPr>
        <w:shd w:val="clear" w:color="auto" w:fill="auto"/>
        <w:spacing w:line="360" w:lineRule="auto"/>
        <w:ind w:firstLine="422" w:firstLineChars="176"/>
        <w:rPr>
          <w:rFonts w:hint="eastAsia" w:ascii="宋体" w:hAnsi="宋体" w:cs="宋体"/>
          <w:bCs/>
          <w:color w:val="000000"/>
          <w:sz w:val="24"/>
          <w:highlight w:val="none"/>
        </w:rPr>
      </w:pPr>
      <w:r>
        <w:rPr>
          <w:rFonts w:hint="eastAsia" w:ascii="宋体" w:hAnsi="宋体" w:cs="宋体"/>
          <w:bCs/>
          <w:color w:val="000000"/>
          <w:sz w:val="24"/>
          <w:highlight w:val="none"/>
        </w:rPr>
        <w:t>“政采云电子交易客户端”请自行前往“浙江政府采购网-下载专区-电子交易客户端”进行下载；电子投标具体操作流程详见《供应商项目采购-电子招投标操作指南》；通过“政府采购云平台”参与在线投标时如遇平台技术问题详询400-881-7190。</w:t>
      </w:r>
    </w:p>
    <w:p>
      <w:pPr>
        <w:shd w:val="clear" w:color="auto" w:fill="auto"/>
        <w:spacing w:line="360" w:lineRule="auto"/>
        <w:ind w:firstLine="240" w:firstLineChars="100"/>
        <w:rPr>
          <w:rFonts w:hint="eastAsia" w:ascii="宋体" w:hAnsi="宋体" w:cs="宋体"/>
          <w:bCs/>
          <w:color w:val="000000"/>
          <w:sz w:val="24"/>
          <w:highlight w:val="none"/>
        </w:rPr>
      </w:pPr>
      <w:r>
        <w:rPr>
          <w:rFonts w:hint="eastAsia" w:ascii="宋体" w:hAnsi="宋体" w:cs="宋体"/>
          <w:bCs/>
          <w:color w:val="000000"/>
          <w:sz w:val="24"/>
          <w:highlight w:val="none"/>
        </w:rPr>
        <w:t>2、为确保网上操作合法、有效和安全，投标供应商应当在投标截止时间前完成在“政府采购云平台”的身份认证，确保在电子投标过程中能够对相关数据电文进行加密和使用电子签章。使用“政采云电子交易客户端”需要提前申领CA数字证书，申领流程请自行前往“浙江政府采购网-下载专区-电子交易客户端-</w:t>
      </w:r>
      <w:r>
        <w:rPr>
          <w:rFonts w:hint="eastAsia" w:ascii="宋体" w:hAnsi="宋体" w:cs="宋体"/>
          <w:bCs/>
          <w:color w:val="000000"/>
          <w:sz w:val="24"/>
          <w:highlight w:val="none"/>
        </w:rPr>
        <w:fldChar w:fldCharType="begin"/>
      </w:r>
      <w:r>
        <w:rPr>
          <w:rFonts w:hint="eastAsia" w:ascii="宋体" w:hAnsi="宋体" w:cs="宋体"/>
          <w:bCs/>
          <w:color w:val="000000"/>
          <w:sz w:val="24"/>
          <w:highlight w:val="none"/>
        </w:rPr>
        <w:instrText xml:space="preserve"> HYPERLINK "http://www.zjzfcg.gov.cn/bidClientTemplate/2019-05-27/12945.html" \o "CA驱动和申领流程" \t "_blank" </w:instrText>
      </w:r>
      <w:r>
        <w:rPr>
          <w:rFonts w:hint="eastAsia" w:ascii="宋体" w:hAnsi="宋体" w:cs="宋体"/>
          <w:bCs/>
          <w:color w:val="000000"/>
          <w:sz w:val="24"/>
          <w:highlight w:val="none"/>
        </w:rPr>
        <w:fldChar w:fldCharType="separate"/>
      </w:r>
      <w:r>
        <w:rPr>
          <w:rFonts w:hint="eastAsia" w:ascii="宋体" w:hAnsi="宋体" w:cs="宋体"/>
          <w:bCs/>
          <w:color w:val="000000"/>
          <w:sz w:val="24"/>
          <w:highlight w:val="none"/>
        </w:rPr>
        <w:t>CA驱动和申领流程</w:t>
      </w:r>
      <w:r>
        <w:rPr>
          <w:rFonts w:hint="eastAsia" w:ascii="宋体" w:hAnsi="宋体" w:cs="宋体"/>
          <w:bCs/>
          <w:color w:val="000000"/>
          <w:sz w:val="24"/>
          <w:highlight w:val="none"/>
        </w:rPr>
        <w:fldChar w:fldCharType="end"/>
      </w:r>
      <w:r>
        <w:rPr>
          <w:rFonts w:hint="eastAsia" w:ascii="宋体" w:hAnsi="宋体" w:cs="宋体"/>
          <w:bCs/>
          <w:color w:val="000000"/>
          <w:sz w:val="24"/>
          <w:highlight w:val="none"/>
        </w:rPr>
        <w:t>”进行查阅；</w:t>
      </w:r>
    </w:p>
    <w:p>
      <w:pPr>
        <w:shd w:val="clear" w:color="auto" w:fill="auto"/>
        <w:spacing w:line="360" w:lineRule="auto"/>
        <w:ind w:firstLine="240" w:firstLineChars="100"/>
        <w:rPr>
          <w:rFonts w:hint="eastAsia" w:ascii="宋体" w:hAnsi="宋体" w:cs="宋体"/>
          <w:bCs/>
          <w:color w:val="000000"/>
          <w:sz w:val="24"/>
          <w:highlight w:val="none"/>
        </w:rPr>
      </w:pPr>
      <w:r>
        <w:rPr>
          <w:rFonts w:hint="eastAsia" w:ascii="宋体" w:hAnsi="宋体" w:cs="宋体"/>
          <w:bCs/>
          <w:color w:val="000000"/>
          <w:sz w:val="24"/>
          <w:highlight w:val="none"/>
        </w:rPr>
        <w:t>3、投标供应商应当在投标截止时间前，将生成的“电子加密投标文件”上传递交至“政府采购云平台”。投标截止时间以后上传递交的投标文件将被“政府采购云平台”拒收。</w:t>
      </w:r>
    </w:p>
    <w:p>
      <w:pPr>
        <w:shd w:val="clear" w:color="auto" w:fill="auto"/>
        <w:spacing w:line="360" w:lineRule="auto"/>
        <w:ind w:firstLine="240" w:firstLineChars="100"/>
        <w:rPr>
          <w:rFonts w:hint="eastAsia" w:ascii="宋体" w:hAnsi="宋体" w:cs="宋体"/>
          <w:bCs/>
          <w:color w:val="000000"/>
          <w:sz w:val="24"/>
          <w:highlight w:val="none"/>
        </w:rPr>
      </w:pPr>
      <w:r>
        <w:rPr>
          <w:rFonts w:hint="eastAsia" w:ascii="宋体" w:hAnsi="宋体" w:cs="宋体"/>
          <w:bCs/>
          <w:color w:val="000000"/>
          <w:sz w:val="24"/>
          <w:highlight w:val="none"/>
        </w:rPr>
        <w:t>4、投标供应商在“政府采购云平台”完成“电子加密投标文件”的上传递交后，还可以在投标截止时间前递交以介质（U盘）存储的数据电文形式的“备份投标文件”，“备份投标文件”应当密封包装并在包装上标注投标项目名称、投标单位名称并加盖公章。</w:t>
      </w:r>
    </w:p>
    <w:p>
      <w:pPr>
        <w:shd w:val="clear" w:color="auto" w:fill="auto"/>
        <w:spacing w:line="360" w:lineRule="auto"/>
        <w:ind w:firstLine="422" w:firstLineChars="176"/>
        <w:rPr>
          <w:rFonts w:hint="eastAsia" w:ascii="宋体" w:hAnsi="宋体" w:cs="宋体"/>
          <w:bCs/>
          <w:color w:val="000000"/>
          <w:sz w:val="24"/>
          <w:highlight w:val="none"/>
        </w:rPr>
      </w:pPr>
      <w:r>
        <w:rPr>
          <w:rFonts w:hint="eastAsia" w:ascii="宋体" w:hAnsi="宋体" w:cs="宋体"/>
          <w:bCs/>
          <w:color w:val="000000"/>
          <w:sz w:val="24"/>
          <w:highlight w:val="none"/>
        </w:rPr>
        <w:t>5、通过“政府采购云平台”上传递交的“电子加密投标文件”无法按时解密，投标供应商递交了备份投标文件的，以备份投标文件为依据，否则视为投标文件撤回。通过“政府采购云平台”上传递交的“电子加密投标文件”已按时解密的，“备份投标文件”自动失效。投标供应商仅递交备份投标文件的，投标无效。</w:t>
      </w:r>
    </w:p>
    <w:p>
      <w:pPr>
        <w:widowControl/>
        <w:shd w:val="clear" w:color="auto" w:fill="auto"/>
        <w:spacing w:line="360" w:lineRule="auto"/>
        <w:jc w:val="center"/>
        <w:rPr>
          <w:rFonts w:hint="eastAsia" w:ascii="宋体" w:hAnsi="宋体" w:cs="宋体"/>
          <w:b/>
          <w:color w:val="000000"/>
          <w:sz w:val="36"/>
          <w:szCs w:val="20"/>
          <w:highlight w:val="none"/>
        </w:rPr>
      </w:pPr>
      <w:r>
        <w:rPr>
          <w:rFonts w:hint="eastAsia" w:ascii="宋体" w:hAnsi="宋体" w:cs="宋体"/>
          <w:color w:val="000000"/>
          <w:sz w:val="28"/>
          <w:szCs w:val="28"/>
          <w:highlight w:val="none"/>
        </w:rPr>
        <w:br w:type="page"/>
      </w:r>
      <w:r>
        <w:rPr>
          <w:rFonts w:hint="eastAsia" w:ascii="宋体" w:hAnsi="宋体" w:cs="宋体"/>
          <w:b/>
          <w:color w:val="000000"/>
          <w:sz w:val="24"/>
          <w:highlight w:val="none"/>
        </w:rPr>
        <w:t xml:space="preserve"> </w:t>
      </w:r>
      <w:r>
        <w:rPr>
          <w:rFonts w:hint="eastAsia" w:ascii="宋体" w:hAnsi="宋体" w:cs="宋体"/>
          <w:b/>
          <w:color w:val="000000"/>
          <w:sz w:val="36"/>
          <w:szCs w:val="20"/>
          <w:highlight w:val="none"/>
        </w:rPr>
        <w:t>第二部分</w:t>
      </w:r>
      <w:bookmarkEnd w:id="8"/>
      <w:r>
        <w:rPr>
          <w:rFonts w:hint="eastAsia" w:ascii="宋体" w:hAnsi="宋体" w:cs="宋体"/>
          <w:b/>
          <w:color w:val="000000"/>
          <w:sz w:val="36"/>
          <w:szCs w:val="20"/>
          <w:highlight w:val="none"/>
        </w:rPr>
        <w:t xml:space="preserve"> 投标人须知</w:t>
      </w:r>
      <w:bookmarkEnd w:id="9"/>
    </w:p>
    <w:p>
      <w:pPr>
        <w:shd w:val="clear" w:color="auto" w:fill="auto"/>
        <w:snapToGrid w:val="0"/>
        <w:spacing w:line="360" w:lineRule="auto"/>
        <w:jc w:val="center"/>
        <w:rPr>
          <w:rFonts w:hint="eastAsia" w:ascii="宋体" w:hAnsi="宋体" w:cs="宋体"/>
          <w:b/>
          <w:color w:val="000000"/>
          <w:sz w:val="32"/>
          <w:szCs w:val="20"/>
          <w:highlight w:val="none"/>
        </w:rPr>
      </w:pPr>
      <w:r>
        <w:rPr>
          <w:rFonts w:hint="eastAsia" w:ascii="宋体" w:hAnsi="宋体" w:cs="宋体"/>
          <w:b/>
          <w:color w:val="000000"/>
          <w:sz w:val="32"/>
          <w:szCs w:val="20"/>
          <w:highlight w:val="none"/>
        </w:rPr>
        <w:t>前附表</w:t>
      </w:r>
    </w:p>
    <w:tbl>
      <w:tblPr>
        <w:tblStyle w:val="6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28" w:type="dxa"/>
          <w:bottom w:w="0" w:type="dxa"/>
          <w:right w:w="28" w:type="dxa"/>
        </w:tblCellMar>
      </w:tblPr>
      <w:tblGrid>
        <w:gridCol w:w="679"/>
        <w:gridCol w:w="1752"/>
        <w:gridCol w:w="66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372" w:type="pct"/>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序号</w:t>
            </w:r>
          </w:p>
        </w:tc>
        <w:tc>
          <w:tcPr>
            <w:tcW w:w="960" w:type="pct"/>
            <w:tcBorders>
              <w:top w:val="single" w:color="000000" w:sz="8" w:space="0"/>
              <w:left w:val="single" w:color="auto" w:sz="4" w:space="0"/>
              <w:bottom w:val="single" w:color="000000" w:sz="8" w:space="0"/>
              <w:right w:val="single" w:color="000000" w:sz="8" w:space="0"/>
            </w:tcBorders>
            <w:noWrap w:val="0"/>
            <w:vAlign w:val="center"/>
          </w:tcPr>
          <w:p>
            <w:pPr>
              <w:shd w:val="clear" w:color="auto" w:fill="auto"/>
              <w:snapToGrid w:val="0"/>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事项</w:t>
            </w:r>
          </w:p>
        </w:tc>
        <w:tc>
          <w:tcPr>
            <w:tcW w:w="3666" w:type="pct"/>
            <w:tcBorders>
              <w:top w:val="single" w:color="000000" w:sz="8" w:space="0"/>
              <w:left w:val="single" w:color="000000" w:sz="2" w:space="0"/>
              <w:bottom w:val="single" w:color="000000" w:sz="8" w:space="0"/>
              <w:right w:val="single" w:color="000000" w:sz="8" w:space="0"/>
            </w:tcBorders>
            <w:noWrap w:val="0"/>
            <w:vAlign w:val="center"/>
          </w:tcPr>
          <w:p>
            <w:pPr>
              <w:shd w:val="clear" w:color="auto" w:fill="auto"/>
              <w:snapToGrid w:val="0"/>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372" w:type="pct"/>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line="360" w:lineRule="auto"/>
              <w:jc w:val="center"/>
              <w:rPr>
                <w:rFonts w:hint="eastAsia" w:ascii="宋体" w:hAnsi="宋体" w:cs="宋体"/>
                <w:color w:val="000000"/>
                <w:sz w:val="24"/>
                <w:highlight w:val="none"/>
              </w:rPr>
            </w:pPr>
          </w:p>
          <w:p>
            <w:pPr>
              <w:shd w:val="clear" w:color="auto" w:fill="auto"/>
              <w:snapToGrid w:val="0"/>
              <w:spacing w:line="360" w:lineRule="auto"/>
              <w:jc w:val="center"/>
              <w:rPr>
                <w:rFonts w:hint="eastAsia" w:ascii="宋体" w:hAnsi="宋体" w:cs="宋体"/>
                <w:color w:val="000000"/>
                <w:sz w:val="24"/>
                <w:highlight w:val="none"/>
              </w:rPr>
            </w:pPr>
          </w:p>
          <w:p>
            <w:pPr>
              <w:shd w:val="clear" w:color="auto" w:fill="auto"/>
              <w:snapToGrid w:val="0"/>
              <w:spacing w:line="360" w:lineRule="auto"/>
              <w:jc w:val="center"/>
              <w:rPr>
                <w:rFonts w:hint="eastAsia" w:ascii="宋体" w:hAnsi="宋体" w:cs="宋体"/>
                <w:color w:val="000000"/>
                <w:sz w:val="24"/>
                <w:highlight w:val="none"/>
              </w:rPr>
            </w:pPr>
          </w:p>
          <w:p>
            <w:pPr>
              <w:shd w:val="clear" w:color="auto" w:fill="auto"/>
              <w:snapToGrid w:val="0"/>
              <w:spacing w:line="360" w:lineRule="auto"/>
              <w:jc w:val="center"/>
              <w:rPr>
                <w:rFonts w:hint="eastAsia" w:ascii="宋体" w:hAnsi="宋体" w:cs="宋体"/>
                <w:color w:val="000000"/>
                <w:sz w:val="24"/>
                <w:highlight w:val="none"/>
              </w:rPr>
            </w:pPr>
          </w:p>
          <w:p>
            <w:pPr>
              <w:shd w:val="clear" w:color="auto" w:fill="auto"/>
              <w:snapToGrid w:val="0"/>
              <w:spacing w:line="360" w:lineRule="auto"/>
              <w:jc w:val="center"/>
              <w:rPr>
                <w:rFonts w:hint="eastAsia" w:ascii="宋体" w:hAnsi="宋体" w:cs="宋体"/>
                <w:color w:val="000000"/>
                <w:sz w:val="24"/>
                <w:highlight w:val="none"/>
              </w:rPr>
            </w:pPr>
          </w:p>
          <w:p>
            <w:pPr>
              <w:shd w:val="clear" w:color="auto" w:fill="auto"/>
              <w:snapToGrid w:val="0"/>
              <w:spacing w:line="360" w:lineRule="auto"/>
              <w:jc w:val="center"/>
              <w:rPr>
                <w:rFonts w:hint="eastAsia" w:ascii="宋体" w:hAnsi="宋体" w:cs="宋体"/>
                <w:color w:val="000000"/>
                <w:sz w:val="24"/>
                <w:highlight w:val="none"/>
              </w:rPr>
            </w:pPr>
          </w:p>
          <w:p>
            <w:pPr>
              <w:shd w:val="clear" w:color="auto" w:fill="auto"/>
              <w:snapToGrid w:val="0"/>
              <w:spacing w:line="360" w:lineRule="auto"/>
              <w:jc w:val="center"/>
              <w:rPr>
                <w:rFonts w:hint="eastAsia" w:ascii="宋体" w:hAnsi="宋体" w:cs="宋体"/>
                <w:color w:val="000000"/>
                <w:sz w:val="24"/>
                <w:highlight w:val="none"/>
              </w:rPr>
            </w:pPr>
          </w:p>
          <w:p>
            <w:pPr>
              <w:shd w:val="clear" w:color="auto" w:fill="auto"/>
              <w:snapToGrid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1</w:t>
            </w:r>
          </w:p>
        </w:tc>
        <w:tc>
          <w:tcPr>
            <w:tcW w:w="960" w:type="pct"/>
            <w:tcBorders>
              <w:top w:val="single" w:color="000000" w:sz="8" w:space="0"/>
              <w:left w:val="single" w:color="auto" w:sz="4" w:space="0"/>
              <w:bottom w:val="single" w:color="000000" w:sz="8" w:space="0"/>
              <w:right w:val="single" w:color="000000" w:sz="8" w:space="0"/>
            </w:tcBorders>
            <w:noWrap w:val="0"/>
            <w:vAlign w:val="center"/>
          </w:tcPr>
          <w:p>
            <w:pPr>
              <w:shd w:val="clear" w:color="auto" w:fill="auto"/>
              <w:snapToGrid w:val="0"/>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报价要求</w:t>
            </w:r>
          </w:p>
        </w:tc>
        <w:tc>
          <w:tcPr>
            <w:tcW w:w="3666" w:type="pct"/>
            <w:tcBorders>
              <w:top w:val="single" w:color="000000" w:sz="8" w:space="0"/>
              <w:left w:val="single" w:color="000000" w:sz="2" w:space="0"/>
              <w:bottom w:val="single" w:color="000000" w:sz="8" w:space="0"/>
              <w:right w:val="single" w:color="000000" w:sz="8" w:space="0"/>
            </w:tcBorders>
            <w:noWrap w:val="0"/>
            <w:vAlign w:val="center"/>
          </w:tcPr>
          <w:p>
            <w:pPr>
              <w:shd w:val="clear" w:color="auto" w:fill="auto"/>
              <w:snapToGrid w:val="0"/>
              <w:spacing w:line="360" w:lineRule="auto"/>
              <w:jc w:val="left"/>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有关本项目开展所需的</w:t>
            </w:r>
            <w:r>
              <w:rPr>
                <w:rFonts w:hint="eastAsia" w:ascii="宋体" w:hAnsi="宋体" w:cs="宋体"/>
                <w:color w:val="000000"/>
                <w:sz w:val="24"/>
                <w:highlight w:val="none"/>
              </w:rPr>
              <w:t>一切</w:t>
            </w:r>
            <w:r>
              <w:rPr>
                <w:rFonts w:hint="eastAsia" w:ascii="宋体" w:hAnsi="宋体" w:cs="宋体"/>
                <w:color w:val="000000"/>
                <w:kern w:val="0"/>
                <w:sz w:val="24"/>
                <w:highlight w:val="none"/>
                <w:lang w:val="zh-CN"/>
              </w:rPr>
              <w:t>等费用均计入报价。</w:t>
            </w:r>
            <w:r>
              <w:rPr>
                <w:rFonts w:hint="eastAsia" w:ascii="宋体" w:hAnsi="宋体" w:cs="宋体"/>
                <w:color w:val="000000"/>
                <w:sz w:val="24"/>
                <w:highlight w:val="none"/>
              </w:rPr>
              <w:t>《投标（开标）一览表》是报价的唯一载体</w:t>
            </w:r>
            <w:r>
              <w:rPr>
                <w:rFonts w:hint="eastAsia" w:ascii="宋体" w:hAnsi="宋体" w:cs="宋体"/>
                <w:color w:val="000000"/>
                <w:kern w:val="0"/>
                <w:sz w:val="24"/>
                <w:highlight w:val="none"/>
                <w:lang w:val="zh-CN"/>
              </w:rPr>
              <w:t>。投标文件中价格全部采用人民币报价。招标文件未列明，而投标人认为必需的费用也需列入报价。</w:t>
            </w:r>
          </w:p>
          <w:p>
            <w:pPr>
              <w:shd w:val="clear" w:color="auto" w:fill="auto"/>
              <w:snapToGrid w:val="0"/>
              <w:spacing w:line="360" w:lineRule="auto"/>
              <w:jc w:val="left"/>
              <w:rPr>
                <w:rFonts w:hint="eastAsia" w:ascii="宋体" w:hAnsi="宋体" w:cs="宋体"/>
                <w:b/>
                <w:color w:val="000000"/>
                <w:kern w:val="0"/>
                <w:sz w:val="24"/>
                <w:highlight w:val="none"/>
                <w:lang w:val="zh-CN"/>
              </w:rPr>
            </w:pPr>
            <w:r>
              <w:rPr>
                <w:rFonts w:hint="eastAsia" w:ascii="宋体" w:hAnsi="宋体" w:cs="宋体"/>
                <w:b/>
                <w:color w:val="000000"/>
                <w:kern w:val="0"/>
                <w:sz w:val="24"/>
                <w:highlight w:val="none"/>
                <w:lang w:val="zh-CN"/>
              </w:rPr>
              <w:t>投标报价出现下列情形的，投标无效：</w:t>
            </w:r>
          </w:p>
          <w:p>
            <w:pPr>
              <w:shd w:val="clear" w:color="auto" w:fill="auto"/>
              <w:snapToGrid w:val="0"/>
              <w:spacing w:line="360" w:lineRule="auto"/>
              <w:jc w:val="left"/>
              <w:rPr>
                <w:rFonts w:hint="eastAsia" w:ascii="宋体" w:hAnsi="宋体" w:cs="宋体"/>
                <w:b/>
                <w:color w:val="000000"/>
                <w:sz w:val="24"/>
                <w:highlight w:val="none"/>
                <w:lang w:val="zh-CN"/>
              </w:rPr>
            </w:pPr>
            <w:r>
              <w:rPr>
                <w:rFonts w:hint="eastAsia" w:ascii="宋体" w:hAnsi="宋体" w:cs="宋体"/>
                <w:b/>
                <w:color w:val="000000"/>
                <w:sz w:val="24"/>
                <w:highlight w:val="none"/>
              </w:rPr>
              <w:t>▲</w:t>
            </w:r>
            <w:r>
              <w:rPr>
                <w:rFonts w:hint="eastAsia" w:ascii="宋体" w:hAnsi="宋体" w:cs="宋体"/>
                <w:b/>
                <w:color w:val="000000"/>
                <w:sz w:val="24"/>
                <w:highlight w:val="none"/>
                <w:lang w:val="zh-CN"/>
              </w:rPr>
              <w:t>投标文件出现不是唯一的、有选择性投标报价的；</w:t>
            </w:r>
          </w:p>
          <w:p>
            <w:pPr>
              <w:shd w:val="clear" w:color="auto" w:fill="auto"/>
              <w:snapToGrid w:val="0"/>
              <w:spacing w:line="360" w:lineRule="auto"/>
              <w:jc w:val="left"/>
              <w:rPr>
                <w:rFonts w:hint="eastAsia" w:ascii="宋体" w:hAnsi="宋体" w:cs="宋体"/>
                <w:color w:val="000000"/>
                <w:kern w:val="0"/>
                <w:sz w:val="24"/>
                <w:highlight w:val="none"/>
                <w:lang w:val="zh-CN"/>
              </w:rPr>
            </w:pPr>
            <w:r>
              <w:rPr>
                <w:rFonts w:hint="eastAsia" w:ascii="宋体" w:hAnsi="宋体" w:cs="宋体"/>
                <w:b/>
                <w:color w:val="000000"/>
                <w:sz w:val="24"/>
                <w:highlight w:val="none"/>
              </w:rPr>
              <w:t>▲投标报价高于本项目采购预算或者最高限价的;</w:t>
            </w:r>
          </w:p>
          <w:p>
            <w:pPr>
              <w:shd w:val="clear" w:color="auto" w:fill="auto"/>
              <w:spacing w:line="360" w:lineRule="auto"/>
              <w:rPr>
                <w:rFonts w:hint="eastAsia" w:ascii="宋体" w:hAnsi="宋体" w:cs="宋体"/>
                <w:b/>
                <w:color w:val="000000"/>
                <w:sz w:val="24"/>
                <w:highlight w:val="none"/>
              </w:rPr>
            </w:pPr>
            <w:r>
              <w:rPr>
                <w:rFonts w:hint="eastAsia" w:ascii="宋体" w:hAnsi="宋体" w:cs="宋体"/>
                <w:b/>
                <w:color w:val="000000"/>
                <w:sz w:val="24"/>
                <w:highlight w:val="none"/>
              </w:rPr>
              <w:t>▲</w:t>
            </w:r>
            <w:r>
              <w:rPr>
                <w:rFonts w:hint="eastAsia" w:ascii="宋体" w:hAnsi="宋体" w:cs="宋体"/>
                <w:b/>
                <w:color w:val="000000"/>
                <w:kern w:val="0"/>
                <w:sz w:val="24"/>
                <w:highlight w:val="none"/>
              </w:rPr>
              <w:t>报价明显低于其他通过符合性审查投标人的报价，有可能影响产品质量或者不能诚信履约的，未能按要求提供书面说明或者提交相关证明材料，不能证明其报价合理性的</w:t>
            </w:r>
            <w:r>
              <w:rPr>
                <w:rFonts w:hint="eastAsia" w:ascii="宋体" w:hAnsi="宋体" w:cs="宋体"/>
                <w:b/>
                <w:color w:val="000000"/>
                <w:sz w:val="24"/>
                <w:szCs w:val="21"/>
                <w:highlight w:val="none"/>
              </w:rPr>
              <w:t>;</w:t>
            </w:r>
          </w:p>
          <w:p>
            <w:pPr>
              <w:shd w:val="clear" w:color="auto" w:fill="auto"/>
              <w:spacing w:line="360" w:lineRule="auto"/>
              <w:rPr>
                <w:rFonts w:hint="eastAsia" w:ascii="宋体" w:hAnsi="宋体" w:cs="宋体"/>
                <w:color w:val="000000"/>
                <w:sz w:val="24"/>
                <w:szCs w:val="21"/>
                <w:highlight w:val="none"/>
              </w:rPr>
            </w:pPr>
            <w:r>
              <w:rPr>
                <w:rFonts w:hint="eastAsia" w:ascii="宋体" w:hAnsi="宋体" w:cs="宋体"/>
                <w:b/>
                <w:color w:val="000000"/>
                <w:sz w:val="24"/>
                <w:highlight w:val="none"/>
              </w:rPr>
              <w:t>▲《投标（开标）一览表》填写不完整或字迹不能辨认或有漏项的；</w:t>
            </w:r>
          </w:p>
          <w:p>
            <w:pPr>
              <w:shd w:val="clear" w:color="auto" w:fill="auto"/>
              <w:spacing w:line="360" w:lineRule="auto"/>
              <w:rPr>
                <w:rFonts w:hint="eastAsia" w:ascii="宋体" w:hAnsi="宋体" w:cs="宋体"/>
                <w:color w:val="000000"/>
                <w:sz w:val="24"/>
                <w:highlight w:val="none"/>
              </w:rPr>
            </w:pPr>
            <w:r>
              <w:rPr>
                <w:rFonts w:hint="eastAsia" w:ascii="宋体" w:hAnsi="宋体" w:cs="宋体"/>
                <w:b/>
                <w:color w:val="000000"/>
                <w:kern w:val="0"/>
                <w:sz w:val="24"/>
                <w:highlight w:val="none"/>
              </w:rPr>
              <w:t>▲投标人对根据修正原则修正后的报价不确认的</w:t>
            </w:r>
            <w:r>
              <w:rPr>
                <w:rFonts w:hint="eastAsia" w:ascii="宋体" w:hAnsi="宋体" w:cs="宋体"/>
                <w:b/>
                <w:color w:val="000000"/>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94" w:hRule="atLeast"/>
          <w:tblHeader/>
        </w:trPr>
        <w:tc>
          <w:tcPr>
            <w:tcW w:w="372" w:type="pct"/>
            <w:tcBorders>
              <w:top w:val="single" w:color="auto" w:sz="4" w:space="0"/>
              <w:left w:val="single" w:color="auto" w:sz="4" w:space="0"/>
              <w:bottom w:val="single" w:color="auto" w:sz="4" w:space="0"/>
              <w:right w:val="single" w:color="auto" w:sz="4" w:space="0"/>
            </w:tcBorders>
            <w:noWrap w:val="0"/>
            <w:vAlign w:val="center"/>
          </w:tcPr>
          <w:p>
            <w:pPr>
              <w:shd w:val="clear" w:color="auto" w:fill="auto"/>
              <w:snapToGrid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2</w:t>
            </w:r>
          </w:p>
        </w:tc>
        <w:tc>
          <w:tcPr>
            <w:tcW w:w="960" w:type="pct"/>
            <w:tcBorders>
              <w:top w:val="single" w:color="000000" w:sz="8" w:space="0"/>
              <w:left w:val="single" w:color="auto" w:sz="4" w:space="0"/>
              <w:bottom w:val="single" w:color="000000" w:sz="8" w:space="0"/>
              <w:right w:val="single" w:color="000000" w:sz="8" w:space="0"/>
            </w:tcBorders>
            <w:noWrap w:val="0"/>
            <w:vAlign w:val="center"/>
          </w:tcPr>
          <w:p>
            <w:pPr>
              <w:shd w:val="clear" w:color="auto" w:fill="auto"/>
              <w:snapToGrid w:val="0"/>
              <w:spacing w:line="360" w:lineRule="auto"/>
              <w:rPr>
                <w:rFonts w:hint="eastAsia" w:ascii="宋体" w:hAnsi="宋体" w:cs="宋体"/>
                <w:b/>
                <w:color w:val="000000"/>
                <w:sz w:val="24"/>
                <w:highlight w:val="none"/>
              </w:rPr>
            </w:pPr>
            <w:r>
              <w:rPr>
                <w:rFonts w:hint="eastAsia" w:ascii="宋体" w:hAnsi="宋体" w:cs="宋体"/>
                <w:b/>
                <w:color w:val="000000"/>
                <w:sz w:val="24"/>
                <w:highlight w:val="none"/>
              </w:rPr>
              <w:t>分包或转包。</w:t>
            </w:r>
          </w:p>
        </w:tc>
        <w:tc>
          <w:tcPr>
            <w:tcW w:w="3666" w:type="pct"/>
            <w:tcBorders>
              <w:top w:val="single" w:color="000000" w:sz="8" w:space="0"/>
              <w:left w:val="single" w:color="000000" w:sz="2" w:space="0"/>
              <w:bottom w:val="single" w:color="000000" w:sz="8" w:space="0"/>
              <w:right w:val="single" w:color="000000" w:sz="8" w:space="0"/>
            </w:tcBorders>
            <w:noWrap w:val="0"/>
            <w:vAlign w:val="center"/>
          </w:tcPr>
          <w:p>
            <w:pPr>
              <w:shd w:val="clear" w:color="auto" w:fill="auto"/>
              <w:snapToGrid w:val="0"/>
              <w:spacing w:line="360" w:lineRule="auto"/>
              <w:rPr>
                <w:rFonts w:hint="eastAsia" w:ascii="宋体" w:hAnsi="宋体" w:cs="宋体"/>
                <w:color w:val="000000"/>
                <w:sz w:val="24"/>
                <w:highlight w:val="none"/>
              </w:rPr>
            </w:pPr>
            <w:r>
              <w:rPr>
                <w:rFonts w:hint="eastAsia" w:ascii="宋体" w:hAnsi="宋体" w:cs="宋体"/>
                <w:color w:val="000000"/>
                <w:sz w:val="24"/>
                <w:highlight w:val="none"/>
              </w:rPr>
              <w:t>（1）采购人</w:t>
            </w:r>
            <w:r>
              <w:rPr>
                <w:rFonts w:hint="eastAsia" w:ascii="宋体" w:hAnsi="宋体" w:cs="宋体"/>
                <w:b/>
                <w:color w:val="000000"/>
                <w:sz w:val="24"/>
                <w:highlight w:val="none"/>
              </w:rPr>
              <w:t>不同意</w:t>
            </w:r>
            <w:r>
              <w:rPr>
                <w:rFonts w:hint="eastAsia" w:ascii="宋体" w:hAnsi="宋体" w:cs="宋体"/>
                <w:color w:val="000000"/>
                <w:sz w:val="24"/>
                <w:highlight w:val="none"/>
              </w:rPr>
              <w:t>分包</w:t>
            </w:r>
          </w:p>
          <w:p>
            <w:pPr>
              <w:shd w:val="clear" w:color="auto" w:fill="auto"/>
              <w:snapToGrid w:val="0"/>
              <w:spacing w:line="360" w:lineRule="auto"/>
              <w:rPr>
                <w:rFonts w:hint="eastAsia" w:ascii="宋体" w:hAnsi="宋体" w:cs="宋体"/>
                <w:color w:val="000000"/>
                <w:sz w:val="24"/>
                <w:highlight w:val="none"/>
              </w:rPr>
            </w:pPr>
            <w:r>
              <w:rPr>
                <w:rFonts w:hint="eastAsia" w:ascii="宋体" w:hAnsi="宋体" w:cs="宋体"/>
                <w:color w:val="000000"/>
                <w:sz w:val="24"/>
                <w:highlight w:val="none"/>
              </w:rPr>
              <w:t>（2）本项目不得转包。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57" w:hRule="atLeast"/>
          <w:tblHeader/>
        </w:trPr>
        <w:tc>
          <w:tcPr>
            <w:tcW w:w="372" w:type="pct"/>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line="360" w:lineRule="auto"/>
              <w:jc w:val="center"/>
              <w:rPr>
                <w:rFonts w:hint="eastAsia" w:ascii="宋体" w:hAnsi="宋体" w:cs="宋体"/>
                <w:color w:val="000000"/>
                <w:sz w:val="24"/>
                <w:highlight w:val="none"/>
              </w:rPr>
            </w:pPr>
          </w:p>
          <w:p>
            <w:pPr>
              <w:shd w:val="clear" w:color="auto" w:fill="auto"/>
              <w:snapToGrid w:val="0"/>
              <w:spacing w:line="360" w:lineRule="auto"/>
              <w:jc w:val="center"/>
              <w:rPr>
                <w:rFonts w:hint="eastAsia" w:ascii="宋体" w:hAnsi="宋体" w:cs="宋体"/>
                <w:color w:val="000000"/>
                <w:sz w:val="24"/>
                <w:highlight w:val="none"/>
              </w:rPr>
            </w:pPr>
          </w:p>
          <w:p>
            <w:pPr>
              <w:shd w:val="clear" w:color="auto" w:fill="auto"/>
              <w:snapToGrid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3</w:t>
            </w:r>
          </w:p>
        </w:tc>
        <w:tc>
          <w:tcPr>
            <w:tcW w:w="960" w:type="pct"/>
            <w:tcBorders>
              <w:top w:val="single" w:color="000000" w:sz="8" w:space="0"/>
              <w:left w:val="single" w:color="auto" w:sz="4" w:space="0"/>
              <w:bottom w:val="single" w:color="000000" w:sz="8" w:space="0"/>
              <w:right w:val="single" w:color="000000" w:sz="8" w:space="0"/>
            </w:tcBorders>
            <w:noWrap w:val="0"/>
            <w:vAlign w:val="center"/>
          </w:tcPr>
          <w:p>
            <w:pPr>
              <w:shd w:val="clear" w:color="auto" w:fill="auto"/>
              <w:snapToGrid w:val="0"/>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投标人应当提供的资格、资信证明等文件</w:t>
            </w:r>
          </w:p>
        </w:tc>
        <w:tc>
          <w:tcPr>
            <w:tcW w:w="3666" w:type="pct"/>
            <w:tcBorders>
              <w:top w:val="single" w:color="000000" w:sz="8" w:space="0"/>
              <w:left w:val="single" w:color="000000" w:sz="2" w:space="0"/>
              <w:bottom w:val="single" w:color="000000" w:sz="8" w:space="0"/>
              <w:right w:val="single" w:color="000000" w:sz="8" w:space="0"/>
            </w:tcBorders>
            <w:noWrap w:val="0"/>
            <w:vAlign w:val="center"/>
          </w:tcPr>
          <w:p>
            <w:pPr>
              <w:numPr>
                <w:ilvl w:val="0"/>
                <w:numId w:val="7"/>
              </w:numPr>
              <w:shd w:val="clear" w:color="auto" w:fill="auto"/>
              <w:spacing w:line="360" w:lineRule="auto"/>
              <w:jc w:val="left"/>
              <w:rPr>
                <w:rFonts w:hint="eastAsia" w:ascii="宋体" w:hAnsi="宋体" w:cs="宋体"/>
                <w:color w:val="000000"/>
                <w:sz w:val="24"/>
                <w:highlight w:val="none"/>
              </w:rPr>
            </w:pPr>
            <w:r>
              <w:rPr>
                <w:rFonts w:hint="eastAsia" w:ascii="宋体" w:hAnsi="宋体" w:cs="宋体"/>
                <w:color w:val="000000"/>
                <w:sz w:val="24"/>
                <w:highlight w:val="none"/>
              </w:rPr>
              <w:t>资格证明文件：按照招标文件要求。</w:t>
            </w:r>
          </w:p>
          <w:p>
            <w:pPr>
              <w:numPr>
                <w:ilvl w:val="0"/>
                <w:numId w:val="7"/>
              </w:numPr>
              <w:shd w:val="clear" w:color="auto" w:fill="auto"/>
              <w:spacing w:line="360" w:lineRule="auto"/>
              <w:rPr>
                <w:rFonts w:hint="eastAsia" w:ascii="宋体" w:hAnsi="宋体" w:cs="宋体"/>
                <w:color w:val="000000"/>
                <w:sz w:val="24"/>
                <w:highlight w:val="none"/>
              </w:rPr>
            </w:pPr>
            <w:r>
              <w:rPr>
                <w:rFonts w:hint="eastAsia" w:ascii="宋体" w:hAnsi="宋体" w:cs="宋体"/>
                <w:color w:val="000000"/>
                <w:sz w:val="24"/>
                <w:highlight w:val="none"/>
              </w:rPr>
              <w:t>资信证明文件：按照招标文件要求提供。</w:t>
            </w:r>
          </w:p>
          <w:p>
            <w:pPr>
              <w:shd w:val="clear" w:color="auto" w:fill="auto"/>
              <w:spacing w:line="360" w:lineRule="auto"/>
              <w:rPr>
                <w:rFonts w:hint="eastAsia" w:ascii="宋体" w:hAnsi="宋体" w:cs="宋体"/>
                <w:color w:val="000000"/>
                <w:kern w:val="0"/>
                <w:sz w:val="24"/>
                <w:highlight w:val="none"/>
              </w:rPr>
            </w:pPr>
            <w:r>
              <w:rPr>
                <w:rFonts w:hint="eastAsia" w:ascii="宋体" w:hAnsi="宋体" w:cs="宋体"/>
                <w:b/>
                <w:bCs/>
                <w:color w:val="000000"/>
                <w:sz w:val="24"/>
                <w:highlight w:val="none"/>
              </w:rPr>
              <w:t>▲投标人未提供（1）资格证明文件，视为投标人不具备招标文件中规定的资格要求，投标无效。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372" w:type="pct"/>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line="360" w:lineRule="auto"/>
              <w:jc w:val="center"/>
              <w:rPr>
                <w:rFonts w:hint="eastAsia" w:ascii="宋体" w:hAnsi="宋体" w:cs="宋体"/>
                <w:color w:val="000000"/>
                <w:sz w:val="24"/>
                <w:highlight w:val="none"/>
              </w:rPr>
            </w:pPr>
          </w:p>
          <w:p>
            <w:pPr>
              <w:shd w:val="clear" w:color="auto" w:fill="auto"/>
              <w:snapToGrid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4</w:t>
            </w:r>
          </w:p>
        </w:tc>
        <w:tc>
          <w:tcPr>
            <w:tcW w:w="960" w:type="pct"/>
            <w:tcBorders>
              <w:top w:val="single" w:color="000000" w:sz="8" w:space="0"/>
              <w:left w:val="single" w:color="auto" w:sz="4" w:space="0"/>
              <w:bottom w:val="single" w:color="000000" w:sz="8" w:space="0"/>
              <w:right w:val="single" w:color="000000" w:sz="8" w:space="0"/>
            </w:tcBorders>
            <w:noWrap w:val="0"/>
            <w:vAlign w:val="center"/>
          </w:tcPr>
          <w:p>
            <w:pPr>
              <w:shd w:val="clear" w:color="auto" w:fill="auto"/>
              <w:snapToGrid w:val="0"/>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开标前答疑会或现场考察</w:t>
            </w:r>
          </w:p>
        </w:tc>
        <w:tc>
          <w:tcPr>
            <w:tcW w:w="3666" w:type="pct"/>
            <w:tcBorders>
              <w:top w:val="single" w:color="000000" w:sz="8" w:space="0"/>
              <w:left w:val="single" w:color="000000" w:sz="2" w:space="0"/>
              <w:bottom w:val="single" w:color="000000" w:sz="8" w:space="0"/>
              <w:right w:val="single" w:color="000000" w:sz="8" w:space="0"/>
            </w:tcBorders>
            <w:noWrap w:val="0"/>
            <w:vAlign w:val="center"/>
          </w:tcPr>
          <w:p>
            <w:pPr>
              <w:pStyle w:val="32"/>
              <w:shd w:val="clear" w:color="auto" w:fill="auto"/>
              <w:spacing w:line="360" w:lineRule="auto"/>
              <w:rPr>
                <w:rFonts w:hint="eastAsia" w:hAnsi="宋体" w:cs="宋体"/>
                <w:snapToGrid/>
                <w:color w:val="000000"/>
                <w:sz w:val="24"/>
                <w:szCs w:val="20"/>
                <w:highlight w:val="none"/>
              </w:rPr>
            </w:pPr>
            <w:r>
              <w:rPr>
                <w:rFonts w:hint="eastAsia" w:hAnsi="宋体" w:cs="宋体"/>
                <w:snapToGrid/>
                <w:color w:val="000000"/>
                <w:sz w:val="24"/>
                <w:szCs w:val="20"/>
                <w:highlight w:val="none"/>
              </w:rPr>
              <w:t>不组织。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094" w:hRule="atLeast"/>
          <w:tblHeader/>
        </w:trPr>
        <w:tc>
          <w:tcPr>
            <w:tcW w:w="372" w:type="pct"/>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line="360" w:lineRule="auto"/>
              <w:rPr>
                <w:rFonts w:hint="eastAsia" w:ascii="宋体" w:hAnsi="宋体" w:cs="宋体"/>
                <w:color w:val="000000"/>
                <w:sz w:val="24"/>
                <w:highlight w:val="none"/>
              </w:rPr>
            </w:pPr>
          </w:p>
          <w:p>
            <w:pPr>
              <w:shd w:val="clear" w:color="auto" w:fill="auto"/>
              <w:snapToGrid w:val="0"/>
              <w:spacing w:line="360" w:lineRule="auto"/>
              <w:jc w:val="center"/>
              <w:rPr>
                <w:rFonts w:hint="eastAsia" w:ascii="宋体" w:hAnsi="宋体" w:cs="宋体"/>
                <w:color w:val="000000"/>
                <w:sz w:val="24"/>
                <w:highlight w:val="none"/>
              </w:rPr>
            </w:pPr>
          </w:p>
          <w:p>
            <w:pPr>
              <w:shd w:val="clear" w:color="auto" w:fill="auto"/>
              <w:snapToGrid w:val="0"/>
              <w:spacing w:line="360" w:lineRule="auto"/>
              <w:jc w:val="center"/>
              <w:rPr>
                <w:rFonts w:hint="eastAsia" w:ascii="宋体" w:hAnsi="宋体" w:cs="宋体"/>
                <w:color w:val="000000"/>
                <w:sz w:val="24"/>
                <w:highlight w:val="none"/>
              </w:rPr>
            </w:pPr>
          </w:p>
          <w:p>
            <w:pPr>
              <w:shd w:val="clear" w:color="auto" w:fill="auto"/>
              <w:snapToGrid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5</w:t>
            </w:r>
          </w:p>
        </w:tc>
        <w:tc>
          <w:tcPr>
            <w:tcW w:w="1752" w:type="dxa"/>
            <w:tcBorders>
              <w:top w:val="single" w:color="000000" w:sz="8" w:space="0"/>
              <w:left w:val="single" w:color="auto" w:sz="4" w:space="0"/>
              <w:bottom w:val="single" w:color="000000" w:sz="8" w:space="0"/>
              <w:right w:val="single" w:color="000000" w:sz="8" w:space="0"/>
            </w:tcBorders>
            <w:noWrap w:val="0"/>
            <w:vAlign w:val="center"/>
          </w:tcPr>
          <w:p>
            <w:pPr>
              <w:shd w:val="clear" w:color="auto" w:fill="auto"/>
              <w:snapToGrid w:val="0"/>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现场演示</w:t>
            </w:r>
          </w:p>
        </w:tc>
        <w:tc>
          <w:tcPr>
            <w:tcW w:w="6690" w:type="dxa"/>
            <w:tcBorders>
              <w:top w:val="single" w:color="000000" w:sz="8" w:space="0"/>
              <w:left w:val="single" w:color="000000" w:sz="2" w:space="0"/>
              <w:bottom w:val="single" w:color="000000" w:sz="8" w:space="0"/>
              <w:right w:val="single" w:color="000000" w:sz="8" w:space="0"/>
            </w:tcBorders>
            <w:noWrap w:val="0"/>
            <w:vAlign w:val="center"/>
          </w:tcPr>
          <w:p>
            <w:pPr>
              <w:shd w:val="clear" w:color="auto" w:fill="auto"/>
              <w:spacing w:line="360" w:lineRule="auto"/>
              <w:rPr>
                <w:rFonts w:hint="eastAsia" w:ascii="宋体" w:hAnsi="宋体" w:cs="宋体"/>
                <w:b/>
                <w:color w:val="000000"/>
                <w:sz w:val="24"/>
                <w:highlight w:val="none"/>
              </w:rPr>
            </w:pPr>
            <w:r>
              <w:rPr>
                <w:rFonts w:hint="eastAsia" w:ascii="宋体" w:hAnsi="宋体" w:cs="宋体"/>
                <w:color w:val="00000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916" w:hRule="atLeast"/>
          <w:tblHeader/>
        </w:trPr>
        <w:tc>
          <w:tcPr>
            <w:tcW w:w="372" w:type="pct"/>
            <w:tcBorders>
              <w:top w:val="single" w:color="auto" w:sz="4" w:space="0"/>
              <w:left w:val="single" w:color="000000" w:sz="8" w:space="0"/>
              <w:bottom w:val="single" w:color="auto" w:sz="4" w:space="0"/>
              <w:right w:val="single" w:color="000000" w:sz="2" w:space="0"/>
            </w:tcBorders>
            <w:noWrap w:val="0"/>
            <w:vAlign w:val="top"/>
          </w:tcPr>
          <w:p>
            <w:pPr>
              <w:shd w:val="clear" w:color="auto" w:fill="auto"/>
              <w:snapToGrid w:val="0"/>
              <w:spacing w:line="360" w:lineRule="auto"/>
              <w:jc w:val="center"/>
              <w:rPr>
                <w:rFonts w:hint="eastAsia" w:ascii="宋体" w:hAnsi="宋体" w:cs="宋体"/>
                <w:color w:val="000000"/>
                <w:sz w:val="24"/>
                <w:highlight w:val="none"/>
              </w:rPr>
            </w:pPr>
          </w:p>
          <w:p>
            <w:pPr>
              <w:shd w:val="clear" w:color="auto" w:fill="auto"/>
              <w:snapToGrid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6</w:t>
            </w:r>
          </w:p>
        </w:tc>
        <w:tc>
          <w:tcPr>
            <w:tcW w:w="960" w:type="pct"/>
            <w:tcBorders>
              <w:top w:val="single" w:color="000000" w:sz="8" w:space="0"/>
              <w:left w:val="single" w:color="000000" w:sz="2" w:space="0"/>
              <w:bottom w:val="single" w:color="000000" w:sz="8" w:space="0"/>
              <w:right w:val="single" w:color="000000" w:sz="8" w:space="0"/>
            </w:tcBorders>
            <w:noWrap w:val="0"/>
            <w:vAlign w:val="center"/>
          </w:tcPr>
          <w:p>
            <w:pPr>
              <w:shd w:val="clear" w:color="auto" w:fill="auto"/>
              <w:snapToGrid w:val="0"/>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采购机构代理费用</w:t>
            </w:r>
          </w:p>
        </w:tc>
        <w:tc>
          <w:tcPr>
            <w:tcW w:w="3666" w:type="pct"/>
            <w:tcBorders>
              <w:top w:val="single" w:color="000000" w:sz="8" w:space="0"/>
              <w:left w:val="single" w:color="000000" w:sz="2" w:space="0"/>
              <w:bottom w:val="single" w:color="000000" w:sz="8" w:space="0"/>
              <w:right w:val="single" w:color="000000" w:sz="8" w:space="0"/>
            </w:tcBorders>
            <w:noWrap w:val="0"/>
            <w:vAlign w:val="center"/>
          </w:tcPr>
          <w:p>
            <w:pPr>
              <w:shd w:val="clear" w:color="auto" w:fill="auto"/>
              <w:snapToGrid w:val="0"/>
              <w:spacing w:line="360" w:lineRule="auto"/>
              <w:rPr>
                <w:rFonts w:hint="eastAsia" w:ascii="宋体" w:hAnsi="宋体" w:cs="宋体"/>
                <w:color w:val="000000"/>
                <w:sz w:val="24"/>
                <w:highlight w:val="none"/>
              </w:rPr>
            </w:pPr>
            <w:r>
              <w:rPr>
                <w:rFonts w:hint="eastAsia" w:ascii="宋体" w:hAnsi="宋体" w:cs="宋体"/>
                <w:bCs/>
                <w:color w:val="000000"/>
                <w:kern w:val="0"/>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87" w:hRule="atLeast"/>
          <w:tblHeader/>
        </w:trPr>
        <w:tc>
          <w:tcPr>
            <w:tcW w:w="372" w:type="pct"/>
            <w:tcBorders>
              <w:top w:val="single" w:color="auto" w:sz="4" w:space="0"/>
              <w:left w:val="single" w:color="000000" w:sz="8" w:space="0"/>
              <w:bottom w:val="single" w:color="auto" w:sz="4" w:space="0"/>
              <w:right w:val="single" w:color="000000" w:sz="2" w:space="0"/>
            </w:tcBorders>
            <w:noWrap w:val="0"/>
            <w:vAlign w:val="top"/>
          </w:tcPr>
          <w:p>
            <w:pPr>
              <w:shd w:val="clear" w:color="auto" w:fill="auto"/>
              <w:snapToGrid w:val="0"/>
              <w:spacing w:line="360" w:lineRule="auto"/>
              <w:jc w:val="center"/>
              <w:rPr>
                <w:rFonts w:hint="eastAsia" w:ascii="宋体" w:hAnsi="宋体" w:cs="宋体"/>
                <w:color w:val="000000"/>
                <w:sz w:val="24"/>
                <w:highlight w:val="none"/>
              </w:rPr>
            </w:pPr>
          </w:p>
          <w:p>
            <w:pPr>
              <w:shd w:val="clear" w:color="auto" w:fill="auto"/>
              <w:snapToGrid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7</w:t>
            </w:r>
          </w:p>
        </w:tc>
        <w:tc>
          <w:tcPr>
            <w:tcW w:w="960" w:type="pct"/>
            <w:tcBorders>
              <w:top w:val="single" w:color="000000" w:sz="8" w:space="0"/>
              <w:left w:val="single" w:color="000000" w:sz="2" w:space="0"/>
              <w:bottom w:val="single" w:color="000000" w:sz="8" w:space="0"/>
              <w:right w:val="single" w:color="000000" w:sz="8" w:space="0"/>
            </w:tcBorders>
            <w:noWrap w:val="0"/>
            <w:vAlign w:val="center"/>
          </w:tcPr>
          <w:p>
            <w:pPr>
              <w:shd w:val="clear" w:color="auto" w:fill="auto"/>
              <w:snapToGrid w:val="0"/>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投标保证金缴纳</w:t>
            </w:r>
          </w:p>
        </w:tc>
        <w:tc>
          <w:tcPr>
            <w:tcW w:w="3666" w:type="pct"/>
            <w:tcBorders>
              <w:top w:val="single" w:color="000000" w:sz="8" w:space="0"/>
              <w:left w:val="single" w:color="000000" w:sz="2" w:space="0"/>
              <w:bottom w:val="single" w:color="000000" w:sz="8" w:space="0"/>
              <w:right w:val="single" w:color="000000" w:sz="8" w:space="0"/>
            </w:tcBorders>
            <w:noWrap w:val="0"/>
            <w:vAlign w:val="center"/>
          </w:tcPr>
          <w:p>
            <w:pPr>
              <w:pStyle w:val="16"/>
              <w:shd w:val="clear" w:color="auto" w:fill="auto"/>
              <w:spacing w:line="360" w:lineRule="auto"/>
              <w:ind w:firstLine="480" w:firstLineChars="200"/>
              <w:rPr>
                <w:rFonts w:hint="eastAsia" w:hAnsi="宋体" w:cs="宋体"/>
                <w:color w:val="000000"/>
                <w:sz w:val="24"/>
                <w:highlight w:val="none"/>
              </w:rPr>
            </w:pPr>
            <w:r>
              <w:rPr>
                <w:rFonts w:hint="eastAsia" w:hAnsi="宋体" w:cs="宋体"/>
                <w:color w:val="000000"/>
                <w:sz w:val="24"/>
                <w:highlight w:val="none"/>
              </w:rPr>
              <w:t>不收取投标保证金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13" w:hRule="atLeast"/>
          <w:tblHeader/>
        </w:trPr>
        <w:tc>
          <w:tcPr>
            <w:tcW w:w="372" w:type="pct"/>
            <w:tcBorders>
              <w:top w:val="single" w:color="auto" w:sz="4" w:space="0"/>
              <w:left w:val="single" w:color="000000" w:sz="8" w:space="0"/>
              <w:bottom w:val="single" w:color="auto" w:sz="4" w:space="0"/>
              <w:right w:val="single" w:color="000000" w:sz="2" w:space="0"/>
            </w:tcBorders>
            <w:noWrap w:val="0"/>
            <w:vAlign w:val="top"/>
          </w:tcPr>
          <w:p>
            <w:pPr>
              <w:shd w:val="clear" w:color="auto" w:fill="auto"/>
              <w:snapToGrid w:val="0"/>
              <w:spacing w:line="360" w:lineRule="auto"/>
              <w:jc w:val="center"/>
              <w:rPr>
                <w:rFonts w:hint="eastAsia" w:ascii="宋体" w:hAnsi="宋体" w:cs="宋体"/>
                <w:color w:val="000000"/>
                <w:sz w:val="24"/>
                <w:highlight w:val="none"/>
              </w:rPr>
            </w:pPr>
          </w:p>
          <w:p>
            <w:pPr>
              <w:shd w:val="clear" w:color="auto" w:fill="auto"/>
              <w:snapToGrid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8</w:t>
            </w:r>
          </w:p>
        </w:tc>
        <w:tc>
          <w:tcPr>
            <w:tcW w:w="960" w:type="pct"/>
            <w:tcBorders>
              <w:top w:val="single" w:color="000000" w:sz="8" w:space="0"/>
              <w:left w:val="single" w:color="000000" w:sz="2" w:space="0"/>
              <w:bottom w:val="single" w:color="000000" w:sz="8" w:space="0"/>
              <w:right w:val="single" w:color="000000" w:sz="8" w:space="0"/>
            </w:tcBorders>
            <w:noWrap w:val="0"/>
            <w:vAlign w:val="center"/>
          </w:tcPr>
          <w:p>
            <w:pPr>
              <w:shd w:val="clear" w:color="auto" w:fill="auto"/>
              <w:snapToGrid w:val="0"/>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资格审查及信用信息查询</w:t>
            </w:r>
          </w:p>
        </w:tc>
        <w:tc>
          <w:tcPr>
            <w:tcW w:w="3666" w:type="pct"/>
            <w:tcBorders>
              <w:top w:val="single" w:color="000000" w:sz="8" w:space="0"/>
              <w:left w:val="single" w:color="000000" w:sz="2" w:space="0"/>
              <w:bottom w:val="single" w:color="000000" w:sz="8" w:space="0"/>
              <w:right w:val="single" w:color="000000" w:sz="8" w:space="0"/>
            </w:tcBorders>
            <w:noWrap w:val="0"/>
            <w:vAlign w:val="center"/>
          </w:tcPr>
          <w:p>
            <w:pPr>
              <w:pStyle w:val="16"/>
              <w:shd w:val="clear" w:color="auto" w:fill="auto"/>
              <w:spacing w:line="360" w:lineRule="auto"/>
              <w:ind w:firstLine="434" w:firstLineChars="181"/>
              <w:rPr>
                <w:rFonts w:hint="eastAsia" w:hAnsi="宋体" w:cs="宋体"/>
                <w:color w:val="000000"/>
                <w:sz w:val="24"/>
                <w:highlight w:val="none"/>
              </w:rPr>
            </w:pPr>
            <w:r>
              <w:rPr>
                <w:rFonts w:hint="eastAsia" w:hAnsi="宋体" w:cs="宋体"/>
                <w:color w:val="000000"/>
                <w:sz w:val="24"/>
                <w:highlight w:val="none"/>
              </w:rPr>
              <w:t>本项目由采购人进行资格文件及信用信息查询。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26" w:hRule="atLeast"/>
          <w:tblHeader/>
        </w:trPr>
        <w:tc>
          <w:tcPr>
            <w:tcW w:w="372" w:type="pct"/>
            <w:tcBorders>
              <w:top w:val="single" w:color="auto" w:sz="4" w:space="0"/>
              <w:left w:val="single" w:color="000000" w:sz="8" w:space="0"/>
              <w:bottom w:val="single" w:color="auto" w:sz="4" w:space="0"/>
              <w:right w:val="single" w:color="000000" w:sz="2" w:space="0"/>
            </w:tcBorders>
            <w:noWrap w:val="0"/>
            <w:vAlign w:val="top"/>
          </w:tcPr>
          <w:p>
            <w:pPr>
              <w:shd w:val="clear" w:color="auto" w:fill="auto"/>
              <w:snapToGrid w:val="0"/>
              <w:spacing w:line="360" w:lineRule="auto"/>
              <w:jc w:val="center"/>
              <w:rPr>
                <w:rFonts w:hint="eastAsia" w:ascii="宋体" w:hAnsi="宋体" w:cs="宋体"/>
                <w:color w:val="000000"/>
                <w:sz w:val="24"/>
                <w:highlight w:val="none"/>
              </w:rPr>
            </w:pPr>
          </w:p>
          <w:p>
            <w:pPr>
              <w:shd w:val="clear" w:color="auto" w:fill="auto"/>
              <w:snapToGrid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9</w:t>
            </w:r>
          </w:p>
        </w:tc>
        <w:tc>
          <w:tcPr>
            <w:tcW w:w="960" w:type="pct"/>
            <w:tcBorders>
              <w:top w:val="single" w:color="000000" w:sz="8" w:space="0"/>
              <w:left w:val="single" w:color="000000" w:sz="2" w:space="0"/>
              <w:bottom w:val="single" w:color="000000" w:sz="8" w:space="0"/>
              <w:right w:val="single" w:color="000000" w:sz="8" w:space="0"/>
            </w:tcBorders>
            <w:noWrap w:val="0"/>
            <w:vAlign w:val="center"/>
          </w:tcPr>
          <w:p>
            <w:pPr>
              <w:shd w:val="clear" w:color="auto" w:fill="auto"/>
              <w:snapToGrid w:val="0"/>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质疑接收人及答复</w:t>
            </w:r>
          </w:p>
        </w:tc>
        <w:tc>
          <w:tcPr>
            <w:tcW w:w="3666" w:type="pct"/>
            <w:tcBorders>
              <w:top w:val="single" w:color="000000" w:sz="8" w:space="0"/>
              <w:left w:val="single" w:color="000000" w:sz="2" w:space="0"/>
              <w:bottom w:val="single" w:color="000000" w:sz="8" w:space="0"/>
              <w:right w:val="single" w:color="000000" w:sz="8" w:space="0"/>
            </w:tcBorders>
            <w:noWrap w:val="0"/>
            <w:vAlign w:val="center"/>
          </w:tcPr>
          <w:p>
            <w:pPr>
              <w:shd w:val="clear" w:color="auto" w:fill="auto"/>
              <w:snapToGrid w:val="0"/>
              <w:spacing w:line="360" w:lineRule="auto"/>
              <w:rPr>
                <w:rFonts w:hint="eastAsia" w:ascii="宋体" w:hAnsi="宋体" w:cs="宋体"/>
                <w:color w:val="000000"/>
                <w:sz w:val="24"/>
                <w:highlight w:val="none"/>
                <w:u w:val="single"/>
              </w:rPr>
            </w:pPr>
            <w:r>
              <w:rPr>
                <w:rFonts w:hint="eastAsia" w:ascii="宋体" w:hAnsi="宋体" w:cs="宋体"/>
                <w:color w:val="000000"/>
                <w:sz w:val="24"/>
                <w:highlight w:val="none"/>
                <w:u w:val="single"/>
              </w:rPr>
              <w:t xml:space="preserve">采购人质疑接收人：详见公告采购人信息  </w:t>
            </w:r>
          </w:p>
          <w:p>
            <w:pPr>
              <w:shd w:val="clear" w:color="auto" w:fill="auto"/>
              <w:snapToGrid w:val="0"/>
              <w:spacing w:line="360" w:lineRule="auto"/>
              <w:rPr>
                <w:rFonts w:hint="eastAsia" w:ascii="宋体" w:hAnsi="宋体" w:cs="宋体"/>
                <w:color w:val="000000"/>
                <w:sz w:val="24"/>
                <w:highlight w:val="none"/>
                <w:u w:val="single"/>
              </w:rPr>
            </w:pPr>
            <w:r>
              <w:rPr>
                <w:rFonts w:hint="eastAsia" w:ascii="宋体" w:hAnsi="宋体" w:cs="宋体"/>
                <w:color w:val="000000"/>
                <w:sz w:val="24"/>
                <w:highlight w:val="none"/>
                <w:u w:val="single"/>
              </w:rPr>
              <w:t>采购机构质疑接收人：详见公告采购代理机构信息</w:t>
            </w:r>
          </w:p>
          <w:p>
            <w:pPr>
              <w:shd w:val="clear" w:color="auto" w:fill="auto"/>
              <w:snapToGrid w:val="0"/>
              <w:spacing w:line="360" w:lineRule="auto"/>
              <w:rPr>
                <w:rFonts w:hint="eastAsia" w:ascii="宋体" w:hAnsi="宋体" w:cs="宋体"/>
                <w:color w:val="000000"/>
                <w:sz w:val="24"/>
                <w:highlight w:val="none"/>
              </w:rPr>
            </w:pPr>
            <w:r>
              <w:rPr>
                <w:rFonts w:hint="eastAsia" w:ascii="宋体" w:hAnsi="宋体" w:cs="宋体"/>
                <w:color w:val="000000"/>
                <w:sz w:val="24"/>
                <w:highlight w:val="none"/>
              </w:rPr>
              <w:t>本项目涉及资格条件、采购需求、评分办法及采购过程中有关现场考察或开标前答疑会事项由采购人进行答复。</w:t>
            </w:r>
          </w:p>
          <w:p>
            <w:pPr>
              <w:shd w:val="clear" w:color="auto" w:fill="auto"/>
              <w:snapToGrid w:val="0"/>
              <w:spacing w:line="360" w:lineRule="auto"/>
              <w:rPr>
                <w:rFonts w:hint="eastAsia" w:ascii="宋体" w:hAnsi="宋体" w:cs="宋体"/>
                <w:color w:val="000000"/>
                <w:sz w:val="24"/>
                <w:highlight w:val="none"/>
                <w:u w:val="single"/>
              </w:rPr>
            </w:pPr>
            <w:r>
              <w:rPr>
                <w:rFonts w:hint="eastAsia" w:ascii="宋体" w:hAnsi="宋体" w:cs="宋体"/>
                <w:color w:val="000000"/>
                <w:sz w:val="24"/>
                <w:highlight w:val="none"/>
              </w:rPr>
              <w:t>涉及流程组织等相关事项，由采购机构进行答复。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26" w:hRule="atLeast"/>
          <w:tblHeader/>
        </w:trPr>
        <w:tc>
          <w:tcPr>
            <w:tcW w:w="372" w:type="pct"/>
            <w:tcBorders>
              <w:top w:val="single" w:color="auto" w:sz="4" w:space="0"/>
              <w:left w:val="single" w:color="000000" w:sz="8" w:space="0"/>
              <w:bottom w:val="single" w:color="auto" w:sz="4" w:space="0"/>
              <w:right w:val="single" w:color="000000" w:sz="2" w:space="0"/>
            </w:tcBorders>
            <w:noWrap w:val="0"/>
            <w:vAlign w:val="top"/>
          </w:tcPr>
          <w:p>
            <w:pPr>
              <w:shd w:val="clear" w:color="auto" w:fill="auto"/>
              <w:snapToGrid w:val="0"/>
              <w:spacing w:line="360" w:lineRule="auto"/>
              <w:jc w:val="center"/>
              <w:rPr>
                <w:rFonts w:hint="eastAsia" w:ascii="宋体" w:hAnsi="宋体" w:cs="宋体"/>
                <w:color w:val="000000"/>
                <w:sz w:val="24"/>
                <w:highlight w:val="none"/>
              </w:rPr>
            </w:pPr>
          </w:p>
          <w:p>
            <w:pPr>
              <w:shd w:val="clear" w:color="auto" w:fill="auto"/>
              <w:snapToGrid w:val="0"/>
              <w:spacing w:line="360" w:lineRule="auto"/>
              <w:ind w:firstLine="240" w:firstLineChars="100"/>
              <w:rPr>
                <w:rFonts w:hint="eastAsia" w:ascii="宋体" w:hAnsi="宋体" w:cs="宋体"/>
                <w:color w:val="000000"/>
                <w:sz w:val="24"/>
                <w:highlight w:val="none"/>
              </w:rPr>
            </w:pPr>
            <w:r>
              <w:rPr>
                <w:rFonts w:hint="eastAsia" w:ascii="宋体" w:hAnsi="宋体" w:cs="宋体"/>
                <w:color w:val="000000"/>
                <w:sz w:val="24"/>
                <w:highlight w:val="none"/>
              </w:rPr>
              <w:t>10</w:t>
            </w:r>
          </w:p>
        </w:tc>
        <w:tc>
          <w:tcPr>
            <w:tcW w:w="960" w:type="pct"/>
            <w:tcBorders>
              <w:top w:val="single" w:color="000000" w:sz="8" w:space="0"/>
              <w:left w:val="single" w:color="000000" w:sz="2" w:space="0"/>
              <w:bottom w:val="single" w:color="000000" w:sz="8" w:space="0"/>
              <w:right w:val="single" w:color="000000" w:sz="8" w:space="0"/>
            </w:tcBorders>
            <w:noWrap w:val="0"/>
            <w:vAlign w:val="center"/>
          </w:tcPr>
          <w:p>
            <w:pPr>
              <w:shd w:val="clear" w:color="auto" w:fill="auto"/>
              <w:snapToGrid w:val="0"/>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项目采购类型</w:t>
            </w:r>
          </w:p>
        </w:tc>
        <w:tc>
          <w:tcPr>
            <w:tcW w:w="3666" w:type="pct"/>
            <w:tcBorders>
              <w:top w:val="single" w:color="000000" w:sz="8" w:space="0"/>
              <w:left w:val="single" w:color="000000" w:sz="2" w:space="0"/>
              <w:bottom w:val="single" w:color="000000" w:sz="8" w:space="0"/>
              <w:right w:val="single" w:color="000000" w:sz="8" w:space="0"/>
            </w:tcBorders>
            <w:noWrap w:val="0"/>
            <w:vAlign w:val="center"/>
          </w:tcPr>
          <w:p>
            <w:pPr>
              <w:shd w:val="clear" w:color="auto" w:fill="auto"/>
              <w:snapToGrid w:val="0"/>
              <w:spacing w:line="360" w:lineRule="auto"/>
              <w:rPr>
                <w:rFonts w:hint="eastAsia" w:ascii="宋体" w:hAnsi="宋体" w:cs="宋体"/>
                <w:color w:val="000000"/>
                <w:sz w:val="24"/>
                <w:highlight w:val="none"/>
              </w:rPr>
            </w:pPr>
            <w:r>
              <w:rPr>
                <w:rFonts w:hint="eastAsia" w:ascii="宋体" w:hAnsi="宋体" w:cs="宋体"/>
                <w:color w:val="000000"/>
                <w:sz w:val="24"/>
                <w:highlight w:val="none"/>
              </w:rPr>
              <w:t>本项目为服务类采购项目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26" w:hRule="atLeast"/>
          <w:tblHeader/>
        </w:trPr>
        <w:tc>
          <w:tcPr>
            <w:tcW w:w="372" w:type="pct"/>
            <w:tcBorders>
              <w:top w:val="single" w:color="auto" w:sz="4" w:space="0"/>
              <w:left w:val="single" w:color="000000" w:sz="8" w:space="0"/>
              <w:bottom w:val="single" w:color="auto" w:sz="4" w:space="0"/>
              <w:right w:val="single" w:color="000000" w:sz="2" w:space="0"/>
            </w:tcBorders>
            <w:noWrap w:val="0"/>
            <w:vAlign w:val="top"/>
          </w:tcPr>
          <w:p>
            <w:pPr>
              <w:shd w:val="clear" w:color="auto" w:fill="auto"/>
              <w:snapToGrid w:val="0"/>
              <w:spacing w:line="360" w:lineRule="auto"/>
              <w:ind w:firstLine="240" w:firstLineChars="100"/>
              <w:jc w:val="center"/>
              <w:rPr>
                <w:rFonts w:hint="eastAsia" w:ascii="宋体" w:hAnsi="宋体" w:cs="宋体"/>
                <w:color w:val="000000"/>
                <w:sz w:val="24"/>
                <w:highlight w:val="none"/>
              </w:rPr>
            </w:pPr>
          </w:p>
          <w:p>
            <w:pPr>
              <w:shd w:val="clear" w:color="auto" w:fill="auto"/>
              <w:snapToGrid w:val="0"/>
              <w:spacing w:line="360" w:lineRule="auto"/>
              <w:ind w:firstLine="240" w:firstLineChars="100"/>
              <w:rPr>
                <w:rFonts w:hint="eastAsia" w:ascii="宋体" w:hAnsi="宋体" w:cs="宋体"/>
                <w:color w:val="000000"/>
                <w:sz w:val="24"/>
                <w:highlight w:val="none"/>
              </w:rPr>
            </w:pPr>
            <w:r>
              <w:rPr>
                <w:rFonts w:hint="eastAsia" w:ascii="宋体" w:hAnsi="宋体" w:cs="宋体"/>
                <w:color w:val="000000"/>
                <w:sz w:val="24"/>
                <w:highlight w:val="none"/>
              </w:rPr>
              <w:t>11</w:t>
            </w:r>
          </w:p>
        </w:tc>
        <w:tc>
          <w:tcPr>
            <w:tcW w:w="1752" w:type="dxa"/>
            <w:tcBorders>
              <w:top w:val="single" w:color="000000" w:sz="8" w:space="0"/>
              <w:left w:val="single" w:color="000000" w:sz="2" w:space="0"/>
              <w:bottom w:val="single" w:color="000000" w:sz="8" w:space="0"/>
              <w:right w:val="single" w:color="000000" w:sz="8" w:space="0"/>
            </w:tcBorders>
            <w:noWrap w:val="0"/>
            <w:vAlign w:val="center"/>
          </w:tcPr>
          <w:p>
            <w:pPr>
              <w:shd w:val="clear" w:color="auto" w:fill="auto"/>
              <w:snapToGrid w:val="0"/>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中小企业划分标准所属行业</w:t>
            </w:r>
          </w:p>
        </w:tc>
        <w:tc>
          <w:tcPr>
            <w:tcW w:w="6690" w:type="dxa"/>
            <w:tcBorders>
              <w:top w:val="single" w:color="000000" w:sz="8" w:space="0"/>
              <w:left w:val="single" w:color="000000" w:sz="2" w:space="0"/>
              <w:bottom w:val="single" w:color="000000" w:sz="8" w:space="0"/>
              <w:right w:val="single" w:color="000000" w:sz="8" w:space="0"/>
            </w:tcBorders>
            <w:noWrap w:val="0"/>
            <w:vAlign w:val="center"/>
          </w:tcPr>
          <w:p>
            <w:pPr>
              <w:shd w:val="clear" w:color="auto" w:fill="auto"/>
              <w:snapToGrid w:val="0"/>
              <w:spacing w:line="360" w:lineRule="auto"/>
              <w:rPr>
                <w:rFonts w:hint="eastAsia" w:ascii="宋体" w:hAnsi="宋体" w:cs="宋体"/>
                <w:color w:val="000000"/>
                <w:sz w:val="24"/>
                <w:highlight w:val="none"/>
              </w:rPr>
            </w:pPr>
            <w:r>
              <w:rPr>
                <w:rFonts w:hint="eastAsia" w:ascii="宋体" w:hAnsi="宋体" w:cs="宋体"/>
                <w:color w:val="000000"/>
                <w:sz w:val="24"/>
                <w:highlight w:val="none"/>
              </w:rPr>
              <w:t>采购标的：城厢街道商品房智慧安防小区建设</w:t>
            </w:r>
          </w:p>
          <w:p>
            <w:pPr>
              <w:shd w:val="clear" w:color="auto" w:fill="auto"/>
              <w:snapToGrid w:val="0"/>
              <w:spacing w:line="360" w:lineRule="auto"/>
              <w:rPr>
                <w:rFonts w:hint="eastAsia" w:ascii="宋体" w:hAnsi="宋体" w:cs="宋体"/>
                <w:color w:val="000000"/>
                <w:sz w:val="24"/>
                <w:highlight w:val="none"/>
              </w:rPr>
            </w:pPr>
            <w:r>
              <w:rPr>
                <w:rFonts w:hint="eastAsia" w:ascii="宋体" w:hAnsi="宋体" w:cs="宋体"/>
                <w:color w:val="000000"/>
                <w:sz w:val="24"/>
                <w:highlight w:val="none"/>
              </w:rPr>
              <w:t>所属行业：租赁和商务服务业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26" w:hRule="atLeast"/>
          <w:tblHeader/>
        </w:trPr>
        <w:tc>
          <w:tcPr>
            <w:tcW w:w="372" w:type="pct"/>
            <w:tcBorders>
              <w:top w:val="single" w:color="auto" w:sz="4" w:space="0"/>
              <w:left w:val="single" w:color="000000" w:sz="8" w:space="0"/>
              <w:bottom w:val="single" w:color="auto" w:sz="4" w:space="0"/>
              <w:right w:val="single" w:color="000000" w:sz="2" w:space="0"/>
            </w:tcBorders>
            <w:noWrap w:val="0"/>
            <w:vAlign w:val="top"/>
          </w:tcPr>
          <w:p>
            <w:pPr>
              <w:shd w:val="clear" w:color="auto" w:fill="auto"/>
              <w:snapToGrid w:val="0"/>
              <w:spacing w:line="360" w:lineRule="auto"/>
              <w:ind w:firstLine="240" w:firstLineChars="100"/>
              <w:rPr>
                <w:rFonts w:hint="eastAsia" w:ascii="宋体" w:hAnsi="宋体" w:cs="宋体"/>
                <w:color w:val="000000"/>
                <w:sz w:val="24"/>
                <w:highlight w:val="none"/>
              </w:rPr>
            </w:pPr>
          </w:p>
          <w:p>
            <w:pPr>
              <w:shd w:val="clear" w:color="auto" w:fill="auto"/>
              <w:snapToGrid w:val="0"/>
              <w:spacing w:line="360" w:lineRule="auto"/>
              <w:ind w:firstLine="240" w:firstLineChars="100"/>
              <w:rPr>
                <w:rFonts w:hint="eastAsia" w:ascii="宋体" w:hAnsi="宋体" w:cs="宋体"/>
                <w:color w:val="000000"/>
                <w:sz w:val="24"/>
                <w:highlight w:val="none"/>
              </w:rPr>
            </w:pPr>
            <w:r>
              <w:rPr>
                <w:rFonts w:hint="eastAsia" w:ascii="宋体" w:hAnsi="宋体" w:cs="宋体"/>
                <w:color w:val="000000"/>
                <w:sz w:val="24"/>
                <w:highlight w:val="none"/>
              </w:rPr>
              <w:t>12</w:t>
            </w:r>
          </w:p>
        </w:tc>
        <w:tc>
          <w:tcPr>
            <w:tcW w:w="1752" w:type="dxa"/>
            <w:tcBorders>
              <w:top w:val="single" w:color="000000" w:sz="8" w:space="0"/>
              <w:left w:val="single" w:color="000000" w:sz="2" w:space="0"/>
              <w:bottom w:val="single" w:color="000000" w:sz="8" w:space="0"/>
              <w:right w:val="single" w:color="000000" w:sz="8" w:space="0"/>
            </w:tcBorders>
            <w:noWrap w:val="0"/>
            <w:vAlign w:val="center"/>
          </w:tcPr>
          <w:p>
            <w:pPr>
              <w:shd w:val="clear" w:color="auto" w:fill="auto"/>
              <w:snapToGrid w:val="0"/>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中小企业预留份额情况</w:t>
            </w:r>
          </w:p>
        </w:tc>
        <w:tc>
          <w:tcPr>
            <w:tcW w:w="6690" w:type="dxa"/>
            <w:tcBorders>
              <w:top w:val="single" w:color="000000" w:sz="8" w:space="0"/>
              <w:left w:val="single" w:color="000000" w:sz="2" w:space="0"/>
              <w:bottom w:val="single" w:color="000000" w:sz="8" w:space="0"/>
              <w:right w:val="single" w:color="000000" w:sz="8" w:space="0"/>
            </w:tcBorders>
            <w:noWrap w:val="0"/>
            <w:vAlign w:val="center"/>
          </w:tcPr>
          <w:p>
            <w:pPr>
              <w:shd w:val="clear" w:color="auto" w:fill="auto"/>
              <w:snapToGrid w:val="0"/>
              <w:spacing w:line="360" w:lineRule="auto"/>
              <w:rPr>
                <w:rFonts w:hint="eastAsia" w:ascii="宋体" w:hAnsi="宋体" w:cs="宋体"/>
                <w:color w:val="000000"/>
                <w:sz w:val="24"/>
                <w:highlight w:val="none"/>
              </w:rPr>
            </w:pPr>
            <w:r>
              <w:rPr>
                <w:rFonts w:hint="eastAsia" w:ascii="宋体" w:hAnsi="宋体" w:cs="宋体"/>
                <w:color w:val="000000"/>
                <w:sz w:val="24"/>
                <w:highlight w:val="none"/>
              </w:rPr>
              <w:t>根据《政府采购促进中小企业发展管理办法》财库〔2020〕46号文件的规定，</w:t>
            </w:r>
            <w:r>
              <w:rPr>
                <w:rFonts w:hint="eastAsia" w:ascii="宋体" w:hAnsi="宋体" w:cs="宋体"/>
                <w:b/>
                <w:bCs/>
                <w:color w:val="000000"/>
                <w:sz w:val="24"/>
                <w:highlight w:val="none"/>
              </w:rPr>
              <w:t>不预留份额专门面向中小企业采购；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26" w:hRule="atLeast"/>
          <w:tblHeader/>
        </w:trPr>
        <w:tc>
          <w:tcPr>
            <w:tcW w:w="372" w:type="pct"/>
            <w:tcBorders>
              <w:top w:val="single" w:color="auto" w:sz="4" w:space="0"/>
              <w:left w:val="single" w:color="000000" w:sz="8" w:space="0"/>
              <w:bottom w:val="single" w:color="auto" w:sz="4" w:space="0"/>
              <w:right w:val="single" w:color="000000" w:sz="2" w:space="0"/>
            </w:tcBorders>
            <w:noWrap w:val="0"/>
            <w:vAlign w:val="top"/>
          </w:tcPr>
          <w:p>
            <w:pPr>
              <w:shd w:val="clear" w:color="auto" w:fill="auto"/>
              <w:snapToGrid w:val="0"/>
              <w:spacing w:line="360" w:lineRule="auto"/>
              <w:jc w:val="center"/>
              <w:rPr>
                <w:rFonts w:hint="eastAsia" w:ascii="宋体" w:hAnsi="宋体" w:cs="宋体"/>
                <w:color w:val="000000"/>
                <w:sz w:val="24"/>
                <w:highlight w:val="none"/>
              </w:rPr>
            </w:pPr>
          </w:p>
          <w:p>
            <w:pPr>
              <w:shd w:val="clear" w:color="auto" w:fill="auto"/>
              <w:snapToGrid w:val="0"/>
              <w:spacing w:line="360" w:lineRule="auto"/>
              <w:jc w:val="center"/>
              <w:rPr>
                <w:rFonts w:hint="eastAsia" w:ascii="宋体" w:hAnsi="宋体" w:cs="宋体"/>
                <w:color w:val="000000"/>
                <w:sz w:val="24"/>
                <w:highlight w:val="none"/>
              </w:rPr>
            </w:pPr>
          </w:p>
          <w:p>
            <w:pPr>
              <w:shd w:val="clear" w:color="auto" w:fill="auto"/>
              <w:snapToGrid w:val="0"/>
              <w:spacing w:line="360" w:lineRule="auto"/>
              <w:jc w:val="center"/>
              <w:rPr>
                <w:rFonts w:hint="eastAsia" w:ascii="宋体" w:hAnsi="宋体" w:cs="宋体"/>
                <w:color w:val="000000"/>
                <w:sz w:val="24"/>
                <w:highlight w:val="none"/>
              </w:rPr>
            </w:pPr>
          </w:p>
          <w:p>
            <w:pPr>
              <w:shd w:val="clear" w:color="auto" w:fill="auto"/>
              <w:snapToGrid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13</w:t>
            </w:r>
          </w:p>
        </w:tc>
        <w:tc>
          <w:tcPr>
            <w:tcW w:w="960" w:type="pct"/>
            <w:tcBorders>
              <w:top w:val="single" w:color="000000" w:sz="8" w:space="0"/>
              <w:left w:val="single" w:color="000000" w:sz="2" w:space="0"/>
              <w:bottom w:val="single" w:color="000000" w:sz="8" w:space="0"/>
              <w:right w:val="single" w:color="000000" w:sz="8" w:space="0"/>
            </w:tcBorders>
            <w:noWrap w:val="0"/>
            <w:vAlign w:val="center"/>
          </w:tcPr>
          <w:p>
            <w:pPr>
              <w:shd w:val="clear" w:color="auto" w:fill="auto"/>
              <w:snapToGrid w:val="0"/>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中小企业支持</w:t>
            </w:r>
          </w:p>
        </w:tc>
        <w:tc>
          <w:tcPr>
            <w:tcW w:w="3666" w:type="pct"/>
            <w:tcBorders>
              <w:top w:val="single" w:color="000000" w:sz="8" w:space="0"/>
              <w:left w:val="single" w:color="000000" w:sz="2" w:space="0"/>
              <w:bottom w:val="single" w:color="000000" w:sz="8" w:space="0"/>
              <w:right w:val="single" w:color="000000" w:sz="8" w:space="0"/>
            </w:tcBorders>
            <w:noWrap w:val="0"/>
            <w:vAlign w:val="center"/>
          </w:tcPr>
          <w:p>
            <w:pPr>
              <w:shd w:val="clear" w:color="auto" w:fill="auto"/>
              <w:snapToGrid w:val="0"/>
              <w:spacing w:line="360" w:lineRule="auto"/>
              <w:jc w:val="left"/>
              <w:rPr>
                <w:rFonts w:hint="eastAsia" w:ascii="宋体" w:hAnsi="宋体" w:cs="宋体"/>
                <w:color w:val="000000"/>
                <w:highlight w:val="none"/>
              </w:rPr>
            </w:pPr>
            <w:r>
              <w:rPr>
                <w:rFonts w:hint="eastAsia" w:ascii="宋体" w:hAnsi="宋体" w:cs="宋体"/>
                <w:color w:val="000000"/>
                <w:sz w:val="24"/>
                <w:highlight w:val="none"/>
              </w:rPr>
              <w:t>本项目支持《杭州市萧山区政府采购支持中小企业信用融资暂行办法》。</w:t>
            </w:r>
          </w:p>
          <w:p>
            <w:pPr>
              <w:shd w:val="clear" w:color="auto" w:fill="auto"/>
              <w:snapToGrid w:val="0"/>
              <w:spacing w:line="360" w:lineRule="auto"/>
              <w:jc w:val="left"/>
              <w:rPr>
                <w:rFonts w:hint="eastAsia" w:ascii="宋体" w:hAnsi="宋体" w:cs="宋体"/>
                <w:color w:val="000000"/>
                <w:sz w:val="24"/>
                <w:highlight w:val="none"/>
              </w:rPr>
            </w:pPr>
            <w:r>
              <w:rPr>
                <w:rFonts w:hint="eastAsia" w:ascii="宋体" w:hAnsi="宋体" w:cs="宋体"/>
                <w:color w:val="000000"/>
                <w:sz w:val="24"/>
                <w:highlight w:val="none"/>
              </w:rPr>
              <w:t>有融资需求的中标供应商可参照相关规定及银行方案凭政府采购合同向相关合作银行提出信用融资（贷款）申请。详见</w:t>
            </w:r>
            <w:r>
              <w:rPr>
                <w:rFonts w:hint="eastAsia" w:ascii="宋体" w:hAnsi="宋体" w:cs="宋体"/>
                <w:color w:val="000000"/>
                <w:highlight w:val="none"/>
              </w:rPr>
              <w:fldChar w:fldCharType="begin"/>
            </w:r>
            <w:r>
              <w:rPr>
                <w:rFonts w:hint="eastAsia" w:ascii="宋体" w:hAnsi="宋体" w:cs="宋体"/>
                <w:color w:val="000000"/>
                <w:highlight w:val="none"/>
              </w:rPr>
              <w:instrText xml:space="preserve"> HYPERLINK "http://www.xszbjyw.com/web_news/WebFromList.aspx?news_bigclass=6&amp;news_id=6364" </w:instrText>
            </w:r>
            <w:r>
              <w:rPr>
                <w:rFonts w:hint="eastAsia" w:ascii="宋体" w:hAnsi="宋体" w:cs="宋体"/>
                <w:color w:val="000000"/>
                <w:highlight w:val="none"/>
              </w:rPr>
              <w:fldChar w:fldCharType="separate"/>
            </w:r>
            <w:r>
              <w:rPr>
                <w:rStyle w:val="70"/>
                <w:rFonts w:hint="eastAsia" w:ascii="宋体" w:hAnsi="宋体" w:eastAsia="宋体" w:cs="宋体"/>
                <w:color w:val="000000"/>
                <w:szCs w:val="24"/>
                <w:highlight w:val="none"/>
              </w:rPr>
              <w:t>http://www.xszbjyw.com/web_news/WebFromList.aspx?news_bigclass=6&amp;news_id=6364</w:t>
            </w:r>
            <w:r>
              <w:rPr>
                <w:rFonts w:hint="eastAsia" w:ascii="宋体" w:hAnsi="宋体" w:cs="宋体"/>
                <w:color w:val="000000"/>
                <w:highlight w:val="none"/>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26" w:hRule="atLeast"/>
          <w:tblHeader/>
        </w:trPr>
        <w:tc>
          <w:tcPr>
            <w:tcW w:w="372" w:type="pct"/>
            <w:tcBorders>
              <w:top w:val="single" w:color="auto" w:sz="4" w:space="0"/>
              <w:left w:val="single" w:color="000000" w:sz="8" w:space="0"/>
              <w:bottom w:val="single" w:color="auto" w:sz="4" w:space="0"/>
              <w:right w:val="single" w:color="000000" w:sz="2" w:space="0"/>
            </w:tcBorders>
            <w:noWrap w:val="0"/>
            <w:vAlign w:val="top"/>
          </w:tcPr>
          <w:p>
            <w:pPr>
              <w:shd w:val="clear" w:color="auto" w:fill="auto"/>
              <w:snapToGrid w:val="0"/>
              <w:spacing w:line="360" w:lineRule="auto"/>
              <w:jc w:val="center"/>
              <w:rPr>
                <w:rFonts w:hint="eastAsia" w:ascii="宋体" w:hAnsi="宋体" w:cs="宋体"/>
                <w:color w:val="000000"/>
                <w:sz w:val="24"/>
                <w:highlight w:val="none"/>
              </w:rPr>
            </w:pPr>
          </w:p>
          <w:p>
            <w:pPr>
              <w:shd w:val="clear" w:color="auto" w:fill="auto"/>
              <w:snapToGrid w:val="0"/>
              <w:spacing w:line="360" w:lineRule="auto"/>
              <w:ind w:firstLine="120" w:firstLineChars="50"/>
              <w:rPr>
                <w:rFonts w:hint="eastAsia" w:ascii="宋体" w:hAnsi="宋体" w:cs="宋体"/>
                <w:color w:val="000000"/>
                <w:sz w:val="24"/>
                <w:highlight w:val="none"/>
              </w:rPr>
            </w:pPr>
            <w:r>
              <w:rPr>
                <w:rFonts w:hint="eastAsia" w:ascii="宋体" w:hAnsi="宋体" w:cs="宋体"/>
                <w:color w:val="000000"/>
                <w:sz w:val="24"/>
                <w:highlight w:val="none"/>
              </w:rPr>
              <w:t>14</w:t>
            </w:r>
          </w:p>
        </w:tc>
        <w:tc>
          <w:tcPr>
            <w:tcW w:w="960" w:type="pct"/>
            <w:tcBorders>
              <w:top w:val="single" w:color="000000" w:sz="8" w:space="0"/>
              <w:left w:val="single" w:color="000000" w:sz="2" w:space="0"/>
              <w:bottom w:val="single" w:color="000000" w:sz="8" w:space="0"/>
              <w:right w:val="single" w:color="000000" w:sz="8" w:space="0"/>
            </w:tcBorders>
            <w:noWrap w:val="0"/>
            <w:vAlign w:val="center"/>
          </w:tcPr>
          <w:p>
            <w:pPr>
              <w:shd w:val="clear" w:color="auto" w:fill="auto"/>
              <w:snapToGrid w:val="0"/>
              <w:spacing w:line="360" w:lineRule="auto"/>
              <w:rPr>
                <w:rFonts w:hint="eastAsia" w:ascii="宋体" w:hAnsi="宋体" w:cs="宋体"/>
                <w:b/>
                <w:color w:val="000000"/>
                <w:sz w:val="24"/>
                <w:highlight w:val="none"/>
              </w:rPr>
            </w:pPr>
            <w:r>
              <w:rPr>
                <w:rFonts w:hint="eastAsia" w:ascii="宋体" w:hAnsi="宋体" w:cs="宋体"/>
                <w:b/>
                <w:color w:val="000000"/>
                <w:sz w:val="24"/>
                <w:highlight w:val="none"/>
              </w:rPr>
              <w:t>投标人澄清、说明、补正或开评标活动投标人应响应时间的规定</w:t>
            </w:r>
          </w:p>
        </w:tc>
        <w:tc>
          <w:tcPr>
            <w:tcW w:w="3666" w:type="pct"/>
            <w:tcBorders>
              <w:top w:val="single" w:color="000000" w:sz="8" w:space="0"/>
              <w:left w:val="single" w:color="000000" w:sz="2" w:space="0"/>
              <w:bottom w:val="single" w:color="000000" w:sz="8" w:space="0"/>
              <w:right w:val="single" w:color="000000" w:sz="8" w:space="0"/>
            </w:tcBorders>
            <w:noWrap w:val="0"/>
            <w:vAlign w:val="center"/>
          </w:tcPr>
          <w:p>
            <w:pPr>
              <w:shd w:val="clear" w:color="auto" w:fill="auto"/>
              <w:spacing w:line="360" w:lineRule="auto"/>
              <w:rPr>
                <w:rFonts w:hint="eastAsia" w:ascii="宋体" w:hAnsi="宋体" w:cs="宋体"/>
                <w:color w:val="000000"/>
                <w:sz w:val="24"/>
                <w:highlight w:val="none"/>
              </w:rPr>
            </w:pPr>
            <w:r>
              <w:rPr>
                <w:rFonts w:hint="eastAsia" w:ascii="宋体" w:hAnsi="宋体" w:cs="宋体"/>
                <w:color w:val="000000"/>
                <w:sz w:val="24"/>
                <w:highlight w:val="none"/>
              </w:rPr>
              <w:t>投标人须在授权委托书中增加联系方式用于澄清、说明或补正。 投标人代表须注明手机号码并保持电话畅通。如有需要澄清、说明或补正，</w:t>
            </w:r>
            <w:r>
              <w:rPr>
                <w:rFonts w:hint="eastAsia" w:ascii="宋体" w:hAnsi="宋体" w:cs="宋体"/>
                <w:b/>
                <w:bCs/>
                <w:color w:val="000000"/>
                <w:sz w:val="24"/>
                <w:highlight w:val="none"/>
              </w:rPr>
              <w:t xml:space="preserve">3次无法联系上投标人的 或 未在授权委托书中增加有效的联系方式 或 </w:t>
            </w:r>
            <w:r>
              <w:rPr>
                <w:rFonts w:hint="eastAsia" w:ascii="宋体" w:hAnsi="宋体" w:cs="宋体"/>
                <w:b/>
                <w:bCs/>
                <w:color w:val="000000"/>
                <w:kern w:val="0"/>
                <w:sz w:val="24"/>
                <w:highlight w:val="none"/>
              </w:rPr>
              <w:t>以书面形式（或通过“政府采购云平台”在线询标）的形式未及时回复</w:t>
            </w:r>
            <w:r>
              <w:rPr>
                <w:rFonts w:hint="eastAsia" w:ascii="宋体" w:hAnsi="宋体" w:cs="宋体"/>
                <w:bCs/>
                <w:color w:val="000000"/>
                <w:kern w:val="0"/>
                <w:sz w:val="24"/>
                <w:highlight w:val="none"/>
              </w:rPr>
              <w:t xml:space="preserve"> </w:t>
            </w:r>
            <w:r>
              <w:rPr>
                <w:rFonts w:hint="eastAsia" w:ascii="宋体" w:hAnsi="宋体" w:cs="宋体"/>
                <w:color w:val="000000"/>
                <w:sz w:val="24"/>
                <w:highlight w:val="none"/>
              </w:rPr>
              <w:t>而导致无法完成澄清、说明或补正等活动的，视为投标人自行放弃，责任由投标人自行承担。</w:t>
            </w:r>
          </w:p>
          <w:p>
            <w:pPr>
              <w:shd w:val="clear" w:color="auto" w:fill="auto"/>
              <w:snapToGrid w:val="0"/>
              <w:spacing w:line="360" w:lineRule="auto"/>
              <w:jc w:val="left"/>
              <w:rPr>
                <w:rFonts w:hint="eastAsia"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26" w:hRule="atLeast"/>
          <w:tblHeader/>
        </w:trPr>
        <w:tc>
          <w:tcPr>
            <w:tcW w:w="372" w:type="pct"/>
            <w:tcBorders>
              <w:top w:val="single" w:color="auto" w:sz="4" w:space="0"/>
              <w:left w:val="single" w:color="000000" w:sz="8" w:space="0"/>
              <w:bottom w:val="single" w:color="auto" w:sz="4" w:space="0"/>
              <w:right w:val="single" w:color="000000" w:sz="2" w:space="0"/>
            </w:tcBorders>
            <w:noWrap w:val="0"/>
            <w:vAlign w:val="top"/>
          </w:tcPr>
          <w:p>
            <w:pPr>
              <w:shd w:val="clear" w:color="auto" w:fill="auto"/>
              <w:snapToGrid w:val="0"/>
              <w:spacing w:line="360" w:lineRule="auto"/>
              <w:ind w:firstLine="120" w:firstLineChars="50"/>
              <w:jc w:val="center"/>
              <w:rPr>
                <w:rFonts w:hint="eastAsia" w:ascii="宋体" w:hAnsi="宋体" w:cs="宋体"/>
                <w:color w:val="000000"/>
                <w:sz w:val="24"/>
                <w:highlight w:val="none"/>
              </w:rPr>
            </w:pPr>
          </w:p>
          <w:p>
            <w:pPr>
              <w:shd w:val="clear" w:color="auto" w:fill="auto"/>
              <w:snapToGrid w:val="0"/>
              <w:spacing w:line="360" w:lineRule="auto"/>
              <w:ind w:firstLine="120" w:firstLineChars="50"/>
              <w:jc w:val="center"/>
              <w:rPr>
                <w:rFonts w:hint="eastAsia" w:ascii="宋体" w:hAnsi="宋体" w:cs="宋体"/>
                <w:color w:val="000000"/>
                <w:sz w:val="24"/>
                <w:highlight w:val="none"/>
              </w:rPr>
            </w:pPr>
          </w:p>
          <w:p>
            <w:pPr>
              <w:shd w:val="clear" w:color="auto" w:fill="auto"/>
              <w:snapToGrid w:val="0"/>
              <w:spacing w:line="360" w:lineRule="auto"/>
              <w:ind w:firstLine="120" w:firstLineChars="50"/>
              <w:jc w:val="center"/>
              <w:rPr>
                <w:rFonts w:hint="eastAsia" w:ascii="宋体" w:hAnsi="宋体" w:cs="宋体"/>
                <w:color w:val="000000"/>
                <w:sz w:val="24"/>
                <w:highlight w:val="none"/>
              </w:rPr>
            </w:pPr>
          </w:p>
          <w:p>
            <w:pPr>
              <w:shd w:val="clear" w:color="auto" w:fill="auto"/>
              <w:snapToGrid w:val="0"/>
              <w:spacing w:line="360" w:lineRule="auto"/>
              <w:ind w:firstLine="120" w:firstLineChars="50"/>
              <w:jc w:val="center"/>
              <w:rPr>
                <w:rFonts w:hint="eastAsia" w:ascii="宋体" w:hAnsi="宋体" w:cs="宋体"/>
                <w:color w:val="000000"/>
                <w:sz w:val="24"/>
                <w:highlight w:val="none"/>
              </w:rPr>
            </w:pPr>
          </w:p>
          <w:p>
            <w:pPr>
              <w:shd w:val="clear" w:color="auto" w:fill="auto"/>
              <w:snapToGrid w:val="0"/>
              <w:spacing w:line="360" w:lineRule="auto"/>
              <w:ind w:firstLine="120" w:firstLineChars="50"/>
              <w:jc w:val="center"/>
              <w:rPr>
                <w:rFonts w:hint="eastAsia" w:ascii="宋体" w:hAnsi="宋体" w:cs="宋体"/>
                <w:color w:val="000000"/>
                <w:sz w:val="24"/>
                <w:highlight w:val="none"/>
              </w:rPr>
            </w:pPr>
          </w:p>
          <w:p>
            <w:pPr>
              <w:shd w:val="clear" w:color="auto" w:fill="auto"/>
              <w:snapToGrid w:val="0"/>
              <w:spacing w:line="360" w:lineRule="auto"/>
              <w:ind w:firstLine="120" w:firstLineChars="50"/>
              <w:jc w:val="center"/>
              <w:rPr>
                <w:rFonts w:hint="eastAsia" w:ascii="宋体" w:hAnsi="宋体" w:cs="宋体"/>
                <w:color w:val="000000"/>
                <w:sz w:val="24"/>
                <w:highlight w:val="none"/>
              </w:rPr>
            </w:pPr>
          </w:p>
          <w:p>
            <w:pPr>
              <w:shd w:val="clear" w:color="auto" w:fill="auto"/>
              <w:snapToGrid w:val="0"/>
              <w:spacing w:line="360" w:lineRule="auto"/>
              <w:ind w:firstLine="120" w:firstLineChars="50"/>
              <w:jc w:val="center"/>
              <w:rPr>
                <w:rFonts w:hint="eastAsia" w:ascii="宋体" w:hAnsi="宋体" w:cs="宋体"/>
                <w:color w:val="000000"/>
                <w:sz w:val="24"/>
                <w:highlight w:val="none"/>
              </w:rPr>
            </w:pPr>
          </w:p>
          <w:p>
            <w:pPr>
              <w:shd w:val="clear" w:color="auto" w:fill="auto"/>
              <w:snapToGrid w:val="0"/>
              <w:spacing w:line="360" w:lineRule="auto"/>
              <w:ind w:firstLine="120" w:firstLineChars="50"/>
              <w:jc w:val="center"/>
              <w:rPr>
                <w:rFonts w:hint="eastAsia" w:ascii="宋体" w:hAnsi="宋体" w:cs="宋体"/>
                <w:color w:val="000000"/>
                <w:sz w:val="24"/>
                <w:highlight w:val="none"/>
              </w:rPr>
            </w:pPr>
          </w:p>
          <w:p>
            <w:pPr>
              <w:shd w:val="clear" w:color="auto" w:fill="auto"/>
              <w:snapToGrid w:val="0"/>
              <w:spacing w:line="360" w:lineRule="auto"/>
              <w:ind w:firstLine="120" w:firstLineChars="50"/>
              <w:jc w:val="center"/>
              <w:rPr>
                <w:rFonts w:hint="eastAsia" w:ascii="宋体" w:hAnsi="宋体" w:cs="宋体"/>
                <w:color w:val="000000"/>
                <w:sz w:val="24"/>
                <w:highlight w:val="none"/>
              </w:rPr>
            </w:pPr>
          </w:p>
          <w:p>
            <w:pPr>
              <w:shd w:val="clear" w:color="auto" w:fill="auto"/>
              <w:snapToGrid w:val="0"/>
              <w:spacing w:line="360" w:lineRule="auto"/>
              <w:ind w:firstLine="120" w:firstLineChars="50"/>
              <w:jc w:val="center"/>
              <w:rPr>
                <w:rFonts w:hint="eastAsia" w:ascii="宋体" w:hAnsi="宋体" w:cs="宋体"/>
                <w:color w:val="000000"/>
                <w:sz w:val="24"/>
                <w:highlight w:val="none"/>
              </w:rPr>
            </w:pPr>
          </w:p>
          <w:p>
            <w:pPr>
              <w:shd w:val="clear" w:color="auto" w:fill="auto"/>
              <w:snapToGrid w:val="0"/>
              <w:spacing w:line="360" w:lineRule="auto"/>
              <w:ind w:firstLine="120" w:firstLineChars="50"/>
              <w:jc w:val="center"/>
              <w:rPr>
                <w:rFonts w:hint="eastAsia" w:ascii="宋体" w:hAnsi="宋体" w:cs="宋体"/>
                <w:color w:val="000000"/>
                <w:sz w:val="24"/>
                <w:highlight w:val="none"/>
              </w:rPr>
            </w:pPr>
          </w:p>
          <w:p>
            <w:pPr>
              <w:shd w:val="clear" w:color="auto" w:fill="auto"/>
              <w:snapToGrid w:val="0"/>
              <w:spacing w:line="360" w:lineRule="auto"/>
              <w:ind w:firstLine="120" w:firstLineChars="50"/>
              <w:jc w:val="center"/>
              <w:rPr>
                <w:rFonts w:hint="eastAsia" w:ascii="宋体" w:hAnsi="宋体" w:cs="宋体"/>
                <w:color w:val="000000"/>
                <w:sz w:val="24"/>
                <w:highlight w:val="none"/>
              </w:rPr>
            </w:pPr>
          </w:p>
          <w:p>
            <w:pPr>
              <w:shd w:val="clear" w:color="auto" w:fill="auto"/>
              <w:snapToGrid w:val="0"/>
              <w:spacing w:line="360" w:lineRule="auto"/>
              <w:ind w:firstLine="120" w:firstLineChars="50"/>
              <w:jc w:val="center"/>
              <w:rPr>
                <w:rFonts w:hint="eastAsia" w:ascii="宋体" w:hAnsi="宋体" w:cs="宋体"/>
                <w:color w:val="000000"/>
                <w:sz w:val="24"/>
                <w:highlight w:val="none"/>
              </w:rPr>
            </w:pPr>
          </w:p>
          <w:p>
            <w:pPr>
              <w:shd w:val="clear" w:color="auto" w:fill="auto"/>
              <w:snapToGrid w:val="0"/>
              <w:spacing w:line="360" w:lineRule="auto"/>
              <w:ind w:firstLine="120" w:firstLineChars="50"/>
              <w:jc w:val="center"/>
              <w:rPr>
                <w:rFonts w:hint="eastAsia" w:ascii="宋体" w:hAnsi="宋体" w:cs="宋体"/>
                <w:color w:val="000000"/>
                <w:sz w:val="24"/>
                <w:highlight w:val="none"/>
              </w:rPr>
            </w:pPr>
          </w:p>
          <w:p>
            <w:pPr>
              <w:shd w:val="clear" w:color="auto" w:fill="auto"/>
              <w:snapToGrid w:val="0"/>
              <w:spacing w:line="360" w:lineRule="auto"/>
              <w:ind w:firstLine="120" w:firstLineChars="50"/>
              <w:jc w:val="center"/>
              <w:rPr>
                <w:rFonts w:hint="eastAsia" w:ascii="宋体" w:hAnsi="宋体" w:cs="宋体"/>
                <w:color w:val="000000"/>
                <w:sz w:val="24"/>
                <w:highlight w:val="none"/>
              </w:rPr>
            </w:pPr>
            <w:r>
              <w:rPr>
                <w:rFonts w:hint="eastAsia" w:ascii="宋体" w:hAnsi="宋体" w:cs="宋体"/>
                <w:color w:val="000000"/>
                <w:sz w:val="24"/>
                <w:highlight w:val="none"/>
              </w:rPr>
              <w:t>15</w:t>
            </w:r>
          </w:p>
        </w:tc>
        <w:tc>
          <w:tcPr>
            <w:tcW w:w="960" w:type="pct"/>
            <w:tcBorders>
              <w:top w:val="single" w:color="000000" w:sz="8" w:space="0"/>
              <w:left w:val="single" w:color="000000" w:sz="2" w:space="0"/>
              <w:bottom w:val="single" w:color="000000" w:sz="8" w:space="0"/>
              <w:right w:val="single" w:color="000000" w:sz="8" w:space="0"/>
            </w:tcBorders>
            <w:noWrap w:val="0"/>
            <w:vAlign w:val="center"/>
          </w:tcPr>
          <w:p>
            <w:pPr>
              <w:shd w:val="clear" w:color="auto" w:fill="auto"/>
              <w:snapToGrid w:val="0"/>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投标文件组成、投标文件的编制及在线投标响应</w:t>
            </w:r>
          </w:p>
          <w:p>
            <w:pPr>
              <w:shd w:val="clear" w:color="auto" w:fill="auto"/>
              <w:snapToGrid w:val="0"/>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（电子投标说明）</w:t>
            </w:r>
          </w:p>
        </w:tc>
        <w:tc>
          <w:tcPr>
            <w:tcW w:w="3666" w:type="pct"/>
            <w:tcBorders>
              <w:top w:val="single" w:color="000000" w:sz="8" w:space="0"/>
              <w:left w:val="single" w:color="000000" w:sz="2" w:space="0"/>
              <w:bottom w:val="single" w:color="000000" w:sz="8" w:space="0"/>
              <w:right w:val="single" w:color="000000" w:sz="8" w:space="0"/>
            </w:tcBorders>
            <w:noWrap w:val="0"/>
            <w:vAlign w:val="center"/>
          </w:tcPr>
          <w:p>
            <w:pPr>
              <w:shd w:val="clear" w:color="auto" w:fill="auto"/>
              <w:autoSpaceDE w:val="0"/>
              <w:autoSpaceDN w:val="0"/>
              <w:jc w:val="left"/>
              <w:rPr>
                <w:rFonts w:hint="eastAsia" w:ascii="宋体" w:hAnsi="宋体" w:cs="宋体"/>
                <w:color w:val="000000"/>
                <w:highlight w:val="none"/>
                <w:lang w:val="zh-CN"/>
              </w:rPr>
            </w:pPr>
            <w:r>
              <w:rPr>
                <w:rFonts w:hint="eastAsia" w:ascii="宋体" w:hAnsi="宋体" w:cs="宋体"/>
                <w:b/>
                <w:bCs/>
                <w:color w:val="000000"/>
                <w:highlight w:val="none"/>
                <w:lang w:val="zh-CN"/>
              </w:rPr>
              <w:t>1、投标文件组成：</w:t>
            </w:r>
            <w:r>
              <w:rPr>
                <w:rFonts w:hint="eastAsia" w:ascii="宋体" w:hAnsi="宋体" w:cs="宋体"/>
                <w:color w:val="000000"/>
                <w:highlight w:val="none"/>
                <w:lang w:val="zh-CN"/>
              </w:rPr>
              <w:t>资格文件、报价文件（含开标一览表）、</w:t>
            </w:r>
            <w:r>
              <w:rPr>
                <w:rFonts w:hint="eastAsia" w:ascii="宋体" w:hAnsi="宋体" w:cs="宋体"/>
                <w:color w:val="000000"/>
                <w:highlight w:val="none"/>
              </w:rPr>
              <w:t>商务</w:t>
            </w:r>
            <w:r>
              <w:rPr>
                <w:rFonts w:hint="eastAsia" w:ascii="宋体" w:hAnsi="宋体" w:cs="宋体"/>
                <w:color w:val="000000"/>
                <w:highlight w:val="none"/>
                <w:lang w:val="zh-CN"/>
              </w:rPr>
              <w:t>技术文件。</w:t>
            </w:r>
          </w:p>
          <w:p>
            <w:pPr>
              <w:shd w:val="clear" w:color="auto" w:fill="auto"/>
              <w:rPr>
                <w:rFonts w:hint="eastAsia" w:ascii="宋体" w:hAnsi="宋体" w:cs="宋体"/>
                <w:color w:val="000000"/>
                <w:highlight w:val="none"/>
              </w:rPr>
            </w:pPr>
            <w:r>
              <w:rPr>
                <w:rFonts w:hint="eastAsia" w:ascii="宋体" w:hAnsi="宋体" w:cs="宋体"/>
                <w:b/>
                <w:bCs/>
                <w:color w:val="000000"/>
                <w:highlight w:val="none"/>
              </w:rPr>
              <w:t>2、投标文件编制</w:t>
            </w:r>
            <w:r>
              <w:rPr>
                <w:rFonts w:hint="eastAsia" w:ascii="宋体" w:hAnsi="宋体" w:cs="宋体"/>
                <w:color w:val="000000"/>
                <w:highlight w:val="none"/>
              </w:rPr>
              <w:t>：供应商应先安装“政采云电子交易客户端”，并按照本采购文件和“政府采购云平台”的要求，通过“政采云电子交易客户端”编制并加密投标文件。</w:t>
            </w:r>
          </w:p>
          <w:p>
            <w:pPr>
              <w:shd w:val="clear" w:color="auto" w:fill="auto"/>
              <w:rPr>
                <w:rFonts w:hint="eastAsia" w:ascii="宋体" w:hAnsi="宋体" w:cs="宋体"/>
                <w:color w:val="000000"/>
                <w:highlight w:val="none"/>
              </w:rPr>
            </w:pPr>
            <w:r>
              <w:rPr>
                <w:rFonts w:hint="eastAsia" w:ascii="宋体" w:hAnsi="宋体" w:cs="宋体"/>
                <w:b/>
                <w:bCs/>
                <w:color w:val="000000"/>
                <w:highlight w:val="none"/>
              </w:rPr>
              <w:t>3、投标文件的签章：</w:t>
            </w:r>
            <w:r>
              <w:rPr>
                <w:rFonts w:hint="eastAsia" w:ascii="宋体" w:hAnsi="宋体" w:cs="宋体"/>
                <w:color w:val="000000"/>
                <w:highlight w:val="none"/>
              </w:rPr>
              <w:t>电子签章或加盖供应商公章。</w:t>
            </w:r>
          </w:p>
          <w:p>
            <w:pPr>
              <w:shd w:val="clear" w:color="auto" w:fill="auto"/>
              <w:rPr>
                <w:rFonts w:hint="eastAsia" w:ascii="宋体" w:hAnsi="宋体" w:cs="宋体"/>
                <w:color w:val="000000"/>
                <w:highlight w:val="none"/>
              </w:rPr>
            </w:pPr>
            <w:r>
              <w:rPr>
                <w:rFonts w:hint="eastAsia" w:ascii="宋体" w:hAnsi="宋体" w:cs="宋体"/>
                <w:b/>
                <w:bCs/>
                <w:color w:val="000000"/>
                <w:highlight w:val="none"/>
              </w:rPr>
              <w:t>4、投标文件的形式</w:t>
            </w:r>
            <w:r>
              <w:rPr>
                <w:rFonts w:hint="eastAsia" w:ascii="宋体" w:hAnsi="宋体" w:cs="宋体"/>
                <w:color w:val="000000"/>
                <w:highlight w:val="none"/>
              </w:rPr>
              <w:t>：☑电子投标文件（包括“电子加密投标文件”和“备份投标文件”，在投标文件编制完成后同时生成）；</w:t>
            </w:r>
          </w:p>
          <w:p>
            <w:pPr>
              <w:shd w:val="clear" w:color="auto" w:fill="auto"/>
              <w:rPr>
                <w:rFonts w:hint="eastAsia" w:ascii="宋体" w:hAnsi="宋体" w:cs="宋体"/>
                <w:color w:val="000000"/>
                <w:highlight w:val="none"/>
              </w:rPr>
            </w:pPr>
            <w:r>
              <w:rPr>
                <w:rFonts w:hint="eastAsia" w:ascii="宋体" w:hAnsi="宋体" w:cs="宋体"/>
                <w:color w:val="000000"/>
                <w:highlight w:val="none"/>
              </w:rPr>
              <w:t>（1）“电子加密投标文件”是指通过“政采云电子交易客户端”完成投标文件编制后生成并加密的数据电文形式的投标文件。</w:t>
            </w:r>
          </w:p>
          <w:p>
            <w:pPr>
              <w:shd w:val="clear" w:color="auto" w:fill="auto"/>
              <w:rPr>
                <w:rFonts w:hint="eastAsia" w:ascii="宋体" w:hAnsi="宋体" w:cs="宋体"/>
                <w:color w:val="000000"/>
                <w:highlight w:val="none"/>
              </w:rPr>
            </w:pPr>
            <w:r>
              <w:rPr>
                <w:rFonts w:hint="eastAsia" w:ascii="宋体" w:hAnsi="宋体" w:cs="宋体"/>
                <w:color w:val="000000"/>
                <w:highlight w:val="none"/>
              </w:rPr>
              <w:t>（2）“备份投标文件”是指与“电子加密投标文件”同时生成的数据电文形式的电子文件（备份标书），其他方式编制的备份投标文件视为无效备份投标文件。</w:t>
            </w:r>
          </w:p>
          <w:p>
            <w:pPr>
              <w:shd w:val="clear" w:color="auto" w:fill="auto"/>
              <w:autoSpaceDE w:val="0"/>
              <w:autoSpaceDN w:val="0"/>
              <w:jc w:val="left"/>
              <w:rPr>
                <w:rFonts w:hint="eastAsia" w:ascii="宋体" w:hAnsi="宋体" w:cs="宋体"/>
                <w:color w:val="000000"/>
                <w:highlight w:val="none"/>
              </w:rPr>
            </w:pPr>
            <w:r>
              <w:rPr>
                <w:rFonts w:hint="eastAsia" w:ascii="宋体" w:hAnsi="宋体" w:cs="宋体"/>
                <w:b/>
                <w:bCs/>
                <w:color w:val="000000"/>
                <w:highlight w:val="none"/>
              </w:rPr>
              <w:t>5、投标文件份数：</w:t>
            </w:r>
            <w:r>
              <w:rPr>
                <w:rFonts w:hint="eastAsia" w:ascii="宋体" w:hAnsi="宋体" w:cs="宋体"/>
                <w:color w:val="000000"/>
                <w:highlight w:val="none"/>
              </w:rPr>
              <w:t>（1）“电子加密投标文件”：在线上传递交、一份。</w:t>
            </w:r>
          </w:p>
          <w:p>
            <w:pPr>
              <w:shd w:val="clear" w:color="auto" w:fill="auto"/>
              <w:autoSpaceDE w:val="0"/>
              <w:autoSpaceDN w:val="0"/>
              <w:jc w:val="left"/>
              <w:rPr>
                <w:rFonts w:hint="eastAsia" w:ascii="宋体" w:hAnsi="宋体" w:cs="宋体"/>
                <w:color w:val="000000"/>
                <w:highlight w:val="none"/>
              </w:rPr>
            </w:pPr>
            <w:r>
              <w:rPr>
                <w:rFonts w:hint="eastAsia" w:ascii="宋体" w:hAnsi="宋体" w:cs="宋体"/>
                <w:color w:val="000000"/>
                <w:highlight w:val="none"/>
              </w:rPr>
              <w:t>（2）“备份投标文件”：密封包装后投标截止时间前递交、一份。</w:t>
            </w:r>
          </w:p>
          <w:p>
            <w:pPr>
              <w:shd w:val="clear" w:color="auto" w:fill="auto"/>
              <w:autoSpaceDE w:val="0"/>
              <w:autoSpaceDN w:val="0"/>
              <w:jc w:val="left"/>
              <w:rPr>
                <w:rFonts w:hint="eastAsia" w:ascii="宋体" w:hAnsi="宋体" w:cs="宋体"/>
                <w:b/>
                <w:bCs/>
                <w:color w:val="000000"/>
                <w:highlight w:val="none"/>
              </w:rPr>
            </w:pPr>
            <w:r>
              <w:rPr>
                <w:rFonts w:hint="eastAsia" w:ascii="宋体" w:hAnsi="宋体" w:cs="宋体"/>
                <w:b/>
                <w:bCs/>
                <w:color w:val="000000"/>
                <w:highlight w:val="none"/>
              </w:rPr>
              <w:t>（3）如中标，中标人需根据招标人要求提供纸质投标文件至少一份。</w:t>
            </w:r>
          </w:p>
          <w:p>
            <w:pPr>
              <w:shd w:val="clear" w:color="auto" w:fill="auto"/>
              <w:rPr>
                <w:rFonts w:hint="eastAsia" w:ascii="宋体" w:hAnsi="宋体" w:cs="宋体"/>
                <w:b/>
                <w:bCs/>
                <w:color w:val="000000"/>
                <w:highlight w:val="none"/>
              </w:rPr>
            </w:pPr>
            <w:r>
              <w:rPr>
                <w:rFonts w:hint="eastAsia" w:ascii="宋体" w:hAnsi="宋体" w:cs="宋体"/>
                <w:b/>
                <w:bCs/>
                <w:color w:val="000000"/>
                <w:highlight w:val="none"/>
              </w:rPr>
              <w:t>6、投标文件的上传和递交：</w:t>
            </w:r>
          </w:p>
          <w:p>
            <w:pPr>
              <w:shd w:val="clear" w:color="auto" w:fill="auto"/>
              <w:rPr>
                <w:rFonts w:hint="eastAsia" w:ascii="宋体" w:hAnsi="宋体" w:cs="宋体"/>
                <w:color w:val="000000"/>
                <w:highlight w:val="none"/>
              </w:rPr>
            </w:pPr>
            <w:r>
              <w:rPr>
                <w:rFonts w:hint="eastAsia" w:ascii="宋体" w:hAnsi="宋体" w:cs="宋体"/>
                <w:color w:val="000000"/>
                <w:highlight w:val="none"/>
              </w:rPr>
              <w:t>（1）“电子加密投标文件”的上传、递交：</w:t>
            </w:r>
          </w:p>
          <w:p>
            <w:pPr>
              <w:shd w:val="clear" w:color="auto" w:fill="auto"/>
              <w:rPr>
                <w:rFonts w:hint="eastAsia" w:ascii="宋体" w:hAnsi="宋体" w:cs="宋体"/>
                <w:color w:val="000000"/>
                <w:highlight w:val="none"/>
              </w:rPr>
            </w:pPr>
            <w:r>
              <w:rPr>
                <w:rFonts w:hint="eastAsia" w:ascii="宋体" w:hAnsi="宋体" w:cs="宋体"/>
                <w:color w:val="000000"/>
                <w:highlight w:val="none"/>
              </w:rPr>
              <w:t>a.供应商应在投标截止时间前将“电子加密投标文件”成功上传递交至“政府采购云平台”，否则投标无效。</w:t>
            </w:r>
          </w:p>
          <w:p>
            <w:pPr>
              <w:shd w:val="clear" w:color="auto" w:fill="auto"/>
              <w:rPr>
                <w:rFonts w:hint="eastAsia" w:ascii="宋体" w:hAnsi="宋体" w:cs="宋体"/>
                <w:color w:val="000000"/>
                <w:highlight w:val="none"/>
              </w:rPr>
            </w:pPr>
            <w:r>
              <w:rPr>
                <w:rFonts w:hint="eastAsia" w:ascii="宋体" w:hAnsi="宋体" w:cs="宋体"/>
                <w:color w:val="000000"/>
                <w:highlight w:val="none"/>
              </w:rPr>
              <w:t>b.“电子加密投标文件”成功上传递交后，供应商可自行打印投标文件接收回执。</w:t>
            </w:r>
          </w:p>
          <w:p>
            <w:pPr>
              <w:shd w:val="clear" w:color="auto" w:fill="auto"/>
              <w:rPr>
                <w:rFonts w:hint="eastAsia" w:ascii="宋体" w:hAnsi="宋体" w:cs="宋体"/>
                <w:color w:val="000000"/>
                <w:highlight w:val="none"/>
              </w:rPr>
            </w:pPr>
            <w:r>
              <w:rPr>
                <w:rFonts w:hint="eastAsia" w:ascii="宋体" w:hAnsi="宋体" w:cs="宋体"/>
                <w:color w:val="000000"/>
                <w:highlight w:val="none"/>
              </w:rPr>
              <w:t>（2）“备份投标文件”的密封包装、递交：</w:t>
            </w:r>
          </w:p>
          <w:p>
            <w:pPr>
              <w:shd w:val="clear" w:color="auto" w:fill="auto"/>
              <w:snapToGrid w:val="0"/>
              <w:spacing w:line="276" w:lineRule="auto"/>
              <w:rPr>
                <w:rFonts w:hint="eastAsia" w:ascii="宋体" w:hAnsi="宋体" w:cs="宋体"/>
                <w:color w:val="000000"/>
                <w:highlight w:val="none"/>
              </w:rPr>
            </w:pPr>
            <w:r>
              <w:rPr>
                <w:rFonts w:hint="eastAsia" w:ascii="宋体" w:hAnsi="宋体" w:cs="宋体"/>
                <w:color w:val="000000"/>
                <w:highlight w:val="none"/>
              </w:rPr>
              <w:t>a.供应商在“政府采购云平台”完成“电子加密投标文件”的上传递交后， 可以在投标截止时间前在开标地点直接递交 或者 还可以（EMS邮寄形式）在投标截止时间12小时前递交 以介质（U盘）存储的“备份投标文件”（一份）（邮寄地址：杭州市萧山区空间结构科技产业园3号楼319室，李工，13634199815，按接收签收时间为准，到付邮件将被拒收）。</w:t>
            </w:r>
          </w:p>
          <w:p>
            <w:pPr>
              <w:shd w:val="clear" w:color="auto" w:fill="auto"/>
              <w:rPr>
                <w:rFonts w:hint="eastAsia" w:ascii="宋体" w:hAnsi="宋体" w:cs="宋体"/>
                <w:color w:val="000000"/>
                <w:highlight w:val="none"/>
              </w:rPr>
            </w:pPr>
            <w:r>
              <w:rPr>
                <w:rFonts w:hint="eastAsia" w:ascii="宋体" w:hAnsi="宋体" w:cs="宋体"/>
                <w:color w:val="000000"/>
                <w:highlight w:val="none"/>
              </w:rPr>
              <w:t>b.“备份投标文件”应当密封包装，并在包装上标注投标项目名称、投标单位名称并加盖公章。没有密封包装或者逾期递交的“备份投标文件”将不予接收；</w:t>
            </w:r>
          </w:p>
          <w:p>
            <w:pPr>
              <w:shd w:val="clear" w:color="auto" w:fill="auto"/>
              <w:autoSpaceDE w:val="0"/>
              <w:autoSpaceDN w:val="0"/>
              <w:jc w:val="left"/>
              <w:rPr>
                <w:rFonts w:hint="eastAsia" w:ascii="宋体" w:hAnsi="宋体" w:cs="宋体"/>
                <w:color w:val="000000"/>
                <w:highlight w:val="none"/>
              </w:rPr>
            </w:pPr>
            <w:r>
              <w:rPr>
                <w:rFonts w:hint="eastAsia" w:ascii="宋体" w:hAnsi="宋体" w:cs="宋体"/>
                <w:color w:val="000000"/>
                <w:highlight w:val="none"/>
              </w:rPr>
              <w:t>c.通过“政府采购云平台”成功上传递交的“电子加密投标文件”已按时解密的，“备份投标文件”自动失效。投标截止时间前，供应商仅递交了“备份投标文件”而未将“电子加密投标文件”成功上传至“政府采购云平台”的，投标无效。</w:t>
            </w:r>
          </w:p>
          <w:p>
            <w:pPr>
              <w:shd w:val="clear" w:color="auto" w:fill="auto"/>
              <w:autoSpaceDE w:val="0"/>
              <w:autoSpaceDN w:val="0"/>
              <w:jc w:val="left"/>
              <w:rPr>
                <w:rFonts w:hint="eastAsia" w:ascii="宋体" w:hAnsi="宋体" w:cs="宋体"/>
                <w:color w:val="000000"/>
                <w:highlight w:val="none"/>
              </w:rPr>
            </w:pPr>
            <w:r>
              <w:rPr>
                <w:rFonts w:hint="eastAsia" w:ascii="宋体" w:hAnsi="宋体" w:cs="宋体"/>
                <w:color w:val="000000"/>
                <w:highlight w:val="none"/>
              </w:rPr>
              <w:t>d.采购人、采购机构不强制或变相强制投标人提交备份投标文件。</w:t>
            </w:r>
          </w:p>
          <w:p>
            <w:pPr>
              <w:shd w:val="clear" w:color="auto" w:fill="auto"/>
              <w:rPr>
                <w:rFonts w:hint="eastAsia" w:ascii="宋体" w:hAnsi="宋体" w:cs="宋体"/>
                <w:color w:val="000000"/>
                <w:highlight w:val="none"/>
              </w:rPr>
            </w:pPr>
            <w:r>
              <w:rPr>
                <w:rFonts w:hint="eastAsia" w:ascii="宋体" w:hAnsi="宋体" w:cs="宋体"/>
                <w:b/>
                <w:bCs/>
                <w:color w:val="000000"/>
                <w:highlight w:val="none"/>
              </w:rPr>
              <w:t>7、电子加密投标文件的解密和异常情况处理</w:t>
            </w:r>
            <w:r>
              <w:rPr>
                <w:rFonts w:hint="eastAsia" w:ascii="宋体" w:hAnsi="宋体" w:cs="宋体"/>
                <w:color w:val="000000"/>
                <w:highlight w:val="none"/>
              </w:rPr>
              <w:t>：</w:t>
            </w:r>
          </w:p>
          <w:p>
            <w:pPr>
              <w:shd w:val="clear" w:color="auto" w:fill="auto"/>
              <w:autoSpaceDE w:val="0"/>
              <w:autoSpaceDN w:val="0"/>
              <w:jc w:val="left"/>
              <w:rPr>
                <w:rFonts w:hint="eastAsia" w:ascii="宋体" w:hAnsi="宋体" w:cs="宋体"/>
                <w:color w:val="000000"/>
                <w:highlight w:val="none"/>
              </w:rPr>
            </w:pPr>
            <w:r>
              <w:rPr>
                <w:rFonts w:hint="eastAsia" w:ascii="宋体" w:hAnsi="宋体" w:cs="宋体"/>
                <w:color w:val="000000"/>
                <w:highlight w:val="none"/>
              </w:rPr>
              <w:t>（1）开标后，采购组织机构将向各供应商发出“电子加密投标文件”的解密通知，各供应商代表应当在接到解密通知后30分钟内自行完成“电子加密投标文件”的在线解密。</w:t>
            </w:r>
          </w:p>
          <w:p>
            <w:pPr>
              <w:shd w:val="clear" w:color="auto" w:fill="auto"/>
              <w:autoSpaceDE w:val="0"/>
              <w:autoSpaceDN w:val="0"/>
              <w:jc w:val="left"/>
              <w:rPr>
                <w:rFonts w:hint="eastAsia" w:ascii="宋体" w:hAnsi="宋体" w:cs="宋体"/>
                <w:color w:val="000000"/>
                <w:highlight w:val="none"/>
              </w:rPr>
            </w:pPr>
            <w:r>
              <w:rPr>
                <w:rFonts w:hint="eastAsia" w:ascii="宋体" w:hAnsi="宋体" w:cs="宋体"/>
                <w:color w:val="000000"/>
                <w:highlight w:val="none"/>
              </w:rPr>
              <w:t>（2）通过“政府采购云平台”成功上传递交的“电子加密投标文件”无法按时解密，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pPr>
              <w:shd w:val="clear" w:color="auto" w:fill="auto"/>
              <w:autoSpaceDE w:val="0"/>
              <w:autoSpaceDN w:val="0"/>
              <w:jc w:val="left"/>
              <w:rPr>
                <w:rFonts w:hint="eastAsia" w:ascii="宋体" w:hAnsi="宋体" w:cs="宋体"/>
                <w:color w:val="000000"/>
                <w:highlight w:val="none"/>
              </w:rPr>
            </w:pPr>
            <w:r>
              <w:rPr>
                <w:rFonts w:hint="eastAsia" w:ascii="宋体" w:hAnsi="宋体" w:cs="宋体"/>
                <w:color w:val="000000"/>
                <w:highlight w:val="none"/>
              </w:rPr>
              <w:t>（3）投标截止时间前，供应商仅递交了“备份投标文件”而未将电子加密投标文件上传至“政府采购云平台”的，投标无效。</w:t>
            </w:r>
          </w:p>
          <w:p>
            <w:pPr>
              <w:shd w:val="clear" w:color="auto" w:fill="auto"/>
              <w:snapToGrid w:val="0"/>
              <w:spacing w:line="360" w:lineRule="auto"/>
              <w:jc w:val="left"/>
              <w:rPr>
                <w:rFonts w:hint="eastAsia" w:ascii="宋体" w:hAnsi="宋体" w:cs="宋体"/>
                <w:color w:val="000000"/>
                <w:highlight w:val="none"/>
              </w:rPr>
            </w:pPr>
          </w:p>
          <w:p>
            <w:pPr>
              <w:pStyle w:val="24"/>
              <w:shd w:val="clear" w:color="auto" w:fill="auto"/>
              <w:rPr>
                <w:rFonts w:hint="eastAsia" w:cs="宋体"/>
                <w:color w:val="000000"/>
                <w:highlight w:val="none"/>
                <w:lang w:val="en-US" w:eastAsia="zh-CN"/>
              </w:rPr>
            </w:pPr>
          </w:p>
        </w:tc>
      </w:tr>
    </w:tbl>
    <w:p>
      <w:pPr>
        <w:shd w:val="clear" w:color="auto" w:fill="auto"/>
        <w:spacing w:line="360" w:lineRule="auto"/>
        <w:ind w:firstLine="482" w:firstLineChars="200"/>
        <w:rPr>
          <w:rFonts w:hint="eastAsia" w:ascii="宋体" w:hAnsi="宋体" w:cs="宋体"/>
          <w:b/>
          <w:color w:val="000000"/>
          <w:sz w:val="24"/>
          <w:highlight w:val="none"/>
        </w:rPr>
      </w:pPr>
      <w:r>
        <w:rPr>
          <w:rFonts w:hint="eastAsia" w:ascii="宋体" w:hAnsi="宋体" w:cs="宋体"/>
          <w:b/>
          <w:color w:val="000000"/>
          <w:sz w:val="24"/>
          <w:highlight w:val="none"/>
        </w:rPr>
        <w:t xml:space="preserve">注：本项目通用总则条款与前附表等专用特别规定有冲突之处，以专用条款（特别规定）为准 </w:t>
      </w:r>
    </w:p>
    <w:bookmarkEnd w:id="10"/>
    <w:p>
      <w:pPr>
        <w:shd w:val="clear" w:color="auto" w:fill="auto"/>
        <w:adjustRightInd/>
        <w:spacing w:line="360" w:lineRule="auto"/>
        <w:jc w:val="center"/>
        <w:outlineLvl w:val="0"/>
        <w:rPr>
          <w:rFonts w:hint="eastAsia" w:ascii="宋体" w:hAnsi="宋体" w:cs="宋体"/>
          <w:b/>
          <w:color w:val="000000"/>
          <w:sz w:val="32"/>
          <w:szCs w:val="20"/>
          <w:highlight w:val="none"/>
        </w:rPr>
      </w:pPr>
      <w:bookmarkStart w:id="38" w:name="_Toc164416483"/>
      <w:bookmarkStart w:id="39" w:name="第三部分"/>
    </w:p>
    <w:p>
      <w:pPr>
        <w:shd w:val="clear" w:color="auto" w:fill="auto"/>
        <w:adjustRightInd/>
        <w:spacing w:line="360" w:lineRule="auto"/>
        <w:jc w:val="center"/>
        <w:outlineLvl w:val="0"/>
        <w:rPr>
          <w:rFonts w:hint="eastAsia" w:ascii="宋体" w:hAnsi="宋体" w:cs="宋体"/>
          <w:b/>
          <w:color w:val="000000"/>
          <w:sz w:val="32"/>
          <w:szCs w:val="20"/>
          <w:highlight w:val="none"/>
        </w:rPr>
      </w:pPr>
    </w:p>
    <w:p>
      <w:pPr>
        <w:shd w:val="clear" w:color="auto" w:fill="auto"/>
        <w:adjustRightInd/>
        <w:spacing w:line="360" w:lineRule="auto"/>
        <w:jc w:val="center"/>
        <w:outlineLvl w:val="0"/>
        <w:rPr>
          <w:rFonts w:hint="eastAsia" w:ascii="宋体" w:hAnsi="宋体" w:cs="宋体"/>
          <w:b/>
          <w:color w:val="000000"/>
          <w:sz w:val="32"/>
          <w:szCs w:val="20"/>
          <w:highlight w:val="none"/>
        </w:rPr>
      </w:pPr>
    </w:p>
    <w:p>
      <w:pPr>
        <w:shd w:val="clear" w:color="auto" w:fill="auto"/>
        <w:adjustRightInd/>
        <w:spacing w:line="360" w:lineRule="auto"/>
        <w:jc w:val="center"/>
        <w:outlineLvl w:val="0"/>
        <w:rPr>
          <w:rFonts w:hint="eastAsia" w:ascii="宋体" w:hAnsi="宋体" w:cs="宋体"/>
          <w:b/>
          <w:color w:val="000000"/>
          <w:sz w:val="32"/>
          <w:szCs w:val="20"/>
          <w:highlight w:val="none"/>
        </w:rPr>
      </w:pPr>
    </w:p>
    <w:p>
      <w:pPr>
        <w:shd w:val="clear" w:color="auto" w:fill="auto"/>
        <w:adjustRightInd/>
        <w:spacing w:line="360" w:lineRule="auto"/>
        <w:jc w:val="center"/>
        <w:outlineLvl w:val="0"/>
        <w:rPr>
          <w:rFonts w:hint="eastAsia" w:ascii="宋体" w:hAnsi="宋体" w:cs="宋体"/>
          <w:b/>
          <w:color w:val="000000"/>
          <w:sz w:val="32"/>
          <w:szCs w:val="20"/>
          <w:highlight w:val="none"/>
        </w:rPr>
      </w:pPr>
    </w:p>
    <w:p>
      <w:pPr>
        <w:shd w:val="clear" w:color="auto" w:fill="auto"/>
        <w:adjustRightInd/>
        <w:spacing w:line="360" w:lineRule="auto"/>
        <w:jc w:val="center"/>
        <w:outlineLvl w:val="0"/>
        <w:rPr>
          <w:rFonts w:hint="eastAsia" w:ascii="宋体" w:hAnsi="宋体" w:cs="宋体"/>
          <w:b/>
          <w:color w:val="000000"/>
          <w:sz w:val="32"/>
          <w:szCs w:val="20"/>
          <w:highlight w:val="none"/>
        </w:rPr>
      </w:pPr>
    </w:p>
    <w:p>
      <w:pPr>
        <w:shd w:val="clear" w:color="auto" w:fill="auto"/>
        <w:adjustRightInd/>
        <w:spacing w:line="360" w:lineRule="auto"/>
        <w:jc w:val="center"/>
        <w:outlineLvl w:val="0"/>
        <w:rPr>
          <w:rFonts w:hint="eastAsia" w:ascii="宋体" w:hAnsi="宋体" w:cs="宋体"/>
          <w:b/>
          <w:color w:val="000000"/>
          <w:sz w:val="32"/>
          <w:szCs w:val="20"/>
          <w:highlight w:val="none"/>
        </w:rPr>
      </w:pPr>
    </w:p>
    <w:p>
      <w:pPr>
        <w:shd w:val="clear" w:color="auto" w:fill="auto"/>
        <w:adjustRightInd/>
        <w:spacing w:line="360" w:lineRule="auto"/>
        <w:jc w:val="center"/>
        <w:outlineLvl w:val="0"/>
        <w:rPr>
          <w:rFonts w:hint="eastAsia" w:ascii="宋体" w:hAnsi="宋体" w:cs="宋体"/>
          <w:b/>
          <w:color w:val="000000"/>
          <w:sz w:val="32"/>
          <w:szCs w:val="20"/>
          <w:highlight w:val="none"/>
        </w:rPr>
      </w:pPr>
    </w:p>
    <w:p>
      <w:pPr>
        <w:shd w:val="clear" w:color="auto" w:fill="auto"/>
        <w:adjustRightInd/>
        <w:spacing w:line="360" w:lineRule="auto"/>
        <w:jc w:val="center"/>
        <w:outlineLvl w:val="0"/>
        <w:rPr>
          <w:rFonts w:hint="eastAsia" w:ascii="宋体" w:hAnsi="宋体" w:cs="宋体"/>
          <w:b/>
          <w:color w:val="000000"/>
          <w:sz w:val="32"/>
          <w:szCs w:val="20"/>
          <w:highlight w:val="none"/>
        </w:rPr>
      </w:pPr>
    </w:p>
    <w:p>
      <w:pPr>
        <w:shd w:val="clear" w:color="auto" w:fill="auto"/>
        <w:adjustRightInd/>
        <w:spacing w:line="360" w:lineRule="auto"/>
        <w:jc w:val="center"/>
        <w:outlineLvl w:val="0"/>
        <w:rPr>
          <w:rFonts w:hint="eastAsia" w:ascii="宋体" w:hAnsi="宋体" w:cs="宋体"/>
          <w:b/>
          <w:color w:val="000000"/>
          <w:sz w:val="32"/>
          <w:szCs w:val="20"/>
          <w:highlight w:val="none"/>
        </w:rPr>
      </w:pPr>
    </w:p>
    <w:p>
      <w:pPr>
        <w:pStyle w:val="24"/>
        <w:shd w:val="clear" w:color="auto" w:fill="auto"/>
        <w:ind w:firstLine="643"/>
        <w:rPr>
          <w:rFonts w:hint="eastAsia" w:cs="宋体"/>
          <w:b/>
          <w:color w:val="000000"/>
          <w:sz w:val="32"/>
          <w:szCs w:val="20"/>
          <w:highlight w:val="none"/>
        </w:rPr>
      </w:pPr>
    </w:p>
    <w:p>
      <w:pPr>
        <w:pStyle w:val="24"/>
        <w:shd w:val="clear" w:color="auto" w:fill="auto"/>
        <w:ind w:firstLine="643"/>
        <w:rPr>
          <w:rFonts w:hint="eastAsia" w:cs="宋体"/>
          <w:b/>
          <w:color w:val="000000"/>
          <w:sz w:val="32"/>
          <w:szCs w:val="20"/>
          <w:highlight w:val="none"/>
        </w:rPr>
      </w:pPr>
    </w:p>
    <w:p>
      <w:pPr>
        <w:pStyle w:val="24"/>
        <w:shd w:val="clear" w:color="auto" w:fill="auto"/>
        <w:ind w:firstLine="643"/>
        <w:rPr>
          <w:rFonts w:hint="eastAsia" w:cs="宋体"/>
          <w:b/>
          <w:color w:val="000000"/>
          <w:sz w:val="32"/>
          <w:szCs w:val="20"/>
          <w:highlight w:val="none"/>
        </w:rPr>
      </w:pPr>
    </w:p>
    <w:p>
      <w:pPr>
        <w:pStyle w:val="24"/>
        <w:shd w:val="clear" w:color="auto" w:fill="auto"/>
        <w:ind w:firstLine="643"/>
        <w:rPr>
          <w:rFonts w:hint="eastAsia" w:cs="宋体"/>
          <w:b/>
          <w:color w:val="000000"/>
          <w:sz w:val="32"/>
          <w:szCs w:val="20"/>
          <w:highlight w:val="none"/>
        </w:rPr>
      </w:pPr>
    </w:p>
    <w:p>
      <w:pPr>
        <w:pStyle w:val="24"/>
        <w:shd w:val="clear" w:color="auto" w:fill="auto"/>
        <w:ind w:firstLine="643"/>
        <w:rPr>
          <w:rFonts w:hint="eastAsia" w:cs="宋体"/>
          <w:b/>
          <w:color w:val="000000"/>
          <w:sz w:val="32"/>
          <w:szCs w:val="20"/>
          <w:highlight w:val="none"/>
        </w:rPr>
      </w:pPr>
    </w:p>
    <w:p>
      <w:pPr>
        <w:pStyle w:val="24"/>
        <w:shd w:val="clear" w:color="auto" w:fill="auto"/>
        <w:ind w:firstLine="643"/>
        <w:rPr>
          <w:rFonts w:hint="eastAsia" w:cs="宋体"/>
          <w:b/>
          <w:color w:val="000000"/>
          <w:sz w:val="32"/>
          <w:szCs w:val="20"/>
          <w:highlight w:val="none"/>
        </w:rPr>
      </w:pPr>
    </w:p>
    <w:p>
      <w:pPr>
        <w:pStyle w:val="24"/>
        <w:shd w:val="clear" w:color="auto" w:fill="auto"/>
        <w:ind w:firstLine="643"/>
        <w:rPr>
          <w:rFonts w:hint="eastAsia" w:cs="宋体"/>
          <w:b/>
          <w:color w:val="000000"/>
          <w:sz w:val="32"/>
          <w:szCs w:val="20"/>
          <w:highlight w:val="none"/>
        </w:rPr>
      </w:pPr>
    </w:p>
    <w:p>
      <w:pPr>
        <w:pStyle w:val="24"/>
        <w:shd w:val="clear" w:color="auto" w:fill="auto"/>
        <w:ind w:firstLine="643"/>
        <w:rPr>
          <w:rFonts w:hint="eastAsia" w:cs="宋体"/>
          <w:b/>
          <w:color w:val="000000"/>
          <w:sz w:val="32"/>
          <w:szCs w:val="20"/>
          <w:highlight w:val="none"/>
        </w:rPr>
      </w:pPr>
    </w:p>
    <w:p>
      <w:pPr>
        <w:pStyle w:val="24"/>
        <w:shd w:val="clear" w:color="auto" w:fill="auto"/>
        <w:ind w:firstLine="643"/>
        <w:rPr>
          <w:rFonts w:hint="eastAsia" w:cs="宋体"/>
          <w:b/>
          <w:color w:val="000000"/>
          <w:sz w:val="32"/>
          <w:szCs w:val="20"/>
          <w:highlight w:val="none"/>
        </w:rPr>
      </w:pPr>
    </w:p>
    <w:p>
      <w:pPr>
        <w:pStyle w:val="24"/>
        <w:shd w:val="clear" w:color="auto" w:fill="auto"/>
        <w:ind w:firstLine="643"/>
        <w:rPr>
          <w:rFonts w:hint="eastAsia" w:cs="宋体"/>
          <w:b/>
          <w:color w:val="000000"/>
          <w:sz w:val="32"/>
          <w:szCs w:val="20"/>
          <w:highlight w:val="none"/>
        </w:rPr>
      </w:pPr>
    </w:p>
    <w:p>
      <w:pPr>
        <w:pStyle w:val="24"/>
        <w:shd w:val="clear" w:color="auto" w:fill="auto"/>
        <w:ind w:firstLine="643"/>
        <w:rPr>
          <w:rFonts w:hint="eastAsia" w:cs="宋体"/>
          <w:b/>
          <w:color w:val="000000"/>
          <w:sz w:val="32"/>
          <w:szCs w:val="20"/>
          <w:highlight w:val="none"/>
        </w:rPr>
      </w:pPr>
    </w:p>
    <w:p>
      <w:pPr>
        <w:pStyle w:val="24"/>
        <w:shd w:val="clear" w:color="auto" w:fill="auto"/>
        <w:ind w:firstLine="643"/>
        <w:rPr>
          <w:rFonts w:hint="eastAsia" w:cs="宋体"/>
          <w:b/>
          <w:color w:val="000000"/>
          <w:sz w:val="32"/>
          <w:szCs w:val="20"/>
          <w:highlight w:val="none"/>
        </w:rPr>
      </w:pPr>
    </w:p>
    <w:p>
      <w:pPr>
        <w:pStyle w:val="24"/>
        <w:shd w:val="clear" w:color="auto" w:fill="auto"/>
        <w:ind w:firstLine="643"/>
        <w:rPr>
          <w:rFonts w:hint="eastAsia" w:cs="宋体"/>
          <w:b/>
          <w:color w:val="000000"/>
          <w:sz w:val="32"/>
          <w:szCs w:val="20"/>
          <w:highlight w:val="none"/>
        </w:rPr>
      </w:pPr>
    </w:p>
    <w:p>
      <w:pPr>
        <w:pStyle w:val="24"/>
        <w:shd w:val="clear" w:color="auto" w:fill="auto"/>
        <w:ind w:firstLine="643"/>
        <w:rPr>
          <w:rFonts w:hint="eastAsia" w:cs="宋体"/>
          <w:b/>
          <w:color w:val="000000"/>
          <w:sz w:val="32"/>
          <w:szCs w:val="20"/>
          <w:highlight w:val="none"/>
        </w:rPr>
      </w:pPr>
    </w:p>
    <w:p>
      <w:pPr>
        <w:shd w:val="clear" w:color="auto" w:fill="auto"/>
        <w:adjustRightInd/>
        <w:spacing w:line="360" w:lineRule="auto"/>
        <w:jc w:val="center"/>
        <w:outlineLvl w:val="0"/>
        <w:rPr>
          <w:rFonts w:hint="eastAsia" w:ascii="宋体" w:hAnsi="宋体" w:cs="宋体"/>
          <w:b/>
          <w:color w:val="000000"/>
          <w:sz w:val="32"/>
          <w:szCs w:val="20"/>
          <w:highlight w:val="none"/>
        </w:rPr>
      </w:pPr>
    </w:p>
    <w:p>
      <w:pPr>
        <w:shd w:val="clear" w:color="auto" w:fill="auto"/>
        <w:adjustRightInd/>
        <w:spacing w:line="360" w:lineRule="auto"/>
        <w:jc w:val="center"/>
        <w:outlineLvl w:val="0"/>
        <w:rPr>
          <w:rFonts w:hint="eastAsia" w:ascii="宋体" w:hAnsi="宋体" w:cs="宋体"/>
          <w:b/>
          <w:color w:val="000000"/>
          <w:sz w:val="32"/>
          <w:szCs w:val="20"/>
          <w:highlight w:val="none"/>
        </w:rPr>
      </w:pPr>
      <w:r>
        <w:rPr>
          <w:rFonts w:hint="eastAsia" w:ascii="宋体" w:hAnsi="宋体" w:cs="宋体"/>
          <w:b/>
          <w:color w:val="000000"/>
          <w:sz w:val="32"/>
          <w:szCs w:val="20"/>
          <w:highlight w:val="none"/>
        </w:rPr>
        <w:t>一、总则</w:t>
      </w:r>
    </w:p>
    <w:p>
      <w:pPr>
        <w:shd w:val="clear" w:color="auto" w:fill="auto"/>
        <w:snapToGrid w:val="0"/>
        <w:spacing w:line="360" w:lineRule="auto"/>
        <w:ind w:firstLine="361" w:firstLineChars="150"/>
        <w:jc w:val="left"/>
        <w:outlineLvl w:val="1"/>
        <w:rPr>
          <w:rFonts w:hint="eastAsia" w:ascii="宋体" w:hAnsi="宋体" w:cs="宋体"/>
          <w:b/>
          <w:color w:val="000000"/>
          <w:sz w:val="24"/>
          <w:highlight w:val="none"/>
        </w:rPr>
      </w:pPr>
      <w:r>
        <w:rPr>
          <w:rFonts w:hint="eastAsia" w:ascii="宋体" w:hAnsi="宋体" w:cs="宋体"/>
          <w:b/>
          <w:color w:val="000000"/>
          <w:sz w:val="24"/>
          <w:highlight w:val="none"/>
        </w:rPr>
        <w:t>1. 适用范围</w:t>
      </w:r>
    </w:p>
    <w:p>
      <w:pPr>
        <w:shd w:val="clear" w:color="auto" w:fill="auto"/>
        <w:snapToGrid w:val="0"/>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本招标文件适用于该项目的招标、投标、开标、资格审查及信用信息查询、评标、定标、合同、验收等行为（法律、法规另有规定的，从其规定）。</w:t>
      </w:r>
    </w:p>
    <w:p>
      <w:pPr>
        <w:shd w:val="clear" w:color="auto" w:fill="auto"/>
        <w:adjustRightInd/>
        <w:spacing w:line="360" w:lineRule="auto"/>
        <w:outlineLvl w:val="0"/>
        <w:rPr>
          <w:rFonts w:hint="eastAsia" w:ascii="宋体" w:hAnsi="宋体" w:cs="宋体"/>
          <w:b/>
          <w:color w:val="000000"/>
          <w:sz w:val="24"/>
          <w:highlight w:val="none"/>
        </w:rPr>
      </w:pPr>
      <w:r>
        <w:rPr>
          <w:rFonts w:hint="eastAsia" w:ascii="宋体" w:hAnsi="宋体" w:cs="宋体"/>
          <w:b/>
          <w:color w:val="000000"/>
          <w:sz w:val="24"/>
          <w:highlight w:val="none"/>
        </w:rPr>
        <w:t xml:space="preserve">   2.定义</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2.1 “采购人”系指招标公告中载明的本项目的采购人。</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2.2 “采购机构”系指招标公告中载明的本项目的采购机构。</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2.3 “投标人”系指是指响应招标、参加投标竞争的法人、其他组织或者自然人。。</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2.4 “负责人”系指法人企业的法定负责人，或其他组织为法律、行政法规规定代表单位行使职权的主要负责人，或自然人本人。</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2.5 “▲” 系指实质性要求条款，“★”系产品采购项目中单一产品或核心产品。</w:t>
      </w:r>
    </w:p>
    <w:p>
      <w:pPr>
        <w:shd w:val="clear" w:color="auto" w:fill="auto"/>
        <w:spacing w:line="360" w:lineRule="auto"/>
        <w:ind w:firstLine="241" w:firstLineChars="100"/>
        <w:rPr>
          <w:rFonts w:hint="eastAsia" w:ascii="宋体" w:hAnsi="宋体" w:cs="宋体"/>
          <w:b/>
          <w:color w:val="000000"/>
          <w:sz w:val="24"/>
          <w:highlight w:val="none"/>
        </w:rPr>
      </w:pPr>
      <w:r>
        <w:rPr>
          <w:rFonts w:hint="eastAsia" w:ascii="宋体" w:hAnsi="宋体" w:cs="宋体"/>
          <w:b/>
          <w:color w:val="000000"/>
          <w:sz w:val="24"/>
          <w:highlight w:val="none"/>
        </w:rPr>
        <w:t>3.</w:t>
      </w:r>
      <w:r>
        <w:rPr>
          <w:rFonts w:hint="eastAsia" w:ascii="宋体" w:hAnsi="宋体" w:cs="宋体"/>
          <w:color w:val="000000"/>
          <w:highlight w:val="none"/>
        </w:rPr>
        <w:t xml:space="preserve"> </w:t>
      </w:r>
      <w:r>
        <w:rPr>
          <w:rFonts w:hint="eastAsia" w:ascii="宋体" w:hAnsi="宋体" w:cs="宋体"/>
          <w:b/>
          <w:color w:val="000000"/>
          <w:sz w:val="24"/>
          <w:highlight w:val="none"/>
        </w:rPr>
        <w:t>采购项目需要落实的政府采购政策</w:t>
      </w:r>
    </w:p>
    <w:p>
      <w:pPr>
        <w:shd w:val="clear" w:color="auto" w:fill="auto"/>
        <w:spacing w:line="360" w:lineRule="auto"/>
        <w:ind w:firstLine="240" w:firstLineChars="100"/>
        <w:rPr>
          <w:rFonts w:hint="eastAsia" w:ascii="宋体" w:hAnsi="宋体" w:cs="宋体"/>
          <w:color w:val="000000"/>
          <w:sz w:val="24"/>
          <w:highlight w:val="none"/>
        </w:rPr>
      </w:pPr>
      <w:r>
        <w:rPr>
          <w:rFonts w:hint="eastAsia" w:ascii="宋体" w:hAnsi="宋体" w:cs="宋体"/>
          <w:color w:val="000000"/>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hd w:val="clear" w:color="auto" w:fill="auto"/>
        <w:spacing w:line="360" w:lineRule="auto"/>
        <w:ind w:firstLine="240" w:firstLineChars="100"/>
        <w:rPr>
          <w:rFonts w:hint="eastAsia" w:ascii="宋体" w:hAnsi="宋体" w:cs="宋体"/>
          <w:color w:val="000000"/>
          <w:sz w:val="24"/>
          <w:highlight w:val="none"/>
        </w:rPr>
      </w:pPr>
      <w:r>
        <w:rPr>
          <w:rFonts w:hint="eastAsia" w:ascii="宋体" w:hAnsi="宋体" w:cs="宋体"/>
          <w:color w:val="000000"/>
          <w:sz w:val="24"/>
          <w:highlight w:val="none"/>
        </w:rPr>
        <w:t>3.2 节能环保要求</w:t>
      </w:r>
    </w:p>
    <w:p>
      <w:pPr>
        <w:shd w:val="clear" w:color="auto" w:fill="auto"/>
        <w:spacing w:line="360" w:lineRule="auto"/>
        <w:ind w:firstLine="482" w:firstLineChars="200"/>
        <w:rPr>
          <w:rFonts w:hint="eastAsia" w:ascii="宋体" w:hAnsi="宋体" w:cs="宋体"/>
          <w:color w:val="000000"/>
          <w:sz w:val="24"/>
          <w:highlight w:val="none"/>
        </w:rPr>
      </w:pPr>
      <w:r>
        <w:rPr>
          <w:rFonts w:hint="eastAsia" w:ascii="宋体" w:hAnsi="宋体" w:cs="宋体"/>
          <w:b/>
          <w:color w:val="000000"/>
          <w:sz w:val="24"/>
          <w:highlight w:val="none"/>
        </w:rPr>
        <w:t>3.2.1根据财政部 发展改革委、生态环境部、市场监管总局《关于调整优化节能产品、环境标志产品政府采购执行机制的通知》财库〔2019〕9号，政府采购节能产品、环境标志产品实施品目清单管理。本项目如需采购节能清单中的政府强制采购的节能产品，投标人所投的相应产品须为列入最新一期《关于印发节能产品政府采购品目清单的通知》财库〔2019〕19号的产品，并且提供该产品所在的节能产品政府采购清单页及所投产品国家确定的认证机构出具的、处于有效期之内的节能产品、环境标志产品认证证书，否则投标无效。</w:t>
      </w:r>
      <w:r>
        <w:rPr>
          <w:rFonts w:hint="eastAsia" w:ascii="宋体" w:hAnsi="宋体" w:cs="宋体"/>
          <w:color w:val="000000"/>
          <w:sz w:val="24"/>
          <w:highlight w:val="none"/>
        </w:rPr>
        <w:t>（注：在最新一期节能产品品目清单发布之后开展的政府采购活动，执行最新一期节能清单。在此之前已经开展但尚未进入评审环节的政府采购活动，执行上期或最最新一期品目清单。</w:t>
      </w:r>
      <w:r>
        <w:rPr>
          <w:rFonts w:hint="eastAsia" w:ascii="宋体" w:hAnsi="宋体" w:cs="宋体"/>
          <w:b/>
          <w:color w:val="000000"/>
          <w:sz w:val="24"/>
          <w:highlight w:val="none"/>
        </w:rPr>
        <w:t>▲</w:t>
      </w:r>
      <w:r>
        <w:rPr>
          <w:rFonts w:hint="eastAsia" w:ascii="宋体" w:hAnsi="宋体" w:cs="宋体"/>
          <w:b/>
          <w:color w:val="000000"/>
          <w:sz w:val="24"/>
          <w:szCs w:val="21"/>
          <w:highlight w:val="none"/>
        </w:rPr>
        <w:t>本项目如需采购节能品目清单中的政府强制采购的节能产品的，必须以强制采购的品目清单内产品投标，投标人未按要求提供品目清单内的节能产品或相关证明，投标无效</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3.2.2投标人提供产品如是环境标志产品，应当优先提供《关于印发环境标志产品政府采购品目清单的通知》财库〔2019〕18号内产品，涉及项目评分条款加分项时，应当提供财库〔2019〕18号文件清单，并提供国家确定的认证机构出具的、处于有效期之内的环境标志产品认证证书。</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3.3</w:t>
      </w:r>
      <w:r>
        <w:rPr>
          <w:rFonts w:hint="eastAsia" w:ascii="宋体" w:hAnsi="宋体" w:cs="宋体"/>
          <w:bCs/>
          <w:color w:val="000000"/>
          <w:sz w:val="24"/>
          <w:highlight w:val="none"/>
        </w:rPr>
        <w:t>支持中小企业发展</w:t>
      </w:r>
      <w:r>
        <w:rPr>
          <w:rFonts w:hint="eastAsia" w:ascii="宋体" w:hAnsi="宋体" w:cs="宋体"/>
          <w:color w:val="000000"/>
          <w:sz w:val="24"/>
          <w:highlight w:val="none"/>
        </w:rPr>
        <w:t>。</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符合中小企业划分标准的个体工商户，在政府采购活动中视同中小企业。</w:t>
      </w:r>
    </w:p>
    <w:p>
      <w:pPr>
        <w:widowControl/>
        <w:shd w:val="clear" w:color="auto" w:fill="auto"/>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bCs/>
          <w:color w:val="000000"/>
          <w:sz w:val="24"/>
          <w:highlight w:val="none"/>
        </w:rPr>
        <w:t>3.3.2</w:t>
      </w:r>
      <w:r>
        <w:rPr>
          <w:rFonts w:hint="eastAsia" w:ascii="宋体" w:hAnsi="宋体" w:cs="宋体"/>
          <w:color w:val="000000"/>
          <w:kern w:val="0"/>
          <w:sz w:val="24"/>
          <w:highlight w:val="none"/>
        </w:rPr>
        <w:t>在政府采购活动中，投标人提供的货物、工程或者服务符合下列情形的，享受中小企业扶持政策：</w:t>
      </w:r>
    </w:p>
    <w:p>
      <w:pPr>
        <w:widowControl/>
        <w:shd w:val="clear" w:color="auto" w:fill="auto"/>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（1）在货物采购项目中，货物由中小企业制造，即货物由中小企业生产且使用该中小企业商号或者注册商标；</w:t>
      </w:r>
    </w:p>
    <w:p>
      <w:pPr>
        <w:widowControl/>
        <w:shd w:val="clear" w:color="auto" w:fill="auto"/>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（2）在工程采购项目中，工程由中小企业承建，即工程施工单位为中小企业；</w:t>
      </w:r>
    </w:p>
    <w:p>
      <w:pPr>
        <w:widowControl/>
        <w:shd w:val="clear" w:color="auto" w:fill="auto"/>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（3）在服务采购项目中，服务由中小企业承接，即提供服务的人员为中小企业依照《中华人民共和国劳动合同法》订立劳动合同的从业人员。</w:t>
      </w:r>
    </w:p>
    <w:p>
      <w:pPr>
        <w:widowControl/>
        <w:shd w:val="clear" w:color="auto" w:fill="auto"/>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在货物采购项目中，投标人提供的货物既有中小企业制造货物，也有大型企业制造货物的，不享受中小企业扶持政策。</w:t>
      </w:r>
    </w:p>
    <w:p>
      <w:pPr>
        <w:widowControl/>
        <w:shd w:val="clear" w:color="auto" w:fill="auto"/>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以联合体形式参加政府采购活动，联合体各方均为中小企业的，联合体视同中小企业。其中，联合体各方均为小微企业的，联合体视同小微企业。</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3.3.3对于未预留份额专门面向中小企业的政府采购货物或服务项目，以及预留份额政府采购货物或服务项目中的非预留部分采购包，对小型和微型企业的投标报价给予10 %的扣除，用扣除后的价格参与评审。对于专门面向中小企业的政府采购货物或服务项目，对小型和微型企业的投标报价给予0%的扣除，用扣除后的价格参与评审。</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3.3.4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3.3.5符合《关于促进残疾人就业政府采购政策的通知》（财库〔2017〕141号）规定的条件并提供《残疾人福利性单位声明函》（附件1）的残疾人福利性单位视同小型、微型企业；</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3.3.7可享受</w:t>
      </w:r>
      <w:r>
        <w:rPr>
          <w:rFonts w:hint="eastAsia" w:ascii="宋体" w:hAnsi="宋体" w:cs="宋体"/>
          <w:color w:val="000000"/>
          <w:kern w:val="0"/>
          <w:sz w:val="24"/>
          <w:highlight w:val="none"/>
        </w:rPr>
        <w:t>中小企业扶持政策</w:t>
      </w:r>
      <w:r>
        <w:rPr>
          <w:rFonts w:hint="eastAsia" w:ascii="宋体" w:hAnsi="宋体" w:cs="宋体"/>
          <w:color w:val="000000"/>
          <w:sz w:val="24"/>
          <w:highlight w:val="none"/>
        </w:rPr>
        <w:t>的投标人应按照招标文件格式要求提供《中小企业声明函》。</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3.3.8中小企业享受扶持政策获得政府采购合同的，小微企业不得将合同分包给大中型企业，中型企业不得将合同分包给大型企业。</w:t>
      </w:r>
    </w:p>
    <w:p>
      <w:pPr>
        <w:shd w:val="clear" w:color="auto" w:fill="auto"/>
        <w:spacing w:line="360" w:lineRule="auto"/>
        <w:ind w:firstLine="241" w:firstLineChars="100"/>
        <w:rPr>
          <w:rFonts w:hint="eastAsia" w:ascii="宋体" w:hAnsi="宋体" w:cs="宋体"/>
          <w:b/>
          <w:color w:val="000000"/>
          <w:sz w:val="24"/>
          <w:highlight w:val="none"/>
        </w:rPr>
      </w:pPr>
      <w:r>
        <w:rPr>
          <w:rFonts w:hint="eastAsia" w:ascii="宋体" w:hAnsi="宋体" w:cs="宋体"/>
          <w:b/>
          <w:color w:val="000000"/>
          <w:sz w:val="24"/>
          <w:highlight w:val="none"/>
        </w:rPr>
        <w:t>4. 询问、质疑、投诉</w:t>
      </w:r>
    </w:p>
    <w:p>
      <w:pPr>
        <w:shd w:val="clear" w:color="auto" w:fill="auto"/>
        <w:autoSpaceDE w:val="0"/>
        <w:autoSpaceDN w:val="0"/>
        <w:spacing w:line="360" w:lineRule="auto"/>
        <w:ind w:firstLine="240" w:firstLineChars="100"/>
        <w:jc w:val="left"/>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4.1供应商询问</w:t>
      </w:r>
    </w:p>
    <w:p>
      <w:pPr>
        <w:pStyle w:val="32"/>
        <w:shd w:val="clear" w:color="auto" w:fill="auto"/>
        <w:spacing w:line="360" w:lineRule="auto"/>
        <w:ind w:right="-512" w:firstLine="480" w:firstLineChars="200"/>
        <w:rPr>
          <w:rFonts w:hint="eastAsia" w:hAnsi="宋体" w:cs="宋体"/>
          <w:color w:val="000000"/>
          <w:sz w:val="24"/>
          <w:highlight w:val="none"/>
        </w:rPr>
      </w:pPr>
      <w:r>
        <w:rPr>
          <w:rFonts w:hint="eastAsia" w:hAnsi="宋体" w:cs="宋体"/>
          <w:color w:val="000000"/>
          <w:sz w:val="24"/>
          <w:highlight w:val="none"/>
        </w:rPr>
        <w:t>供应商可以就采购文件中特定资格条件、采购需求、评分办法及采购过程中有关现场考察或开标前答疑会事项向采购人提出询问，采购人将对此作出答复；供应商可以就采购活动     中的其它事项向采购机构提出询问，采购机构将对此作出答复。答复的内容不得涉及商业秘密。</w:t>
      </w:r>
    </w:p>
    <w:p>
      <w:pPr>
        <w:shd w:val="clear" w:color="auto" w:fill="auto"/>
        <w:autoSpaceDE w:val="0"/>
        <w:autoSpaceDN w:val="0"/>
        <w:spacing w:line="360" w:lineRule="auto"/>
        <w:ind w:firstLine="240" w:firstLineChars="100"/>
        <w:jc w:val="left"/>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4.2供应商质疑</w:t>
      </w:r>
    </w:p>
    <w:p>
      <w:pPr>
        <w:pStyle w:val="32"/>
        <w:shd w:val="clear" w:color="auto" w:fill="auto"/>
        <w:spacing w:line="360" w:lineRule="auto"/>
        <w:ind w:right="-512" w:firstLine="480" w:firstLineChars="200"/>
        <w:rPr>
          <w:rFonts w:hint="eastAsia" w:hAnsi="宋体" w:cs="宋体"/>
          <w:color w:val="000000"/>
          <w:sz w:val="24"/>
          <w:highlight w:val="none"/>
        </w:rPr>
      </w:pPr>
      <w:r>
        <w:rPr>
          <w:rFonts w:hint="eastAsia" w:hAnsi="宋体" w:cs="宋体"/>
          <w:color w:val="000000"/>
          <w:kern w:val="0"/>
          <w:sz w:val="24"/>
          <w:highlight w:val="none"/>
          <w:lang w:val="zh-CN"/>
        </w:rPr>
        <w:t>4.2</w:t>
      </w:r>
      <w:r>
        <w:rPr>
          <w:rFonts w:hint="eastAsia" w:hAnsi="宋体" w:cs="宋体"/>
          <w:color w:val="000000"/>
          <w:sz w:val="24"/>
          <w:highlight w:val="none"/>
        </w:rPr>
        <w:t>.1提出质疑的供应商应当是参与所质疑项目采购活动的供应商。潜在供应商已依法获取其可质疑的采购文件的，可以对该文件提出质疑。</w:t>
      </w:r>
    </w:p>
    <w:p>
      <w:pPr>
        <w:pStyle w:val="32"/>
        <w:shd w:val="clear" w:color="auto" w:fill="auto"/>
        <w:spacing w:line="360" w:lineRule="auto"/>
        <w:ind w:right="-512" w:firstLine="480" w:firstLineChars="200"/>
        <w:rPr>
          <w:rFonts w:hint="eastAsia" w:hAnsi="宋体" w:cs="宋体"/>
          <w:color w:val="000000"/>
          <w:sz w:val="24"/>
          <w:highlight w:val="none"/>
        </w:rPr>
      </w:pPr>
      <w:r>
        <w:rPr>
          <w:rFonts w:hint="eastAsia" w:hAnsi="宋体" w:cs="宋体"/>
          <w:color w:val="000000"/>
          <w:kern w:val="0"/>
          <w:sz w:val="24"/>
          <w:highlight w:val="none"/>
          <w:lang w:val="zh-CN"/>
        </w:rPr>
        <w:t>4.2</w:t>
      </w:r>
      <w:r>
        <w:rPr>
          <w:rFonts w:hint="eastAsia" w:hAnsi="宋体" w:cs="宋体"/>
          <w:color w:val="000000"/>
          <w:sz w:val="24"/>
          <w:highlight w:val="none"/>
        </w:rPr>
        <w:t>.2供应商认为采购文件、采购过程和成交结果使自己的权益受到损害的，可以在知道或者应知其权益受到损害之日起七个工作日内，以书面形式向采购人或者采购机构提出质疑，否则，采购人或者采购机构不予受理：</w:t>
      </w:r>
    </w:p>
    <w:p>
      <w:pPr>
        <w:pStyle w:val="16"/>
        <w:shd w:val="clear" w:color="auto" w:fill="auto"/>
        <w:spacing w:line="360" w:lineRule="auto"/>
        <w:ind w:firstLine="434" w:firstLineChars="181"/>
        <w:rPr>
          <w:rFonts w:hint="eastAsia" w:hAnsi="宋体" w:cs="宋体"/>
          <w:snapToGrid/>
          <w:color w:val="000000"/>
          <w:kern w:val="2"/>
          <w:sz w:val="24"/>
          <w:highlight w:val="none"/>
        </w:rPr>
      </w:pPr>
      <w:r>
        <w:rPr>
          <w:rFonts w:hint="eastAsia" w:hAnsi="宋体" w:cs="宋体"/>
          <w:snapToGrid/>
          <w:color w:val="000000"/>
          <w:kern w:val="2"/>
          <w:sz w:val="24"/>
          <w:highlight w:val="none"/>
        </w:rPr>
        <w:t>（1）对采购文件提出质疑的，质疑期限为供应商获得采购文件之日或者采购文件公告期限届满之日起计算。采购文件在获取截止之日后获得的，应当自采购文件公告期限届满之日起计算，且应当在采购响应截止时间之前提出。对采购文件中特定资格条件、采购需求、评分办法提出的质疑，由采购人负责答复；对采购文件中其他内容提出的质疑，由采购机构负责答复。</w:t>
      </w:r>
    </w:p>
    <w:p>
      <w:pPr>
        <w:pStyle w:val="32"/>
        <w:shd w:val="clear" w:color="auto" w:fill="auto"/>
        <w:spacing w:line="360" w:lineRule="auto"/>
        <w:ind w:right="-512" w:firstLine="480" w:firstLineChars="200"/>
        <w:rPr>
          <w:rFonts w:hint="eastAsia" w:hAnsi="宋体" w:cs="宋体"/>
          <w:color w:val="000000"/>
          <w:sz w:val="24"/>
          <w:highlight w:val="none"/>
        </w:rPr>
      </w:pPr>
      <w:r>
        <w:rPr>
          <w:rFonts w:hint="eastAsia" w:hAnsi="宋体" w:cs="宋体"/>
          <w:color w:val="000000"/>
          <w:sz w:val="24"/>
          <w:highlight w:val="none"/>
        </w:rPr>
        <w:t>（2）对采购过程提出质疑的，质疑期限为各采购程序环节结束之日起计算。对同一采购程序环节的质疑，供应商须一次性提出。对采购过程中有关现场考察或开标前答疑会事项提出的质疑，由采购人负责答复；对采购过程中其它事项提出的质疑，由采购机构负责答复。</w:t>
      </w:r>
    </w:p>
    <w:p>
      <w:pPr>
        <w:pStyle w:val="32"/>
        <w:shd w:val="clear" w:color="auto" w:fill="auto"/>
        <w:spacing w:line="360" w:lineRule="auto"/>
        <w:ind w:right="-512" w:firstLine="480" w:firstLineChars="200"/>
        <w:rPr>
          <w:rFonts w:hint="eastAsia" w:hAnsi="宋体" w:cs="宋体"/>
          <w:color w:val="000000"/>
          <w:sz w:val="24"/>
          <w:highlight w:val="none"/>
        </w:rPr>
      </w:pPr>
      <w:r>
        <w:rPr>
          <w:rFonts w:hint="eastAsia" w:hAnsi="宋体" w:cs="宋体"/>
          <w:color w:val="000000"/>
          <w:sz w:val="24"/>
          <w:highlight w:val="none"/>
        </w:rPr>
        <w:t>（3）对采购结果提出质疑的，质疑期限自采购结果公告期限届满之日起计算。对采购结果提出质疑的，采购人或采购机构负责答复。（详见前附表相关规定）</w:t>
      </w:r>
    </w:p>
    <w:p>
      <w:pPr>
        <w:pStyle w:val="32"/>
        <w:shd w:val="clear" w:color="auto" w:fill="auto"/>
        <w:snapToGrid w:val="0"/>
        <w:spacing w:line="360" w:lineRule="auto"/>
        <w:ind w:right="-512" w:firstLine="240" w:firstLineChars="100"/>
        <w:contextualSpacing/>
        <w:rPr>
          <w:rFonts w:hint="eastAsia" w:hAnsi="宋体" w:cs="宋体"/>
          <w:color w:val="000000"/>
          <w:sz w:val="24"/>
          <w:highlight w:val="none"/>
        </w:rPr>
      </w:pPr>
      <w:r>
        <w:rPr>
          <w:rFonts w:hint="eastAsia" w:hAnsi="宋体" w:cs="宋体"/>
          <w:color w:val="000000"/>
          <w:kern w:val="0"/>
          <w:sz w:val="24"/>
          <w:highlight w:val="none"/>
          <w:lang w:val="zh-CN"/>
        </w:rPr>
        <w:t>4.2.3</w:t>
      </w:r>
      <w:r>
        <w:rPr>
          <w:rFonts w:hint="eastAsia" w:hAnsi="宋体" w:cs="宋体"/>
          <w:color w:val="000000"/>
          <w:sz w:val="24"/>
          <w:highlight w:val="none"/>
        </w:rPr>
        <w:t>供应商提出质疑应当提交质疑函和必要的证明材料。质疑函应当包括下列内容：</w:t>
      </w:r>
    </w:p>
    <w:p>
      <w:pPr>
        <w:pStyle w:val="554"/>
        <w:shd w:val="clear" w:color="auto" w:fill="auto"/>
        <w:snapToGrid w:val="0"/>
        <w:spacing w:after="240" w:afterAutospacing="0" w:line="360" w:lineRule="auto"/>
        <w:contextualSpacing/>
        <w:rPr>
          <w:rFonts w:hint="eastAsia"/>
          <w:snapToGrid w:val="0"/>
          <w:color w:val="000000"/>
          <w:kern w:val="2"/>
          <w:szCs w:val="21"/>
          <w:highlight w:val="none"/>
        </w:rPr>
      </w:pPr>
      <w:r>
        <w:rPr>
          <w:rFonts w:hint="eastAsia"/>
          <w:snapToGrid w:val="0"/>
          <w:color w:val="000000"/>
          <w:kern w:val="2"/>
          <w:szCs w:val="21"/>
          <w:highlight w:val="none"/>
        </w:rPr>
        <w:t>　　</w:t>
      </w:r>
      <w:r>
        <w:rPr>
          <w:rFonts w:hint="eastAsia"/>
          <w:color w:val="000000"/>
          <w:highlight w:val="none"/>
          <w:lang w:val="zh-CN"/>
        </w:rPr>
        <w:t>4.2.3.1</w:t>
      </w:r>
      <w:r>
        <w:rPr>
          <w:rFonts w:hint="eastAsia"/>
          <w:snapToGrid w:val="0"/>
          <w:color w:val="000000"/>
          <w:kern w:val="2"/>
          <w:szCs w:val="21"/>
          <w:highlight w:val="none"/>
        </w:rPr>
        <w:t>供应商的姓名或者名称、地址、邮编、联系人及联系电话；</w:t>
      </w:r>
    </w:p>
    <w:p>
      <w:pPr>
        <w:pStyle w:val="554"/>
        <w:shd w:val="clear" w:color="auto" w:fill="auto"/>
        <w:snapToGrid w:val="0"/>
        <w:spacing w:after="240" w:afterAutospacing="0" w:line="360" w:lineRule="auto"/>
        <w:contextualSpacing/>
        <w:rPr>
          <w:rFonts w:hint="eastAsia"/>
          <w:snapToGrid w:val="0"/>
          <w:color w:val="000000"/>
          <w:kern w:val="2"/>
          <w:szCs w:val="21"/>
          <w:highlight w:val="none"/>
        </w:rPr>
      </w:pPr>
      <w:r>
        <w:rPr>
          <w:rFonts w:hint="eastAsia"/>
          <w:snapToGrid w:val="0"/>
          <w:color w:val="000000"/>
          <w:kern w:val="2"/>
          <w:szCs w:val="21"/>
          <w:highlight w:val="none"/>
        </w:rPr>
        <w:t>　　</w:t>
      </w:r>
      <w:r>
        <w:rPr>
          <w:rFonts w:hint="eastAsia"/>
          <w:color w:val="000000"/>
          <w:highlight w:val="none"/>
          <w:lang w:val="zh-CN"/>
        </w:rPr>
        <w:t>4.2.3.2</w:t>
      </w:r>
      <w:r>
        <w:rPr>
          <w:rFonts w:hint="eastAsia"/>
          <w:snapToGrid w:val="0"/>
          <w:color w:val="000000"/>
          <w:kern w:val="2"/>
          <w:szCs w:val="21"/>
          <w:highlight w:val="none"/>
        </w:rPr>
        <w:t>质疑项目的名称、编号；</w:t>
      </w:r>
    </w:p>
    <w:p>
      <w:pPr>
        <w:pStyle w:val="554"/>
        <w:shd w:val="clear" w:color="auto" w:fill="auto"/>
        <w:snapToGrid w:val="0"/>
        <w:spacing w:after="240" w:afterAutospacing="0" w:line="360" w:lineRule="auto"/>
        <w:contextualSpacing/>
        <w:rPr>
          <w:rFonts w:hint="eastAsia"/>
          <w:snapToGrid w:val="0"/>
          <w:color w:val="000000"/>
          <w:kern w:val="2"/>
          <w:szCs w:val="21"/>
          <w:highlight w:val="none"/>
        </w:rPr>
      </w:pPr>
      <w:r>
        <w:rPr>
          <w:rFonts w:hint="eastAsia"/>
          <w:snapToGrid w:val="0"/>
          <w:color w:val="000000"/>
          <w:kern w:val="2"/>
          <w:szCs w:val="21"/>
          <w:highlight w:val="none"/>
        </w:rPr>
        <w:t>　　</w:t>
      </w:r>
      <w:r>
        <w:rPr>
          <w:rFonts w:hint="eastAsia"/>
          <w:color w:val="000000"/>
          <w:highlight w:val="none"/>
          <w:lang w:val="zh-CN"/>
        </w:rPr>
        <w:t>4.2.3.3</w:t>
      </w:r>
      <w:r>
        <w:rPr>
          <w:rFonts w:hint="eastAsia"/>
          <w:snapToGrid w:val="0"/>
          <w:color w:val="000000"/>
          <w:kern w:val="2"/>
          <w:szCs w:val="21"/>
          <w:highlight w:val="none"/>
        </w:rPr>
        <w:t>具体、明确的质疑事项和与质疑事项相关的请求；</w:t>
      </w:r>
    </w:p>
    <w:p>
      <w:pPr>
        <w:pStyle w:val="554"/>
        <w:shd w:val="clear" w:color="auto" w:fill="auto"/>
        <w:snapToGrid w:val="0"/>
        <w:spacing w:after="240" w:afterAutospacing="0" w:line="360" w:lineRule="auto"/>
        <w:contextualSpacing/>
        <w:rPr>
          <w:rFonts w:hint="eastAsia"/>
          <w:snapToGrid w:val="0"/>
          <w:color w:val="000000"/>
          <w:kern w:val="2"/>
          <w:szCs w:val="21"/>
          <w:highlight w:val="none"/>
        </w:rPr>
      </w:pPr>
      <w:r>
        <w:rPr>
          <w:rFonts w:hint="eastAsia"/>
          <w:snapToGrid w:val="0"/>
          <w:color w:val="000000"/>
          <w:kern w:val="2"/>
          <w:szCs w:val="21"/>
          <w:highlight w:val="none"/>
        </w:rPr>
        <w:t>　　</w:t>
      </w:r>
      <w:r>
        <w:rPr>
          <w:rFonts w:hint="eastAsia"/>
          <w:color w:val="000000"/>
          <w:highlight w:val="none"/>
          <w:lang w:val="zh-CN"/>
        </w:rPr>
        <w:t>4.2.3.4</w:t>
      </w:r>
      <w:r>
        <w:rPr>
          <w:rFonts w:hint="eastAsia"/>
          <w:snapToGrid w:val="0"/>
          <w:color w:val="000000"/>
          <w:kern w:val="2"/>
          <w:szCs w:val="21"/>
          <w:highlight w:val="none"/>
        </w:rPr>
        <w:t>事实依据；</w:t>
      </w:r>
    </w:p>
    <w:p>
      <w:pPr>
        <w:pStyle w:val="554"/>
        <w:shd w:val="clear" w:color="auto" w:fill="auto"/>
        <w:snapToGrid w:val="0"/>
        <w:spacing w:after="240" w:afterAutospacing="0" w:line="360" w:lineRule="auto"/>
        <w:contextualSpacing/>
        <w:rPr>
          <w:rFonts w:hint="eastAsia"/>
          <w:snapToGrid w:val="0"/>
          <w:color w:val="000000"/>
          <w:kern w:val="2"/>
          <w:szCs w:val="21"/>
          <w:highlight w:val="none"/>
        </w:rPr>
      </w:pPr>
      <w:r>
        <w:rPr>
          <w:rFonts w:hint="eastAsia"/>
          <w:snapToGrid w:val="0"/>
          <w:color w:val="000000"/>
          <w:kern w:val="2"/>
          <w:szCs w:val="21"/>
          <w:highlight w:val="none"/>
        </w:rPr>
        <w:t>　　</w:t>
      </w:r>
      <w:r>
        <w:rPr>
          <w:rFonts w:hint="eastAsia"/>
          <w:color w:val="000000"/>
          <w:highlight w:val="none"/>
          <w:lang w:val="zh-CN"/>
        </w:rPr>
        <w:t>4.2.3.5</w:t>
      </w:r>
      <w:r>
        <w:rPr>
          <w:rFonts w:hint="eastAsia"/>
          <w:snapToGrid w:val="0"/>
          <w:color w:val="000000"/>
          <w:kern w:val="2"/>
          <w:szCs w:val="21"/>
          <w:highlight w:val="none"/>
        </w:rPr>
        <w:t>必要的法律依据；</w:t>
      </w:r>
    </w:p>
    <w:p>
      <w:pPr>
        <w:pStyle w:val="554"/>
        <w:shd w:val="clear" w:color="auto" w:fill="auto"/>
        <w:snapToGrid w:val="0"/>
        <w:spacing w:after="240" w:afterAutospacing="0" w:line="360" w:lineRule="auto"/>
        <w:ind w:firstLine="480"/>
        <w:contextualSpacing/>
        <w:rPr>
          <w:rFonts w:hint="eastAsia"/>
          <w:snapToGrid w:val="0"/>
          <w:color w:val="000000"/>
          <w:kern w:val="2"/>
          <w:szCs w:val="21"/>
          <w:highlight w:val="none"/>
        </w:rPr>
      </w:pPr>
      <w:r>
        <w:rPr>
          <w:rFonts w:hint="eastAsia"/>
          <w:color w:val="000000"/>
          <w:highlight w:val="none"/>
          <w:lang w:val="zh-CN"/>
        </w:rPr>
        <w:t>4.2.3.6</w:t>
      </w:r>
      <w:r>
        <w:rPr>
          <w:rFonts w:hint="eastAsia"/>
          <w:snapToGrid w:val="0"/>
          <w:color w:val="000000"/>
          <w:kern w:val="2"/>
          <w:szCs w:val="21"/>
          <w:highlight w:val="none"/>
        </w:rPr>
        <w:t>提出质疑的日期。</w:t>
      </w:r>
    </w:p>
    <w:p>
      <w:pPr>
        <w:pStyle w:val="554"/>
        <w:shd w:val="clear" w:color="auto" w:fill="auto"/>
        <w:snapToGrid w:val="0"/>
        <w:spacing w:after="240" w:afterAutospacing="0" w:line="360" w:lineRule="auto"/>
        <w:ind w:firstLine="480"/>
        <w:contextualSpacing/>
        <w:rPr>
          <w:rFonts w:hint="eastAsia"/>
          <w:color w:val="000000"/>
          <w:highlight w:val="none"/>
        </w:rPr>
      </w:pPr>
      <w:r>
        <w:rPr>
          <w:rFonts w:hint="eastAsia"/>
          <w:color w:val="000000"/>
          <w:highlight w:val="none"/>
        </w:rPr>
        <w:t>供应商提交的质疑函需一式三份。供应商为自然人的，应当由本人签字；供应商为法人或者其他组织的，应当由法定代表人、主要负责人，或者其授权代表签字或者盖章，并加盖公章。</w:t>
      </w:r>
    </w:p>
    <w:p>
      <w:pPr>
        <w:pStyle w:val="554"/>
        <w:shd w:val="clear" w:color="auto" w:fill="auto"/>
        <w:snapToGrid w:val="0"/>
        <w:spacing w:after="240" w:afterAutospacing="0" w:line="360" w:lineRule="auto"/>
        <w:ind w:firstLine="480"/>
        <w:contextualSpacing/>
        <w:rPr>
          <w:rFonts w:hint="eastAsia"/>
          <w:color w:val="000000"/>
          <w:highlight w:val="none"/>
        </w:rPr>
      </w:pPr>
      <w:r>
        <w:rPr>
          <w:rFonts w:hint="eastAsia"/>
          <w:color w:val="000000"/>
          <w:highlight w:val="none"/>
        </w:rPr>
        <w:t>质疑函范本及制作说明详见附件2。</w:t>
      </w:r>
    </w:p>
    <w:p>
      <w:pPr>
        <w:pStyle w:val="554"/>
        <w:shd w:val="clear" w:color="auto" w:fill="auto"/>
        <w:snapToGrid w:val="0"/>
        <w:spacing w:after="240" w:afterAutospacing="0" w:line="360" w:lineRule="auto"/>
        <w:ind w:firstLine="480"/>
        <w:contextualSpacing/>
        <w:rPr>
          <w:rFonts w:hint="eastAsia"/>
          <w:color w:val="000000"/>
          <w:highlight w:val="none"/>
        </w:rPr>
      </w:pPr>
      <w:r>
        <w:rPr>
          <w:rFonts w:hint="eastAsia"/>
          <w:color w:val="000000"/>
          <w:highlight w:val="none"/>
          <w:lang w:val="zh-CN"/>
        </w:rPr>
        <w:t>4.2</w:t>
      </w:r>
      <w:r>
        <w:rPr>
          <w:rFonts w:hint="eastAsia"/>
          <w:color w:val="000000"/>
          <w:highlight w:val="none"/>
        </w:rPr>
        <w:t>.4采购人或者采购机构应当在收到供应商的书面质疑后七个工作日内作出答复，并以书面形式通知质疑供应商和其他与质疑处理结果有利害关系的政府采购当事人，但答复的内容不得涉及商业秘密。</w:t>
      </w:r>
    </w:p>
    <w:p>
      <w:pPr>
        <w:pStyle w:val="554"/>
        <w:shd w:val="clear" w:color="auto" w:fill="auto"/>
        <w:snapToGrid w:val="0"/>
        <w:spacing w:after="240" w:afterAutospacing="0" w:line="360" w:lineRule="auto"/>
        <w:ind w:firstLine="480"/>
        <w:contextualSpacing/>
        <w:rPr>
          <w:rFonts w:hint="eastAsia"/>
          <w:color w:val="000000"/>
          <w:highlight w:val="none"/>
        </w:rPr>
      </w:pPr>
      <w:r>
        <w:rPr>
          <w:rFonts w:hint="eastAsia"/>
          <w:color w:val="000000"/>
          <w:highlight w:val="none"/>
          <w:lang w:val="zh-CN"/>
        </w:rPr>
        <w:t>4.2</w:t>
      </w:r>
      <w:r>
        <w:rPr>
          <w:rFonts w:hint="eastAsia"/>
          <w:color w:val="000000"/>
          <w:highlight w:val="none"/>
        </w:rPr>
        <w:t>.5询问或者质疑事项可能影响采购结果的，采购人应当暂停签订合同，已经签订合同的，应当中止履行合同。</w:t>
      </w:r>
    </w:p>
    <w:p>
      <w:pPr>
        <w:pStyle w:val="554"/>
        <w:shd w:val="clear" w:color="auto" w:fill="auto"/>
        <w:snapToGrid w:val="0"/>
        <w:spacing w:after="240" w:afterAutospacing="0" w:line="360" w:lineRule="auto"/>
        <w:ind w:firstLine="480"/>
        <w:contextualSpacing/>
        <w:rPr>
          <w:rFonts w:hint="eastAsia"/>
          <w:color w:val="000000"/>
          <w:kern w:val="2"/>
          <w:highlight w:val="none"/>
        </w:rPr>
      </w:pPr>
      <w:r>
        <w:rPr>
          <w:rFonts w:hint="eastAsia"/>
          <w:color w:val="000000"/>
          <w:kern w:val="2"/>
          <w:highlight w:val="none"/>
        </w:rPr>
        <w:t>4.2.6质疑接收人：详见前附表</w:t>
      </w:r>
    </w:p>
    <w:p>
      <w:pPr>
        <w:pStyle w:val="554"/>
        <w:shd w:val="clear" w:color="auto" w:fill="auto"/>
        <w:snapToGrid w:val="0"/>
        <w:spacing w:after="240" w:afterAutospacing="0" w:line="360" w:lineRule="auto"/>
        <w:ind w:firstLine="480"/>
        <w:contextualSpacing/>
        <w:rPr>
          <w:rFonts w:hint="eastAsia"/>
          <w:color w:val="000000"/>
          <w:highlight w:val="none"/>
          <w:lang w:val="zh-CN"/>
        </w:rPr>
      </w:pPr>
      <w:r>
        <w:rPr>
          <w:rFonts w:hint="eastAsia"/>
          <w:color w:val="000000"/>
          <w:highlight w:val="none"/>
          <w:lang w:val="zh-CN"/>
        </w:rPr>
        <w:t>4.3供应商投诉</w:t>
      </w:r>
    </w:p>
    <w:p>
      <w:pPr>
        <w:pStyle w:val="554"/>
        <w:shd w:val="clear" w:color="auto" w:fill="auto"/>
        <w:snapToGrid w:val="0"/>
        <w:spacing w:after="240" w:afterAutospacing="0" w:line="360" w:lineRule="auto"/>
        <w:ind w:firstLine="480"/>
        <w:contextualSpacing/>
        <w:rPr>
          <w:rFonts w:hint="eastAsia"/>
          <w:color w:val="000000"/>
          <w:highlight w:val="none"/>
        </w:rPr>
      </w:pPr>
      <w:r>
        <w:rPr>
          <w:rFonts w:hint="eastAsia"/>
          <w:color w:val="000000"/>
          <w:highlight w:val="none"/>
        </w:rPr>
        <w:t>4.3.1质疑供应商对采购人、采购机构的答复不满意或者采购人、采购机构未在规定的时间内作出答复的，可以在答复期满后十五个工作日内向同级政府采购监督管理部门提出投诉。</w:t>
      </w:r>
    </w:p>
    <w:p>
      <w:pPr>
        <w:pStyle w:val="554"/>
        <w:shd w:val="clear" w:color="auto" w:fill="auto"/>
        <w:snapToGrid w:val="0"/>
        <w:spacing w:after="240" w:afterAutospacing="0" w:line="360" w:lineRule="auto"/>
        <w:ind w:firstLine="480"/>
        <w:contextualSpacing/>
        <w:rPr>
          <w:rFonts w:hint="eastAsia"/>
          <w:color w:val="000000"/>
          <w:highlight w:val="none"/>
        </w:rPr>
      </w:pPr>
      <w:r>
        <w:rPr>
          <w:rFonts w:hint="eastAsia"/>
          <w:color w:val="000000"/>
          <w:highlight w:val="none"/>
        </w:rPr>
        <w:t>4.3.</w:t>
      </w:r>
      <w:r>
        <w:rPr>
          <w:rFonts w:hint="eastAsia"/>
          <w:color w:val="000000"/>
          <w:highlight w:val="none"/>
          <w:lang w:val="zh-CN"/>
        </w:rPr>
        <w:t>2</w:t>
      </w:r>
      <w:r>
        <w:rPr>
          <w:rFonts w:hint="eastAsia"/>
          <w:color w:val="000000"/>
          <w:highlight w:val="none"/>
        </w:rPr>
        <w:t>供应商投诉的事项不得超出已质疑事项的范围，基于质疑答复内容提出的投诉事项除外。</w:t>
      </w:r>
    </w:p>
    <w:p>
      <w:pPr>
        <w:pStyle w:val="554"/>
        <w:shd w:val="clear" w:color="auto" w:fill="auto"/>
        <w:snapToGrid w:val="0"/>
        <w:spacing w:after="240" w:afterAutospacing="0" w:line="360" w:lineRule="auto"/>
        <w:ind w:firstLine="480"/>
        <w:contextualSpacing/>
        <w:rPr>
          <w:rFonts w:hint="eastAsia"/>
          <w:color w:val="000000"/>
          <w:highlight w:val="none"/>
        </w:rPr>
      </w:pPr>
      <w:r>
        <w:rPr>
          <w:rFonts w:hint="eastAsia"/>
          <w:color w:val="000000"/>
          <w:highlight w:val="none"/>
        </w:rPr>
        <w:t>4.3.3供应商投诉应当有明确的请求和必要的证明材料。</w:t>
      </w:r>
    </w:p>
    <w:p>
      <w:pPr>
        <w:pStyle w:val="554"/>
        <w:shd w:val="clear" w:color="auto" w:fill="auto"/>
        <w:snapToGrid w:val="0"/>
        <w:spacing w:after="240" w:afterAutospacing="0" w:line="360" w:lineRule="auto"/>
        <w:ind w:firstLine="480"/>
        <w:contextualSpacing/>
        <w:rPr>
          <w:rFonts w:hint="eastAsia"/>
          <w:color w:val="000000"/>
          <w:highlight w:val="none"/>
        </w:rPr>
      </w:pPr>
      <w:r>
        <w:rPr>
          <w:rFonts w:hint="eastAsia"/>
          <w:color w:val="000000"/>
          <w:highlight w:val="none"/>
        </w:rPr>
        <w:t>4.3.5 以联合体形式参加政府采购活动的，其投诉应当由组成联合体的所有供应商共同提出。</w:t>
      </w:r>
    </w:p>
    <w:p>
      <w:pPr>
        <w:pStyle w:val="554"/>
        <w:shd w:val="clear" w:color="auto" w:fill="auto"/>
        <w:snapToGrid w:val="0"/>
        <w:spacing w:after="240" w:afterAutospacing="0" w:line="360" w:lineRule="auto"/>
        <w:ind w:firstLine="480"/>
        <w:contextualSpacing/>
        <w:rPr>
          <w:rFonts w:hint="eastAsia"/>
          <w:color w:val="000000"/>
          <w:highlight w:val="none"/>
        </w:rPr>
      </w:pPr>
      <w:r>
        <w:rPr>
          <w:rFonts w:hint="eastAsia"/>
          <w:color w:val="000000"/>
          <w:highlight w:val="none"/>
        </w:rPr>
        <w:t>投诉书范本及制作说明详见附件3。</w:t>
      </w:r>
    </w:p>
    <w:p>
      <w:pPr>
        <w:pStyle w:val="196"/>
        <w:shd w:val="clear" w:color="auto" w:fill="auto"/>
        <w:snapToGrid w:val="0"/>
        <w:spacing w:before="0"/>
        <w:ind w:firstLine="360"/>
        <w:rPr>
          <w:rFonts w:hint="eastAsia" w:ascii="宋体" w:hAnsi="宋体" w:cs="宋体"/>
          <w:color w:val="000000"/>
          <w:sz w:val="18"/>
          <w:szCs w:val="18"/>
          <w:highlight w:val="none"/>
        </w:rPr>
      </w:pPr>
    </w:p>
    <w:p>
      <w:pPr>
        <w:shd w:val="clear" w:color="auto" w:fill="auto"/>
        <w:adjustRightInd/>
        <w:spacing w:line="360" w:lineRule="auto"/>
        <w:jc w:val="center"/>
        <w:outlineLvl w:val="0"/>
        <w:rPr>
          <w:rFonts w:hint="eastAsia" w:ascii="宋体" w:hAnsi="宋体" w:cs="宋体"/>
          <w:b/>
          <w:color w:val="000000"/>
          <w:sz w:val="32"/>
          <w:szCs w:val="20"/>
          <w:highlight w:val="none"/>
        </w:rPr>
      </w:pPr>
      <w:bookmarkStart w:id="40" w:name="_Hlt74729768"/>
      <w:bookmarkEnd w:id="40"/>
      <w:bookmarkStart w:id="41" w:name="_Hlt74714665"/>
      <w:bookmarkEnd w:id="41"/>
      <w:bookmarkStart w:id="42" w:name="_Hlt68072990"/>
      <w:bookmarkEnd w:id="42"/>
      <w:bookmarkStart w:id="43" w:name="_Hlt74707468"/>
      <w:bookmarkEnd w:id="43"/>
      <w:bookmarkStart w:id="44" w:name="_Hlt68057669"/>
      <w:bookmarkEnd w:id="44"/>
      <w:bookmarkStart w:id="45" w:name="_Hlt75236290"/>
      <w:bookmarkEnd w:id="45"/>
      <w:bookmarkStart w:id="46" w:name="_Hlt74730295"/>
      <w:bookmarkEnd w:id="46"/>
      <w:bookmarkStart w:id="47" w:name="_Toc91899879"/>
      <w:r>
        <w:rPr>
          <w:rFonts w:hint="eastAsia" w:ascii="宋体" w:hAnsi="宋体" w:cs="宋体"/>
          <w:b/>
          <w:color w:val="000000"/>
          <w:sz w:val="32"/>
          <w:szCs w:val="20"/>
          <w:highlight w:val="none"/>
        </w:rPr>
        <w:t>二、招标文件</w:t>
      </w:r>
      <w:bookmarkEnd w:id="47"/>
      <w:r>
        <w:rPr>
          <w:rFonts w:hint="eastAsia" w:ascii="宋体" w:hAnsi="宋体" w:cs="宋体"/>
          <w:b/>
          <w:color w:val="000000"/>
          <w:sz w:val="32"/>
          <w:szCs w:val="20"/>
          <w:highlight w:val="none"/>
        </w:rPr>
        <w:t>的构成、澄清、修改</w:t>
      </w:r>
    </w:p>
    <w:p>
      <w:pPr>
        <w:pStyle w:val="32"/>
        <w:shd w:val="clear" w:color="auto" w:fill="auto"/>
        <w:spacing w:line="360" w:lineRule="auto"/>
        <w:ind w:right="-512" w:firstLine="576"/>
        <w:rPr>
          <w:rFonts w:hint="eastAsia" w:hAnsi="宋体" w:cs="宋体"/>
          <w:b/>
          <w:color w:val="000000"/>
          <w:sz w:val="24"/>
          <w:szCs w:val="24"/>
          <w:highlight w:val="none"/>
        </w:rPr>
      </w:pPr>
      <w:bookmarkStart w:id="48" w:name="_Toc91899880"/>
      <w:bookmarkStart w:id="49" w:name="_Hlt74730307"/>
      <w:r>
        <w:rPr>
          <w:rFonts w:hint="eastAsia" w:hAnsi="宋体" w:cs="宋体"/>
          <w:b/>
          <w:color w:val="000000"/>
          <w:sz w:val="24"/>
          <w:szCs w:val="24"/>
          <w:highlight w:val="none"/>
        </w:rPr>
        <w:t>5．招标文件的构成</w:t>
      </w:r>
      <w:bookmarkEnd w:id="48"/>
    </w:p>
    <w:bookmarkEnd w:id="49"/>
    <w:p>
      <w:pPr>
        <w:pStyle w:val="32"/>
        <w:shd w:val="clear" w:color="auto" w:fill="auto"/>
        <w:spacing w:line="360" w:lineRule="auto"/>
        <w:ind w:right="-512" w:firstLine="480" w:firstLineChars="200"/>
        <w:rPr>
          <w:rFonts w:hint="eastAsia" w:hAnsi="宋体" w:cs="宋体"/>
          <w:color w:val="000000"/>
          <w:sz w:val="24"/>
          <w:szCs w:val="24"/>
          <w:highlight w:val="none"/>
        </w:rPr>
      </w:pPr>
      <w:r>
        <w:rPr>
          <w:rFonts w:hint="eastAsia" w:hAnsi="宋体" w:cs="宋体"/>
          <w:color w:val="000000"/>
          <w:sz w:val="24"/>
          <w:szCs w:val="24"/>
          <w:highlight w:val="none"/>
        </w:rPr>
        <w:t>5.1 招标文件包括下列文件及附件</w:t>
      </w:r>
    </w:p>
    <w:p>
      <w:pPr>
        <w:pStyle w:val="32"/>
        <w:numPr>
          <w:ilvl w:val="0"/>
          <w:numId w:val="4"/>
        </w:numPr>
        <w:shd w:val="clear" w:color="auto" w:fill="auto"/>
        <w:spacing w:line="360" w:lineRule="auto"/>
        <w:ind w:left="-359" w:right="-512" w:firstLine="480" w:firstLineChars="200"/>
        <w:rPr>
          <w:rFonts w:hint="eastAsia" w:hAnsi="宋体" w:cs="宋体"/>
          <w:color w:val="000000"/>
          <w:sz w:val="24"/>
          <w:szCs w:val="24"/>
          <w:highlight w:val="none"/>
        </w:rPr>
      </w:pPr>
      <w:r>
        <w:rPr>
          <w:rFonts w:hint="eastAsia" w:hAnsi="宋体" w:cs="宋体"/>
          <w:color w:val="000000"/>
          <w:sz w:val="24"/>
          <w:szCs w:val="24"/>
          <w:highlight w:val="none"/>
        </w:rPr>
        <w:t>第一部分 招标公告</w:t>
      </w:r>
    </w:p>
    <w:p>
      <w:pPr>
        <w:pStyle w:val="32"/>
        <w:numPr>
          <w:ilvl w:val="0"/>
          <w:numId w:val="4"/>
        </w:numPr>
        <w:shd w:val="clear" w:color="auto" w:fill="auto"/>
        <w:spacing w:line="360" w:lineRule="auto"/>
        <w:ind w:left="-359" w:right="-512" w:firstLine="480" w:firstLineChars="200"/>
        <w:rPr>
          <w:rFonts w:hint="eastAsia" w:hAnsi="宋体" w:cs="宋体"/>
          <w:color w:val="000000"/>
          <w:sz w:val="24"/>
          <w:szCs w:val="24"/>
          <w:highlight w:val="none"/>
        </w:rPr>
      </w:pPr>
      <w:r>
        <w:rPr>
          <w:rFonts w:hint="eastAsia" w:hAnsi="宋体" w:cs="宋体"/>
          <w:color w:val="000000"/>
          <w:sz w:val="24"/>
          <w:szCs w:val="24"/>
          <w:highlight w:val="none"/>
        </w:rPr>
        <w:t>第二部分 投标人须知</w:t>
      </w:r>
    </w:p>
    <w:p>
      <w:pPr>
        <w:pStyle w:val="32"/>
        <w:numPr>
          <w:ilvl w:val="0"/>
          <w:numId w:val="4"/>
        </w:numPr>
        <w:shd w:val="clear" w:color="auto" w:fill="auto"/>
        <w:spacing w:line="360" w:lineRule="auto"/>
        <w:ind w:left="-359" w:right="-512" w:firstLine="480" w:firstLineChars="200"/>
        <w:rPr>
          <w:rFonts w:hint="eastAsia" w:hAnsi="宋体" w:cs="宋体"/>
          <w:color w:val="000000"/>
          <w:sz w:val="24"/>
          <w:szCs w:val="24"/>
          <w:highlight w:val="none"/>
        </w:rPr>
      </w:pPr>
      <w:r>
        <w:rPr>
          <w:rFonts w:hint="eastAsia" w:hAnsi="宋体" w:cs="宋体"/>
          <w:color w:val="000000"/>
          <w:sz w:val="24"/>
          <w:szCs w:val="24"/>
          <w:highlight w:val="none"/>
        </w:rPr>
        <w:t>第三部分 采购需求</w:t>
      </w:r>
    </w:p>
    <w:p>
      <w:pPr>
        <w:pStyle w:val="32"/>
        <w:numPr>
          <w:ilvl w:val="0"/>
          <w:numId w:val="4"/>
        </w:numPr>
        <w:shd w:val="clear" w:color="auto" w:fill="auto"/>
        <w:spacing w:line="360" w:lineRule="auto"/>
        <w:ind w:left="-359" w:right="-512" w:firstLine="480" w:firstLineChars="200"/>
        <w:rPr>
          <w:rFonts w:hint="eastAsia" w:hAnsi="宋体" w:cs="宋体"/>
          <w:color w:val="000000"/>
          <w:sz w:val="24"/>
          <w:szCs w:val="24"/>
          <w:highlight w:val="none"/>
        </w:rPr>
      </w:pPr>
      <w:r>
        <w:rPr>
          <w:rFonts w:hint="eastAsia" w:hAnsi="宋体" w:cs="宋体"/>
          <w:color w:val="000000"/>
          <w:sz w:val="24"/>
          <w:szCs w:val="24"/>
          <w:highlight w:val="none"/>
        </w:rPr>
        <w:t>第四部分 评标方法及评分标准</w:t>
      </w:r>
    </w:p>
    <w:p>
      <w:pPr>
        <w:pStyle w:val="32"/>
        <w:numPr>
          <w:ilvl w:val="0"/>
          <w:numId w:val="4"/>
        </w:numPr>
        <w:shd w:val="clear" w:color="auto" w:fill="auto"/>
        <w:spacing w:line="360" w:lineRule="auto"/>
        <w:ind w:left="-359" w:right="-512" w:firstLine="480" w:firstLineChars="200"/>
        <w:rPr>
          <w:rFonts w:hint="eastAsia" w:hAnsi="宋体" w:cs="宋体"/>
          <w:color w:val="000000"/>
          <w:sz w:val="24"/>
          <w:szCs w:val="24"/>
          <w:highlight w:val="none"/>
        </w:rPr>
      </w:pPr>
      <w:r>
        <w:rPr>
          <w:rFonts w:hint="eastAsia" w:hAnsi="宋体" w:cs="宋体"/>
          <w:color w:val="000000"/>
          <w:sz w:val="24"/>
          <w:szCs w:val="24"/>
          <w:highlight w:val="none"/>
        </w:rPr>
        <w:t>第五部分 拟签订的合同文本</w:t>
      </w:r>
    </w:p>
    <w:p>
      <w:pPr>
        <w:pStyle w:val="32"/>
        <w:numPr>
          <w:ilvl w:val="0"/>
          <w:numId w:val="4"/>
        </w:numPr>
        <w:shd w:val="clear" w:color="auto" w:fill="auto"/>
        <w:spacing w:line="360" w:lineRule="auto"/>
        <w:ind w:left="-359" w:right="-512" w:firstLine="480" w:firstLineChars="200"/>
        <w:rPr>
          <w:rFonts w:hint="eastAsia" w:hAnsi="宋体" w:cs="宋体"/>
          <w:color w:val="000000"/>
          <w:sz w:val="24"/>
          <w:szCs w:val="24"/>
          <w:highlight w:val="none"/>
        </w:rPr>
      </w:pPr>
      <w:r>
        <w:rPr>
          <w:rFonts w:hint="eastAsia" w:hAnsi="宋体" w:cs="宋体"/>
          <w:color w:val="000000"/>
          <w:sz w:val="24"/>
          <w:szCs w:val="24"/>
          <w:highlight w:val="none"/>
        </w:rPr>
        <w:t>第六部分 应提交的有关格式范例</w:t>
      </w:r>
    </w:p>
    <w:p>
      <w:pPr>
        <w:shd w:val="clear" w:color="auto" w:fill="auto"/>
        <w:spacing w:line="360" w:lineRule="auto"/>
        <w:ind w:firstLine="480" w:firstLineChars="200"/>
        <w:jc w:val="left"/>
        <w:rPr>
          <w:rFonts w:hint="eastAsia" w:ascii="宋体" w:hAnsi="宋体" w:cs="宋体"/>
          <w:bCs/>
          <w:color w:val="000000"/>
          <w:sz w:val="24"/>
          <w:highlight w:val="none"/>
        </w:rPr>
      </w:pPr>
      <w:r>
        <w:rPr>
          <w:rFonts w:hint="eastAsia" w:ascii="宋体" w:hAnsi="宋体" w:cs="宋体"/>
          <w:color w:val="000000"/>
          <w:sz w:val="24"/>
          <w:highlight w:val="none"/>
        </w:rPr>
        <w:t>5.2与本项目有关的</w:t>
      </w:r>
      <w:r>
        <w:rPr>
          <w:rFonts w:hint="eastAsia" w:ascii="宋体" w:hAnsi="宋体" w:cs="宋体"/>
          <w:bCs/>
          <w:color w:val="000000"/>
          <w:sz w:val="24"/>
          <w:highlight w:val="none"/>
        </w:rPr>
        <w:t>澄清或者修改等公告、内容亦为招标文件的组成部分，投标人须自行于招标公告所在网站获取相关信息（浙江政府采购网网址http://www.zjzfcg.gov.cn）</w:t>
      </w:r>
      <w:r>
        <w:rPr>
          <w:rFonts w:hint="eastAsia" w:ascii="宋体" w:hAnsi="宋体" w:cs="宋体"/>
          <w:color w:val="000000"/>
          <w:sz w:val="24"/>
          <w:highlight w:val="none"/>
        </w:rPr>
        <w:t>。</w:t>
      </w:r>
    </w:p>
    <w:p>
      <w:pPr>
        <w:pStyle w:val="32"/>
        <w:shd w:val="clear" w:color="auto" w:fill="auto"/>
        <w:spacing w:line="360" w:lineRule="auto"/>
        <w:ind w:right="-512" w:firstLine="576"/>
        <w:rPr>
          <w:rFonts w:hint="eastAsia" w:hAnsi="宋体" w:cs="宋体"/>
          <w:b/>
          <w:color w:val="000000"/>
          <w:sz w:val="24"/>
          <w:szCs w:val="24"/>
          <w:highlight w:val="none"/>
        </w:rPr>
      </w:pPr>
      <w:r>
        <w:rPr>
          <w:rFonts w:hint="eastAsia" w:hAnsi="宋体" w:cs="宋体"/>
          <w:b/>
          <w:color w:val="000000"/>
          <w:sz w:val="24"/>
          <w:szCs w:val="24"/>
          <w:highlight w:val="none"/>
        </w:rPr>
        <w:t>6. 招标文件的澄清、修改</w:t>
      </w:r>
    </w:p>
    <w:p>
      <w:pPr>
        <w:pStyle w:val="196"/>
        <w:shd w:val="clear" w:color="auto" w:fill="auto"/>
        <w:snapToGrid w:val="0"/>
        <w:spacing w:before="0"/>
        <w:ind w:firstLine="480"/>
        <w:rPr>
          <w:rFonts w:hint="eastAsia" w:ascii="宋体" w:hAnsi="宋体" w:cs="宋体"/>
          <w:color w:val="000000"/>
          <w:highlight w:val="none"/>
        </w:rPr>
      </w:pPr>
      <w:r>
        <w:rPr>
          <w:rFonts w:hint="eastAsia" w:ascii="宋体" w:hAnsi="宋体" w:cs="宋体"/>
          <w:color w:val="000000"/>
          <w:highlight w:val="none"/>
        </w:rPr>
        <w:t>6.1已获取招标文件的潜在投标人，若有问题需要澄清，应于投标截止时间前，以书面形式向采购机构提出，采购机构与采购人研究后，对认为有必要回答的问题，将以公告形式通知所有招标文件收受人。</w:t>
      </w:r>
    </w:p>
    <w:p>
      <w:pPr>
        <w:pStyle w:val="196"/>
        <w:shd w:val="clear" w:color="auto" w:fill="auto"/>
        <w:snapToGrid w:val="0"/>
        <w:spacing w:before="0"/>
        <w:ind w:firstLine="480"/>
        <w:rPr>
          <w:rFonts w:hint="eastAsia" w:ascii="宋体" w:hAnsi="宋体" w:cs="宋体"/>
          <w:color w:val="000000"/>
          <w:highlight w:val="none"/>
        </w:rPr>
      </w:pPr>
      <w:r>
        <w:rPr>
          <w:rFonts w:hint="eastAsia" w:ascii="宋体" w:hAnsi="宋体" w:cs="宋体"/>
          <w:color w:val="000000"/>
          <w:highlight w:val="none"/>
        </w:rPr>
        <w:t>6.2采购机构如对已发出的招标文件进行必要澄清或者修改的，将在发布招标公告的网站上发布更正、补遗公告，同时视情况延长投标截止时间和开标时间。该公告澄清或者修改的内容为招标文件的组成部分。</w:t>
      </w:r>
    </w:p>
    <w:p>
      <w:pPr>
        <w:shd w:val="clear" w:color="auto" w:fill="auto"/>
        <w:spacing w:line="360" w:lineRule="auto"/>
        <w:ind w:firstLine="482" w:firstLineChars="200"/>
        <w:rPr>
          <w:rFonts w:hint="eastAsia" w:ascii="宋体" w:hAnsi="宋体" w:cs="宋体"/>
          <w:b/>
          <w:color w:val="000000"/>
          <w:sz w:val="24"/>
          <w:szCs w:val="21"/>
          <w:highlight w:val="none"/>
        </w:rPr>
      </w:pPr>
      <w:r>
        <w:rPr>
          <w:rFonts w:hint="eastAsia" w:ascii="宋体" w:hAnsi="宋体" w:cs="宋体"/>
          <w:b/>
          <w:color w:val="000000"/>
          <w:sz w:val="24"/>
          <w:highlight w:val="none"/>
        </w:rPr>
        <w:t>▲</w:t>
      </w:r>
      <w:r>
        <w:rPr>
          <w:rFonts w:hint="eastAsia" w:ascii="宋体" w:hAnsi="宋体" w:cs="宋体"/>
          <w:b/>
          <w:color w:val="000000"/>
          <w:sz w:val="24"/>
          <w:szCs w:val="21"/>
          <w:highlight w:val="none"/>
        </w:rPr>
        <w:t>投标文件未按招标文件更正、补遗公告的澄清、修改的内容编制，又不符合实质性要求的，投标无效。</w:t>
      </w:r>
    </w:p>
    <w:p>
      <w:pPr>
        <w:pStyle w:val="23"/>
        <w:shd w:val="clear" w:color="auto" w:fill="auto"/>
        <w:rPr>
          <w:rFonts w:hint="eastAsia" w:hAnsi="宋体" w:cs="宋体"/>
          <w:color w:val="000000"/>
          <w:sz w:val="18"/>
          <w:szCs w:val="18"/>
          <w:highlight w:val="none"/>
          <w:lang w:val="en-US"/>
        </w:rPr>
      </w:pPr>
      <w:r>
        <w:rPr>
          <w:rFonts w:hint="eastAsia" w:hAnsi="宋体" w:cs="宋体"/>
          <w:color w:val="000000"/>
          <w:szCs w:val="24"/>
          <w:highlight w:val="none"/>
          <w:lang w:val="en-US"/>
        </w:rPr>
        <w:t xml:space="preserve">    </w:t>
      </w:r>
    </w:p>
    <w:p>
      <w:pPr>
        <w:shd w:val="clear" w:color="auto" w:fill="auto"/>
        <w:adjustRightInd/>
        <w:spacing w:line="360" w:lineRule="auto"/>
        <w:jc w:val="center"/>
        <w:outlineLvl w:val="0"/>
        <w:rPr>
          <w:rFonts w:hint="eastAsia" w:ascii="宋体" w:hAnsi="宋体" w:cs="宋体"/>
          <w:b/>
          <w:color w:val="000000"/>
          <w:sz w:val="30"/>
          <w:szCs w:val="20"/>
          <w:highlight w:val="none"/>
        </w:rPr>
      </w:pPr>
      <w:bookmarkStart w:id="50" w:name="_Hlt75236011"/>
      <w:bookmarkEnd w:id="50"/>
      <w:bookmarkStart w:id="51" w:name="_Toc91899884"/>
      <w:r>
        <w:rPr>
          <w:rFonts w:hint="eastAsia" w:ascii="宋体" w:hAnsi="宋体" w:cs="宋体"/>
          <w:b/>
          <w:color w:val="000000"/>
          <w:sz w:val="30"/>
          <w:szCs w:val="20"/>
          <w:highlight w:val="none"/>
        </w:rPr>
        <w:t>三、投标</w:t>
      </w:r>
      <w:bookmarkEnd w:id="51"/>
    </w:p>
    <w:p>
      <w:pPr>
        <w:pStyle w:val="32"/>
        <w:shd w:val="clear" w:color="auto" w:fill="auto"/>
        <w:spacing w:line="360" w:lineRule="auto"/>
        <w:ind w:right="-512" w:firstLine="576"/>
        <w:rPr>
          <w:rFonts w:hint="eastAsia" w:hAnsi="宋体" w:cs="宋体"/>
          <w:b/>
          <w:color w:val="000000"/>
          <w:sz w:val="24"/>
          <w:szCs w:val="24"/>
          <w:highlight w:val="none"/>
        </w:rPr>
      </w:pPr>
      <w:bookmarkStart w:id="52" w:name="_Toc86216991"/>
      <w:bookmarkStart w:id="53" w:name="_Toc91899892"/>
      <w:r>
        <w:rPr>
          <w:rFonts w:hint="eastAsia" w:hAnsi="宋体" w:cs="宋体"/>
          <w:b/>
          <w:color w:val="000000"/>
          <w:sz w:val="24"/>
          <w:szCs w:val="24"/>
          <w:highlight w:val="none"/>
        </w:rPr>
        <w:t>7.招标文件的获取</w:t>
      </w:r>
    </w:p>
    <w:p>
      <w:pPr>
        <w:pStyle w:val="32"/>
        <w:shd w:val="clear" w:color="auto" w:fill="auto"/>
        <w:spacing w:line="360" w:lineRule="auto"/>
        <w:ind w:right="-512" w:firstLine="240" w:firstLineChars="100"/>
        <w:rPr>
          <w:rFonts w:hint="eastAsia" w:hAnsi="宋体" w:cs="宋体"/>
          <w:color w:val="000000"/>
          <w:sz w:val="24"/>
          <w:szCs w:val="24"/>
          <w:highlight w:val="none"/>
        </w:rPr>
      </w:pPr>
      <w:r>
        <w:rPr>
          <w:rFonts w:hint="eastAsia" w:hAnsi="宋体" w:cs="宋体"/>
          <w:color w:val="000000"/>
          <w:sz w:val="24"/>
          <w:szCs w:val="24"/>
          <w:highlight w:val="none"/>
        </w:rPr>
        <w:t>详见招标公告中获取招标文件的时间期限、地点、方式及招标文件售价。</w:t>
      </w:r>
    </w:p>
    <w:p>
      <w:pPr>
        <w:pStyle w:val="32"/>
        <w:shd w:val="clear" w:color="auto" w:fill="auto"/>
        <w:spacing w:line="360" w:lineRule="auto"/>
        <w:ind w:right="-512" w:firstLine="241" w:firstLineChars="100"/>
        <w:rPr>
          <w:rFonts w:hint="eastAsia" w:hAnsi="宋体" w:cs="宋体"/>
          <w:b/>
          <w:bCs/>
          <w:color w:val="000000"/>
          <w:sz w:val="24"/>
          <w:szCs w:val="24"/>
          <w:highlight w:val="none"/>
        </w:rPr>
      </w:pPr>
      <w:r>
        <w:rPr>
          <w:rFonts w:hint="eastAsia" w:hAnsi="宋体" w:cs="宋体"/>
          <w:b/>
          <w:bCs/>
          <w:color w:val="000000"/>
          <w:sz w:val="24"/>
          <w:szCs w:val="24"/>
          <w:highlight w:val="none"/>
        </w:rPr>
        <w:t>▲未按照公告要求完成招标文件的获取环节的，投标无效。</w:t>
      </w:r>
    </w:p>
    <w:p>
      <w:pPr>
        <w:pStyle w:val="32"/>
        <w:shd w:val="clear" w:color="auto" w:fill="auto"/>
        <w:spacing w:line="360" w:lineRule="auto"/>
        <w:ind w:right="-512" w:firstLine="576"/>
        <w:rPr>
          <w:rFonts w:hint="eastAsia" w:hAnsi="宋体" w:cs="宋体"/>
          <w:b/>
          <w:color w:val="000000"/>
          <w:sz w:val="24"/>
          <w:szCs w:val="24"/>
          <w:highlight w:val="none"/>
        </w:rPr>
      </w:pPr>
      <w:r>
        <w:rPr>
          <w:rFonts w:hint="eastAsia" w:hAnsi="宋体" w:cs="宋体"/>
          <w:b/>
          <w:color w:val="000000"/>
          <w:sz w:val="24"/>
          <w:szCs w:val="24"/>
          <w:highlight w:val="none"/>
        </w:rPr>
        <w:t>8.开标前答疑会或现场考察</w:t>
      </w:r>
    </w:p>
    <w:p>
      <w:pPr>
        <w:pStyle w:val="32"/>
        <w:shd w:val="clear" w:color="auto" w:fill="auto"/>
        <w:spacing w:line="360" w:lineRule="auto"/>
        <w:ind w:right="-512" w:firstLine="240" w:firstLineChars="100"/>
        <w:rPr>
          <w:rFonts w:hint="eastAsia" w:hAnsi="宋体" w:cs="宋体"/>
          <w:color w:val="000000"/>
          <w:sz w:val="24"/>
          <w:szCs w:val="24"/>
          <w:highlight w:val="none"/>
        </w:rPr>
      </w:pPr>
      <w:r>
        <w:rPr>
          <w:rFonts w:hint="eastAsia" w:hAnsi="宋体" w:cs="宋体"/>
          <w:color w:val="000000"/>
          <w:sz w:val="24"/>
          <w:szCs w:val="24"/>
          <w:highlight w:val="none"/>
        </w:rPr>
        <w:t>采购人视采购项目的具体情况，如果采购人组织潜在投标人现场考察或者召开开标前答疑会的，潜在投标人按前附表的规定参加现场考察或者开标前答疑会。</w:t>
      </w:r>
      <w:r>
        <w:rPr>
          <w:rFonts w:hint="eastAsia" w:hAnsi="宋体" w:cs="宋体"/>
          <w:b/>
          <w:color w:val="000000"/>
          <w:sz w:val="24"/>
          <w:szCs w:val="24"/>
          <w:highlight w:val="none"/>
        </w:rPr>
        <w:t>采购人不单独或分别组织只有一个供应商参加的现场考察和答疑会。</w:t>
      </w:r>
    </w:p>
    <w:p>
      <w:pPr>
        <w:pStyle w:val="32"/>
        <w:shd w:val="clear" w:color="auto" w:fill="auto"/>
        <w:spacing w:line="360" w:lineRule="auto"/>
        <w:ind w:right="-512" w:firstLine="576"/>
        <w:rPr>
          <w:rFonts w:hint="eastAsia" w:hAnsi="宋体" w:cs="宋体"/>
          <w:b/>
          <w:color w:val="000000"/>
          <w:szCs w:val="24"/>
          <w:highlight w:val="none"/>
        </w:rPr>
      </w:pPr>
      <w:r>
        <w:rPr>
          <w:rFonts w:hint="eastAsia" w:hAnsi="宋体" w:cs="宋体"/>
          <w:b/>
          <w:color w:val="000000"/>
          <w:kern w:val="28"/>
          <w:sz w:val="24"/>
          <w:szCs w:val="24"/>
          <w:highlight w:val="none"/>
        </w:rPr>
        <w:t>9.投标保证金</w:t>
      </w:r>
    </w:p>
    <w:p>
      <w:pPr>
        <w:pStyle w:val="196"/>
        <w:shd w:val="clear" w:color="auto" w:fill="auto"/>
        <w:snapToGrid w:val="0"/>
        <w:spacing w:before="0"/>
        <w:ind w:firstLine="480"/>
        <w:rPr>
          <w:rFonts w:hint="eastAsia" w:ascii="宋体" w:hAnsi="宋体" w:cs="宋体"/>
          <w:color w:val="000000"/>
          <w:highlight w:val="none"/>
          <w:lang w:val="zh-CN"/>
        </w:rPr>
      </w:pPr>
      <w:r>
        <w:rPr>
          <w:rFonts w:hint="eastAsia" w:ascii="宋体" w:hAnsi="宋体" w:cs="宋体"/>
          <w:color w:val="000000"/>
          <w:highlight w:val="none"/>
        </w:rPr>
        <w:t>本项目不收取投标保证金</w:t>
      </w:r>
    </w:p>
    <w:p>
      <w:pPr>
        <w:pStyle w:val="32"/>
        <w:shd w:val="clear" w:color="auto" w:fill="auto"/>
        <w:spacing w:line="360" w:lineRule="auto"/>
        <w:ind w:right="-512" w:firstLine="576"/>
        <w:rPr>
          <w:rFonts w:hint="eastAsia" w:hAnsi="宋体" w:cs="宋体"/>
          <w:b/>
          <w:color w:val="000000"/>
          <w:sz w:val="24"/>
          <w:szCs w:val="24"/>
          <w:highlight w:val="none"/>
        </w:rPr>
      </w:pPr>
      <w:r>
        <w:rPr>
          <w:rFonts w:hint="eastAsia" w:hAnsi="宋体" w:cs="宋体"/>
          <w:b/>
          <w:color w:val="000000"/>
          <w:sz w:val="24"/>
          <w:szCs w:val="24"/>
          <w:highlight w:val="none"/>
        </w:rPr>
        <w:t>10. 投标文件的语言</w:t>
      </w:r>
    </w:p>
    <w:p>
      <w:pPr>
        <w:shd w:val="clear" w:color="auto" w:fill="auto"/>
        <w:autoSpaceDE w:val="0"/>
        <w:autoSpaceDN w:val="0"/>
        <w:spacing w:line="360" w:lineRule="auto"/>
        <w:ind w:firstLine="480" w:firstLineChars="200"/>
        <w:rPr>
          <w:rFonts w:hint="eastAsia" w:ascii="宋体" w:hAnsi="宋体" w:cs="宋体"/>
          <w:color w:val="000000"/>
          <w:sz w:val="24"/>
          <w:highlight w:val="none"/>
          <w:lang w:val="zh-CN"/>
        </w:rPr>
      </w:pPr>
      <w:r>
        <w:rPr>
          <w:rFonts w:hint="eastAsia" w:ascii="宋体" w:hAnsi="宋体" w:cs="宋体"/>
          <w:color w:val="000000"/>
          <w:sz w:val="24"/>
          <w:highlight w:val="none"/>
        </w:rPr>
        <w:t>投标文件及投标人与采购有关的来往通知、函件和文件均应使用中文。</w:t>
      </w:r>
    </w:p>
    <w:p>
      <w:pPr>
        <w:pStyle w:val="32"/>
        <w:shd w:val="clear" w:color="auto" w:fill="auto"/>
        <w:spacing w:line="360" w:lineRule="auto"/>
        <w:ind w:right="-512" w:firstLine="576"/>
        <w:rPr>
          <w:rFonts w:hint="eastAsia" w:hAnsi="宋体" w:cs="宋体"/>
          <w:b/>
          <w:color w:val="000000"/>
          <w:sz w:val="24"/>
          <w:szCs w:val="24"/>
          <w:highlight w:val="none"/>
        </w:rPr>
      </w:pPr>
      <w:r>
        <w:rPr>
          <w:rFonts w:hint="eastAsia" w:hAnsi="宋体" w:cs="宋体"/>
          <w:b/>
          <w:color w:val="000000"/>
          <w:sz w:val="24"/>
          <w:szCs w:val="24"/>
          <w:highlight w:val="none"/>
        </w:rPr>
        <w:t>11. 投标文件的组成</w:t>
      </w:r>
    </w:p>
    <w:p>
      <w:pPr>
        <w:pStyle w:val="32"/>
        <w:shd w:val="clear" w:color="auto" w:fill="auto"/>
        <w:snapToGrid w:val="0"/>
        <w:spacing w:line="360" w:lineRule="auto"/>
        <w:ind w:right="-512" w:firstLine="480" w:firstLineChars="200"/>
        <w:rPr>
          <w:rFonts w:hint="eastAsia" w:hAnsi="宋体" w:cs="宋体"/>
          <w:color w:val="000000"/>
          <w:sz w:val="24"/>
          <w:szCs w:val="24"/>
          <w:highlight w:val="none"/>
        </w:rPr>
      </w:pPr>
      <w:r>
        <w:rPr>
          <w:rFonts w:hint="eastAsia" w:hAnsi="宋体" w:cs="宋体"/>
          <w:color w:val="000000"/>
          <w:kern w:val="0"/>
          <w:sz w:val="24"/>
          <w:szCs w:val="24"/>
          <w:highlight w:val="none"/>
        </w:rPr>
        <w:t>投标文件应当包括以下主要内容：</w:t>
      </w:r>
      <w:r>
        <w:rPr>
          <w:rFonts w:hint="eastAsia" w:hAnsi="宋体" w:cs="宋体"/>
          <w:b/>
          <w:color w:val="000000"/>
          <w:sz w:val="24"/>
          <w:szCs w:val="24"/>
          <w:highlight w:val="none"/>
        </w:rPr>
        <w:t>资格文件、报价文件、商务技术文件</w:t>
      </w:r>
      <w:r>
        <w:rPr>
          <w:rFonts w:hint="eastAsia" w:hAnsi="宋体" w:cs="宋体"/>
          <w:color w:val="000000"/>
          <w:sz w:val="24"/>
          <w:szCs w:val="24"/>
          <w:highlight w:val="none"/>
        </w:rPr>
        <w:t>。投标文件应当对招标文件提出的要求和条件作出明确响应。</w:t>
      </w:r>
    </w:p>
    <w:p>
      <w:pPr>
        <w:shd w:val="clear" w:color="auto" w:fill="auto"/>
        <w:snapToGrid w:val="0"/>
        <w:spacing w:line="360" w:lineRule="auto"/>
        <w:ind w:firstLine="480" w:firstLineChars="200"/>
        <w:rPr>
          <w:rFonts w:hint="eastAsia" w:ascii="宋体" w:hAnsi="宋体" w:cs="宋体"/>
          <w:b/>
          <w:color w:val="000000"/>
          <w:kern w:val="0"/>
          <w:sz w:val="24"/>
          <w:highlight w:val="none"/>
        </w:rPr>
      </w:pPr>
      <w:r>
        <w:rPr>
          <w:rFonts w:hint="eastAsia" w:ascii="宋体" w:hAnsi="宋体" w:cs="宋体"/>
          <w:color w:val="000000"/>
          <w:sz w:val="24"/>
          <w:highlight w:val="none"/>
        </w:rPr>
        <w:t>11.1</w:t>
      </w:r>
      <w:r>
        <w:rPr>
          <w:rFonts w:hint="eastAsia" w:ascii="宋体" w:hAnsi="宋体" w:cs="宋体"/>
          <w:b/>
          <w:color w:val="000000"/>
          <w:sz w:val="24"/>
          <w:highlight w:val="none"/>
        </w:rPr>
        <w:t>资格文件</w:t>
      </w:r>
      <w:r>
        <w:rPr>
          <w:rFonts w:hint="eastAsia" w:ascii="宋体" w:hAnsi="宋体" w:cs="宋体"/>
          <w:color w:val="000000"/>
          <w:sz w:val="24"/>
          <w:highlight w:val="none"/>
        </w:rPr>
        <w:t>应包括以下内容（均需加盖公章）：</w:t>
      </w:r>
      <w:r>
        <w:rPr>
          <w:rFonts w:hint="eastAsia" w:ascii="宋体" w:hAnsi="宋体" w:cs="宋体"/>
          <w:color w:val="000000"/>
          <w:kern w:val="0"/>
          <w:sz w:val="24"/>
          <w:highlight w:val="none"/>
        </w:rPr>
        <w:t>证明其符合《中华人民共和国政府采购法》规定的供应商基本条件和采购项目对供应商的特定条件</w:t>
      </w:r>
      <w:r>
        <w:rPr>
          <w:rFonts w:hint="eastAsia" w:ascii="宋体" w:hAnsi="宋体" w:cs="宋体"/>
          <w:color w:val="000000"/>
          <w:sz w:val="24"/>
          <w:highlight w:val="none"/>
        </w:rPr>
        <w:t>（如果项目要求）</w:t>
      </w:r>
      <w:r>
        <w:rPr>
          <w:rFonts w:hint="eastAsia" w:ascii="宋体" w:hAnsi="宋体" w:cs="宋体"/>
          <w:color w:val="000000"/>
          <w:kern w:val="0"/>
          <w:sz w:val="24"/>
          <w:highlight w:val="none"/>
        </w:rPr>
        <w:t>的有关资格证明文件。</w:t>
      </w:r>
      <w:r>
        <w:rPr>
          <w:rFonts w:hint="eastAsia" w:ascii="宋体" w:hAnsi="宋体" w:cs="宋体"/>
          <w:b/>
          <w:color w:val="000000"/>
          <w:kern w:val="0"/>
          <w:sz w:val="24"/>
          <w:highlight w:val="none"/>
        </w:rPr>
        <w:t>（以联合体形式进行政府采购的，参加联合体的供应商均应当提供）</w:t>
      </w:r>
    </w:p>
    <w:p>
      <w:pPr>
        <w:pStyle w:val="32"/>
        <w:shd w:val="clear" w:color="auto" w:fill="auto"/>
        <w:spacing w:line="360" w:lineRule="auto"/>
        <w:ind w:right="-512" w:firstLine="480" w:firstLineChars="200"/>
        <w:rPr>
          <w:rFonts w:hint="eastAsia" w:hAnsi="宋体" w:cs="宋体"/>
          <w:color w:val="000000"/>
          <w:sz w:val="24"/>
          <w:highlight w:val="none"/>
        </w:rPr>
      </w:pPr>
      <w:bookmarkStart w:id="54" w:name="_Hlt68073093"/>
      <w:bookmarkEnd w:id="54"/>
      <w:bookmarkStart w:id="55" w:name="_Hlt68403820"/>
      <w:bookmarkEnd w:id="55"/>
      <w:bookmarkStart w:id="56" w:name="_Hlt68072998"/>
      <w:bookmarkEnd w:id="56"/>
      <w:r>
        <w:rPr>
          <w:rFonts w:hint="eastAsia" w:hAnsi="宋体" w:cs="宋体"/>
          <w:color w:val="000000"/>
          <w:sz w:val="24"/>
          <w:highlight w:val="none"/>
        </w:rPr>
        <w:t>11.1.1营业执照(或事业法人登记证或其他工商等登记证明材料)复印件（投标人为自然人的，提供</w:t>
      </w:r>
      <w:r>
        <w:rPr>
          <w:rFonts w:hint="eastAsia" w:hAnsi="宋体" w:cs="宋体"/>
          <w:color w:val="000000"/>
          <w:kern w:val="0"/>
          <w:sz w:val="24"/>
          <w:highlight w:val="none"/>
        </w:rPr>
        <w:t>自然人的身份证明</w:t>
      </w:r>
      <w:r>
        <w:rPr>
          <w:rFonts w:hint="eastAsia" w:hAnsi="宋体" w:cs="宋体"/>
          <w:color w:val="000000"/>
          <w:sz w:val="24"/>
          <w:highlight w:val="none"/>
        </w:rPr>
        <w:t>）、税务登记证(</w:t>
      </w:r>
      <w:r>
        <w:rPr>
          <w:rFonts w:hint="eastAsia" w:hAnsi="宋体" w:cs="宋体"/>
          <w:color w:val="000000"/>
          <w:kern w:val="0"/>
          <w:sz w:val="24"/>
          <w:highlight w:val="none"/>
        </w:rPr>
        <w:t>或其它依法缴纳税收的相关材料</w:t>
      </w:r>
      <w:r>
        <w:rPr>
          <w:rFonts w:hint="eastAsia" w:hAnsi="宋体" w:cs="宋体"/>
          <w:color w:val="000000"/>
          <w:sz w:val="24"/>
          <w:highlight w:val="none"/>
        </w:rPr>
        <w:t>)复印件、社保登记证（</w:t>
      </w:r>
      <w:r>
        <w:rPr>
          <w:rFonts w:hint="eastAsia" w:hAnsi="宋体" w:cs="宋体"/>
          <w:color w:val="000000"/>
          <w:kern w:val="0"/>
          <w:sz w:val="24"/>
          <w:highlight w:val="none"/>
        </w:rPr>
        <w:t>或其它依法缴纳社会保障资金的相关材料</w:t>
      </w:r>
      <w:r>
        <w:rPr>
          <w:rFonts w:hint="eastAsia" w:hAnsi="宋体" w:cs="宋体"/>
          <w:color w:val="000000"/>
          <w:sz w:val="24"/>
          <w:highlight w:val="none"/>
        </w:rPr>
        <w:t>）复印件；实施“多证合一、一照一码”登记制度改革的，只需提供改革后取得的营业执照复印件；</w:t>
      </w:r>
    </w:p>
    <w:p>
      <w:pPr>
        <w:pStyle w:val="32"/>
        <w:shd w:val="clear" w:color="auto" w:fill="auto"/>
        <w:spacing w:line="360" w:lineRule="auto"/>
        <w:ind w:right="-512" w:firstLine="480" w:firstLineChars="200"/>
        <w:rPr>
          <w:rFonts w:hint="eastAsia" w:hAnsi="宋体" w:cs="宋体"/>
          <w:color w:val="000000"/>
          <w:sz w:val="24"/>
          <w:highlight w:val="none"/>
        </w:rPr>
      </w:pPr>
      <w:r>
        <w:rPr>
          <w:rFonts w:hint="eastAsia" w:hAnsi="宋体" w:cs="宋体"/>
          <w:color w:val="000000"/>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11.1.2 最近一年度资产负债表等财务报表资料文件 (或其它</w:t>
      </w:r>
      <w:r>
        <w:rPr>
          <w:rFonts w:hint="eastAsia" w:ascii="宋体" w:hAnsi="宋体" w:cs="宋体"/>
          <w:color w:val="000000"/>
          <w:kern w:val="0"/>
          <w:sz w:val="24"/>
          <w:highlight w:val="none"/>
        </w:rPr>
        <w:t>财务状况报告，</w:t>
      </w:r>
      <w:r>
        <w:rPr>
          <w:rFonts w:hint="eastAsia" w:ascii="宋体" w:hAnsi="宋体" w:cs="宋体"/>
          <w:color w:val="000000"/>
          <w:sz w:val="24"/>
          <w:highlight w:val="none"/>
        </w:rPr>
        <w:t>新成立的公司，必须提供情况说明)；</w:t>
      </w:r>
    </w:p>
    <w:p>
      <w:pPr>
        <w:pStyle w:val="32"/>
        <w:shd w:val="clear" w:color="auto" w:fill="auto"/>
        <w:spacing w:line="360" w:lineRule="auto"/>
        <w:ind w:right="-512" w:firstLine="480" w:firstLineChars="200"/>
        <w:rPr>
          <w:rFonts w:hint="eastAsia" w:hAnsi="宋体" w:cs="宋体"/>
          <w:color w:val="000000"/>
          <w:sz w:val="24"/>
          <w:highlight w:val="none"/>
        </w:rPr>
      </w:pPr>
      <w:r>
        <w:rPr>
          <w:rFonts w:hint="eastAsia" w:hAnsi="宋体" w:cs="宋体"/>
          <w:color w:val="000000"/>
          <w:sz w:val="24"/>
          <w:highlight w:val="none"/>
        </w:rPr>
        <w:t>11.1.3具有履行合同所必需的设备和专业技术能力的承诺函；</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11.1.4参加政府采购活动前三年内，在经营活动中没有重大违法记录的声明；</w:t>
      </w:r>
    </w:p>
    <w:p>
      <w:pPr>
        <w:shd w:val="clear" w:color="auto" w:fill="auto"/>
        <w:spacing w:line="360" w:lineRule="auto"/>
        <w:ind w:firstLine="480" w:firstLineChars="200"/>
        <w:rPr>
          <w:rFonts w:hint="eastAsia" w:ascii="宋体" w:hAnsi="宋体" w:cs="宋体"/>
          <w:color w:val="000000"/>
          <w:sz w:val="24"/>
          <w:szCs w:val="20"/>
          <w:highlight w:val="none"/>
        </w:rPr>
      </w:pPr>
      <w:r>
        <w:rPr>
          <w:rFonts w:hint="eastAsia" w:ascii="宋体" w:hAnsi="宋体" w:cs="宋体"/>
          <w:color w:val="000000"/>
          <w:sz w:val="24"/>
          <w:highlight w:val="none"/>
        </w:rPr>
        <w:t>11.1.5</w:t>
      </w:r>
      <w:r>
        <w:rPr>
          <w:rFonts w:hint="eastAsia" w:ascii="宋体" w:hAnsi="宋体" w:cs="宋体"/>
          <w:color w:val="000000"/>
          <w:sz w:val="24"/>
          <w:szCs w:val="20"/>
          <w:highlight w:val="none"/>
        </w:rPr>
        <w:t>具有良好商业信誉的特别声明；</w:t>
      </w:r>
    </w:p>
    <w:p>
      <w:pPr>
        <w:shd w:val="clear" w:color="auto" w:fill="auto"/>
        <w:spacing w:line="360" w:lineRule="auto"/>
        <w:ind w:firstLine="480" w:firstLineChars="200"/>
        <w:rPr>
          <w:rFonts w:hint="eastAsia" w:ascii="宋体" w:hAnsi="宋体" w:cs="宋体"/>
          <w:color w:val="000000"/>
          <w:sz w:val="24"/>
          <w:szCs w:val="20"/>
          <w:highlight w:val="none"/>
        </w:rPr>
      </w:pPr>
      <w:r>
        <w:rPr>
          <w:rFonts w:hint="eastAsia" w:ascii="宋体" w:hAnsi="宋体" w:cs="宋体"/>
          <w:color w:val="000000"/>
          <w:sz w:val="24"/>
          <w:szCs w:val="20"/>
          <w:highlight w:val="none"/>
        </w:rPr>
        <w:t xml:space="preserve">11.1.6 </w:t>
      </w:r>
      <w:r>
        <w:rPr>
          <w:rFonts w:hint="eastAsia" w:ascii="宋体" w:hAnsi="宋体" w:cs="宋体"/>
          <w:color w:val="000000"/>
          <w:sz w:val="24"/>
          <w:highlight w:val="none"/>
        </w:rPr>
        <w:t>落实政府采购政策需满足的资格要求的有关证明材料（如果有）；</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11.1.7符合本项目的特定资格要求的有关证明材料（如果有）；</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11.1.8附法定代表人授权书（如法定代表人直接参加投标的，只需提供其身份证复印件正反面；如以联合体形式参加政府采购活动的，按招标文件有关格式范例提供联合体投标授权书）。</w:t>
      </w:r>
    </w:p>
    <w:p>
      <w:pPr>
        <w:shd w:val="clear" w:color="auto" w:fill="auto"/>
        <w:snapToGrid w:val="0"/>
        <w:spacing w:line="360" w:lineRule="auto"/>
        <w:ind w:firstLine="480" w:firstLineChars="200"/>
        <w:rPr>
          <w:rFonts w:hint="eastAsia" w:ascii="宋体" w:hAnsi="宋体" w:cs="宋体"/>
          <w:color w:val="000000"/>
          <w:sz w:val="24"/>
          <w:highlight w:val="none"/>
          <w:u w:val="single"/>
          <w:lang w:val="zh-CN"/>
        </w:rPr>
      </w:pPr>
      <w:r>
        <w:rPr>
          <w:rFonts w:hint="eastAsia" w:ascii="宋体" w:hAnsi="宋体" w:cs="宋体"/>
          <w:color w:val="000000"/>
          <w:kern w:val="0"/>
          <w:sz w:val="24"/>
          <w:highlight w:val="none"/>
          <w:lang w:val="zh-CN"/>
        </w:rPr>
        <w:t xml:space="preserve">11.2 </w:t>
      </w:r>
      <w:r>
        <w:rPr>
          <w:rFonts w:hint="eastAsia" w:ascii="宋体" w:hAnsi="宋体" w:cs="宋体"/>
          <w:color w:val="000000"/>
          <w:sz w:val="24"/>
          <w:highlight w:val="none"/>
        </w:rPr>
        <w:t>投标人的</w:t>
      </w:r>
      <w:r>
        <w:rPr>
          <w:rFonts w:hint="eastAsia" w:ascii="宋体" w:hAnsi="宋体" w:cs="宋体"/>
          <w:b/>
          <w:color w:val="000000"/>
          <w:sz w:val="24"/>
          <w:highlight w:val="none"/>
        </w:rPr>
        <w:t>报价文件</w:t>
      </w:r>
      <w:r>
        <w:rPr>
          <w:rFonts w:hint="eastAsia" w:ascii="宋体" w:hAnsi="宋体" w:cs="宋体"/>
          <w:color w:val="000000"/>
          <w:sz w:val="24"/>
          <w:highlight w:val="none"/>
        </w:rPr>
        <w:t>应包括以下内容（均需加盖公章）：</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11.2.1</w:t>
      </w:r>
      <w:r>
        <w:rPr>
          <w:rFonts w:hint="eastAsia" w:ascii="宋体" w:hAnsi="宋体" w:cs="宋体"/>
          <w:color w:val="000000"/>
          <w:kern w:val="0"/>
          <w:sz w:val="24"/>
          <w:highlight w:val="none"/>
        </w:rPr>
        <w:t>投标响应函</w:t>
      </w:r>
      <w:r>
        <w:rPr>
          <w:rFonts w:hint="eastAsia" w:ascii="宋体" w:hAnsi="宋体" w:cs="宋体"/>
          <w:color w:val="000000"/>
          <w:sz w:val="24"/>
          <w:highlight w:val="none"/>
        </w:rPr>
        <w:t>；</w:t>
      </w:r>
    </w:p>
    <w:p>
      <w:pPr>
        <w:pStyle w:val="32"/>
        <w:shd w:val="clear" w:color="auto" w:fill="auto"/>
        <w:snapToGrid w:val="0"/>
        <w:spacing w:line="360" w:lineRule="auto"/>
        <w:ind w:right="-512" w:firstLine="480" w:firstLineChars="200"/>
        <w:rPr>
          <w:rFonts w:hint="eastAsia" w:hAnsi="宋体" w:cs="宋体"/>
          <w:color w:val="000000"/>
          <w:sz w:val="24"/>
          <w:szCs w:val="24"/>
          <w:highlight w:val="none"/>
        </w:rPr>
      </w:pPr>
      <w:r>
        <w:rPr>
          <w:rFonts w:hint="eastAsia" w:hAnsi="宋体" w:cs="宋体"/>
          <w:color w:val="000000"/>
          <w:sz w:val="24"/>
          <w:szCs w:val="24"/>
          <w:highlight w:val="none"/>
        </w:rPr>
        <w:t>11.2.2投标(开标)一览表；</w:t>
      </w:r>
    </w:p>
    <w:p>
      <w:pPr>
        <w:pStyle w:val="32"/>
        <w:shd w:val="clear" w:color="auto" w:fill="auto"/>
        <w:snapToGrid w:val="0"/>
        <w:spacing w:line="360" w:lineRule="auto"/>
        <w:ind w:right="-512" w:firstLine="480" w:firstLineChars="200"/>
        <w:rPr>
          <w:rFonts w:hint="eastAsia" w:hAnsi="宋体" w:cs="宋体"/>
          <w:color w:val="000000"/>
          <w:sz w:val="24"/>
          <w:szCs w:val="24"/>
          <w:highlight w:val="none"/>
        </w:rPr>
      </w:pPr>
      <w:r>
        <w:rPr>
          <w:rFonts w:hint="eastAsia" w:hAnsi="宋体" w:cs="宋体"/>
          <w:color w:val="000000"/>
          <w:sz w:val="24"/>
          <w:szCs w:val="24"/>
          <w:highlight w:val="none"/>
        </w:rPr>
        <w:t>11.2.3中小企业声明函。（如果有）</w:t>
      </w:r>
    </w:p>
    <w:p>
      <w:pPr>
        <w:pStyle w:val="32"/>
        <w:shd w:val="clear" w:color="auto" w:fill="auto"/>
        <w:spacing w:line="360" w:lineRule="auto"/>
        <w:ind w:right="-512" w:firstLine="480" w:firstLineChars="200"/>
        <w:rPr>
          <w:rFonts w:hint="eastAsia" w:hAnsi="宋体" w:cs="宋体"/>
          <w:color w:val="000000"/>
          <w:sz w:val="24"/>
          <w:szCs w:val="24"/>
          <w:highlight w:val="none"/>
          <w:lang w:val="zh-CN"/>
        </w:rPr>
      </w:pPr>
      <w:r>
        <w:rPr>
          <w:rFonts w:hint="eastAsia" w:hAnsi="宋体" w:cs="宋体"/>
          <w:color w:val="000000"/>
          <w:kern w:val="0"/>
          <w:sz w:val="24"/>
          <w:szCs w:val="24"/>
          <w:highlight w:val="none"/>
          <w:lang w:val="zh-CN"/>
        </w:rPr>
        <w:t>11.3  投标人的</w:t>
      </w:r>
      <w:r>
        <w:rPr>
          <w:rFonts w:hint="eastAsia" w:hAnsi="宋体" w:cs="宋体"/>
          <w:b/>
          <w:color w:val="000000"/>
          <w:sz w:val="24"/>
          <w:szCs w:val="24"/>
          <w:highlight w:val="none"/>
        </w:rPr>
        <w:t>商务技术</w:t>
      </w:r>
      <w:r>
        <w:rPr>
          <w:rFonts w:hint="eastAsia" w:hAnsi="宋体" w:cs="宋体"/>
          <w:b/>
          <w:color w:val="000000"/>
          <w:kern w:val="0"/>
          <w:sz w:val="24"/>
          <w:szCs w:val="24"/>
          <w:highlight w:val="none"/>
          <w:lang w:val="zh-CN"/>
        </w:rPr>
        <w:t>文件应</w:t>
      </w:r>
      <w:r>
        <w:rPr>
          <w:rFonts w:hint="eastAsia" w:hAnsi="宋体" w:cs="宋体"/>
          <w:color w:val="000000"/>
          <w:kern w:val="0"/>
          <w:sz w:val="24"/>
          <w:szCs w:val="24"/>
          <w:highlight w:val="none"/>
          <w:lang w:val="zh-CN"/>
        </w:rPr>
        <w:t>包括以下内容</w:t>
      </w:r>
      <w:r>
        <w:rPr>
          <w:rFonts w:hint="eastAsia" w:hAnsi="宋体" w:cs="宋体"/>
          <w:color w:val="000000"/>
          <w:sz w:val="24"/>
          <w:szCs w:val="24"/>
          <w:highlight w:val="none"/>
        </w:rPr>
        <w:t>（均需加盖公章）</w:t>
      </w:r>
      <w:r>
        <w:rPr>
          <w:rFonts w:hint="eastAsia" w:hAnsi="宋体" w:cs="宋体"/>
          <w:color w:val="000000"/>
          <w:kern w:val="0"/>
          <w:sz w:val="24"/>
          <w:szCs w:val="24"/>
          <w:highlight w:val="none"/>
          <w:lang w:val="zh-CN"/>
        </w:rPr>
        <w:t>：</w:t>
      </w:r>
      <w:r>
        <w:rPr>
          <w:rFonts w:hint="eastAsia" w:hAnsi="宋体" w:cs="宋体"/>
          <w:color w:val="000000"/>
          <w:sz w:val="24"/>
          <w:szCs w:val="24"/>
          <w:highlight w:val="none"/>
          <w:lang w:val="zh-CN"/>
        </w:rPr>
        <w:t xml:space="preserve"> </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lang w:val="zh-CN"/>
        </w:rPr>
        <w:t>11.3.1</w:t>
      </w:r>
      <w:r>
        <w:rPr>
          <w:rFonts w:hint="eastAsia" w:ascii="宋体" w:hAnsi="宋体" w:cs="宋体"/>
          <w:color w:val="000000"/>
          <w:sz w:val="24"/>
          <w:highlight w:val="none"/>
        </w:rPr>
        <w:t>营业执照(或事业法人登记证或其他工商等登记证明材料)复印件（投标人为自然人的，须提供</w:t>
      </w:r>
      <w:r>
        <w:rPr>
          <w:rFonts w:hint="eastAsia" w:ascii="宋体" w:hAnsi="宋体" w:cs="宋体"/>
          <w:color w:val="000000"/>
          <w:kern w:val="0"/>
          <w:sz w:val="24"/>
          <w:highlight w:val="none"/>
        </w:rPr>
        <w:t>自然人的身份证明</w:t>
      </w:r>
      <w:r>
        <w:rPr>
          <w:rFonts w:hint="eastAsia" w:ascii="宋体" w:hAnsi="宋体" w:cs="宋体"/>
          <w:color w:val="000000"/>
          <w:sz w:val="24"/>
          <w:highlight w:val="none"/>
        </w:rPr>
        <w:t>）；</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lang w:val="zh-CN"/>
        </w:rPr>
        <w:t>11.3.2</w:t>
      </w:r>
      <w:r>
        <w:rPr>
          <w:rFonts w:hint="eastAsia" w:ascii="宋体" w:hAnsi="宋体" w:cs="宋体"/>
          <w:color w:val="000000"/>
          <w:sz w:val="24"/>
          <w:highlight w:val="none"/>
        </w:rPr>
        <w:t>法定代表人授权书；（如法定代表人直接参加投标的，只需提供其身份证复印件正反面；如以联合体形式参加政府采购活动的，按招标文件有关格式范例提供联合体投标授权书）；▲</w:t>
      </w:r>
      <w:r>
        <w:rPr>
          <w:rFonts w:hint="eastAsia" w:ascii="宋体" w:hAnsi="宋体" w:cs="宋体"/>
          <w:b/>
          <w:color w:val="000000"/>
          <w:sz w:val="24"/>
          <w:highlight w:val="none"/>
        </w:rPr>
        <w:t>投标文件中法定代表人授权书所载内容与本项目内容有异的，投标无效</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lang w:val="zh-CN"/>
        </w:rPr>
        <w:t>11.3.</w:t>
      </w:r>
      <w:r>
        <w:rPr>
          <w:rFonts w:hint="eastAsia" w:ascii="宋体" w:hAnsi="宋体" w:cs="宋体"/>
          <w:color w:val="000000"/>
          <w:sz w:val="24"/>
          <w:highlight w:val="none"/>
        </w:rPr>
        <w:t>3法定代表人及其授权代表的身份证复印件（正反面复印件）；</w:t>
      </w:r>
    </w:p>
    <w:p>
      <w:pPr>
        <w:pStyle w:val="32"/>
        <w:shd w:val="clear" w:color="auto" w:fill="auto"/>
        <w:spacing w:line="360" w:lineRule="auto"/>
        <w:ind w:right="-512" w:firstLine="480" w:firstLineChars="200"/>
        <w:rPr>
          <w:rFonts w:hint="eastAsia" w:hAnsi="宋体" w:cs="宋体"/>
          <w:color w:val="000000"/>
          <w:sz w:val="24"/>
          <w:highlight w:val="none"/>
        </w:rPr>
      </w:pPr>
      <w:r>
        <w:rPr>
          <w:rFonts w:hint="eastAsia" w:hAnsi="宋体" w:cs="宋体"/>
          <w:color w:val="000000"/>
          <w:sz w:val="24"/>
          <w:highlight w:val="none"/>
          <w:lang w:val="zh-CN"/>
        </w:rPr>
        <w:t>11.3.</w:t>
      </w:r>
      <w:r>
        <w:rPr>
          <w:rFonts w:hint="eastAsia" w:hAnsi="宋体" w:cs="宋体"/>
          <w:color w:val="000000"/>
          <w:sz w:val="24"/>
          <w:highlight w:val="none"/>
        </w:rPr>
        <w:t>4如以联合体形式参加政府采购活动的，</w:t>
      </w:r>
      <w:r>
        <w:rPr>
          <w:rFonts w:hint="eastAsia" w:hAnsi="宋体" w:cs="宋体"/>
          <w:color w:val="000000"/>
          <w:sz w:val="24"/>
          <w:szCs w:val="24"/>
          <w:highlight w:val="none"/>
        </w:rPr>
        <w:t>联合体各方应当指定牵头人，授权其代表所有联合体成员负责投标和合同实施阶段的主办、协调工作，并应当向采购机构提交由所有联合体成员各方的授权书，同时</w:t>
      </w:r>
      <w:r>
        <w:rPr>
          <w:rFonts w:hint="eastAsia" w:hAnsi="宋体" w:cs="宋体"/>
          <w:color w:val="000000"/>
          <w:sz w:val="24"/>
          <w:highlight w:val="none"/>
        </w:rPr>
        <w:t>应当提交联合协议，载明联合体各方承担的工作和义务。联合体协议中应当注明由联合体各成员方共同与采购人签订合同，并就采购合同约定的事项对采购人承担连带责任。联合体协议中仅约定由牵头人或联合体成员中某一方与采购人签订合同的，或联合体协议中仅约定由牵头人或联合体成员中某一方就采购合同约定的事项对采购人承担责任的，视为联合体协议不成立，该联合体投标文件将被作无效投标文件处理；（</w:t>
      </w:r>
      <w:r>
        <w:rPr>
          <w:rFonts w:hint="eastAsia" w:hAnsi="宋体" w:cs="宋体"/>
          <w:b/>
          <w:color w:val="000000"/>
          <w:sz w:val="24"/>
          <w:highlight w:val="none"/>
        </w:rPr>
        <w:t>▲如以联合体形式参加政府采购活动的，联合体协议不符合招标文件规定的联合体协议要求的，投标无效。</w:t>
      </w:r>
      <w:r>
        <w:rPr>
          <w:rFonts w:hint="eastAsia" w:hAnsi="宋体" w:cs="宋体"/>
          <w:color w:val="000000"/>
          <w:sz w:val="24"/>
          <w:highlight w:val="none"/>
        </w:rPr>
        <w:t>）</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lang w:val="zh-CN"/>
        </w:rPr>
        <w:t>11.3.</w:t>
      </w:r>
      <w:r>
        <w:rPr>
          <w:rFonts w:hint="eastAsia" w:ascii="宋体" w:hAnsi="宋体" w:cs="宋体"/>
          <w:color w:val="000000"/>
          <w:sz w:val="24"/>
          <w:highlight w:val="none"/>
        </w:rPr>
        <w:t>5资信文件：</w:t>
      </w:r>
      <w:r>
        <w:rPr>
          <w:rFonts w:hint="eastAsia" w:ascii="宋体" w:hAnsi="宋体" w:cs="宋体"/>
          <w:color w:val="000000"/>
          <w:kern w:val="0"/>
          <w:sz w:val="24"/>
          <w:szCs w:val="20"/>
          <w:highlight w:val="none"/>
        </w:rPr>
        <w:t>见投标须知前附表所述；</w:t>
      </w:r>
      <w:r>
        <w:rPr>
          <w:rFonts w:hint="eastAsia" w:ascii="宋体" w:hAnsi="宋体" w:cs="宋体"/>
          <w:color w:val="000000"/>
          <w:kern w:val="0"/>
          <w:sz w:val="24"/>
          <w:highlight w:val="none"/>
          <w:lang w:val="zh-CN"/>
        </w:rPr>
        <w:t>（如果有）</w:t>
      </w:r>
      <w:r>
        <w:rPr>
          <w:rFonts w:hint="eastAsia" w:ascii="宋体" w:hAnsi="宋体" w:cs="宋体"/>
          <w:color w:val="000000"/>
          <w:sz w:val="24"/>
          <w:highlight w:val="none"/>
        </w:rPr>
        <w:t xml:space="preserve"> </w:t>
      </w:r>
    </w:p>
    <w:p>
      <w:pPr>
        <w:pStyle w:val="196"/>
        <w:shd w:val="clear" w:color="auto" w:fill="auto"/>
        <w:snapToGrid w:val="0"/>
        <w:spacing w:before="0"/>
        <w:ind w:firstLine="480"/>
        <w:rPr>
          <w:rFonts w:hint="eastAsia" w:ascii="宋体" w:hAnsi="宋体" w:cs="宋体"/>
          <w:color w:val="000000"/>
          <w:kern w:val="0"/>
          <w:highlight w:val="none"/>
          <w:lang w:val="zh-CN"/>
        </w:rPr>
      </w:pPr>
      <w:r>
        <w:rPr>
          <w:rFonts w:hint="eastAsia" w:ascii="宋体" w:hAnsi="宋体" w:cs="宋体"/>
          <w:color w:val="000000"/>
          <w:highlight w:val="none"/>
          <w:lang w:val="zh-CN"/>
        </w:rPr>
        <w:t>11.3.</w:t>
      </w:r>
      <w:r>
        <w:rPr>
          <w:rFonts w:hint="eastAsia" w:ascii="宋体" w:hAnsi="宋体" w:cs="宋体"/>
          <w:color w:val="000000"/>
          <w:highlight w:val="none"/>
        </w:rPr>
        <w:t>6</w:t>
      </w:r>
      <w:r>
        <w:rPr>
          <w:rFonts w:hint="eastAsia" w:ascii="宋体" w:hAnsi="宋体" w:cs="宋体"/>
          <w:color w:val="000000"/>
          <w:kern w:val="0"/>
          <w:highlight w:val="none"/>
        </w:rPr>
        <w:t>投标人的主要业绩证明材料</w:t>
      </w:r>
      <w:r>
        <w:rPr>
          <w:rFonts w:hint="eastAsia" w:ascii="宋体" w:hAnsi="宋体" w:cs="宋体"/>
          <w:color w:val="000000"/>
          <w:szCs w:val="24"/>
          <w:highlight w:val="none"/>
        </w:rPr>
        <w:t>（</w:t>
      </w:r>
      <w:r>
        <w:rPr>
          <w:rFonts w:hint="eastAsia" w:ascii="宋体" w:hAnsi="宋体" w:cs="宋体"/>
          <w:color w:val="000000"/>
          <w:highlight w:val="none"/>
        </w:rPr>
        <w:t>联合体投标的，联合体各方</w:t>
      </w:r>
      <w:r>
        <w:rPr>
          <w:rFonts w:hint="eastAsia" w:ascii="宋体" w:hAnsi="宋体" w:cs="宋体"/>
          <w:color w:val="000000"/>
          <w:kern w:val="0"/>
          <w:highlight w:val="none"/>
        </w:rPr>
        <w:t>分别提供与联合体协议中规定的分工内容相应的业绩证明材料，业绩数量以提供材料较少的一方为准，如联合体协议中未进行分工约定的，联合体成员各方应就所有合同约定的工作内容提供业绩证明材料，有一方未能提供全部合同约定的工作内容的业绩证明材料的，视为联合体未提供业绩证明材料；以分包方式履行政府采购合同的，还需提供其项目采购人同意分包的证明材料</w:t>
      </w:r>
      <w:r>
        <w:rPr>
          <w:rFonts w:hint="eastAsia" w:ascii="宋体" w:hAnsi="宋体" w:cs="宋体"/>
          <w:color w:val="000000"/>
          <w:szCs w:val="24"/>
          <w:highlight w:val="none"/>
        </w:rPr>
        <w:t>)</w:t>
      </w:r>
      <w:r>
        <w:rPr>
          <w:rFonts w:hint="eastAsia" w:ascii="宋体" w:hAnsi="宋体" w:cs="宋体"/>
          <w:color w:val="000000"/>
          <w:kern w:val="0"/>
          <w:highlight w:val="none"/>
        </w:rPr>
        <w:t>；</w:t>
      </w:r>
      <w:r>
        <w:rPr>
          <w:rFonts w:hint="eastAsia" w:ascii="宋体" w:hAnsi="宋体" w:cs="宋体"/>
          <w:color w:val="000000"/>
          <w:kern w:val="0"/>
          <w:highlight w:val="none"/>
          <w:lang w:val="zh-CN"/>
        </w:rPr>
        <w:t>（如果有）</w:t>
      </w:r>
    </w:p>
    <w:p>
      <w:pPr>
        <w:shd w:val="clear" w:color="auto" w:fill="auto"/>
        <w:snapToGrid w:val="0"/>
        <w:spacing w:line="360" w:lineRule="auto"/>
        <w:ind w:firstLine="540" w:firstLineChars="225"/>
        <w:rPr>
          <w:rFonts w:hint="eastAsia" w:ascii="宋体" w:hAnsi="宋体" w:cs="宋体"/>
          <w:color w:val="000000"/>
          <w:sz w:val="24"/>
          <w:highlight w:val="none"/>
        </w:rPr>
      </w:pPr>
      <w:r>
        <w:rPr>
          <w:rFonts w:hint="eastAsia" w:ascii="宋体" w:hAnsi="宋体" w:cs="宋体"/>
          <w:color w:val="000000"/>
          <w:sz w:val="24"/>
          <w:highlight w:val="none"/>
          <w:lang w:val="zh-CN"/>
        </w:rPr>
        <w:t>11.3.</w:t>
      </w:r>
      <w:r>
        <w:rPr>
          <w:rFonts w:hint="eastAsia" w:ascii="宋体" w:hAnsi="宋体" w:cs="宋体"/>
          <w:color w:val="000000"/>
          <w:sz w:val="24"/>
          <w:highlight w:val="none"/>
        </w:rPr>
        <w:t>7</w:t>
      </w:r>
      <w:r>
        <w:rPr>
          <w:rFonts w:hint="eastAsia" w:ascii="宋体" w:hAnsi="宋体" w:cs="宋体"/>
          <w:color w:val="000000"/>
          <w:kern w:val="0"/>
          <w:sz w:val="24"/>
          <w:highlight w:val="none"/>
          <w:lang w:val="zh-CN"/>
        </w:rPr>
        <w:t>投标人认为需要的其他商务文件或说明；（如果有）</w:t>
      </w:r>
    </w:p>
    <w:p>
      <w:pPr>
        <w:pStyle w:val="32"/>
        <w:shd w:val="clear" w:color="auto" w:fill="auto"/>
        <w:snapToGrid w:val="0"/>
        <w:spacing w:line="360" w:lineRule="auto"/>
        <w:ind w:right="-512" w:firstLine="480" w:firstLineChars="200"/>
        <w:rPr>
          <w:rFonts w:hint="eastAsia" w:hAnsi="宋体" w:cs="宋体"/>
          <w:color w:val="000000"/>
          <w:sz w:val="24"/>
          <w:highlight w:val="none"/>
          <w:lang w:val="zh-CN"/>
        </w:rPr>
      </w:pPr>
      <w:r>
        <w:rPr>
          <w:rFonts w:hint="eastAsia" w:hAnsi="宋体" w:cs="宋体"/>
          <w:color w:val="000000"/>
          <w:sz w:val="24"/>
          <w:highlight w:val="none"/>
          <w:lang w:val="zh-CN"/>
        </w:rPr>
        <w:t>11.3.</w:t>
      </w:r>
      <w:r>
        <w:rPr>
          <w:rFonts w:hint="eastAsia" w:hAnsi="宋体" w:cs="宋体"/>
          <w:color w:val="000000"/>
          <w:sz w:val="24"/>
          <w:highlight w:val="none"/>
        </w:rPr>
        <w:t>8</w:t>
      </w:r>
      <w:r>
        <w:rPr>
          <w:rFonts w:hint="eastAsia" w:hAnsi="宋体" w:cs="宋体"/>
          <w:color w:val="000000"/>
          <w:sz w:val="24"/>
          <w:highlight w:val="none"/>
          <w:lang w:val="zh-CN"/>
        </w:rPr>
        <w:t>投标人应提供针对项目的完整技术解决方案；</w:t>
      </w:r>
    </w:p>
    <w:p>
      <w:pPr>
        <w:shd w:val="clear" w:color="auto" w:fill="auto"/>
        <w:snapToGrid w:val="0"/>
        <w:spacing w:line="360" w:lineRule="auto"/>
        <w:ind w:firstLine="480" w:firstLineChars="200"/>
        <w:rPr>
          <w:rFonts w:hint="eastAsia" w:ascii="宋体" w:hAnsi="宋体" w:cs="宋体"/>
          <w:color w:val="000000"/>
          <w:kern w:val="0"/>
          <w:sz w:val="24"/>
          <w:highlight w:val="none"/>
          <w:lang w:val="zh-CN"/>
        </w:rPr>
      </w:pPr>
      <w:r>
        <w:rPr>
          <w:rFonts w:hint="eastAsia" w:ascii="宋体" w:hAnsi="宋体" w:cs="宋体"/>
          <w:color w:val="000000"/>
          <w:sz w:val="24"/>
          <w:highlight w:val="none"/>
          <w:lang w:val="zh-CN"/>
        </w:rPr>
        <w:t>针对本项目的完整技术解决方案和实施方案；详细阐述项目方案的实现思路及关键技术；符合本项目对当前和未来发展的要求；以及对功能设计和实施计划的建议；</w:t>
      </w:r>
    </w:p>
    <w:p>
      <w:pPr>
        <w:pStyle w:val="32"/>
        <w:shd w:val="clear" w:color="auto" w:fill="auto"/>
        <w:snapToGrid w:val="0"/>
        <w:spacing w:line="360" w:lineRule="auto"/>
        <w:ind w:right="-512" w:firstLine="482" w:firstLineChars="200"/>
        <w:rPr>
          <w:rFonts w:hint="eastAsia" w:hAnsi="宋体" w:cs="宋体"/>
          <w:color w:val="000000"/>
          <w:kern w:val="0"/>
          <w:sz w:val="24"/>
          <w:highlight w:val="none"/>
          <w:lang w:val="zh-CN"/>
        </w:rPr>
      </w:pPr>
      <w:r>
        <w:rPr>
          <w:rFonts w:hint="eastAsia" w:hAnsi="宋体" w:cs="宋体"/>
          <w:b/>
          <w:color w:val="000000"/>
          <w:sz w:val="24"/>
          <w:highlight w:val="none"/>
        </w:rPr>
        <w:t>如果本项目涉及硬件设备采购，还需提供投标产品规格配置清单（设备名称、品牌及型号、规格配置详细说明、数量等）。所有技术指标表述均应采用中文，如当前公布的技术指标只有英文表述的，必须由投标人作出中文注释（评审时以中文注释为准）。否则</w:t>
      </w:r>
      <w:r>
        <w:rPr>
          <w:rFonts w:hint="eastAsia" w:hAnsi="宋体" w:cs="宋体"/>
          <w:b/>
          <w:color w:val="000000"/>
          <w:kern w:val="0"/>
          <w:sz w:val="24"/>
          <w:highlight w:val="none"/>
          <w:lang w:val="zh-CN"/>
        </w:rPr>
        <w:t>任何含糊不清的</w:t>
      </w:r>
      <w:r>
        <w:rPr>
          <w:rFonts w:hint="eastAsia" w:hAnsi="宋体" w:cs="宋体"/>
          <w:b/>
          <w:color w:val="000000"/>
          <w:sz w:val="24"/>
          <w:highlight w:val="none"/>
        </w:rPr>
        <w:t>表述导致</w:t>
      </w:r>
      <w:r>
        <w:rPr>
          <w:rFonts w:hint="eastAsia" w:hAnsi="宋体" w:cs="宋体"/>
          <w:b/>
          <w:color w:val="000000"/>
          <w:kern w:val="0"/>
          <w:sz w:val="24"/>
          <w:highlight w:val="none"/>
          <w:lang w:val="zh-CN"/>
        </w:rPr>
        <w:t>评标委员会技术扣分直至认定为投标无效都将是投标人的责任</w:t>
      </w:r>
      <w:r>
        <w:rPr>
          <w:rFonts w:hint="eastAsia" w:hAnsi="宋体" w:cs="宋体"/>
          <w:color w:val="000000"/>
          <w:sz w:val="24"/>
          <w:highlight w:val="none"/>
        </w:rPr>
        <w:t>。</w:t>
      </w:r>
    </w:p>
    <w:p>
      <w:pPr>
        <w:shd w:val="clear" w:color="auto" w:fill="auto"/>
        <w:snapToGrid w:val="0"/>
        <w:spacing w:line="360" w:lineRule="auto"/>
        <w:ind w:firstLine="360" w:firstLineChars="150"/>
        <w:rPr>
          <w:rFonts w:hint="eastAsia" w:ascii="宋体" w:hAnsi="宋体" w:cs="宋体"/>
          <w:color w:val="000000"/>
          <w:kern w:val="0"/>
          <w:sz w:val="24"/>
          <w:highlight w:val="none"/>
          <w:lang w:val="zh-CN"/>
        </w:rPr>
      </w:pPr>
      <w:r>
        <w:rPr>
          <w:rFonts w:hint="eastAsia" w:ascii="宋体" w:hAnsi="宋体" w:cs="宋体"/>
          <w:color w:val="000000"/>
          <w:kern w:val="0"/>
          <w:sz w:val="24"/>
          <w:highlight w:val="none"/>
        </w:rPr>
        <w:t xml:space="preserve"> </w:t>
      </w:r>
      <w:r>
        <w:rPr>
          <w:rFonts w:hint="eastAsia" w:ascii="宋体" w:hAnsi="宋体" w:cs="宋体"/>
          <w:color w:val="000000"/>
          <w:sz w:val="24"/>
          <w:highlight w:val="none"/>
          <w:lang w:val="zh-CN"/>
        </w:rPr>
        <w:t>11.3.9</w:t>
      </w:r>
      <w:r>
        <w:rPr>
          <w:rFonts w:hint="eastAsia" w:ascii="宋体" w:hAnsi="宋体" w:cs="宋体"/>
          <w:color w:val="000000"/>
          <w:sz w:val="24"/>
          <w:highlight w:val="none"/>
        </w:rPr>
        <w:t>投标人在投标文件技术偏离说明表中，</w:t>
      </w:r>
      <w:r>
        <w:rPr>
          <w:rFonts w:hint="eastAsia" w:ascii="宋体" w:hAnsi="宋体" w:cs="宋体"/>
          <w:color w:val="000000"/>
          <w:kern w:val="0"/>
          <w:sz w:val="24"/>
          <w:highlight w:val="none"/>
          <w:lang w:val="zh-CN"/>
        </w:rPr>
        <w:t>应对</w:t>
      </w:r>
      <w:r>
        <w:rPr>
          <w:rFonts w:hint="eastAsia" w:ascii="宋体" w:hAnsi="宋体" w:cs="宋体"/>
          <w:color w:val="000000"/>
          <w:sz w:val="24"/>
          <w:highlight w:val="none"/>
        </w:rPr>
        <w:t>采购需求</w:t>
      </w:r>
      <w:r>
        <w:rPr>
          <w:rFonts w:hint="eastAsia" w:ascii="宋体" w:hAnsi="宋体" w:cs="宋体"/>
          <w:color w:val="000000"/>
          <w:kern w:val="0"/>
          <w:sz w:val="24"/>
          <w:highlight w:val="none"/>
          <w:lang w:val="zh-CN"/>
        </w:rPr>
        <w:t>中所提出各项要求进行答复、说明和解释。如果投标人在技术偏离表中注明无偏离，评标结束后、签订采购合同前又认为其实际产品与投标技术需求不一致的，并以此为由拒不与采购人按采购需求与投标承诺签订政府采购合同的，投标人有未按照采购文件确定的事项签订政府采购合同的情形，依照政府采购法第七十七条第一款的规定将被追究法律责任；</w:t>
      </w:r>
    </w:p>
    <w:p>
      <w:pPr>
        <w:shd w:val="clear" w:color="auto" w:fill="auto"/>
        <w:snapToGrid w:val="0"/>
        <w:spacing w:line="360" w:lineRule="auto"/>
        <w:ind w:firstLine="360" w:firstLineChars="150"/>
        <w:rPr>
          <w:rFonts w:hint="eastAsia" w:ascii="宋体" w:hAnsi="宋体" w:cs="宋体"/>
          <w:color w:val="000000"/>
          <w:kern w:val="0"/>
          <w:sz w:val="24"/>
          <w:highlight w:val="none"/>
          <w:lang w:val="zh-CN"/>
        </w:rPr>
      </w:pPr>
      <w:r>
        <w:rPr>
          <w:rFonts w:hint="eastAsia" w:ascii="宋体" w:hAnsi="宋体" w:cs="宋体"/>
          <w:color w:val="000000"/>
          <w:sz w:val="24"/>
          <w:highlight w:val="none"/>
          <w:lang w:val="zh-CN"/>
        </w:rPr>
        <w:t>11.3.10</w:t>
      </w:r>
      <w:r>
        <w:rPr>
          <w:rFonts w:hint="eastAsia" w:ascii="宋体" w:hAnsi="宋体" w:cs="宋体"/>
          <w:color w:val="000000"/>
          <w:kern w:val="0"/>
          <w:sz w:val="24"/>
          <w:highlight w:val="none"/>
          <w:lang w:val="zh-CN"/>
        </w:rPr>
        <w:t>针对本项目建设的详细实施计划。本项目详细工作实施组织方案，包括(但不限于)以下内容：组织机构、工作时间进度表、工作程序和步骤、管理和协调方法、关键步骤的思路和要点；（如果有）</w:t>
      </w:r>
      <w:r>
        <w:rPr>
          <w:rFonts w:hint="eastAsia" w:ascii="宋体" w:hAnsi="宋体" w:cs="宋体"/>
          <w:color w:val="000000"/>
          <w:sz w:val="24"/>
          <w:highlight w:val="none"/>
        </w:rPr>
        <w:t xml:space="preserve"> </w:t>
      </w:r>
    </w:p>
    <w:p>
      <w:pPr>
        <w:shd w:val="clear" w:color="auto" w:fill="auto"/>
        <w:snapToGrid w:val="0"/>
        <w:spacing w:line="360" w:lineRule="auto"/>
        <w:ind w:firstLine="360" w:firstLineChars="150"/>
        <w:rPr>
          <w:rFonts w:hint="eastAsia" w:ascii="宋体" w:hAnsi="宋体" w:cs="宋体"/>
          <w:color w:val="000000"/>
          <w:kern w:val="0"/>
          <w:sz w:val="24"/>
          <w:highlight w:val="none"/>
          <w:lang w:val="zh-CN"/>
        </w:rPr>
      </w:pPr>
      <w:r>
        <w:rPr>
          <w:rFonts w:hint="eastAsia" w:ascii="宋体" w:hAnsi="宋体" w:cs="宋体"/>
          <w:color w:val="000000"/>
          <w:sz w:val="24"/>
          <w:highlight w:val="none"/>
          <w:lang w:val="zh-CN"/>
        </w:rPr>
        <w:t>11.3.11</w:t>
      </w:r>
      <w:r>
        <w:rPr>
          <w:rFonts w:hint="eastAsia" w:ascii="宋体" w:hAnsi="宋体" w:cs="宋体"/>
          <w:color w:val="000000"/>
          <w:kern w:val="0"/>
          <w:sz w:val="24"/>
          <w:highlight w:val="none"/>
          <w:lang w:val="zh-CN"/>
        </w:rPr>
        <w:t>针对本项目的售后服务方案。项目验收之前、验收之后的维护方案；针对本项目的维护方案等。投标人应以书面形式完整准确地表述售后服务承诺(范围、标准及期限等)、投标人可能增加的服务承诺等。并明示服务承诺可能涉及的前提设定和费用，否则将被认为是无条件和免费的。承诺质保期内均提供免费上门服务；（如果有）</w:t>
      </w:r>
    </w:p>
    <w:p>
      <w:pPr>
        <w:shd w:val="clear" w:color="auto" w:fill="auto"/>
        <w:snapToGrid w:val="0"/>
        <w:spacing w:line="360" w:lineRule="auto"/>
        <w:ind w:firstLine="360" w:firstLineChars="150"/>
        <w:rPr>
          <w:rFonts w:hint="eastAsia" w:ascii="宋体" w:hAnsi="宋体" w:cs="宋体"/>
          <w:color w:val="000000"/>
          <w:kern w:val="0"/>
          <w:sz w:val="24"/>
          <w:highlight w:val="none"/>
          <w:lang w:val="zh-CN"/>
        </w:rPr>
      </w:pPr>
      <w:r>
        <w:rPr>
          <w:rFonts w:hint="eastAsia" w:ascii="宋体" w:hAnsi="宋体" w:cs="宋体"/>
          <w:color w:val="000000"/>
          <w:sz w:val="24"/>
          <w:highlight w:val="none"/>
          <w:lang w:val="zh-CN"/>
        </w:rPr>
        <w:t>11.3.12</w:t>
      </w:r>
      <w:r>
        <w:rPr>
          <w:rFonts w:hint="eastAsia" w:ascii="宋体" w:hAnsi="宋体" w:cs="宋体"/>
          <w:color w:val="000000"/>
          <w:kern w:val="0"/>
          <w:sz w:val="24"/>
          <w:highlight w:val="none"/>
          <w:lang w:val="zh-CN"/>
        </w:rPr>
        <w:t>投标人为完成本项目组建的工作小组名单，每个专业人员的情况和人员数应该明确表示，明确各阶段投入人数，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hd w:val="clear" w:color="auto" w:fill="auto"/>
        <w:tabs>
          <w:tab w:val="left" w:pos="0"/>
          <w:tab w:val="left" w:pos="840"/>
        </w:tabs>
        <w:autoSpaceDE w:val="0"/>
        <w:autoSpaceDN w:val="0"/>
        <w:spacing w:line="360" w:lineRule="auto"/>
        <w:ind w:firstLine="360" w:firstLineChars="150"/>
        <w:rPr>
          <w:rFonts w:hint="eastAsia" w:ascii="宋体" w:hAnsi="宋体" w:cs="宋体"/>
          <w:color w:val="000000"/>
          <w:kern w:val="0"/>
          <w:sz w:val="24"/>
          <w:highlight w:val="none"/>
          <w:lang w:val="zh-CN"/>
        </w:rPr>
      </w:pPr>
      <w:r>
        <w:rPr>
          <w:rFonts w:hint="eastAsia" w:ascii="宋体" w:hAnsi="宋体" w:cs="宋体"/>
          <w:color w:val="000000"/>
          <w:sz w:val="24"/>
          <w:highlight w:val="none"/>
          <w:lang w:val="zh-CN"/>
        </w:rPr>
        <w:t>11.3.13</w:t>
      </w:r>
      <w:r>
        <w:rPr>
          <w:rFonts w:hint="eastAsia" w:ascii="宋体" w:hAnsi="宋体" w:cs="宋体"/>
          <w:color w:val="000000"/>
          <w:kern w:val="0"/>
          <w:sz w:val="24"/>
          <w:highlight w:val="none"/>
          <w:lang w:val="zh-CN"/>
        </w:rPr>
        <w:t>优惠条件及特殊承诺；（如果有）</w:t>
      </w:r>
    </w:p>
    <w:p>
      <w:pPr>
        <w:shd w:val="clear" w:color="auto" w:fill="auto"/>
        <w:tabs>
          <w:tab w:val="left" w:pos="0"/>
          <w:tab w:val="left" w:pos="840"/>
        </w:tabs>
        <w:autoSpaceDE w:val="0"/>
        <w:autoSpaceDN w:val="0"/>
        <w:spacing w:line="360" w:lineRule="auto"/>
        <w:ind w:firstLine="360" w:firstLineChars="150"/>
        <w:rPr>
          <w:rFonts w:hint="eastAsia" w:ascii="宋体" w:hAnsi="宋体" w:cs="宋体"/>
          <w:color w:val="000000"/>
          <w:kern w:val="0"/>
          <w:sz w:val="24"/>
          <w:highlight w:val="none"/>
          <w:lang w:val="zh-CN"/>
        </w:rPr>
      </w:pPr>
      <w:r>
        <w:rPr>
          <w:rFonts w:hint="eastAsia" w:ascii="宋体" w:hAnsi="宋体" w:cs="宋体"/>
          <w:color w:val="000000"/>
          <w:sz w:val="24"/>
          <w:highlight w:val="none"/>
          <w:lang w:val="zh-CN"/>
        </w:rPr>
        <w:t>11.3.14</w:t>
      </w:r>
      <w:r>
        <w:rPr>
          <w:rFonts w:hint="eastAsia" w:ascii="宋体" w:hAnsi="宋体" w:cs="宋体"/>
          <w:color w:val="000000"/>
          <w:kern w:val="0"/>
          <w:sz w:val="24"/>
          <w:highlight w:val="none"/>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hd w:val="clear" w:color="auto" w:fill="auto"/>
        <w:snapToGrid w:val="0"/>
        <w:spacing w:line="360" w:lineRule="auto"/>
        <w:ind w:firstLine="360" w:firstLineChars="150"/>
        <w:rPr>
          <w:rFonts w:hint="eastAsia" w:ascii="宋体" w:hAnsi="宋体" w:cs="宋体"/>
          <w:color w:val="000000"/>
          <w:kern w:val="0"/>
          <w:sz w:val="24"/>
          <w:highlight w:val="none"/>
          <w:lang w:val="zh-CN"/>
        </w:rPr>
      </w:pPr>
      <w:r>
        <w:rPr>
          <w:rFonts w:hint="eastAsia" w:ascii="宋体" w:hAnsi="宋体" w:cs="宋体"/>
          <w:color w:val="000000"/>
          <w:sz w:val="24"/>
          <w:highlight w:val="none"/>
          <w:lang w:val="zh-CN"/>
        </w:rPr>
        <w:t>11.3.15</w:t>
      </w:r>
      <w:r>
        <w:rPr>
          <w:rFonts w:hint="eastAsia" w:ascii="宋体" w:hAnsi="宋体" w:cs="宋体"/>
          <w:color w:val="000000"/>
          <w:kern w:val="0"/>
          <w:sz w:val="24"/>
          <w:highlight w:val="none"/>
          <w:lang w:val="zh-CN"/>
        </w:rPr>
        <w:t>培训计划；（如果有）</w:t>
      </w:r>
    </w:p>
    <w:p>
      <w:pPr>
        <w:pStyle w:val="32"/>
        <w:shd w:val="clear" w:color="auto" w:fill="auto"/>
        <w:spacing w:line="360" w:lineRule="auto"/>
        <w:ind w:right="-512" w:firstLine="360" w:firstLineChars="150"/>
        <w:rPr>
          <w:rFonts w:hint="eastAsia" w:hAnsi="宋体" w:cs="宋体"/>
          <w:color w:val="000000"/>
          <w:kern w:val="0"/>
          <w:sz w:val="24"/>
          <w:szCs w:val="24"/>
          <w:highlight w:val="none"/>
          <w:lang w:val="zh-CN"/>
        </w:rPr>
      </w:pPr>
      <w:r>
        <w:rPr>
          <w:rFonts w:hint="eastAsia" w:hAnsi="宋体" w:cs="宋体"/>
          <w:color w:val="000000"/>
          <w:sz w:val="24"/>
          <w:highlight w:val="none"/>
          <w:lang w:val="zh-CN"/>
        </w:rPr>
        <w:t>11.3.16</w:t>
      </w:r>
      <w:r>
        <w:rPr>
          <w:rFonts w:hint="eastAsia" w:hAnsi="宋体" w:cs="宋体"/>
          <w:color w:val="000000"/>
          <w:kern w:val="0"/>
          <w:sz w:val="24"/>
          <w:szCs w:val="24"/>
          <w:highlight w:val="none"/>
          <w:lang w:val="zh-CN"/>
        </w:rPr>
        <w:t>投标人认为需要的其他技术文件或说明；</w:t>
      </w:r>
      <w:r>
        <w:rPr>
          <w:rFonts w:hint="eastAsia" w:hAnsi="宋体" w:cs="宋体"/>
          <w:color w:val="000000"/>
          <w:kern w:val="0"/>
          <w:sz w:val="24"/>
          <w:highlight w:val="none"/>
          <w:lang w:val="zh-CN"/>
        </w:rPr>
        <w:t>（如果有）</w:t>
      </w:r>
    </w:p>
    <w:p>
      <w:pPr>
        <w:shd w:val="clear" w:color="auto" w:fill="auto"/>
        <w:tabs>
          <w:tab w:val="left" w:pos="0"/>
        </w:tabs>
        <w:autoSpaceDE w:val="0"/>
        <w:autoSpaceDN w:val="0"/>
        <w:spacing w:line="360" w:lineRule="auto"/>
        <w:ind w:firstLine="360" w:firstLineChars="150"/>
        <w:rPr>
          <w:rFonts w:hint="eastAsia" w:ascii="宋体" w:hAnsi="宋体" w:cs="宋体"/>
          <w:color w:val="000000"/>
          <w:kern w:val="0"/>
          <w:sz w:val="24"/>
          <w:highlight w:val="none"/>
          <w:lang w:val="zh-CN"/>
        </w:rPr>
      </w:pPr>
      <w:r>
        <w:rPr>
          <w:rFonts w:hint="eastAsia" w:ascii="宋体" w:hAnsi="宋体" w:cs="宋体"/>
          <w:color w:val="000000"/>
          <w:sz w:val="24"/>
          <w:highlight w:val="none"/>
          <w:lang w:val="zh-CN"/>
        </w:rPr>
        <w:t>11.3.17</w:t>
      </w:r>
      <w:r>
        <w:rPr>
          <w:rFonts w:hint="eastAsia" w:ascii="宋体" w:hAnsi="宋体" w:cs="宋体"/>
          <w:color w:val="000000"/>
          <w:kern w:val="0"/>
          <w:sz w:val="24"/>
          <w:highlight w:val="none"/>
          <w:lang w:val="zh-CN"/>
        </w:rPr>
        <w:t>关于对招标文件商务、合同中有关条款的拒绝声明。（如果有）</w:t>
      </w:r>
    </w:p>
    <w:p>
      <w:pPr>
        <w:shd w:val="clear" w:color="auto" w:fill="auto"/>
        <w:tabs>
          <w:tab w:val="left" w:pos="0"/>
        </w:tabs>
        <w:autoSpaceDE w:val="0"/>
        <w:autoSpaceDN w:val="0"/>
        <w:spacing w:line="360" w:lineRule="auto"/>
        <w:ind w:firstLine="361" w:firstLineChars="150"/>
        <w:rPr>
          <w:rFonts w:hint="eastAsia" w:ascii="宋体" w:hAnsi="宋体" w:cs="宋体"/>
          <w:b/>
          <w:color w:val="000000"/>
          <w:sz w:val="24"/>
          <w:highlight w:val="none"/>
        </w:rPr>
      </w:pPr>
      <w:r>
        <w:rPr>
          <w:rFonts w:hint="eastAsia" w:ascii="宋体" w:hAnsi="宋体" w:cs="宋体"/>
          <w:b/>
          <w:color w:val="000000"/>
          <w:sz w:val="24"/>
          <w:highlight w:val="none"/>
        </w:rPr>
        <w:t>▲投标文件组成漏项，内容不全或内容字迹模糊辨认不清的，投标无效；</w:t>
      </w:r>
    </w:p>
    <w:p>
      <w:pPr>
        <w:shd w:val="clear" w:color="auto" w:fill="auto"/>
        <w:spacing w:line="360" w:lineRule="auto"/>
        <w:ind w:firstLine="482" w:firstLineChars="200"/>
        <w:rPr>
          <w:rFonts w:hint="eastAsia" w:ascii="宋体" w:hAnsi="宋体" w:cs="宋体"/>
          <w:b/>
          <w:color w:val="000000"/>
          <w:sz w:val="24"/>
          <w:highlight w:val="none"/>
        </w:rPr>
      </w:pPr>
      <w:r>
        <w:rPr>
          <w:rFonts w:hint="eastAsia" w:ascii="宋体" w:hAnsi="宋体" w:cs="宋体"/>
          <w:b/>
          <w:color w:val="000000"/>
          <w:sz w:val="24"/>
          <w:highlight w:val="none"/>
        </w:rPr>
        <w:t>▲投标文件含有采购人不能接受的附加条件的，投标无效；</w:t>
      </w:r>
    </w:p>
    <w:p>
      <w:pPr>
        <w:shd w:val="clear" w:color="auto" w:fill="auto"/>
        <w:spacing w:line="360" w:lineRule="auto"/>
        <w:ind w:firstLine="482" w:firstLineChars="200"/>
        <w:rPr>
          <w:rFonts w:hint="eastAsia" w:ascii="宋体" w:hAnsi="宋体" w:cs="宋体"/>
          <w:b/>
          <w:color w:val="000000"/>
          <w:sz w:val="24"/>
          <w:highlight w:val="none"/>
        </w:rPr>
      </w:pPr>
      <w:r>
        <w:rPr>
          <w:rFonts w:hint="eastAsia" w:ascii="宋体" w:hAnsi="宋体" w:cs="宋体"/>
          <w:b/>
          <w:color w:val="000000"/>
          <w:sz w:val="24"/>
          <w:highlight w:val="none"/>
        </w:rPr>
        <w:t>▲投标人提供虚假材料投标的，投标无效。</w:t>
      </w:r>
    </w:p>
    <w:p>
      <w:pPr>
        <w:shd w:val="clear" w:color="auto" w:fill="auto"/>
        <w:spacing w:line="360" w:lineRule="auto"/>
        <w:ind w:firstLine="482" w:firstLineChars="200"/>
        <w:rPr>
          <w:rFonts w:hint="eastAsia" w:ascii="宋体" w:hAnsi="宋体" w:cs="宋体"/>
          <w:b/>
          <w:color w:val="000000"/>
          <w:sz w:val="24"/>
          <w:szCs w:val="21"/>
          <w:highlight w:val="none"/>
        </w:rPr>
      </w:pPr>
      <w:r>
        <w:rPr>
          <w:rFonts w:hint="eastAsia" w:ascii="宋体" w:hAnsi="宋体" w:cs="宋体"/>
          <w:b/>
          <w:color w:val="000000"/>
          <w:sz w:val="24"/>
          <w:highlight w:val="none"/>
        </w:rPr>
        <w:t>▲根据法律、法规或招标文件要求，评标委员会认为应当作无效投标的其他情况。</w:t>
      </w:r>
    </w:p>
    <w:p>
      <w:pPr>
        <w:shd w:val="clear" w:color="auto" w:fill="auto"/>
        <w:spacing w:line="360" w:lineRule="auto"/>
        <w:ind w:firstLine="482" w:firstLineChars="200"/>
        <w:rPr>
          <w:rFonts w:hint="eastAsia" w:ascii="宋体" w:hAnsi="宋体" w:cs="宋体"/>
          <w:b/>
          <w:color w:val="000000"/>
          <w:sz w:val="24"/>
          <w:highlight w:val="none"/>
        </w:rPr>
      </w:pPr>
      <w:bookmarkStart w:id="57" w:name="_Toc91899887"/>
      <w:r>
        <w:rPr>
          <w:rFonts w:hint="eastAsia" w:ascii="宋体" w:hAnsi="宋体" w:cs="宋体"/>
          <w:b/>
          <w:color w:val="000000"/>
          <w:sz w:val="24"/>
          <w:highlight w:val="none"/>
        </w:rPr>
        <w:t>▲</w:t>
      </w:r>
      <w:r>
        <w:rPr>
          <w:rFonts w:hint="eastAsia" w:ascii="宋体" w:hAnsi="宋体" w:cs="宋体"/>
          <w:b/>
          <w:color w:val="000000"/>
          <w:sz w:val="24"/>
          <w:highlight w:val="none"/>
          <w:lang w:val="zh-CN"/>
        </w:rPr>
        <w:t>商务</w:t>
      </w:r>
      <w:r>
        <w:rPr>
          <w:rFonts w:hint="eastAsia" w:ascii="宋体" w:hAnsi="宋体" w:cs="宋体"/>
          <w:b/>
          <w:color w:val="000000"/>
          <w:sz w:val="24"/>
          <w:highlight w:val="none"/>
        </w:rPr>
        <w:t>技术</w:t>
      </w:r>
      <w:r>
        <w:rPr>
          <w:rFonts w:hint="eastAsia" w:ascii="宋体" w:hAnsi="宋体" w:cs="宋体"/>
          <w:b/>
          <w:color w:val="000000"/>
          <w:sz w:val="24"/>
          <w:highlight w:val="none"/>
          <w:lang w:val="zh-CN"/>
        </w:rPr>
        <w:t>文件、资格文件中出现本项目投标报价</w:t>
      </w:r>
      <w:r>
        <w:rPr>
          <w:rFonts w:hint="eastAsia" w:ascii="宋体" w:hAnsi="宋体" w:cs="宋体"/>
          <w:b/>
          <w:color w:val="000000"/>
          <w:sz w:val="24"/>
          <w:highlight w:val="none"/>
        </w:rPr>
        <w:t>的</w:t>
      </w:r>
      <w:r>
        <w:rPr>
          <w:rFonts w:hint="eastAsia" w:ascii="宋体" w:hAnsi="宋体" w:cs="宋体"/>
          <w:b/>
          <w:color w:val="000000"/>
          <w:sz w:val="24"/>
          <w:highlight w:val="none"/>
          <w:lang w:val="zh-CN"/>
        </w:rPr>
        <w:t>，</w:t>
      </w:r>
      <w:r>
        <w:rPr>
          <w:rFonts w:hint="eastAsia" w:ascii="宋体" w:hAnsi="宋体" w:cs="宋体"/>
          <w:b/>
          <w:color w:val="000000"/>
          <w:sz w:val="24"/>
          <w:highlight w:val="none"/>
        </w:rPr>
        <w:t>投标无效。</w:t>
      </w:r>
    </w:p>
    <w:p>
      <w:pPr>
        <w:pStyle w:val="32"/>
        <w:shd w:val="clear" w:color="auto" w:fill="auto"/>
        <w:spacing w:line="360" w:lineRule="auto"/>
        <w:ind w:firstLine="482" w:firstLineChars="200"/>
        <w:rPr>
          <w:rFonts w:hint="eastAsia" w:hAnsi="宋体" w:cs="宋体"/>
          <w:b/>
          <w:color w:val="000000"/>
          <w:sz w:val="24"/>
          <w:szCs w:val="24"/>
          <w:highlight w:val="none"/>
        </w:rPr>
      </w:pPr>
      <w:r>
        <w:rPr>
          <w:rFonts w:hint="eastAsia" w:hAnsi="宋体" w:cs="宋体"/>
          <w:b/>
          <w:color w:val="000000"/>
          <w:sz w:val="24"/>
          <w:szCs w:val="24"/>
          <w:highlight w:val="none"/>
        </w:rPr>
        <w:t>12. 投标文件的编制</w:t>
      </w:r>
    </w:p>
    <w:p>
      <w:pPr>
        <w:pStyle w:val="32"/>
        <w:shd w:val="clear" w:color="auto" w:fill="auto"/>
        <w:spacing w:line="360" w:lineRule="auto"/>
        <w:ind w:firstLine="480" w:firstLineChars="200"/>
        <w:rPr>
          <w:rFonts w:hint="eastAsia" w:hAnsi="宋体" w:cs="宋体"/>
          <w:color w:val="000000"/>
          <w:kern w:val="0"/>
          <w:sz w:val="24"/>
          <w:highlight w:val="none"/>
          <w:lang w:val="zh-CN"/>
        </w:rPr>
      </w:pPr>
      <w:r>
        <w:rPr>
          <w:rFonts w:hint="eastAsia" w:hAnsi="宋体" w:cs="宋体"/>
          <w:color w:val="000000"/>
          <w:kern w:val="0"/>
          <w:sz w:val="24"/>
          <w:highlight w:val="none"/>
        </w:rPr>
        <w:t>12.1</w:t>
      </w:r>
      <w:r>
        <w:rPr>
          <w:rFonts w:hint="eastAsia" w:hAnsi="宋体" w:cs="宋体"/>
          <w:color w:val="000000"/>
          <w:kern w:val="0"/>
          <w:sz w:val="24"/>
          <w:highlight w:val="none"/>
          <w:lang w:val="zh-CN"/>
        </w:rPr>
        <w:t>本项目通过</w:t>
      </w:r>
      <w:r>
        <w:rPr>
          <w:rFonts w:hint="eastAsia" w:hAnsi="宋体" w:cs="宋体"/>
          <w:color w:val="000000"/>
          <w:kern w:val="0"/>
          <w:sz w:val="24"/>
          <w:highlight w:val="none"/>
        </w:rPr>
        <w:t>“</w:t>
      </w:r>
      <w:r>
        <w:rPr>
          <w:rFonts w:hint="eastAsia" w:hAnsi="宋体" w:cs="宋体"/>
          <w:color w:val="000000"/>
          <w:kern w:val="0"/>
          <w:sz w:val="24"/>
          <w:highlight w:val="none"/>
          <w:lang w:val="zh-CN"/>
        </w:rPr>
        <w:t>政府采购云平台</w:t>
      </w:r>
      <w:r>
        <w:rPr>
          <w:rFonts w:hint="eastAsia" w:hAnsi="宋体" w:cs="宋体"/>
          <w:color w:val="000000"/>
          <w:kern w:val="0"/>
          <w:sz w:val="24"/>
          <w:highlight w:val="none"/>
        </w:rPr>
        <w:t>（www.zcygov.cn）”</w:t>
      </w:r>
      <w:r>
        <w:rPr>
          <w:rFonts w:hint="eastAsia" w:hAnsi="宋体" w:cs="宋体"/>
          <w:color w:val="000000"/>
          <w:kern w:val="0"/>
          <w:sz w:val="24"/>
          <w:highlight w:val="none"/>
          <w:lang w:val="zh-CN"/>
        </w:rPr>
        <w:t>实行在线投标响应</w:t>
      </w:r>
      <w:r>
        <w:rPr>
          <w:rFonts w:hint="eastAsia" w:hAnsi="宋体" w:cs="宋体"/>
          <w:color w:val="000000"/>
          <w:kern w:val="0"/>
          <w:sz w:val="24"/>
          <w:highlight w:val="none"/>
        </w:rPr>
        <w:t>（</w:t>
      </w:r>
      <w:r>
        <w:rPr>
          <w:rFonts w:hint="eastAsia" w:hAnsi="宋体" w:cs="宋体"/>
          <w:color w:val="000000"/>
          <w:kern w:val="0"/>
          <w:sz w:val="24"/>
          <w:highlight w:val="none"/>
          <w:lang w:val="zh-CN"/>
        </w:rPr>
        <w:t>电子投标</w:t>
      </w:r>
      <w:r>
        <w:rPr>
          <w:rFonts w:hint="eastAsia" w:hAnsi="宋体" w:cs="宋体"/>
          <w:color w:val="000000"/>
          <w:kern w:val="0"/>
          <w:sz w:val="24"/>
          <w:highlight w:val="none"/>
        </w:rPr>
        <w:t>）</w:t>
      </w:r>
      <w:r>
        <w:rPr>
          <w:rFonts w:hint="eastAsia" w:hAnsi="宋体" w:cs="宋体"/>
          <w:color w:val="000000"/>
          <w:kern w:val="0"/>
          <w:sz w:val="24"/>
          <w:highlight w:val="none"/>
          <w:lang w:val="zh-CN"/>
        </w:rPr>
        <w:t>。供应商应通过“政采云电子交易客户端”，并按照本采购文件和“政府采购云平台”的要求编制并加密投标文件。</w:t>
      </w:r>
    </w:p>
    <w:p>
      <w:pPr>
        <w:pStyle w:val="32"/>
        <w:shd w:val="clear" w:color="auto" w:fill="auto"/>
        <w:spacing w:line="360" w:lineRule="auto"/>
        <w:ind w:firstLine="480" w:firstLineChars="200"/>
        <w:rPr>
          <w:rFonts w:hint="eastAsia" w:hAnsi="宋体" w:cs="宋体"/>
          <w:color w:val="000000"/>
          <w:kern w:val="0"/>
          <w:sz w:val="24"/>
          <w:highlight w:val="none"/>
          <w:lang w:val="zh-CN"/>
        </w:rPr>
      </w:pPr>
      <w:r>
        <w:rPr>
          <w:rFonts w:hint="eastAsia" w:hAnsi="宋体" w:cs="宋体"/>
          <w:color w:val="000000"/>
          <w:kern w:val="0"/>
          <w:sz w:val="24"/>
          <w:highlight w:val="none"/>
          <w:lang w:val="zh-CN"/>
        </w:rPr>
        <w:t>1</w:t>
      </w:r>
      <w:r>
        <w:rPr>
          <w:rFonts w:hint="eastAsia" w:hAnsi="宋体" w:cs="宋体"/>
          <w:color w:val="000000"/>
          <w:kern w:val="0"/>
          <w:sz w:val="24"/>
          <w:highlight w:val="none"/>
        </w:rPr>
        <w:t>2</w:t>
      </w:r>
      <w:r>
        <w:rPr>
          <w:rFonts w:hint="eastAsia" w:hAnsi="宋体" w:cs="宋体"/>
          <w:color w:val="000000"/>
          <w:kern w:val="0"/>
          <w:sz w:val="24"/>
          <w:highlight w:val="none"/>
          <w:lang w:val="zh-CN"/>
        </w:rPr>
        <w:t>.2供应商应当按照本章节“投标文件的组成”规定的内容及顺序在“政采云电子交易客户端”编制投标文件。其中商务</w:t>
      </w:r>
      <w:r>
        <w:rPr>
          <w:rFonts w:hint="eastAsia" w:hAnsi="宋体" w:cs="宋体"/>
          <w:color w:val="000000"/>
          <w:kern w:val="0"/>
          <w:sz w:val="24"/>
          <w:highlight w:val="none"/>
        </w:rPr>
        <w:t>技术</w:t>
      </w:r>
      <w:r>
        <w:rPr>
          <w:rFonts w:hint="eastAsia" w:hAnsi="宋体" w:cs="宋体"/>
          <w:color w:val="000000"/>
          <w:kern w:val="0"/>
          <w:sz w:val="24"/>
          <w:highlight w:val="none"/>
          <w:lang w:val="zh-CN"/>
        </w:rPr>
        <w:t>文件、资格文件中不得出现本项目投标报价，如因供应商原因提前泄露投标报价，是供应商的责任。</w:t>
      </w:r>
    </w:p>
    <w:p>
      <w:pPr>
        <w:pStyle w:val="32"/>
        <w:shd w:val="clear" w:color="auto" w:fill="auto"/>
        <w:spacing w:line="360" w:lineRule="auto"/>
        <w:ind w:firstLine="480" w:firstLineChars="200"/>
        <w:rPr>
          <w:rFonts w:hint="eastAsia" w:hAnsi="宋体" w:cs="宋体"/>
          <w:color w:val="000000"/>
          <w:kern w:val="0"/>
          <w:sz w:val="24"/>
          <w:highlight w:val="none"/>
          <w:lang w:val="zh-CN"/>
        </w:rPr>
      </w:pPr>
      <w:r>
        <w:rPr>
          <w:rFonts w:hint="eastAsia" w:hAnsi="宋体" w:cs="宋体"/>
          <w:color w:val="000000"/>
          <w:kern w:val="0"/>
          <w:sz w:val="24"/>
          <w:highlight w:val="none"/>
          <w:lang w:val="zh-CN"/>
        </w:rPr>
        <w:t>1</w:t>
      </w:r>
      <w:r>
        <w:rPr>
          <w:rFonts w:hint="eastAsia" w:hAnsi="宋体" w:cs="宋体"/>
          <w:color w:val="000000"/>
          <w:kern w:val="0"/>
          <w:sz w:val="24"/>
          <w:highlight w:val="none"/>
        </w:rPr>
        <w:t>2</w:t>
      </w:r>
      <w:r>
        <w:rPr>
          <w:rFonts w:hint="eastAsia" w:hAnsi="宋体" w:cs="宋体"/>
          <w:color w:val="000000"/>
          <w:kern w:val="0"/>
          <w:sz w:val="24"/>
          <w:highlight w:val="none"/>
          <w:lang w:val="zh-CN"/>
        </w:rPr>
        <w:t>.3本采购文件中有提供格式的，供应商须参照格式进行编制（格式中要求提供相关证明材料的还需后附相关证明材料），并按格式要求在指定位置根据要求进行签章，未提供格式的，请各供应商自行拟定格式，并加盖单位公章，否则视为未提供。</w:t>
      </w:r>
    </w:p>
    <w:p>
      <w:pPr>
        <w:pStyle w:val="32"/>
        <w:shd w:val="clear" w:color="auto" w:fill="auto"/>
        <w:spacing w:line="360" w:lineRule="auto"/>
        <w:ind w:firstLine="480" w:firstLineChars="200"/>
        <w:rPr>
          <w:rFonts w:hint="eastAsia" w:hAnsi="宋体" w:cs="宋体"/>
          <w:color w:val="000000"/>
          <w:kern w:val="0"/>
          <w:sz w:val="24"/>
          <w:highlight w:val="none"/>
          <w:lang w:val="zh-CN"/>
        </w:rPr>
      </w:pPr>
      <w:r>
        <w:rPr>
          <w:rFonts w:hint="eastAsia" w:hAnsi="宋体" w:cs="宋体"/>
          <w:color w:val="000000"/>
          <w:kern w:val="0"/>
          <w:sz w:val="24"/>
          <w:highlight w:val="none"/>
          <w:lang w:val="zh-CN"/>
        </w:rPr>
        <w:t>1</w:t>
      </w:r>
      <w:r>
        <w:rPr>
          <w:rFonts w:hint="eastAsia" w:hAnsi="宋体" w:cs="宋体"/>
          <w:color w:val="000000"/>
          <w:kern w:val="0"/>
          <w:sz w:val="24"/>
          <w:highlight w:val="none"/>
        </w:rPr>
        <w:t>2</w:t>
      </w:r>
      <w:r>
        <w:rPr>
          <w:rFonts w:hint="eastAsia" w:hAnsi="宋体" w:cs="宋体"/>
          <w:color w:val="000000"/>
          <w:kern w:val="0"/>
          <w:sz w:val="24"/>
          <w:highlight w:val="none"/>
          <w:lang w:val="zh-CN"/>
        </w:rPr>
        <w:t>.4投标文件内容不完整、编排混乱导致《投标文件》被误读、漏读或者查找不到相关内容的，是供应商的责任。</w:t>
      </w:r>
    </w:p>
    <w:p>
      <w:pPr>
        <w:pStyle w:val="32"/>
        <w:shd w:val="clear" w:color="auto" w:fill="auto"/>
        <w:spacing w:line="360" w:lineRule="auto"/>
        <w:ind w:firstLine="480" w:firstLineChars="200"/>
        <w:rPr>
          <w:rFonts w:hint="eastAsia" w:hAnsi="宋体" w:cs="宋体"/>
          <w:color w:val="000000"/>
          <w:kern w:val="0"/>
          <w:sz w:val="24"/>
          <w:highlight w:val="none"/>
          <w:lang w:val="zh-CN"/>
        </w:rPr>
      </w:pPr>
      <w:r>
        <w:rPr>
          <w:rFonts w:hint="eastAsia" w:hAnsi="宋体" w:cs="宋体"/>
          <w:color w:val="000000"/>
          <w:kern w:val="0"/>
          <w:sz w:val="24"/>
          <w:highlight w:val="none"/>
          <w:lang w:val="zh-CN"/>
        </w:rPr>
        <w:t>1</w:t>
      </w:r>
      <w:r>
        <w:rPr>
          <w:rFonts w:hint="eastAsia" w:hAnsi="宋体" w:cs="宋体"/>
          <w:color w:val="000000"/>
          <w:kern w:val="0"/>
          <w:sz w:val="24"/>
          <w:highlight w:val="none"/>
        </w:rPr>
        <w:t>2</w:t>
      </w:r>
      <w:r>
        <w:rPr>
          <w:rFonts w:hint="eastAsia" w:hAnsi="宋体" w:cs="宋体"/>
          <w:color w:val="000000"/>
          <w:kern w:val="0"/>
          <w:sz w:val="24"/>
          <w:highlight w:val="none"/>
          <w:lang w:val="zh-CN"/>
        </w:rPr>
        <w:t>.5投标文件因字迹潦草或表达不清所引起的后果由供应商负责。</w:t>
      </w:r>
    </w:p>
    <w:p>
      <w:pPr>
        <w:pStyle w:val="32"/>
        <w:shd w:val="clear" w:color="auto" w:fill="auto"/>
        <w:spacing w:line="360" w:lineRule="auto"/>
        <w:ind w:firstLine="480" w:firstLineChars="200"/>
        <w:rPr>
          <w:rFonts w:hint="eastAsia" w:hAnsi="宋体" w:cs="宋体"/>
          <w:color w:val="000000"/>
          <w:kern w:val="0"/>
          <w:sz w:val="24"/>
          <w:highlight w:val="none"/>
          <w:lang w:val="zh-CN"/>
        </w:rPr>
      </w:pPr>
      <w:r>
        <w:rPr>
          <w:rFonts w:hint="eastAsia" w:hAnsi="宋体" w:cs="宋体"/>
          <w:color w:val="000000"/>
          <w:kern w:val="0"/>
          <w:sz w:val="24"/>
          <w:highlight w:val="none"/>
          <w:lang w:val="zh-CN"/>
        </w:rPr>
        <w:t>1</w:t>
      </w:r>
      <w:r>
        <w:rPr>
          <w:rFonts w:hint="eastAsia" w:hAnsi="宋体" w:cs="宋体"/>
          <w:color w:val="000000"/>
          <w:kern w:val="0"/>
          <w:sz w:val="24"/>
          <w:highlight w:val="none"/>
        </w:rPr>
        <w:t>2</w:t>
      </w:r>
      <w:r>
        <w:rPr>
          <w:rFonts w:hint="eastAsia" w:hAnsi="宋体" w:cs="宋体"/>
          <w:color w:val="000000"/>
          <w:kern w:val="0"/>
          <w:sz w:val="24"/>
          <w:highlight w:val="none"/>
          <w:lang w:val="zh-CN"/>
        </w:rPr>
        <w:t>.6供应商没有按照本采购文件内 “投标文件组成”要求提供全部资料，或者没有仔细阅读采购文件，或者没有对采购文件在各方面的要求作出实质性响应是供应商的风险，由此造成的一切后果由供应商自行承担。</w:t>
      </w:r>
    </w:p>
    <w:p>
      <w:pPr>
        <w:pStyle w:val="32"/>
        <w:shd w:val="clear" w:color="auto" w:fill="auto"/>
        <w:spacing w:line="360" w:lineRule="auto"/>
        <w:ind w:firstLine="482" w:firstLineChars="200"/>
        <w:rPr>
          <w:rFonts w:hint="eastAsia" w:hAnsi="宋体" w:cs="宋体"/>
          <w:b/>
          <w:color w:val="000000"/>
          <w:sz w:val="24"/>
          <w:szCs w:val="24"/>
          <w:highlight w:val="none"/>
        </w:rPr>
      </w:pPr>
      <w:r>
        <w:rPr>
          <w:rFonts w:hint="eastAsia" w:hAnsi="宋体" w:cs="宋体"/>
          <w:b/>
          <w:color w:val="000000"/>
          <w:sz w:val="24"/>
          <w:szCs w:val="24"/>
          <w:highlight w:val="none"/>
        </w:rPr>
        <w:t>13. 投标文件的形式和份数</w:t>
      </w:r>
    </w:p>
    <w:p>
      <w:pPr>
        <w:pStyle w:val="32"/>
        <w:shd w:val="clear" w:color="auto" w:fill="auto"/>
        <w:spacing w:line="360" w:lineRule="auto"/>
        <w:ind w:firstLine="480" w:firstLineChars="200"/>
        <w:rPr>
          <w:rFonts w:hint="eastAsia" w:hAnsi="宋体" w:cs="宋体"/>
          <w:color w:val="000000"/>
          <w:sz w:val="24"/>
          <w:szCs w:val="24"/>
          <w:highlight w:val="none"/>
        </w:rPr>
      </w:pPr>
      <w:r>
        <w:rPr>
          <w:rFonts w:hint="eastAsia" w:hAnsi="宋体" w:cs="宋体"/>
          <w:color w:val="000000"/>
          <w:sz w:val="24"/>
          <w:szCs w:val="24"/>
          <w:highlight w:val="none"/>
        </w:rPr>
        <w:t>13.1投标文件的形式和份数：见“前附表”。</w:t>
      </w:r>
    </w:p>
    <w:p>
      <w:pPr>
        <w:pStyle w:val="32"/>
        <w:shd w:val="clear" w:color="auto" w:fill="auto"/>
        <w:spacing w:line="360" w:lineRule="auto"/>
        <w:ind w:firstLine="480" w:firstLineChars="200"/>
        <w:rPr>
          <w:rFonts w:hint="eastAsia" w:hAnsi="宋体" w:cs="宋体"/>
          <w:color w:val="000000"/>
          <w:sz w:val="24"/>
          <w:szCs w:val="24"/>
          <w:highlight w:val="none"/>
        </w:rPr>
      </w:pPr>
      <w:r>
        <w:rPr>
          <w:rFonts w:hint="eastAsia" w:hAnsi="宋体" w:cs="宋体"/>
          <w:color w:val="000000"/>
          <w:sz w:val="24"/>
          <w:szCs w:val="24"/>
          <w:highlight w:val="none"/>
        </w:rPr>
        <w:t>13.2“电子加密投标文件”：“电子加密投标文件”是指通过“政采云电子交易客户端”完成投标文件编制后生成并加密的数据电文形式的投标文件。</w:t>
      </w:r>
    </w:p>
    <w:p>
      <w:pPr>
        <w:pStyle w:val="32"/>
        <w:shd w:val="clear" w:color="auto" w:fill="auto"/>
        <w:spacing w:line="360" w:lineRule="auto"/>
        <w:ind w:firstLine="480" w:firstLineChars="200"/>
        <w:rPr>
          <w:rFonts w:hint="eastAsia" w:hAnsi="宋体" w:cs="宋体"/>
          <w:color w:val="000000"/>
          <w:sz w:val="24"/>
          <w:szCs w:val="24"/>
          <w:highlight w:val="none"/>
        </w:rPr>
      </w:pPr>
      <w:r>
        <w:rPr>
          <w:rFonts w:hint="eastAsia" w:hAnsi="宋体" w:cs="宋体"/>
          <w:color w:val="000000"/>
          <w:sz w:val="24"/>
          <w:szCs w:val="24"/>
          <w:highlight w:val="none"/>
        </w:rPr>
        <w:t>13.3“备份投标文件”：“备份投标文件”是指与“电子加密投标文件”同时生成的数据电文形式的电子文件（备份标书），其他方式编制的“备份投标文件”视为无效的“备份投标文件”。</w:t>
      </w:r>
    </w:p>
    <w:p>
      <w:pPr>
        <w:pStyle w:val="32"/>
        <w:shd w:val="clear" w:color="auto" w:fill="auto"/>
        <w:spacing w:line="360" w:lineRule="auto"/>
        <w:ind w:firstLine="482" w:firstLineChars="200"/>
        <w:rPr>
          <w:rFonts w:hint="eastAsia" w:hAnsi="宋体" w:cs="宋体"/>
          <w:b/>
          <w:color w:val="000000"/>
          <w:sz w:val="24"/>
          <w:szCs w:val="24"/>
          <w:highlight w:val="none"/>
        </w:rPr>
      </w:pPr>
      <w:r>
        <w:rPr>
          <w:rFonts w:hint="eastAsia" w:hAnsi="宋体" w:cs="宋体"/>
          <w:b/>
          <w:color w:val="000000"/>
          <w:sz w:val="24"/>
          <w:szCs w:val="24"/>
          <w:highlight w:val="none"/>
        </w:rPr>
        <w:t>14. 投标文件的盖章</w:t>
      </w:r>
    </w:p>
    <w:p>
      <w:pPr>
        <w:pStyle w:val="32"/>
        <w:shd w:val="clear" w:color="auto" w:fill="auto"/>
        <w:spacing w:line="360" w:lineRule="auto"/>
        <w:ind w:firstLine="480" w:firstLineChars="200"/>
        <w:rPr>
          <w:rFonts w:hint="eastAsia" w:hAnsi="宋体" w:cs="宋体"/>
          <w:color w:val="000000"/>
          <w:sz w:val="24"/>
          <w:szCs w:val="24"/>
          <w:highlight w:val="none"/>
        </w:rPr>
      </w:pPr>
      <w:r>
        <w:rPr>
          <w:rFonts w:hint="eastAsia" w:hAnsi="宋体" w:cs="宋体"/>
          <w:color w:val="000000"/>
          <w:sz w:val="24"/>
          <w:szCs w:val="24"/>
          <w:highlight w:val="none"/>
        </w:rPr>
        <w:t>14.1投标文件应加盖供应商公章。</w:t>
      </w:r>
    </w:p>
    <w:p>
      <w:pPr>
        <w:pStyle w:val="32"/>
        <w:shd w:val="clear" w:color="auto" w:fill="auto"/>
        <w:spacing w:line="360" w:lineRule="auto"/>
        <w:ind w:firstLine="480" w:firstLineChars="200"/>
        <w:rPr>
          <w:rFonts w:hint="eastAsia" w:hAnsi="宋体" w:cs="宋体"/>
          <w:color w:val="000000"/>
          <w:sz w:val="24"/>
          <w:szCs w:val="24"/>
          <w:highlight w:val="none"/>
        </w:rPr>
      </w:pPr>
      <w:r>
        <w:rPr>
          <w:rFonts w:hint="eastAsia" w:hAnsi="宋体" w:cs="宋体"/>
          <w:color w:val="000000"/>
          <w:sz w:val="24"/>
          <w:szCs w:val="24"/>
          <w:highlight w:val="none"/>
        </w:rPr>
        <w:t>14.2参与在线投标时如遇平台技术问题详询400-881-7190。</w:t>
      </w:r>
    </w:p>
    <w:p>
      <w:pPr>
        <w:pStyle w:val="32"/>
        <w:shd w:val="clear" w:color="auto" w:fill="auto"/>
        <w:spacing w:line="360" w:lineRule="auto"/>
        <w:ind w:firstLine="482" w:firstLineChars="200"/>
        <w:rPr>
          <w:rFonts w:hint="eastAsia" w:hAnsi="宋体" w:cs="宋体"/>
          <w:b/>
          <w:color w:val="000000"/>
          <w:sz w:val="24"/>
          <w:szCs w:val="24"/>
          <w:highlight w:val="none"/>
        </w:rPr>
      </w:pPr>
      <w:r>
        <w:rPr>
          <w:rFonts w:hint="eastAsia" w:hAnsi="宋体" w:cs="宋体"/>
          <w:b/>
          <w:color w:val="000000"/>
          <w:sz w:val="24"/>
          <w:szCs w:val="24"/>
          <w:highlight w:val="none"/>
        </w:rPr>
        <w:t>15. 投标文件的上传、提交</w:t>
      </w:r>
    </w:p>
    <w:p>
      <w:pPr>
        <w:pStyle w:val="196"/>
        <w:shd w:val="clear" w:color="auto" w:fill="auto"/>
        <w:spacing w:before="0"/>
        <w:ind w:firstLine="480"/>
        <w:rPr>
          <w:rFonts w:hint="eastAsia" w:ascii="宋体" w:hAnsi="宋体" w:cs="宋体"/>
          <w:color w:val="000000"/>
          <w:szCs w:val="24"/>
          <w:highlight w:val="none"/>
        </w:rPr>
      </w:pPr>
      <w:r>
        <w:rPr>
          <w:rFonts w:hint="eastAsia" w:ascii="宋体" w:hAnsi="宋体" w:cs="宋体"/>
          <w:color w:val="000000"/>
          <w:szCs w:val="24"/>
          <w:highlight w:val="none"/>
        </w:rPr>
        <w:t>15.1投标文件的上传、提交：见“前附表”。</w:t>
      </w:r>
    </w:p>
    <w:p>
      <w:pPr>
        <w:pStyle w:val="196"/>
        <w:shd w:val="clear" w:color="auto" w:fill="auto"/>
        <w:spacing w:before="0"/>
        <w:ind w:firstLine="482"/>
        <w:rPr>
          <w:rFonts w:hint="eastAsia" w:ascii="宋体" w:hAnsi="宋体" w:cs="宋体"/>
          <w:b/>
          <w:color w:val="000000"/>
          <w:szCs w:val="24"/>
          <w:highlight w:val="none"/>
        </w:rPr>
      </w:pPr>
      <w:r>
        <w:rPr>
          <w:rFonts w:hint="eastAsia" w:ascii="宋体" w:hAnsi="宋体" w:cs="宋体"/>
          <w:b/>
          <w:color w:val="000000"/>
          <w:szCs w:val="24"/>
          <w:highlight w:val="none"/>
        </w:rPr>
        <w:t>16. “电子加密投标文件”解密和异常情况处理</w:t>
      </w:r>
    </w:p>
    <w:p>
      <w:pPr>
        <w:pStyle w:val="196"/>
        <w:shd w:val="clear" w:color="auto" w:fill="auto"/>
        <w:spacing w:before="0"/>
        <w:ind w:firstLine="480"/>
        <w:rPr>
          <w:rFonts w:hint="eastAsia" w:ascii="宋体" w:hAnsi="宋体" w:cs="宋体"/>
          <w:color w:val="000000"/>
          <w:szCs w:val="24"/>
          <w:highlight w:val="none"/>
        </w:rPr>
      </w:pPr>
      <w:r>
        <w:rPr>
          <w:rFonts w:hint="eastAsia" w:ascii="宋体" w:hAnsi="宋体" w:cs="宋体"/>
          <w:color w:val="000000"/>
          <w:szCs w:val="24"/>
          <w:highlight w:val="none"/>
        </w:rPr>
        <w:t>16.1“电子加密投标文件”解密和异常情况处理：见“前附表”。</w:t>
      </w:r>
    </w:p>
    <w:p>
      <w:pPr>
        <w:pStyle w:val="32"/>
        <w:shd w:val="clear" w:color="auto" w:fill="auto"/>
        <w:spacing w:line="360" w:lineRule="auto"/>
        <w:ind w:firstLine="482" w:firstLineChars="200"/>
        <w:rPr>
          <w:rFonts w:hint="eastAsia" w:hAnsi="宋体" w:cs="宋体"/>
          <w:b/>
          <w:color w:val="000000"/>
          <w:sz w:val="24"/>
          <w:szCs w:val="24"/>
          <w:highlight w:val="none"/>
        </w:rPr>
      </w:pPr>
      <w:r>
        <w:rPr>
          <w:rFonts w:hint="eastAsia" w:hAnsi="宋体" w:cs="宋体"/>
          <w:b/>
          <w:color w:val="000000"/>
          <w:sz w:val="24"/>
          <w:szCs w:val="24"/>
          <w:highlight w:val="none"/>
        </w:rPr>
        <w:t>17. 投标文件的补充、修改、撤回</w:t>
      </w:r>
    </w:p>
    <w:p>
      <w:pPr>
        <w:pStyle w:val="196"/>
        <w:shd w:val="clear" w:color="auto" w:fill="auto"/>
        <w:spacing w:before="0"/>
        <w:ind w:firstLine="480"/>
        <w:rPr>
          <w:rFonts w:hint="eastAsia" w:ascii="宋体" w:hAnsi="宋体" w:cs="宋体"/>
          <w:color w:val="000000"/>
          <w:szCs w:val="24"/>
          <w:highlight w:val="none"/>
        </w:rPr>
      </w:pPr>
      <w:r>
        <w:rPr>
          <w:rFonts w:hint="eastAsia" w:ascii="宋体" w:hAnsi="宋体" w:cs="宋体"/>
          <w:color w:val="000000"/>
          <w:szCs w:val="24"/>
          <w:highlight w:val="none"/>
        </w:rPr>
        <w:t>17.1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p>
    <w:p>
      <w:pPr>
        <w:pStyle w:val="196"/>
        <w:shd w:val="clear" w:color="auto" w:fill="auto"/>
        <w:spacing w:before="0"/>
        <w:ind w:firstLine="480"/>
        <w:rPr>
          <w:rFonts w:hint="eastAsia" w:ascii="宋体" w:hAnsi="宋体" w:cs="宋体"/>
          <w:b/>
          <w:color w:val="000000"/>
          <w:szCs w:val="24"/>
          <w:highlight w:val="none"/>
        </w:rPr>
      </w:pPr>
      <w:r>
        <w:rPr>
          <w:rFonts w:hint="eastAsia" w:ascii="宋体" w:hAnsi="宋体" w:cs="宋体"/>
          <w:color w:val="000000"/>
          <w:szCs w:val="24"/>
          <w:highlight w:val="none"/>
        </w:rPr>
        <w:t>17.2投标截止时间后，供应商不得撤回、修改投标文件。</w:t>
      </w:r>
      <w:bookmarkEnd w:id="52"/>
      <w:bookmarkEnd w:id="53"/>
      <w:bookmarkEnd w:id="57"/>
    </w:p>
    <w:p>
      <w:pPr>
        <w:pStyle w:val="196"/>
        <w:shd w:val="clear" w:color="auto" w:fill="auto"/>
        <w:spacing w:before="0"/>
        <w:ind w:firstLine="0" w:firstLineChars="0"/>
        <w:rPr>
          <w:rFonts w:hint="eastAsia" w:ascii="宋体" w:hAnsi="宋体" w:cs="宋体"/>
          <w:b/>
          <w:color w:val="000000"/>
          <w:szCs w:val="24"/>
          <w:highlight w:val="none"/>
        </w:rPr>
      </w:pPr>
      <w:r>
        <w:rPr>
          <w:rFonts w:hint="eastAsia" w:ascii="宋体" w:hAnsi="宋体" w:cs="宋体"/>
          <w:b/>
          <w:color w:val="000000"/>
          <w:szCs w:val="24"/>
          <w:highlight w:val="none"/>
        </w:rPr>
        <w:t>18.投标文件的无效处理</w:t>
      </w:r>
    </w:p>
    <w:p>
      <w:pPr>
        <w:pStyle w:val="24"/>
        <w:shd w:val="clear" w:color="auto" w:fill="auto"/>
        <w:spacing w:line="360" w:lineRule="auto"/>
        <w:ind w:firstLine="360" w:firstLineChars="150"/>
        <w:rPr>
          <w:rFonts w:hint="eastAsia" w:cs="宋体"/>
          <w:color w:val="000000"/>
          <w:szCs w:val="21"/>
          <w:highlight w:val="none"/>
        </w:rPr>
      </w:pPr>
      <w:r>
        <w:rPr>
          <w:rFonts w:hint="eastAsia" w:cs="宋体"/>
          <w:color w:val="000000"/>
          <w:szCs w:val="21"/>
          <w:highlight w:val="none"/>
        </w:rPr>
        <w:t>有招标文件第四部分</w:t>
      </w:r>
      <w:r>
        <w:rPr>
          <w:rFonts w:hint="eastAsia" w:cs="宋体"/>
          <w:color w:val="000000"/>
          <w:highlight w:val="none"/>
        </w:rPr>
        <w:t>第13项规定</w:t>
      </w:r>
      <w:r>
        <w:rPr>
          <w:rFonts w:hint="eastAsia" w:cs="宋体"/>
          <w:color w:val="000000"/>
          <w:szCs w:val="21"/>
          <w:highlight w:val="none"/>
        </w:rPr>
        <w:t>的情形之一的，投标无效：</w:t>
      </w:r>
    </w:p>
    <w:p>
      <w:pPr>
        <w:pStyle w:val="196"/>
        <w:shd w:val="clear" w:color="auto" w:fill="auto"/>
        <w:spacing w:before="0"/>
        <w:ind w:firstLine="0" w:firstLineChars="0"/>
        <w:rPr>
          <w:rFonts w:hint="eastAsia" w:ascii="宋体" w:hAnsi="宋体" w:cs="宋体"/>
          <w:b/>
          <w:color w:val="000000"/>
          <w:szCs w:val="24"/>
          <w:highlight w:val="none"/>
        </w:rPr>
      </w:pPr>
      <w:r>
        <w:rPr>
          <w:rFonts w:hint="eastAsia" w:ascii="宋体" w:hAnsi="宋体" w:cs="宋体"/>
          <w:b/>
          <w:color w:val="000000"/>
          <w:szCs w:val="24"/>
          <w:highlight w:val="none"/>
        </w:rPr>
        <w:t>19.投标有效期</w:t>
      </w:r>
    </w:p>
    <w:p>
      <w:pPr>
        <w:shd w:val="clear" w:color="auto" w:fill="auto"/>
        <w:spacing w:line="360" w:lineRule="auto"/>
        <w:ind w:firstLine="480" w:firstLineChars="200"/>
        <w:rPr>
          <w:rFonts w:hint="eastAsia" w:ascii="宋体" w:hAnsi="宋体" w:cs="宋体"/>
          <w:b/>
          <w:color w:val="000000"/>
          <w:sz w:val="24"/>
          <w:szCs w:val="21"/>
          <w:highlight w:val="none"/>
        </w:rPr>
      </w:pPr>
      <w:r>
        <w:rPr>
          <w:rFonts w:hint="eastAsia" w:ascii="宋体" w:hAnsi="宋体" w:cs="宋体"/>
          <w:color w:val="000000"/>
          <w:sz w:val="24"/>
          <w:szCs w:val="20"/>
          <w:highlight w:val="none"/>
        </w:rPr>
        <w:t>19.1投标有效期为从提交投标文件的截止之日起90天。</w:t>
      </w:r>
    </w:p>
    <w:p>
      <w:pPr>
        <w:pStyle w:val="196"/>
        <w:shd w:val="clear" w:color="auto" w:fill="auto"/>
        <w:spacing w:before="0"/>
        <w:ind w:firstLine="480"/>
        <w:rPr>
          <w:rFonts w:hint="eastAsia" w:ascii="宋体" w:hAnsi="宋体" w:cs="宋体"/>
          <w:color w:val="000000"/>
          <w:highlight w:val="none"/>
        </w:rPr>
      </w:pPr>
      <w:r>
        <w:rPr>
          <w:rFonts w:hint="eastAsia" w:ascii="宋体" w:hAnsi="宋体" w:cs="宋体"/>
          <w:color w:val="000000"/>
          <w:highlight w:val="none"/>
        </w:rPr>
        <w:t>19.2投标文件合格投递后，自投标截止日期起，在投标有效期内有效。</w:t>
      </w:r>
    </w:p>
    <w:p>
      <w:pPr>
        <w:pStyle w:val="196"/>
        <w:shd w:val="clear" w:color="auto" w:fill="auto"/>
        <w:spacing w:before="0"/>
        <w:ind w:firstLine="480"/>
        <w:rPr>
          <w:rFonts w:hint="eastAsia" w:ascii="宋体" w:hAnsi="宋体" w:cs="宋体"/>
          <w:color w:val="000000"/>
          <w:highlight w:val="none"/>
        </w:rPr>
      </w:pPr>
      <w:r>
        <w:rPr>
          <w:rFonts w:hint="eastAsia" w:ascii="宋体" w:hAnsi="宋体" w:cs="宋体"/>
          <w:color w:val="000000"/>
          <w:highlight w:val="none"/>
        </w:rPr>
        <w:t>19.3在原定投标有效期满之前，如果出现特殊情况，采购机构可以以公告形式通知投标人延长投标有效期。</w:t>
      </w:r>
    </w:p>
    <w:p>
      <w:pPr>
        <w:pStyle w:val="196"/>
        <w:shd w:val="clear" w:color="auto" w:fill="auto"/>
        <w:spacing w:before="0"/>
        <w:ind w:firstLine="643"/>
        <w:rPr>
          <w:rFonts w:hint="eastAsia" w:ascii="宋体" w:hAnsi="宋体" w:cs="宋体"/>
          <w:b/>
          <w:color w:val="000000"/>
          <w:sz w:val="32"/>
          <w:highlight w:val="none"/>
        </w:rPr>
      </w:pPr>
      <w:bookmarkStart w:id="58" w:name="_Toc91899897"/>
    </w:p>
    <w:p>
      <w:pPr>
        <w:pStyle w:val="196"/>
        <w:shd w:val="clear" w:color="auto" w:fill="auto"/>
        <w:spacing w:before="0"/>
        <w:ind w:firstLine="1928" w:firstLineChars="600"/>
        <w:rPr>
          <w:rFonts w:hint="eastAsia" w:ascii="宋体" w:hAnsi="宋体" w:cs="宋体"/>
          <w:b/>
          <w:color w:val="000000"/>
          <w:sz w:val="32"/>
          <w:highlight w:val="none"/>
        </w:rPr>
      </w:pPr>
    </w:p>
    <w:p>
      <w:pPr>
        <w:pStyle w:val="196"/>
        <w:shd w:val="clear" w:color="auto" w:fill="auto"/>
        <w:spacing w:before="0"/>
        <w:ind w:firstLine="1928" w:firstLineChars="600"/>
        <w:rPr>
          <w:rFonts w:hint="eastAsia" w:ascii="宋体" w:hAnsi="宋体" w:cs="宋体"/>
          <w:b/>
          <w:color w:val="000000"/>
          <w:sz w:val="32"/>
          <w:highlight w:val="none"/>
        </w:rPr>
      </w:pPr>
    </w:p>
    <w:p>
      <w:pPr>
        <w:pStyle w:val="196"/>
        <w:shd w:val="clear" w:color="auto" w:fill="auto"/>
        <w:spacing w:before="0"/>
        <w:ind w:firstLine="1928" w:firstLineChars="600"/>
        <w:rPr>
          <w:rFonts w:hint="eastAsia" w:ascii="宋体" w:hAnsi="宋体" w:cs="宋体"/>
          <w:b/>
          <w:color w:val="000000"/>
          <w:sz w:val="32"/>
          <w:highlight w:val="none"/>
        </w:rPr>
      </w:pPr>
      <w:r>
        <w:rPr>
          <w:rFonts w:hint="eastAsia" w:ascii="宋体" w:hAnsi="宋体" w:cs="宋体"/>
          <w:b/>
          <w:color w:val="000000"/>
          <w:sz w:val="32"/>
          <w:highlight w:val="none"/>
        </w:rPr>
        <w:t>四、开标</w:t>
      </w:r>
      <w:bookmarkEnd w:id="58"/>
      <w:r>
        <w:rPr>
          <w:rFonts w:hint="eastAsia" w:ascii="宋体" w:hAnsi="宋体" w:cs="宋体"/>
          <w:b/>
          <w:color w:val="000000"/>
          <w:sz w:val="32"/>
          <w:highlight w:val="none"/>
        </w:rPr>
        <w:t>、资格审查与信用信息查询</w:t>
      </w:r>
    </w:p>
    <w:p>
      <w:pPr>
        <w:pStyle w:val="559"/>
        <w:shd w:val="clear" w:color="auto" w:fill="auto"/>
        <w:spacing w:before="0" w:line="360" w:lineRule="auto"/>
        <w:ind w:left="0" w:firstLine="241" w:firstLineChars="100"/>
        <w:contextualSpacing/>
        <w:rPr>
          <w:rFonts w:hint="eastAsia" w:ascii="宋体" w:hAnsi="宋体" w:cs="宋体"/>
          <w:color w:val="000000"/>
          <w:sz w:val="24"/>
          <w:highlight w:val="none"/>
        </w:rPr>
      </w:pPr>
      <w:r>
        <w:rPr>
          <w:rFonts w:hint="eastAsia" w:ascii="宋体" w:hAnsi="宋体" w:cs="宋体"/>
          <w:b/>
          <w:color w:val="000000"/>
          <w:sz w:val="24"/>
          <w:szCs w:val="24"/>
          <w:highlight w:val="none"/>
        </w:rPr>
        <w:t>20.开标</w:t>
      </w:r>
      <w:r>
        <w:rPr>
          <w:rFonts w:hint="eastAsia" w:ascii="宋体" w:hAnsi="宋体" w:cs="宋体"/>
          <w:color w:val="000000"/>
          <w:sz w:val="24"/>
          <w:highlight w:val="none"/>
        </w:rPr>
        <w:t xml:space="preserve"> </w:t>
      </w:r>
    </w:p>
    <w:p>
      <w:pPr>
        <w:pStyle w:val="5"/>
        <w:numPr>
          <w:ilvl w:val="0"/>
          <w:numId w:val="0"/>
        </w:numPr>
        <w:shd w:val="clear" w:color="auto" w:fill="auto"/>
        <w:tabs>
          <w:tab w:val="left" w:pos="720"/>
        </w:tabs>
        <w:spacing w:before="0" w:after="0"/>
        <w:ind w:left="720" w:hanging="720"/>
        <w:rPr>
          <w:rFonts w:hint="eastAsia" w:ascii="宋体" w:hAnsi="宋体" w:cs="宋体"/>
          <w:color w:val="000000"/>
          <w:sz w:val="24"/>
          <w:szCs w:val="24"/>
          <w:highlight w:val="none"/>
        </w:rPr>
      </w:pPr>
      <w:r>
        <w:rPr>
          <w:rFonts w:hint="eastAsia" w:ascii="宋体" w:hAnsi="宋体" w:cs="宋体"/>
          <w:color w:val="000000"/>
          <w:sz w:val="24"/>
          <w:szCs w:val="24"/>
          <w:highlight w:val="none"/>
        </w:rPr>
        <w:t>20.1 （一）开标形式</w:t>
      </w:r>
    </w:p>
    <w:p>
      <w:pPr>
        <w:shd w:val="clear" w:color="auto" w:fill="auto"/>
        <w:spacing w:line="360" w:lineRule="auto"/>
        <w:ind w:firstLine="426" w:firstLineChars="177"/>
        <w:rPr>
          <w:rFonts w:hint="eastAsia" w:ascii="宋体" w:hAnsi="宋体" w:cs="宋体"/>
          <w:b/>
          <w:color w:val="000000"/>
          <w:sz w:val="24"/>
          <w:highlight w:val="none"/>
        </w:rPr>
      </w:pPr>
      <w:r>
        <w:rPr>
          <w:rFonts w:hint="eastAsia" w:ascii="宋体" w:hAnsi="宋体" w:cs="宋体"/>
          <w:b/>
          <w:color w:val="000000"/>
          <w:sz w:val="24"/>
          <w:highlight w:val="none"/>
        </w:rPr>
        <w:t>1.1 采购组织机构将按照招标文件规定的时间通过“政府采购云平台”组织开标、开启投标文件，所有供应商均应当准时在线参加。</w:t>
      </w:r>
    </w:p>
    <w:p>
      <w:pPr>
        <w:pStyle w:val="5"/>
        <w:numPr>
          <w:ilvl w:val="0"/>
          <w:numId w:val="0"/>
        </w:numPr>
        <w:shd w:val="clear" w:color="auto" w:fill="auto"/>
        <w:tabs>
          <w:tab w:val="left" w:pos="720"/>
        </w:tabs>
        <w:spacing w:before="0" w:after="0"/>
        <w:ind w:left="720" w:hanging="720"/>
        <w:rPr>
          <w:rFonts w:hint="eastAsia" w:ascii="宋体" w:hAnsi="宋体" w:cs="宋体"/>
          <w:color w:val="000000"/>
          <w:sz w:val="24"/>
          <w:szCs w:val="24"/>
          <w:highlight w:val="none"/>
        </w:rPr>
      </w:pPr>
      <w:r>
        <w:rPr>
          <w:rFonts w:hint="eastAsia" w:ascii="宋体" w:hAnsi="宋体" w:cs="宋体"/>
          <w:color w:val="000000"/>
          <w:sz w:val="24"/>
          <w:szCs w:val="24"/>
          <w:highlight w:val="none"/>
        </w:rPr>
        <w:t>（二） 开标准备</w:t>
      </w:r>
    </w:p>
    <w:p>
      <w:pPr>
        <w:shd w:val="clear" w:color="auto" w:fill="auto"/>
        <w:spacing w:line="360" w:lineRule="auto"/>
        <w:ind w:firstLine="422" w:firstLineChars="176"/>
        <w:rPr>
          <w:rFonts w:hint="eastAsia" w:ascii="宋体" w:hAnsi="宋体" w:cs="宋体"/>
          <w:color w:val="000000"/>
          <w:kern w:val="0"/>
          <w:sz w:val="24"/>
          <w:highlight w:val="none"/>
        </w:rPr>
      </w:pPr>
      <w:r>
        <w:rPr>
          <w:rFonts w:hint="eastAsia" w:ascii="宋体" w:hAnsi="宋体" w:cs="宋体"/>
          <w:color w:val="000000"/>
          <w:kern w:val="0"/>
          <w:sz w:val="24"/>
          <w:highlight w:val="none"/>
        </w:rPr>
        <w:t>2.1开标的准备工作由采购组织机构负责落实；</w:t>
      </w:r>
    </w:p>
    <w:p>
      <w:pPr>
        <w:shd w:val="clear" w:color="auto" w:fill="auto"/>
        <w:spacing w:line="360" w:lineRule="auto"/>
        <w:ind w:firstLine="422" w:firstLineChars="176"/>
        <w:rPr>
          <w:rFonts w:hint="eastAsia" w:ascii="宋体" w:hAnsi="宋体" w:cs="宋体"/>
          <w:color w:val="000000"/>
          <w:kern w:val="0"/>
          <w:sz w:val="24"/>
          <w:highlight w:val="none"/>
        </w:rPr>
      </w:pPr>
      <w:r>
        <w:rPr>
          <w:rFonts w:hint="eastAsia" w:ascii="宋体" w:hAnsi="宋体" w:cs="宋体"/>
          <w:color w:val="000000"/>
          <w:kern w:val="0"/>
          <w:sz w:val="24"/>
          <w:highlight w:val="none"/>
        </w:rPr>
        <w:t>2.2</w:t>
      </w:r>
      <w:r>
        <w:rPr>
          <w:rFonts w:hint="eastAsia" w:ascii="宋体" w:hAnsi="宋体" w:cs="宋体"/>
          <w:b/>
          <w:color w:val="000000"/>
          <w:sz w:val="24"/>
          <w:highlight w:val="none"/>
        </w:rPr>
        <w:t>采购组织机构将按照招标文件规定的时间通过“政府采购云平台”组织开标、开启投标文件，所有供应商均应当准时在线参加。</w:t>
      </w:r>
      <w:r>
        <w:rPr>
          <w:rFonts w:hint="eastAsia" w:ascii="宋体" w:hAnsi="宋体" w:cs="宋体"/>
          <w:b/>
          <w:color w:val="000000"/>
          <w:kern w:val="0"/>
          <w:sz w:val="24"/>
          <w:highlight w:val="none"/>
        </w:rPr>
        <w:t>投标供应商如不参加开标大会的，视同认可开标结果，事后不得对采购相关人员、开标过程和开标结果提出异议，同时投标供应商因未在线参加开标而导致投标文件无法按时解密等一切后果由供应商自己承担。</w:t>
      </w:r>
    </w:p>
    <w:p>
      <w:pPr>
        <w:pStyle w:val="5"/>
        <w:numPr>
          <w:ilvl w:val="0"/>
          <w:numId w:val="0"/>
        </w:numPr>
        <w:shd w:val="clear" w:color="auto" w:fill="auto"/>
        <w:tabs>
          <w:tab w:val="left" w:pos="720"/>
        </w:tabs>
        <w:spacing w:before="0" w:after="0"/>
        <w:ind w:left="720" w:hanging="720"/>
        <w:rPr>
          <w:rFonts w:hint="eastAsia" w:ascii="宋体" w:hAnsi="宋体" w:cs="宋体"/>
          <w:color w:val="000000"/>
          <w:sz w:val="24"/>
          <w:szCs w:val="24"/>
          <w:highlight w:val="none"/>
        </w:rPr>
      </w:pPr>
      <w:r>
        <w:rPr>
          <w:rFonts w:hint="eastAsia" w:ascii="宋体" w:hAnsi="宋体" w:cs="宋体"/>
          <w:color w:val="000000"/>
          <w:sz w:val="24"/>
          <w:szCs w:val="24"/>
          <w:highlight w:val="none"/>
        </w:rPr>
        <w:t>（三）开标流程（两阶段）</w:t>
      </w:r>
    </w:p>
    <w:p>
      <w:pPr>
        <w:shd w:val="clear" w:color="auto" w:fill="auto"/>
        <w:spacing w:line="360" w:lineRule="auto"/>
        <w:ind w:firstLine="426" w:firstLineChars="177"/>
        <w:jc w:val="left"/>
        <w:rPr>
          <w:rFonts w:hint="eastAsia" w:ascii="宋体" w:hAnsi="宋体" w:cs="宋体"/>
          <w:b/>
          <w:color w:val="000000"/>
          <w:kern w:val="0"/>
          <w:sz w:val="24"/>
          <w:highlight w:val="none"/>
        </w:rPr>
      </w:pPr>
      <w:r>
        <w:rPr>
          <w:rFonts w:hint="eastAsia" w:ascii="宋体" w:hAnsi="宋体" w:cs="宋体"/>
          <w:b/>
          <w:color w:val="000000"/>
          <w:kern w:val="0"/>
          <w:sz w:val="24"/>
          <w:highlight w:val="none"/>
        </w:rPr>
        <w:t>3.1开标第一阶段</w:t>
      </w:r>
    </w:p>
    <w:p>
      <w:pPr>
        <w:shd w:val="clear" w:color="auto" w:fill="auto"/>
        <w:spacing w:line="360" w:lineRule="auto"/>
        <w:ind w:firstLine="424" w:firstLineChars="177"/>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1）向各投标供应商发出电子加密投标文件【开始解密】通知，由供应商按招标文件规定的时间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pPr>
        <w:shd w:val="clear" w:color="auto" w:fill="auto"/>
        <w:spacing w:line="360" w:lineRule="auto"/>
        <w:ind w:firstLine="424" w:firstLineChars="177"/>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（2）开启投标文件，进入资格审查；</w:t>
      </w:r>
    </w:p>
    <w:p>
      <w:pPr>
        <w:shd w:val="clear" w:color="auto" w:fill="auto"/>
        <w:spacing w:line="360" w:lineRule="auto"/>
        <w:ind w:firstLine="424" w:firstLineChars="177"/>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（3）开启资格审查通过的投标供应商的商务技术文件进入符合性审查、商务技术评审；</w:t>
      </w:r>
    </w:p>
    <w:p>
      <w:pPr>
        <w:shd w:val="clear" w:color="auto" w:fill="auto"/>
        <w:spacing w:line="360" w:lineRule="auto"/>
        <w:ind w:firstLine="424" w:firstLineChars="177"/>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（4）第一阶段开标结束。</w:t>
      </w:r>
    </w:p>
    <w:p>
      <w:pPr>
        <w:shd w:val="clear" w:color="auto" w:fill="auto"/>
        <w:spacing w:line="360" w:lineRule="auto"/>
        <w:ind w:firstLine="426" w:firstLineChars="177"/>
        <w:jc w:val="left"/>
        <w:rPr>
          <w:rFonts w:hint="eastAsia" w:ascii="宋体" w:hAnsi="宋体" w:cs="宋体"/>
          <w:b/>
          <w:color w:val="000000"/>
          <w:kern w:val="0"/>
          <w:sz w:val="24"/>
          <w:highlight w:val="none"/>
        </w:rPr>
      </w:pPr>
      <w:r>
        <w:rPr>
          <w:rFonts w:hint="eastAsia" w:ascii="宋体" w:hAnsi="宋体" w:cs="宋体"/>
          <w:b/>
          <w:color w:val="000000"/>
          <w:kern w:val="0"/>
          <w:sz w:val="24"/>
          <w:highlight w:val="none"/>
        </w:rPr>
        <w:t>备注：开标大会的第一阶段结束后，采购人或采购代理机构将对依法对投标供应商的资格进行审查，资格审查结束后进入符合性审查和商务技术的评审工作。</w:t>
      </w:r>
    </w:p>
    <w:p>
      <w:pPr>
        <w:shd w:val="clear" w:color="auto" w:fill="auto"/>
        <w:spacing w:line="360" w:lineRule="auto"/>
        <w:ind w:firstLine="426" w:firstLineChars="177"/>
        <w:jc w:val="left"/>
        <w:rPr>
          <w:rFonts w:hint="eastAsia" w:ascii="宋体" w:hAnsi="宋体" w:cs="宋体"/>
          <w:b/>
          <w:color w:val="000000"/>
          <w:kern w:val="0"/>
          <w:sz w:val="24"/>
          <w:highlight w:val="none"/>
        </w:rPr>
      </w:pPr>
      <w:r>
        <w:rPr>
          <w:rFonts w:hint="eastAsia" w:ascii="宋体" w:hAnsi="宋体" w:cs="宋体"/>
          <w:b/>
          <w:color w:val="000000"/>
          <w:kern w:val="0"/>
          <w:sz w:val="24"/>
          <w:highlight w:val="none"/>
        </w:rPr>
        <w:t>3.2开标大会第二阶段</w:t>
      </w:r>
    </w:p>
    <w:p>
      <w:pPr>
        <w:shd w:val="clear" w:color="auto" w:fill="auto"/>
        <w:spacing w:line="360" w:lineRule="auto"/>
        <w:ind w:firstLine="424" w:firstLineChars="177"/>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1）符合性审查、商务技术评审结束后，举行开标大会第二阶段会议。首先通过“政府采购云平台”公布符合性审查、商务技术评审无效供应商名称及理由；公布经商务技术评审后有效投标供应商的名单，同时公布其商务技术部分得分情况。</w:t>
      </w:r>
    </w:p>
    <w:p>
      <w:pPr>
        <w:shd w:val="clear" w:color="auto" w:fill="auto"/>
        <w:spacing w:line="360" w:lineRule="auto"/>
        <w:ind w:firstLine="424" w:firstLineChars="177"/>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2）开启符合性审查、商务技术评审有效投标供应商的《报价文件》，通过“政府采购云平台”公布开标一览表有关内容，同时当场制作开标记录表，供应商通过“政府采购云平台”签字确认（不予确认的应说明理由，否则视为无异议）。唱标结束后，由评标委员会对报价的合理性、准确性等进行审查核实。</w:t>
      </w:r>
    </w:p>
    <w:p>
      <w:pPr>
        <w:shd w:val="clear" w:color="auto" w:fill="auto"/>
        <w:spacing w:line="360" w:lineRule="auto"/>
        <w:ind w:firstLine="424" w:firstLineChars="177"/>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（3）评审结束后，通过“政府采购云平台”公布中标（成交）候选供应商名单，及采购人最终确定中标或成交供应商名单的时间和公告方式等。</w:t>
      </w:r>
    </w:p>
    <w:p>
      <w:pPr>
        <w:shd w:val="clear" w:color="auto" w:fill="auto"/>
        <w:spacing w:line="360" w:lineRule="auto"/>
        <w:ind w:firstLine="426" w:firstLineChars="177"/>
        <w:jc w:val="left"/>
        <w:rPr>
          <w:rFonts w:hint="eastAsia" w:ascii="宋体" w:hAnsi="宋体" w:cs="宋体"/>
          <w:b/>
          <w:color w:val="000000"/>
          <w:kern w:val="0"/>
          <w:sz w:val="24"/>
          <w:highlight w:val="none"/>
        </w:rPr>
      </w:pPr>
      <w:r>
        <w:rPr>
          <w:rFonts w:hint="eastAsia" w:ascii="宋体" w:hAnsi="宋体" w:cs="宋体"/>
          <w:b/>
          <w:color w:val="000000"/>
          <w:kern w:val="0"/>
          <w:sz w:val="24"/>
          <w:highlight w:val="none"/>
        </w:rPr>
        <w:t>特别说明：如遇“政府采购云平台”电子化开标或评审程序调整的，按调整后程序执行。</w:t>
      </w:r>
    </w:p>
    <w:p>
      <w:pPr>
        <w:pStyle w:val="559"/>
        <w:shd w:val="clear" w:color="auto" w:fill="auto"/>
        <w:spacing w:before="0" w:line="360" w:lineRule="auto"/>
        <w:ind w:left="0" w:firstLine="240" w:firstLineChars="100"/>
        <w:contextualSpacing/>
        <w:rPr>
          <w:rFonts w:hint="eastAsia" w:ascii="宋体" w:hAnsi="宋体" w:cs="宋体"/>
          <w:b/>
          <w:color w:val="000000"/>
          <w:sz w:val="24"/>
          <w:highlight w:val="none"/>
        </w:rPr>
      </w:pPr>
      <w:r>
        <w:rPr>
          <w:rFonts w:hint="eastAsia" w:ascii="宋体" w:hAnsi="宋体" w:cs="宋体"/>
          <w:color w:val="000000"/>
          <w:sz w:val="24"/>
          <w:highlight w:val="none"/>
        </w:rPr>
        <w:t>　</w:t>
      </w:r>
      <w:r>
        <w:rPr>
          <w:rFonts w:hint="eastAsia" w:ascii="宋体" w:hAnsi="宋体" w:cs="宋体"/>
          <w:b/>
          <w:color w:val="000000"/>
          <w:sz w:val="24"/>
          <w:highlight w:val="none"/>
        </w:rPr>
        <w:t>投标人不足3家的，不得开标。</w:t>
      </w:r>
    </w:p>
    <w:p>
      <w:pPr>
        <w:pStyle w:val="559"/>
        <w:shd w:val="clear" w:color="auto" w:fill="auto"/>
        <w:spacing w:before="0" w:line="360" w:lineRule="auto"/>
        <w:ind w:left="0" w:firstLine="360" w:firstLineChars="150"/>
        <w:contextualSpacing/>
        <w:rPr>
          <w:rFonts w:hint="eastAsia" w:ascii="宋体" w:hAnsi="宋体" w:cs="宋体"/>
          <w:color w:val="000000"/>
          <w:sz w:val="24"/>
          <w:highlight w:val="none"/>
        </w:rPr>
      </w:pPr>
      <w:r>
        <w:rPr>
          <w:rFonts w:hint="eastAsia" w:ascii="宋体" w:hAnsi="宋体" w:cs="宋体"/>
          <w:color w:val="000000"/>
          <w:sz w:val="24"/>
          <w:highlight w:val="none"/>
        </w:rPr>
        <w:t>20.2开标过程应当由采购人或者采购机构负责记录，由参加开标的各投标人代表和相关工作人员签字确认后随采购文件一并存档。</w:t>
      </w:r>
    </w:p>
    <w:p>
      <w:pPr>
        <w:pStyle w:val="559"/>
        <w:shd w:val="clear" w:color="auto" w:fill="auto"/>
        <w:spacing w:before="0" w:line="360" w:lineRule="auto"/>
        <w:ind w:left="0" w:firstLine="360" w:firstLineChars="150"/>
        <w:contextualSpacing/>
        <w:rPr>
          <w:rFonts w:hint="eastAsia" w:ascii="宋体" w:hAnsi="宋体" w:cs="宋体"/>
          <w:color w:val="000000"/>
          <w:sz w:val="24"/>
          <w:highlight w:val="none"/>
        </w:rPr>
      </w:pPr>
      <w:r>
        <w:rPr>
          <w:rFonts w:hint="eastAsia" w:ascii="宋体" w:hAnsi="宋体" w:cs="宋体"/>
          <w:color w:val="000000"/>
          <w:sz w:val="24"/>
          <w:highlight w:val="none"/>
        </w:rPr>
        <w:t>20.3　投标人代表对开标过程和开标记录有疑义，以及认为采购人、采购机构相关工作人员有需要回避的情形的，应当场提出询问或者回避申请。采购人、采购机构对投标人代表提出的询问或者回避申请应当及时处理。</w:t>
      </w:r>
    </w:p>
    <w:p>
      <w:pPr>
        <w:pStyle w:val="559"/>
        <w:shd w:val="clear" w:color="auto" w:fill="auto"/>
        <w:spacing w:before="0" w:line="360" w:lineRule="auto"/>
        <w:ind w:left="0"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投标人未参加开标的，视同认可开标结果。</w:t>
      </w:r>
    </w:p>
    <w:p>
      <w:pPr>
        <w:widowControl/>
        <w:shd w:val="clear" w:color="auto" w:fill="auto"/>
        <w:spacing w:before="100" w:beforeAutospacing="1" w:after="240" w:line="360" w:lineRule="auto"/>
        <w:jc w:val="left"/>
        <w:rPr>
          <w:rFonts w:hint="eastAsia" w:ascii="宋体" w:hAnsi="宋体" w:cs="宋体"/>
          <w:b/>
          <w:color w:val="000000"/>
          <w:sz w:val="24"/>
          <w:szCs w:val="20"/>
          <w:highlight w:val="none"/>
        </w:rPr>
      </w:pPr>
      <w:r>
        <w:rPr>
          <w:rFonts w:hint="eastAsia" w:ascii="宋体" w:hAnsi="宋体" w:cs="宋体"/>
          <w:b/>
          <w:color w:val="000000"/>
          <w:sz w:val="24"/>
          <w:szCs w:val="20"/>
          <w:highlight w:val="none"/>
        </w:rPr>
        <w:t>　21、资格审查</w:t>
      </w:r>
    </w:p>
    <w:p>
      <w:pPr>
        <w:pStyle w:val="196"/>
        <w:shd w:val="clear" w:color="auto" w:fill="auto"/>
        <w:spacing w:before="0"/>
        <w:ind w:firstLine="480"/>
        <w:rPr>
          <w:rFonts w:hint="eastAsia" w:ascii="宋体" w:hAnsi="宋体" w:cs="宋体"/>
          <w:color w:val="000000"/>
          <w:kern w:val="0"/>
          <w:szCs w:val="24"/>
          <w:highlight w:val="none"/>
        </w:rPr>
      </w:pPr>
      <w:r>
        <w:rPr>
          <w:rFonts w:hint="eastAsia" w:ascii="宋体" w:hAnsi="宋体" w:cs="宋体"/>
          <w:color w:val="000000"/>
          <w:kern w:val="0"/>
          <w:szCs w:val="24"/>
          <w:highlight w:val="none"/>
        </w:rPr>
        <w:t>21.1开标后，采购人将依法对投标人的资格进行审查。</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kern w:val="0"/>
          <w:sz w:val="24"/>
          <w:highlight w:val="none"/>
        </w:rPr>
        <w:t>21.2</w:t>
      </w:r>
      <w:r>
        <w:rPr>
          <w:rFonts w:hint="eastAsia" w:ascii="宋体" w:hAnsi="宋体" w:cs="宋体"/>
          <w:color w:val="000000"/>
          <w:sz w:val="24"/>
          <w:highlight w:val="none"/>
        </w:rPr>
        <w:t>采购人或采购机构依据法律法规和招标文件的规定，对投标人的基本资格条件、特定资格条件进行审查。</w:t>
      </w:r>
    </w:p>
    <w:p>
      <w:pPr>
        <w:pStyle w:val="196"/>
        <w:shd w:val="clear" w:color="auto" w:fill="auto"/>
        <w:spacing w:before="0"/>
        <w:ind w:firstLine="480"/>
        <w:rPr>
          <w:rFonts w:hint="eastAsia" w:ascii="宋体" w:hAnsi="宋体" w:cs="宋体"/>
          <w:color w:val="000000"/>
          <w:highlight w:val="none"/>
        </w:rPr>
      </w:pPr>
      <w:r>
        <w:rPr>
          <w:rFonts w:hint="eastAsia" w:ascii="宋体" w:hAnsi="宋体" w:cs="宋体"/>
          <w:color w:val="000000"/>
          <w:kern w:val="0"/>
          <w:szCs w:val="24"/>
          <w:highlight w:val="none"/>
        </w:rPr>
        <w:t>21.3投标人未按照招标文件要求提供与</w:t>
      </w:r>
      <w:r>
        <w:rPr>
          <w:rFonts w:hint="eastAsia" w:ascii="宋体" w:hAnsi="宋体" w:cs="宋体"/>
          <w:color w:val="000000"/>
          <w:highlight w:val="none"/>
        </w:rPr>
        <w:t>基本资格条件、特定资格条件相应的</w:t>
      </w:r>
      <w:r>
        <w:rPr>
          <w:rFonts w:hint="eastAsia" w:ascii="宋体" w:hAnsi="宋体" w:cs="宋体"/>
          <w:color w:val="000000"/>
          <w:kern w:val="0"/>
          <w:szCs w:val="24"/>
          <w:highlight w:val="none"/>
        </w:rPr>
        <w:t>有效资格证明材料的，视为</w:t>
      </w:r>
      <w:r>
        <w:rPr>
          <w:rFonts w:hint="eastAsia" w:ascii="宋体" w:hAnsi="宋体" w:cs="宋体"/>
          <w:color w:val="000000"/>
          <w:highlight w:val="none"/>
        </w:rPr>
        <w:t>投标人不具备招标文件中规定的资格要求，其投标无效。</w:t>
      </w:r>
    </w:p>
    <w:p>
      <w:pPr>
        <w:pStyle w:val="196"/>
        <w:shd w:val="clear" w:color="auto" w:fill="auto"/>
        <w:spacing w:before="0"/>
        <w:ind w:firstLine="480"/>
        <w:rPr>
          <w:rFonts w:hint="eastAsia" w:ascii="宋体" w:hAnsi="宋体" w:cs="宋体"/>
          <w:color w:val="000000"/>
          <w:highlight w:val="none"/>
        </w:rPr>
      </w:pPr>
      <w:r>
        <w:rPr>
          <w:rFonts w:hint="eastAsia" w:ascii="宋体" w:hAnsi="宋体" w:cs="宋体"/>
          <w:color w:val="000000"/>
          <w:highlight w:val="none"/>
        </w:rPr>
        <w:t>21.4对未通过资格审查的投标人，采购人或采购机构告知其未通过的原因。</w:t>
      </w:r>
    </w:p>
    <w:p>
      <w:pPr>
        <w:pStyle w:val="196"/>
        <w:shd w:val="clear" w:color="auto" w:fill="auto"/>
        <w:spacing w:before="0"/>
        <w:ind w:firstLine="480"/>
        <w:rPr>
          <w:rFonts w:hint="eastAsia" w:ascii="宋体" w:hAnsi="宋体" w:cs="宋体"/>
          <w:color w:val="000000"/>
          <w:highlight w:val="none"/>
        </w:rPr>
      </w:pPr>
      <w:r>
        <w:rPr>
          <w:rFonts w:hint="eastAsia" w:ascii="宋体" w:hAnsi="宋体" w:cs="宋体"/>
          <w:color w:val="000000"/>
          <w:highlight w:val="none"/>
        </w:rPr>
        <w:t>21.5合格投标人不足3家的，不再评标。</w:t>
      </w:r>
    </w:p>
    <w:p>
      <w:pPr>
        <w:pStyle w:val="196"/>
        <w:shd w:val="clear" w:color="auto" w:fill="auto"/>
        <w:spacing w:before="0"/>
        <w:ind w:firstLine="0" w:firstLineChars="0"/>
        <w:rPr>
          <w:rFonts w:hint="eastAsia" w:ascii="宋体" w:hAnsi="宋体" w:cs="宋体"/>
          <w:b/>
          <w:color w:val="000000"/>
          <w:szCs w:val="24"/>
          <w:highlight w:val="none"/>
        </w:rPr>
      </w:pPr>
      <w:r>
        <w:rPr>
          <w:rFonts w:hint="eastAsia" w:ascii="宋体" w:hAnsi="宋体" w:cs="宋体"/>
          <w:b/>
          <w:color w:val="000000"/>
          <w:szCs w:val="24"/>
          <w:highlight w:val="none"/>
        </w:rPr>
        <w:t>22、信用信息查询</w:t>
      </w:r>
    </w:p>
    <w:p>
      <w:pPr>
        <w:pStyle w:val="196"/>
        <w:shd w:val="clear" w:color="auto" w:fill="auto"/>
        <w:spacing w:before="0"/>
        <w:ind w:firstLine="495" w:firstLineChars="0"/>
        <w:rPr>
          <w:rFonts w:hint="eastAsia" w:ascii="宋体" w:hAnsi="宋体" w:cs="宋体"/>
          <w:color w:val="000000"/>
          <w:kern w:val="0"/>
          <w:szCs w:val="24"/>
          <w:highlight w:val="none"/>
        </w:rPr>
      </w:pPr>
      <w:r>
        <w:rPr>
          <w:rFonts w:hint="eastAsia" w:ascii="宋体" w:hAnsi="宋体" w:cs="宋体"/>
          <w:color w:val="000000"/>
          <w:kern w:val="0"/>
          <w:szCs w:val="24"/>
          <w:highlight w:val="none"/>
        </w:rPr>
        <w:t>22.1信用信息查询渠道及截止时间：采购人或采购机构将通过“信用中国”网站(www.creditchina.gov.cn)、中国政府采购网(www.ccgp.gov.cn)渠道查询投标人投标截止时间前的信用记录。</w:t>
      </w:r>
    </w:p>
    <w:p>
      <w:pPr>
        <w:pStyle w:val="196"/>
        <w:shd w:val="clear" w:color="auto" w:fill="auto"/>
        <w:spacing w:before="0"/>
        <w:ind w:firstLine="495" w:firstLineChars="0"/>
        <w:rPr>
          <w:rFonts w:hint="eastAsia" w:ascii="宋体" w:hAnsi="宋体" w:cs="宋体"/>
          <w:color w:val="000000"/>
          <w:kern w:val="0"/>
          <w:szCs w:val="24"/>
          <w:highlight w:val="none"/>
        </w:rPr>
      </w:pPr>
      <w:r>
        <w:rPr>
          <w:rFonts w:hint="eastAsia" w:ascii="宋体" w:hAnsi="宋体" w:cs="宋体"/>
          <w:color w:val="000000"/>
          <w:kern w:val="0"/>
          <w:szCs w:val="24"/>
          <w:highlight w:val="none"/>
        </w:rPr>
        <w:t>22.2信用信息查询记录和证据留存的具体方式：现场查询的投标人的信用记录、查询结果经确认后将与采购文件一起存档。</w:t>
      </w:r>
    </w:p>
    <w:p>
      <w:pPr>
        <w:pStyle w:val="196"/>
        <w:shd w:val="clear" w:color="auto" w:fill="auto"/>
        <w:spacing w:before="0"/>
        <w:ind w:firstLine="495" w:firstLineChars="0"/>
        <w:rPr>
          <w:rFonts w:hint="eastAsia" w:ascii="宋体" w:hAnsi="宋体" w:cs="宋体"/>
          <w:color w:val="000000"/>
          <w:kern w:val="0"/>
          <w:szCs w:val="24"/>
          <w:highlight w:val="none"/>
        </w:rPr>
      </w:pPr>
      <w:r>
        <w:rPr>
          <w:rFonts w:hint="eastAsia" w:ascii="宋体" w:hAnsi="宋体" w:cs="宋体"/>
          <w:color w:val="000000"/>
          <w:kern w:val="0"/>
          <w:szCs w:val="24"/>
          <w:highlight w:val="none"/>
        </w:rPr>
        <w:t>22.3信用信息的使用规则：经查询列入失信被执行人名单、重大税收违法案件当事人名单、政府采购严重违法失信行为记录名单的投标人将被拒绝参与政府采购活动。</w:t>
      </w:r>
    </w:p>
    <w:p>
      <w:pPr>
        <w:pStyle w:val="196"/>
        <w:shd w:val="clear" w:color="auto" w:fill="auto"/>
        <w:spacing w:before="0"/>
        <w:ind w:firstLine="480"/>
        <w:rPr>
          <w:rFonts w:hint="eastAsia" w:ascii="宋体" w:hAnsi="宋体" w:cs="宋体"/>
          <w:color w:val="000000"/>
          <w:highlight w:val="none"/>
        </w:rPr>
      </w:pPr>
      <w:r>
        <w:rPr>
          <w:rFonts w:hint="eastAsia" w:ascii="宋体" w:hAnsi="宋体" w:cs="宋体"/>
          <w:color w:val="000000"/>
          <w:kern w:val="0"/>
          <w:szCs w:val="24"/>
          <w:highlight w:val="none"/>
        </w:rPr>
        <w:t>22.4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000000"/>
          <w:highlight w:val="none"/>
        </w:rPr>
        <w:t>。</w:t>
      </w:r>
    </w:p>
    <w:p>
      <w:pPr>
        <w:pStyle w:val="196"/>
        <w:shd w:val="clear" w:color="auto" w:fill="auto"/>
        <w:spacing w:before="0"/>
        <w:ind w:firstLine="0" w:firstLineChars="0"/>
        <w:rPr>
          <w:rFonts w:hint="eastAsia" w:ascii="宋体" w:hAnsi="宋体" w:cs="宋体"/>
          <w:color w:val="000000"/>
          <w:kern w:val="0"/>
          <w:szCs w:val="24"/>
          <w:highlight w:val="none"/>
        </w:rPr>
      </w:pPr>
    </w:p>
    <w:p>
      <w:pPr>
        <w:shd w:val="clear" w:color="auto" w:fill="auto"/>
        <w:snapToGrid w:val="0"/>
        <w:spacing w:line="360" w:lineRule="auto"/>
        <w:jc w:val="center"/>
        <w:outlineLvl w:val="0"/>
        <w:rPr>
          <w:rFonts w:hint="eastAsia" w:ascii="宋体" w:hAnsi="宋体" w:cs="宋体"/>
          <w:b/>
          <w:color w:val="000000"/>
          <w:sz w:val="36"/>
          <w:szCs w:val="36"/>
          <w:highlight w:val="none"/>
        </w:rPr>
      </w:pPr>
      <w:bookmarkStart w:id="59" w:name="_Hlt75236101"/>
      <w:bookmarkEnd w:id="59"/>
      <w:bookmarkStart w:id="60" w:name="_Toc91899902"/>
      <w:r>
        <w:rPr>
          <w:rFonts w:hint="eastAsia" w:ascii="宋体" w:hAnsi="宋体" w:cs="宋体"/>
          <w:b/>
          <w:color w:val="000000"/>
          <w:sz w:val="36"/>
          <w:szCs w:val="36"/>
          <w:highlight w:val="none"/>
        </w:rPr>
        <w:t>五、评标</w:t>
      </w:r>
      <w:bookmarkEnd w:id="60"/>
    </w:p>
    <w:p>
      <w:pPr>
        <w:shd w:val="clear" w:color="auto" w:fill="auto"/>
        <w:spacing w:line="360" w:lineRule="auto"/>
        <w:rPr>
          <w:rFonts w:hint="eastAsia" w:ascii="宋体" w:hAnsi="宋体" w:cs="宋体"/>
          <w:b/>
          <w:color w:val="000000"/>
          <w:sz w:val="24"/>
          <w:highlight w:val="none"/>
        </w:rPr>
      </w:pPr>
      <w:r>
        <w:rPr>
          <w:rFonts w:hint="eastAsia" w:ascii="宋体" w:hAnsi="宋体" w:cs="宋体"/>
          <w:b/>
          <w:color w:val="000000"/>
          <w:sz w:val="24"/>
          <w:highlight w:val="none"/>
        </w:rPr>
        <w:t>23.</w:t>
      </w:r>
      <w:r>
        <w:rPr>
          <w:rFonts w:hint="eastAsia" w:ascii="宋体" w:hAnsi="宋体" w:cs="宋体"/>
          <w:color w:val="000000"/>
          <w:highlight w:val="none"/>
        </w:rPr>
        <w:t xml:space="preserve"> </w:t>
      </w:r>
      <w:r>
        <w:rPr>
          <w:rFonts w:hint="eastAsia" w:ascii="宋体" w:hAnsi="宋体" w:cs="宋体"/>
          <w:color w:val="000000"/>
          <w:kern w:val="0"/>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000000"/>
          <w:sz w:val="24"/>
          <w:highlight w:val="none"/>
        </w:rPr>
        <w:t>详见招标文件第四部分“评标方法及评分标准”</w:t>
      </w:r>
    </w:p>
    <w:p>
      <w:pPr>
        <w:shd w:val="clear" w:color="auto" w:fill="auto"/>
        <w:spacing w:line="360" w:lineRule="auto"/>
        <w:rPr>
          <w:rFonts w:hint="eastAsia" w:ascii="宋体" w:hAnsi="宋体" w:cs="宋体"/>
          <w:b/>
          <w:color w:val="000000"/>
          <w:sz w:val="24"/>
          <w:highlight w:val="none"/>
        </w:rPr>
      </w:pPr>
    </w:p>
    <w:p>
      <w:pPr>
        <w:shd w:val="clear" w:color="auto" w:fill="auto"/>
        <w:snapToGrid w:val="0"/>
        <w:spacing w:line="360" w:lineRule="auto"/>
        <w:jc w:val="center"/>
        <w:outlineLvl w:val="0"/>
        <w:rPr>
          <w:rFonts w:hint="eastAsia" w:ascii="宋体" w:hAnsi="宋体" w:cs="宋体"/>
          <w:b/>
          <w:color w:val="000000"/>
          <w:sz w:val="36"/>
          <w:szCs w:val="36"/>
          <w:highlight w:val="none"/>
        </w:rPr>
      </w:pPr>
      <w:r>
        <w:rPr>
          <w:rFonts w:hint="eastAsia" w:ascii="宋体" w:hAnsi="宋体" w:cs="宋体"/>
          <w:b/>
          <w:color w:val="000000"/>
          <w:sz w:val="36"/>
          <w:szCs w:val="36"/>
          <w:highlight w:val="none"/>
        </w:rPr>
        <w:t>六、定 标</w:t>
      </w:r>
    </w:p>
    <w:p>
      <w:pPr>
        <w:pStyle w:val="24"/>
        <w:shd w:val="clear" w:color="auto" w:fill="auto"/>
        <w:spacing w:line="360" w:lineRule="auto"/>
        <w:ind w:left="479" w:hanging="479" w:hangingChars="199"/>
        <w:rPr>
          <w:rFonts w:hint="eastAsia" w:cs="宋体"/>
          <w:b/>
          <w:color w:val="000000"/>
          <w:highlight w:val="none"/>
        </w:rPr>
      </w:pPr>
      <w:r>
        <w:rPr>
          <w:rFonts w:hint="eastAsia" w:cs="宋体"/>
          <w:b/>
          <w:color w:val="000000"/>
          <w:highlight w:val="none"/>
        </w:rPr>
        <w:t>24. 确定中标供应商</w:t>
      </w:r>
    </w:p>
    <w:p>
      <w:pPr>
        <w:pStyle w:val="196"/>
        <w:shd w:val="clear" w:color="auto" w:fill="auto"/>
        <w:snapToGrid w:val="0"/>
        <w:spacing w:before="0"/>
        <w:ind w:firstLine="480"/>
        <w:rPr>
          <w:rFonts w:hint="eastAsia" w:ascii="宋体" w:hAnsi="宋体" w:cs="宋体"/>
          <w:b/>
          <w:color w:val="000000"/>
          <w:szCs w:val="24"/>
          <w:highlight w:val="none"/>
        </w:rPr>
      </w:pPr>
      <w:r>
        <w:rPr>
          <w:rFonts w:hint="eastAsia" w:ascii="宋体" w:hAnsi="宋体" w:cs="宋体"/>
          <w:color w:val="000000"/>
          <w:szCs w:val="24"/>
          <w:highlight w:val="none"/>
        </w:rPr>
        <w:t>采购机构将自评审结束之日起2个工作日内将评审报告送交采购人。采购人将自收到评审报告之日起5个工作日内，在评审报告确定的中标候选人名单中按顺序确定中标供应商。</w:t>
      </w:r>
      <w:r>
        <w:rPr>
          <w:rFonts w:hint="eastAsia" w:ascii="宋体" w:hAnsi="宋体" w:cs="宋体"/>
          <w:b/>
          <w:bCs/>
          <w:color w:val="000000"/>
          <w:kern w:val="0"/>
          <w:szCs w:val="24"/>
          <w:highlight w:val="none"/>
        </w:rPr>
        <w:t>中标候选人并列的，采购人将采取随机抽取的方式确定中标供应商。</w:t>
      </w:r>
    </w:p>
    <w:p>
      <w:pPr>
        <w:pStyle w:val="196"/>
        <w:shd w:val="clear" w:color="auto" w:fill="auto"/>
        <w:snapToGrid w:val="0"/>
        <w:spacing w:before="0"/>
        <w:ind w:firstLine="0" w:firstLineChars="0"/>
        <w:rPr>
          <w:rFonts w:hint="eastAsia" w:ascii="宋体" w:hAnsi="宋体" w:cs="宋体"/>
          <w:b/>
          <w:color w:val="000000"/>
          <w:szCs w:val="24"/>
          <w:highlight w:val="none"/>
        </w:rPr>
      </w:pPr>
      <w:r>
        <w:rPr>
          <w:rFonts w:hint="eastAsia" w:ascii="宋体" w:hAnsi="宋体" w:cs="宋体"/>
          <w:b/>
          <w:color w:val="000000"/>
          <w:szCs w:val="24"/>
          <w:highlight w:val="none"/>
        </w:rPr>
        <w:t>25. 中标通知与中标结果公告</w:t>
      </w:r>
    </w:p>
    <w:p>
      <w:pPr>
        <w:widowControl/>
        <w:shd w:val="clear" w:color="auto" w:fill="auto"/>
        <w:spacing w:line="360" w:lineRule="auto"/>
        <w:ind w:firstLine="480"/>
        <w:jc w:val="left"/>
        <w:rPr>
          <w:rFonts w:hint="eastAsia" w:ascii="宋体" w:hAnsi="宋体" w:cs="宋体"/>
          <w:color w:val="000000"/>
          <w:sz w:val="24"/>
          <w:highlight w:val="none"/>
        </w:rPr>
      </w:pPr>
      <w:r>
        <w:rPr>
          <w:rFonts w:hint="eastAsia" w:ascii="宋体" w:hAnsi="宋体" w:cs="宋体"/>
          <w:color w:val="000000"/>
          <w:sz w:val="24"/>
          <w:highlight w:val="none"/>
        </w:rPr>
        <w:t>25.1采购机构将在自中标人确定之日起2个工作日内，发布招标公告的网站上公告中标结果，同时发出中标通知书。</w:t>
      </w:r>
    </w:p>
    <w:p>
      <w:pPr>
        <w:widowControl/>
        <w:shd w:val="clear" w:color="auto" w:fill="auto"/>
        <w:spacing w:line="360" w:lineRule="auto"/>
        <w:ind w:firstLine="480"/>
        <w:jc w:val="left"/>
        <w:rPr>
          <w:rFonts w:hint="eastAsia" w:ascii="宋体" w:hAnsi="宋体" w:cs="宋体"/>
          <w:color w:val="000000"/>
          <w:sz w:val="24"/>
          <w:highlight w:val="none"/>
        </w:rPr>
      </w:pPr>
      <w:r>
        <w:rPr>
          <w:rFonts w:hint="eastAsia" w:ascii="宋体" w:hAnsi="宋体" w:cs="宋体"/>
          <w:color w:val="000000"/>
          <w:sz w:val="24"/>
          <w:highlight w:val="none"/>
        </w:rPr>
        <w:t>25.2中标结果公告内容包括采购人及其委托的采购机构的名称、地址、联系方式，项目名称和项目编号，中标人名称、地址和中标金额，主要中标标的的名称、规格型号、数量、单价、服务要求，中标公告期限以及评审专家名单。</w:t>
      </w:r>
    </w:p>
    <w:p>
      <w:pPr>
        <w:widowControl/>
        <w:shd w:val="clear" w:color="auto" w:fill="auto"/>
        <w:spacing w:line="360" w:lineRule="auto"/>
        <w:ind w:firstLine="480"/>
        <w:jc w:val="left"/>
        <w:rPr>
          <w:rFonts w:hint="eastAsia" w:ascii="宋体" w:hAnsi="宋体" w:cs="宋体"/>
          <w:color w:val="000000"/>
          <w:sz w:val="24"/>
          <w:highlight w:val="none"/>
        </w:rPr>
      </w:pPr>
      <w:r>
        <w:rPr>
          <w:rFonts w:hint="eastAsia" w:ascii="宋体" w:hAnsi="宋体" w:cs="宋体"/>
          <w:color w:val="000000"/>
          <w:sz w:val="24"/>
          <w:highlight w:val="none"/>
        </w:rPr>
        <w:t>25.3公告期限为1个工作日。</w:t>
      </w:r>
    </w:p>
    <w:p>
      <w:pPr>
        <w:shd w:val="clear" w:color="auto" w:fill="auto"/>
        <w:tabs>
          <w:tab w:val="left" w:pos="0"/>
        </w:tabs>
        <w:spacing w:line="360" w:lineRule="auto"/>
        <w:ind w:firstLine="480"/>
        <w:rPr>
          <w:rFonts w:hint="eastAsia" w:ascii="宋体" w:hAnsi="宋体" w:cs="宋体"/>
          <w:color w:val="000000"/>
          <w:sz w:val="24"/>
          <w:highlight w:val="none"/>
        </w:rPr>
      </w:pPr>
    </w:p>
    <w:p>
      <w:pPr>
        <w:shd w:val="clear" w:color="auto" w:fill="auto"/>
        <w:snapToGrid w:val="0"/>
        <w:spacing w:line="360" w:lineRule="auto"/>
        <w:ind w:left="120" w:leftChars="57" w:firstLine="482" w:firstLineChars="150"/>
        <w:jc w:val="center"/>
        <w:rPr>
          <w:rFonts w:hint="eastAsia" w:ascii="宋体" w:hAnsi="宋体" w:cs="宋体"/>
          <w:b/>
          <w:color w:val="000000"/>
          <w:sz w:val="32"/>
          <w:highlight w:val="none"/>
        </w:rPr>
      </w:pPr>
    </w:p>
    <w:p>
      <w:pPr>
        <w:shd w:val="clear" w:color="auto" w:fill="auto"/>
        <w:snapToGrid w:val="0"/>
        <w:spacing w:line="360" w:lineRule="auto"/>
        <w:ind w:left="120" w:leftChars="57" w:firstLine="482" w:firstLineChars="150"/>
        <w:jc w:val="center"/>
        <w:rPr>
          <w:rFonts w:hint="eastAsia" w:ascii="宋体" w:hAnsi="宋体" w:cs="宋体"/>
          <w:b/>
          <w:color w:val="000000"/>
          <w:sz w:val="32"/>
          <w:highlight w:val="none"/>
        </w:rPr>
      </w:pPr>
      <w:r>
        <w:rPr>
          <w:rFonts w:hint="eastAsia" w:ascii="宋体" w:hAnsi="宋体" w:cs="宋体"/>
          <w:b/>
          <w:color w:val="000000"/>
          <w:sz w:val="32"/>
          <w:highlight w:val="none"/>
        </w:rPr>
        <w:t>七、合同授予</w:t>
      </w:r>
    </w:p>
    <w:p>
      <w:pPr>
        <w:pStyle w:val="24"/>
        <w:shd w:val="clear" w:color="auto" w:fill="auto"/>
        <w:spacing w:line="360" w:lineRule="auto"/>
        <w:ind w:left="479" w:hanging="479" w:hangingChars="199"/>
        <w:rPr>
          <w:rFonts w:hint="eastAsia" w:cs="宋体"/>
          <w:b/>
          <w:color w:val="000000"/>
          <w:highlight w:val="none"/>
        </w:rPr>
      </w:pPr>
      <w:r>
        <w:rPr>
          <w:rFonts w:hint="eastAsia" w:cs="宋体"/>
          <w:b/>
          <w:color w:val="000000"/>
          <w:highlight w:val="none"/>
        </w:rPr>
        <w:t xml:space="preserve">26. </w:t>
      </w:r>
      <w:r>
        <w:rPr>
          <w:rFonts w:hint="eastAsia" w:cs="宋体"/>
          <w:color w:val="000000"/>
          <w:highlight w:val="none"/>
        </w:rPr>
        <w:t>合同主要条款详见第五部分拟签订的合同文本。</w:t>
      </w:r>
    </w:p>
    <w:p>
      <w:pPr>
        <w:pStyle w:val="24"/>
        <w:shd w:val="clear" w:color="auto" w:fill="auto"/>
        <w:spacing w:line="360" w:lineRule="auto"/>
        <w:ind w:left="479" w:hanging="479" w:hangingChars="199"/>
        <w:rPr>
          <w:rFonts w:hint="eastAsia" w:cs="宋体"/>
          <w:b/>
          <w:color w:val="000000"/>
          <w:highlight w:val="none"/>
        </w:rPr>
      </w:pPr>
      <w:r>
        <w:rPr>
          <w:rFonts w:hint="eastAsia" w:cs="宋体"/>
          <w:b/>
          <w:color w:val="000000"/>
          <w:highlight w:val="none"/>
        </w:rPr>
        <w:t>27. 合同的签订</w:t>
      </w:r>
    </w:p>
    <w:p>
      <w:pPr>
        <w:widowControl/>
        <w:shd w:val="clear" w:color="auto" w:fill="auto"/>
        <w:spacing w:line="360" w:lineRule="auto"/>
        <w:ind w:firstLine="480"/>
        <w:jc w:val="left"/>
        <w:rPr>
          <w:rFonts w:hint="eastAsia" w:ascii="宋体" w:hAnsi="宋体" w:cs="宋体"/>
          <w:color w:val="000000"/>
          <w:kern w:val="0"/>
          <w:sz w:val="24"/>
          <w:highlight w:val="none"/>
        </w:rPr>
      </w:pPr>
      <w:r>
        <w:rPr>
          <w:rFonts w:hint="eastAsia" w:ascii="宋体" w:hAnsi="宋体" w:cs="宋体"/>
          <w:color w:val="000000"/>
          <w:sz w:val="24"/>
          <w:highlight w:val="none"/>
        </w:rPr>
        <w:t>27.1</w:t>
      </w:r>
      <w:r>
        <w:rPr>
          <w:rFonts w:hint="eastAsia" w:ascii="宋体" w:hAnsi="宋体" w:cs="宋体"/>
          <w:color w:val="000000"/>
          <w:kern w:val="0"/>
          <w:sz w:val="24"/>
          <w:highlight w:val="none"/>
        </w:rPr>
        <w:t xml:space="preserve"> 采购人与中标人应当在中标通知书发出之日起三十日内，按照招标文件确定的事项签订政府采购合同。</w:t>
      </w:r>
    </w:p>
    <w:p>
      <w:pPr>
        <w:pStyle w:val="196"/>
        <w:shd w:val="clear" w:color="auto" w:fill="auto"/>
        <w:snapToGrid w:val="0"/>
        <w:spacing w:before="0"/>
        <w:ind w:firstLine="480"/>
        <w:rPr>
          <w:rFonts w:hint="eastAsia" w:ascii="宋体" w:hAnsi="宋体" w:cs="宋体"/>
          <w:color w:val="000000"/>
          <w:kern w:val="0"/>
          <w:highlight w:val="none"/>
        </w:rPr>
      </w:pPr>
      <w:r>
        <w:rPr>
          <w:rFonts w:hint="eastAsia" w:ascii="宋体" w:hAnsi="宋体" w:cs="宋体"/>
          <w:color w:val="000000"/>
          <w:kern w:val="0"/>
          <w:highlight w:val="none"/>
          <w:lang w:val="zh-CN"/>
        </w:rPr>
        <w:t>27.2中标人按规定的日期、时间、地点，由法定代表人或其授权代表与采购人代表签订合同。如中标人为联合体的，由联合体成员各方法定代表人或其授权代表与采购人代表签订合同。</w:t>
      </w:r>
    </w:p>
    <w:p>
      <w:pPr>
        <w:pStyle w:val="196"/>
        <w:shd w:val="clear" w:color="auto" w:fill="auto"/>
        <w:snapToGrid w:val="0"/>
        <w:spacing w:before="0"/>
        <w:ind w:firstLine="480"/>
        <w:rPr>
          <w:rFonts w:hint="eastAsia" w:ascii="宋体" w:hAnsi="宋体" w:cs="宋体"/>
          <w:color w:val="000000"/>
          <w:highlight w:val="none"/>
        </w:rPr>
      </w:pPr>
      <w:r>
        <w:rPr>
          <w:rFonts w:hint="eastAsia" w:ascii="宋体" w:hAnsi="宋体" w:cs="宋体"/>
          <w:color w:val="000000"/>
          <w:highlight w:val="none"/>
        </w:rPr>
        <w:t>27.3如签订合同并生效后，供应商无故拒绝或延期，除按照合同条款处理外，列入不良行为记录一次，并给予通报。</w:t>
      </w:r>
    </w:p>
    <w:p>
      <w:pPr>
        <w:pStyle w:val="196"/>
        <w:shd w:val="clear" w:color="auto" w:fill="auto"/>
        <w:snapToGrid w:val="0"/>
        <w:spacing w:before="0"/>
        <w:ind w:firstLine="480"/>
        <w:rPr>
          <w:rFonts w:hint="eastAsia" w:ascii="宋体" w:hAnsi="宋体" w:cs="宋体"/>
          <w:color w:val="000000"/>
          <w:highlight w:val="none"/>
        </w:rPr>
      </w:pPr>
      <w:r>
        <w:rPr>
          <w:rFonts w:hint="eastAsia" w:ascii="宋体" w:hAnsi="宋体" w:cs="宋体"/>
          <w:color w:val="000000"/>
          <w:highlight w:val="none"/>
        </w:rPr>
        <w:t>27.4中标供应商拒绝与采购人签订合同的，采购人可以按照评审报告推荐的中标或者成交候选人名单排序，确定下一候选人为中标供应商，也可以重新开展政府采购活动。</w:t>
      </w:r>
    </w:p>
    <w:p>
      <w:pPr>
        <w:pStyle w:val="24"/>
        <w:shd w:val="clear" w:color="auto" w:fill="auto"/>
        <w:spacing w:line="360" w:lineRule="auto"/>
        <w:ind w:left="479" w:hanging="479" w:hangingChars="199"/>
        <w:rPr>
          <w:rFonts w:hint="eastAsia" w:cs="宋体"/>
          <w:b/>
          <w:color w:val="000000"/>
          <w:highlight w:val="none"/>
        </w:rPr>
      </w:pPr>
      <w:r>
        <w:rPr>
          <w:rFonts w:hint="eastAsia" w:cs="宋体"/>
          <w:b/>
          <w:color w:val="000000"/>
          <w:highlight w:val="none"/>
        </w:rPr>
        <w:t>28. 履约保证金</w:t>
      </w:r>
    </w:p>
    <w:p>
      <w:pPr>
        <w:shd w:val="clear" w:color="auto" w:fill="auto"/>
        <w:tabs>
          <w:tab w:val="left" w:pos="0"/>
        </w:tabs>
        <w:spacing w:line="360" w:lineRule="auto"/>
        <w:ind w:firstLine="480"/>
        <w:rPr>
          <w:rFonts w:hint="eastAsia" w:ascii="宋体" w:hAnsi="宋体" w:cs="宋体"/>
          <w:color w:val="000000"/>
          <w:sz w:val="24"/>
          <w:highlight w:val="none"/>
        </w:rPr>
      </w:pPr>
      <w:r>
        <w:rPr>
          <w:rFonts w:hint="eastAsia" w:ascii="宋体" w:hAnsi="宋体" w:cs="宋体"/>
          <w:color w:val="000000"/>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000000"/>
          <w:sz w:val="24"/>
          <w:highlight w:val="none"/>
        </w:rPr>
        <w:t>。履约保证金的数额不得超过政府采购合同金额的5%。</w:t>
      </w:r>
    </w:p>
    <w:p>
      <w:pPr>
        <w:shd w:val="clear" w:color="auto" w:fill="auto"/>
        <w:snapToGrid w:val="0"/>
        <w:spacing w:line="360" w:lineRule="auto"/>
        <w:ind w:left="120" w:leftChars="57" w:firstLine="360" w:firstLineChars="150"/>
        <w:jc w:val="center"/>
        <w:rPr>
          <w:rFonts w:hint="eastAsia" w:ascii="宋体" w:hAnsi="宋体" w:cs="宋体"/>
          <w:color w:val="000000"/>
          <w:sz w:val="24"/>
          <w:highlight w:val="none"/>
        </w:rPr>
      </w:pPr>
    </w:p>
    <w:p>
      <w:pPr>
        <w:shd w:val="clear" w:color="auto" w:fill="auto"/>
        <w:snapToGrid w:val="0"/>
        <w:spacing w:line="360" w:lineRule="auto"/>
        <w:ind w:left="120" w:leftChars="57" w:firstLine="360" w:firstLineChars="150"/>
        <w:jc w:val="center"/>
        <w:rPr>
          <w:rFonts w:hint="eastAsia" w:ascii="宋体" w:hAnsi="宋体" w:cs="宋体"/>
          <w:b/>
          <w:color w:val="000000"/>
          <w:sz w:val="32"/>
          <w:highlight w:val="none"/>
        </w:rPr>
      </w:pPr>
      <w:r>
        <w:rPr>
          <w:rFonts w:hint="eastAsia" w:ascii="宋体" w:hAnsi="宋体" w:cs="宋体"/>
          <w:color w:val="000000"/>
          <w:sz w:val="24"/>
          <w:highlight w:val="none"/>
        </w:rPr>
        <w:t xml:space="preserve"> </w:t>
      </w:r>
      <w:r>
        <w:rPr>
          <w:rFonts w:hint="eastAsia" w:ascii="宋体" w:hAnsi="宋体" w:cs="宋体"/>
          <w:b/>
          <w:color w:val="000000"/>
          <w:sz w:val="32"/>
          <w:highlight w:val="none"/>
        </w:rPr>
        <w:t>八、验收</w:t>
      </w:r>
    </w:p>
    <w:p>
      <w:pPr>
        <w:pStyle w:val="24"/>
        <w:shd w:val="clear" w:color="auto" w:fill="auto"/>
        <w:spacing w:line="360" w:lineRule="auto"/>
        <w:ind w:firstLine="0" w:firstLineChars="0"/>
        <w:rPr>
          <w:rFonts w:hint="eastAsia" w:cs="宋体"/>
          <w:b/>
          <w:color w:val="000000"/>
          <w:highlight w:val="none"/>
        </w:rPr>
      </w:pPr>
      <w:r>
        <w:rPr>
          <w:rFonts w:hint="eastAsia" w:cs="宋体"/>
          <w:b/>
          <w:color w:val="000000"/>
          <w:highlight w:val="none"/>
        </w:rPr>
        <w:t>29.验收</w:t>
      </w:r>
    </w:p>
    <w:p>
      <w:pPr>
        <w:shd w:val="clear" w:color="auto" w:fill="auto"/>
        <w:tabs>
          <w:tab w:val="left" w:pos="0"/>
        </w:tabs>
        <w:spacing w:line="360" w:lineRule="auto"/>
        <w:ind w:firstLine="48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29.1采购人应当组织对供应商履约的验收。验收采用采购人自行组织验收和专门机构验收两种形式，具体按照萧政办发[2014]217号文件执行。验收方成员应当在验收书上签字，并承担相应的法律责任。使用区级财政性资金采购且单项合同金额在20万元（含）以上的或使用镇（街道平台）财政性资金采购且合同金额在50万元（含）以上的货物类政府采购项目的验收，按萧市监【2015】127号文件执行（如项目发布之时已有新文件，按照最新文件执行）。存在隐蔽工程的项目，采购单位及供应商应在货物到货并将实施安装前，申请进行初验收。具体验收流程详见：</w:t>
      </w:r>
      <w:r>
        <w:rPr>
          <w:rFonts w:hint="eastAsia" w:ascii="宋体" w:hAnsi="宋体" w:cs="宋体"/>
          <w:color w:val="000000"/>
          <w:kern w:val="0"/>
          <w:sz w:val="24"/>
          <w:highlight w:val="none"/>
          <w:lang/>
        </w:rPr>
        <w:drawing>
          <wp:inline distT="0" distB="0" distL="114300" distR="114300">
            <wp:extent cx="190500" cy="142875"/>
            <wp:effectExtent l="0" t="0" r="0" b="9525"/>
            <wp:docPr id="1" name="图片 1" descr="C:\Users\len\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AppData\Local\Temp\%W@GJ$ACOF(TYDYECOKVDYB.png"/>
                    <pic:cNvPicPr>
                      <a:picLocks noChangeAspect="1"/>
                    </pic:cNvPicPr>
                  </pic:nvPicPr>
                  <pic:blipFill>
                    <a:blip r:embed="rId20"/>
                    <a:stretch>
                      <a:fillRect/>
                    </a:stretch>
                  </pic:blipFill>
                  <pic:spPr>
                    <a:xfrm>
                      <a:off x="0" y="0"/>
                      <a:ext cx="190500" cy="142875"/>
                    </a:xfrm>
                    <a:prstGeom prst="rect">
                      <a:avLst/>
                    </a:prstGeom>
                    <a:noFill/>
                    <a:ln>
                      <a:noFill/>
                    </a:ln>
                  </pic:spPr>
                </pic:pic>
              </a:graphicData>
            </a:graphic>
          </wp:inline>
        </w:drawing>
      </w:r>
      <w:r>
        <w:rPr>
          <w:rFonts w:hint="eastAsia" w:ascii="宋体" w:hAnsi="宋体" w:cs="宋体"/>
          <w:color w:val="000000"/>
          <w:highlight w:val="none"/>
        </w:rPr>
        <w:fldChar w:fldCharType="begin"/>
      </w:r>
      <w:r>
        <w:rPr>
          <w:rFonts w:hint="eastAsia" w:ascii="宋体" w:hAnsi="宋体" w:cs="宋体"/>
          <w:color w:val="000000"/>
          <w:highlight w:val="none"/>
        </w:rPr>
        <w:instrText xml:space="preserve"> HYPERLINK "http://www.xszljl.com/shownew.asp?id=306&amp;menu_id=115" </w:instrText>
      </w:r>
      <w:r>
        <w:rPr>
          <w:rFonts w:hint="eastAsia" w:ascii="宋体" w:hAnsi="宋体" w:cs="宋体"/>
          <w:color w:val="000000"/>
          <w:highlight w:val="none"/>
        </w:rPr>
        <w:fldChar w:fldCharType="separate"/>
      </w:r>
      <w:r>
        <w:rPr>
          <w:rFonts w:hint="eastAsia" w:ascii="宋体" w:hAnsi="宋体" w:cs="宋体"/>
          <w:color w:val="000000"/>
          <w:kern w:val="0"/>
          <w:sz w:val="24"/>
          <w:highlight w:val="none"/>
        </w:rPr>
        <w:t>http://www.xszljl.com/shownew.asp?id=306&amp;menu_id=115</w:t>
      </w:r>
      <w:r>
        <w:rPr>
          <w:rFonts w:hint="eastAsia" w:ascii="宋体" w:hAnsi="宋体" w:cs="宋体"/>
          <w:color w:val="000000"/>
          <w:kern w:val="0"/>
          <w:sz w:val="24"/>
          <w:highlight w:val="none"/>
        </w:rPr>
        <w:fldChar w:fldCharType="end"/>
      </w:r>
      <w:r>
        <w:rPr>
          <w:rFonts w:hint="eastAsia" w:ascii="宋体" w:hAnsi="宋体" w:cs="宋体"/>
          <w:color w:val="000000"/>
          <w:kern w:val="0"/>
          <w:sz w:val="24"/>
          <w:highlight w:val="none"/>
        </w:rPr>
        <w:t>。</w:t>
      </w:r>
    </w:p>
    <w:p>
      <w:pPr>
        <w:shd w:val="clear" w:color="auto" w:fill="auto"/>
        <w:tabs>
          <w:tab w:val="left" w:pos="0"/>
        </w:tabs>
        <w:spacing w:line="360" w:lineRule="auto"/>
        <w:ind w:firstLine="480"/>
        <w:rPr>
          <w:rFonts w:hint="eastAsia" w:ascii="宋体" w:hAnsi="宋体" w:cs="宋体"/>
          <w:color w:val="000000"/>
          <w:kern w:val="0"/>
          <w:sz w:val="24"/>
          <w:highlight w:val="none"/>
        </w:rPr>
      </w:pPr>
      <w:r>
        <w:rPr>
          <w:rFonts w:hint="eastAsia" w:ascii="宋体" w:hAnsi="宋体" w:cs="宋体"/>
          <w:color w:val="000000"/>
          <w:kern w:val="0"/>
          <w:sz w:val="24"/>
          <w:highlight w:val="none"/>
        </w:rPr>
        <w:t>联系电话: 0571-83587785/0571-82816012  联系地址: 萧山区通惠北路2-1号302室</w:t>
      </w:r>
    </w:p>
    <w:p>
      <w:pPr>
        <w:shd w:val="clear" w:color="auto" w:fill="auto"/>
        <w:tabs>
          <w:tab w:val="left" w:pos="0"/>
        </w:tabs>
        <w:spacing w:line="360" w:lineRule="auto"/>
        <w:ind w:firstLine="480"/>
        <w:rPr>
          <w:rFonts w:hint="eastAsia" w:ascii="宋体" w:hAnsi="宋体" w:cs="宋体"/>
          <w:color w:val="000000"/>
          <w:kern w:val="0"/>
          <w:sz w:val="24"/>
          <w:highlight w:val="none"/>
        </w:rPr>
      </w:pPr>
      <w:r>
        <w:rPr>
          <w:rFonts w:hint="eastAsia" w:ascii="宋体" w:hAnsi="宋体" w:cs="宋体"/>
          <w:color w:val="000000"/>
          <w:kern w:val="0"/>
          <w:sz w:val="24"/>
          <w:highlight w:val="none"/>
        </w:rPr>
        <w:t>29.2除29.1规定情形外，采购人可以自行验收或邀请参加本项目的其他投标人或者第三方机构参与验收。</w:t>
      </w:r>
    </w:p>
    <w:p>
      <w:pPr>
        <w:shd w:val="clear" w:color="auto" w:fill="auto"/>
        <w:adjustRightInd/>
        <w:spacing w:line="360" w:lineRule="auto"/>
        <w:ind w:firstLine="3845" w:firstLineChars="1197"/>
        <w:outlineLvl w:val="0"/>
        <w:rPr>
          <w:rFonts w:hint="eastAsia" w:ascii="宋体" w:hAnsi="宋体" w:cs="宋体"/>
          <w:b/>
          <w:color w:val="000000"/>
          <w:sz w:val="32"/>
          <w:szCs w:val="32"/>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38"/>
    <w:bookmarkEnd w:id="39"/>
    <w:p>
      <w:pPr>
        <w:shd w:val="clear" w:color="auto" w:fill="auto"/>
        <w:spacing w:line="360" w:lineRule="auto"/>
        <w:jc w:val="center"/>
        <w:outlineLvl w:val="0"/>
        <w:rPr>
          <w:rFonts w:hint="eastAsia" w:ascii="宋体" w:hAnsi="宋体" w:cs="宋体"/>
          <w:b/>
          <w:color w:val="000000"/>
          <w:sz w:val="36"/>
          <w:szCs w:val="36"/>
          <w:highlight w:val="none"/>
        </w:rPr>
      </w:pPr>
      <w:bookmarkStart w:id="61" w:name="第四部分"/>
      <w:r>
        <w:rPr>
          <w:rFonts w:hint="eastAsia" w:ascii="宋体" w:hAnsi="宋体" w:cs="宋体"/>
          <w:b/>
          <w:color w:val="000000"/>
          <w:sz w:val="36"/>
          <w:szCs w:val="36"/>
          <w:highlight w:val="none"/>
        </w:rPr>
        <w:t>第三部分   采购需求</w:t>
      </w:r>
    </w:p>
    <w:p>
      <w:pPr>
        <w:shd w:val="clear" w:color="auto" w:fill="auto"/>
        <w:jc w:val="center"/>
        <w:rPr>
          <w:rFonts w:hint="eastAsia" w:ascii="宋体" w:hAnsi="宋体" w:cs="宋体"/>
          <w:color w:val="000000"/>
          <w:sz w:val="24"/>
          <w:highlight w:val="none"/>
        </w:rPr>
      </w:pPr>
      <w:r>
        <w:rPr>
          <w:rFonts w:hint="eastAsia" w:ascii="宋体" w:hAnsi="宋体" w:cs="宋体"/>
          <w:color w:val="000000"/>
          <w:sz w:val="24"/>
          <w:highlight w:val="none"/>
        </w:rPr>
        <w:t>一、招标一览表</w:t>
      </w:r>
    </w:p>
    <w:p>
      <w:pPr>
        <w:shd w:val="clear" w:color="auto" w:fill="auto"/>
        <w:spacing w:line="360" w:lineRule="auto"/>
        <w:jc w:val="left"/>
        <w:rPr>
          <w:rFonts w:hint="eastAsia" w:ascii="宋体" w:hAnsi="宋体" w:cs="宋体"/>
          <w:color w:val="000000"/>
          <w:sz w:val="24"/>
          <w:highlight w:val="none"/>
        </w:rPr>
      </w:pPr>
    </w:p>
    <w:tbl>
      <w:tblPr>
        <w:tblStyle w:val="62"/>
        <w:tblW w:w="0" w:type="auto"/>
        <w:jc w:val="center"/>
        <w:tblLayout w:type="fixed"/>
        <w:tblCellMar>
          <w:top w:w="0" w:type="dxa"/>
          <w:left w:w="0" w:type="dxa"/>
          <w:bottom w:w="0" w:type="dxa"/>
          <w:right w:w="0" w:type="dxa"/>
        </w:tblCellMar>
      </w:tblPr>
      <w:tblGrid>
        <w:gridCol w:w="715"/>
        <w:gridCol w:w="2365"/>
        <w:gridCol w:w="2032"/>
        <w:gridCol w:w="1104"/>
        <w:gridCol w:w="996"/>
        <w:gridCol w:w="1101"/>
        <w:gridCol w:w="777"/>
      </w:tblGrid>
      <w:tr>
        <w:tblPrEx>
          <w:tblCellMar>
            <w:top w:w="0" w:type="dxa"/>
            <w:left w:w="0" w:type="dxa"/>
            <w:bottom w:w="0" w:type="dxa"/>
            <w:right w:w="0" w:type="dxa"/>
          </w:tblCellMar>
        </w:tblPrEx>
        <w:trPr>
          <w:wBefore w:w="0" w:type="dxa"/>
          <w:wAfter w:w="0" w:type="dxa"/>
          <w:cantSplit/>
          <w:trHeight w:val="851" w:hRule="atLeast"/>
          <w:jc w:val="center"/>
        </w:trPr>
        <w:tc>
          <w:tcPr>
            <w:tcW w:w="71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hd w:val="clear" w:color="auto" w:fill="auto"/>
              <w:jc w:val="center"/>
              <w:rPr>
                <w:rFonts w:hint="eastAsia" w:ascii="宋体" w:hAnsi="宋体" w:cs="宋体"/>
                <w:color w:val="000000"/>
                <w:sz w:val="24"/>
                <w:highlight w:val="none"/>
              </w:rPr>
            </w:pPr>
            <w:r>
              <w:rPr>
                <w:rFonts w:hint="eastAsia" w:ascii="宋体" w:hAnsi="宋体" w:cs="宋体"/>
                <w:color w:val="000000"/>
                <w:sz w:val="24"/>
                <w:highlight w:val="none"/>
              </w:rPr>
              <w:t>序号</w:t>
            </w:r>
          </w:p>
        </w:tc>
        <w:tc>
          <w:tcPr>
            <w:tcW w:w="236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shd w:val="clear" w:color="auto" w:fill="auto"/>
              <w:jc w:val="center"/>
              <w:rPr>
                <w:rFonts w:hint="eastAsia" w:ascii="宋体" w:hAnsi="宋体" w:cs="宋体"/>
                <w:color w:val="000000"/>
                <w:sz w:val="24"/>
                <w:highlight w:val="none"/>
              </w:rPr>
            </w:pPr>
            <w:r>
              <w:rPr>
                <w:rFonts w:hint="eastAsia" w:ascii="宋体" w:hAnsi="宋体" w:cs="宋体"/>
                <w:color w:val="000000"/>
                <w:sz w:val="24"/>
                <w:highlight w:val="none"/>
              </w:rPr>
              <w:t>名称</w:t>
            </w:r>
          </w:p>
        </w:tc>
        <w:tc>
          <w:tcPr>
            <w:tcW w:w="2032"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shd w:val="clear" w:color="auto" w:fill="auto"/>
              <w:jc w:val="center"/>
              <w:rPr>
                <w:rFonts w:hint="eastAsia" w:ascii="宋体" w:hAnsi="宋体" w:cs="宋体"/>
                <w:color w:val="000000"/>
                <w:sz w:val="24"/>
                <w:highlight w:val="none"/>
              </w:rPr>
            </w:pPr>
            <w:r>
              <w:rPr>
                <w:rFonts w:hint="eastAsia" w:ascii="宋体" w:hAnsi="宋体" w:cs="宋体"/>
                <w:color w:val="000000"/>
                <w:sz w:val="24"/>
                <w:highlight w:val="none"/>
              </w:rPr>
              <w:t>规格型号与参数</w:t>
            </w:r>
          </w:p>
        </w:tc>
        <w:tc>
          <w:tcPr>
            <w:tcW w:w="1104"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hd w:val="clear" w:color="auto" w:fill="auto"/>
              <w:jc w:val="center"/>
              <w:rPr>
                <w:rFonts w:hint="eastAsia" w:ascii="宋体" w:hAnsi="宋体" w:cs="宋体"/>
                <w:color w:val="000000"/>
                <w:sz w:val="24"/>
                <w:highlight w:val="none"/>
              </w:rPr>
            </w:pPr>
            <w:r>
              <w:rPr>
                <w:rFonts w:hint="eastAsia" w:ascii="宋体" w:hAnsi="宋体" w:cs="宋体"/>
                <w:color w:val="000000"/>
                <w:sz w:val="24"/>
                <w:highlight w:val="none"/>
              </w:rPr>
              <w:t>单位</w:t>
            </w:r>
          </w:p>
        </w:tc>
        <w:tc>
          <w:tcPr>
            <w:tcW w:w="996"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shd w:val="clear" w:color="auto" w:fill="auto"/>
              <w:jc w:val="center"/>
              <w:rPr>
                <w:rFonts w:hint="eastAsia" w:ascii="宋体" w:hAnsi="宋体" w:cs="宋体"/>
                <w:color w:val="000000"/>
                <w:sz w:val="24"/>
                <w:highlight w:val="none"/>
              </w:rPr>
            </w:pPr>
            <w:r>
              <w:rPr>
                <w:rFonts w:hint="eastAsia" w:ascii="宋体" w:hAnsi="宋体" w:cs="宋体"/>
                <w:color w:val="000000"/>
                <w:sz w:val="24"/>
                <w:highlight w:val="none"/>
              </w:rPr>
              <w:t>数量</w:t>
            </w:r>
          </w:p>
        </w:tc>
        <w:tc>
          <w:tcPr>
            <w:tcW w:w="1101" w:type="dxa"/>
            <w:tcBorders>
              <w:top w:val="single" w:color="auto" w:sz="4" w:space="0"/>
              <w:left w:val="nil"/>
              <w:bottom w:val="single" w:color="auto" w:sz="4" w:space="0"/>
              <w:right w:val="single" w:color="auto" w:sz="4" w:space="0"/>
            </w:tcBorders>
            <w:noWrap w:val="0"/>
            <w:vAlign w:val="center"/>
          </w:tcPr>
          <w:p>
            <w:pPr>
              <w:shd w:val="clear" w:color="auto" w:fill="auto"/>
              <w:jc w:val="center"/>
              <w:rPr>
                <w:rFonts w:hint="eastAsia" w:ascii="宋体" w:hAnsi="宋体" w:cs="宋体"/>
                <w:color w:val="000000"/>
                <w:sz w:val="24"/>
                <w:highlight w:val="none"/>
              </w:rPr>
            </w:pPr>
            <w:r>
              <w:rPr>
                <w:rFonts w:hint="eastAsia" w:ascii="宋体" w:hAnsi="宋体" w:cs="宋体"/>
                <w:color w:val="000000"/>
                <w:sz w:val="24"/>
                <w:highlight w:val="none"/>
              </w:rPr>
              <w:t>是否为核心产品</w:t>
            </w:r>
          </w:p>
        </w:tc>
        <w:tc>
          <w:tcPr>
            <w:tcW w:w="777" w:type="dxa"/>
            <w:tcBorders>
              <w:top w:val="single" w:color="auto" w:sz="4" w:space="0"/>
              <w:left w:val="nil"/>
              <w:bottom w:val="single" w:color="auto" w:sz="4" w:space="0"/>
              <w:right w:val="single" w:color="auto" w:sz="4" w:space="0"/>
            </w:tcBorders>
            <w:noWrap w:val="0"/>
            <w:vAlign w:val="center"/>
          </w:tcPr>
          <w:p>
            <w:pPr>
              <w:shd w:val="clear" w:color="auto" w:fill="auto"/>
              <w:jc w:val="center"/>
              <w:rPr>
                <w:rFonts w:hint="eastAsia" w:ascii="宋体" w:hAnsi="宋体" w:cs="宋体"/>
                <w:color w:val="000000"/>
                <w:sz w:val="24"/>
                <w:highlight w:val="none"/>
              </w:rPr>
            </w:pPr>
            <w:r>
              <w:rPr>
                <w:rFonts w:hint="eastAsia" w:ascii="宋体" w:hAnsi="宋体" w:cs="宋体"/>
                <w:color w:val="000000"/>
                <w:sz w:val="24"/>
                <w:highlight w:val="none"/>
              </w:rPr>
              <w:t>备注</w:t>
            </w:r>
          </w:p>
        </w:tc>
      </w:tr>
      <w:tr>
        <w:tblPrEx>
          <w:tblCellMar>
            <w:top w:w="0" w:type="dxa"/>
            <w:left w:w="0" w:type="dxa"/>
            <w:bottom w:w="0" w:type="dxa"/>
            <w:right w:w="0" w:type="dxa"/>
          </w:tblCellMar>
        </w:tblPrEx>
        <w:trPr>
          <w:wBefore w:w="0" w:type="dxa"/>
          <w:wAfter w:w="0" w:type="dxa"/>
          <w:cantSplit/>
          <w:trHeight w:val="1261" w:hRule="atLeast"/>
          <w:jc w:val="center"/>
        </w:trPr>
        <w:tc>
          <w:tcPr>
            <w:tcW w:w="715"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hd w:val="clear" w:color="auto" w:fill="auto"/>
              <w:jc w:val="center"/>
              <w:rPr>
                <w:rFonts w:hint="eastAsia" w:ascii="宋体" w:hAnsi="宋体" w:cs="宋体"/>
                <w:color w:val="000000"/>
                <w:sz w:val="24"/>
                <w:highlight w:val="none"/>
              </w:rPr>
            </w:pPr>
            <w:r>
              <w:rPr>
                <w:rFonts w:hint="eastAsia" w:ascii="宋体" w:hAnsi="宋体" w:cs="宋体"/>
                <w:color w:val="000000"/>
                <w:sz w:val="24"/>
                <w:highlight w:val="none"/>
              </w:rPr>
              <w:t>1</w:t>
            </w:r>
          </w:p>
        </w:tc>
        <w:tc>
          <w:tcPr>
            <w:tcW w:w="236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shd w:val="clear" w:color="auto" w:fill="auto"/>
              <w:jc w:val="center"/>
              <w:rPr>
                <w:rFonts w:hint="eastAsia" w:ascii="宋体" w:hAnsi="宋体" w:cs="宋体"/>
                <w:color w:val="000000"/>
                <w:sz w:val="24"/>
                <w:highlight w:val="none"/>
              </w:rPr>
            </w:pPr>
            <w:r>
              <w:rPr>
                <w:rFonts w:hint="eastAsia" w:ascii="宋体" w:hAnsi="宋体" w:cs="宋体"/>
                <w:color w:val="000000"/>
                <w:sz w:val="24"/>
                <w:highlight w:val="none"/>
              </w:rPr>
              <w:t>城厢街道商品房智慧安防小区建设项目</w:t>
            </w:r>
          </w:p>
        </w:tc>
        <w:tc>
          <w:tcPr>
            <w:tcW w:w="2032"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shd w:val="clear" w:color="auto" w:fill="auto"/>
              <w:jc w:val="center"/>
              <w:rPr>
                <w:rFonts w:hint="eastAsia" w:ascii="宋体" w:hAnsi="宋体" w:cs="宋体"/>
                <w:color w:val="000000"/>
                <w:sz w:val="24"/>
                <w:highlight w:val="none"/>
              </w:rPr>
            </w:pPr>
            <w:r>
              <w:rPr>
                <w:rFonts w:hint="eastAsia" w:ascii="宋体" w:hAnsi="宋体" w:cs="宋体"/>
                <w:color w:val="000000"/>
                <w:sz w:val="24"/>
                <w:highlight w:val="none"/>
              </w:rPr>
              <w:t>详见招标需求</w:t>
            </w:r>
          </w:p>
        </w:tc>
        <w:tc>
          <w:tcPr>
            <w:tcW w:w="1104"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shd w:val="clear" w:color="auto" w:fill="auto"/>
              <w:jc w:val="center"/>
              <w:rPr>
                <w:rFonts w:hint="eastAsia" w:ascii="宋体" w:hAnsi="宋体" w:cs="宋体"/>
                <w:color w:val="000000"/>
                <w:sz w:val="24"/>
                <w:highlight w:val="none"/>
              </w:rPr>
            </w:pPr>
            <w:r>
              <w:rPr>
                <w:rFonts w:hint="eastAsia" w:ascii="宋体" w:hAnsi="宋体" w:cs="宋体"/>
                <w:color w:val="000000"/>
                <w:sz w:val="24"/>
                <w:highlight w:val="none"/>
              </w:rPr>
              <w:t>项</w:t>
            </w:r>
          </w:p>
        </w:tc>
        <w:tc>
          <w:tcPr>
            <w:tcW w:w="99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shd w:val="clear" w:color="auto" w:fill="auto"/>
              <w:jc w:val="center"/>
              <w:rPr>
                <w:rFonts w:hint="eastAsia" w:ascii="宋体" w:hAnsi="宋体" w:cs="宋体"/>
                <w:color w:val="000000"/>
                <w:sz w:val="24"/>
                <w:highlight w:val="none"/>
              </w:rPr>
            </w:pPr>
            <w:r>
              <w:rPr>
                <w:rFonts w:hint="eastAsia" w:ascii="宋体" w:hAnsi="宋体" w:cs="宋体"/>
                <w:color w:val="000000"/>
                <w:sz w:val="24"/>
                <w:highlight w:val="none"/>
              </w:rPr>
              <w:t>1</w:t>
            </w:r>
          </w:p>
        </w:tc>
        <w:tc>
          <w:tcPr>
            <w:tcW w:w="1101" w:type="dxa"/>
            <w:tcBorders>
              <w:top w:val="nil"/>
              <w:left w:val="nil"/>
              <w:bottom w:val="single" w:color="auto" w:sz="4" w:space="0"/>
              <w:right w:val="single" w:color="auto" w:sz="4" w:space="0"/>
            </w:tcBorders>
            <w:noWrap w:val="0"/>
            <w:vAlign w:val="center"/>
          </w:tcPr>
          <w:p>
            <w:pPr>
              <w:shd w:val="clear" w:color="auto" w:fill="auto"/>
              <w:jc w:val="center"/>
              <w:rPr>
                <w:rFonts w:hint="eastAsia" w:ascii="宋体" w:hAnsi="宋体" w:cs="宋体"/>
                <w:color w:val="000000"/>
                <w:sz w:val="24"/>
                <w:highlight w:val="none"/>
              </w:rPr>
            </w:pPr>
            <w:r>
              <w:rPr>
                <w:rFonts w:hint="eastAsia" w:ascii="宋体" w:hAnsi="宋体" w:cs="宋体"/>
                <w:color w:val="000000"/>
                <w:sz w:val="24"/>
                <w:highlight w:val="none"/>
              </w:rPr>
              <w:t>详见采购需求</w:t>
            </w:r>
          </w:p>
        </w:tc>
        <w:tc>
          <w:tcPr>
            <w:tcW w:w="777" w:type="dxa"/>
            <w:tcBorders>
              <w:top w:val="nil"/>
              <w:left w:val="nil"/>
              <w:bottom w:val="single" w:color="auto" w:sz="4" w:space="0"/>
              <w:right w:val="single" w:color="auto" w:sz="4" w:space="0"/>
            </w:tcBorders>
            <w:noWrap w:val="0"/>
            <w:vAlign w:val="center"/>
          </w:tcPr>
          <w:p>
            <w:pPr>
              <w:shd w:val="clear" w:color="auto" w:fill="auto"/>
              <w:jc w:val="center"/>
              <w:rPr>
                <w:rFonts w:hint="eastAsia" w:ascii="宋体" w:hAnsi="宋体" w:cs="宋体"/>
                <w:color w:val="000000"/>
                <w:sz w:val="24"/>
                <w:highlight w:val="none"/>
              </w:rPr>
            </w:pPr>
          </w:p>
        </w:tc>
      </w:tr>
    </w:tbl>
    <w:p>
      <w:pPr>
        <w:shd w:val="clear" w:color="auto" w:fill="auto"/>
        <w:spacing w:line="360" w:lineRule="auto"/>
        <w:jc w:val="center"/>
        <w:rPr>
          <w:rFonts w:hint="eastAsia" w:ascii="宋体" w:hAnsi="宋体" w:cs="宋体"/>
          <w:b/>
          <w:color w:val="000000"/>
          <w:sz w:val="24"/>
          <w:highlight w:val="none"/>
        </w:rPr>
      </w:pPr>
    </w:p>
    <w:p>
      <w:pPr>
        <w:shd w:val="clear" w:color="auto" w:fill="auto"/>
        <w:spacing w:line="360" w:lineRule="auto"/>
        <w:jc w:val="center"/>
        <w:rPr>
          <w:rFonts w:hint="eastAsia" w:ascii="宋体" w:hAnsi="宋体" w:cs="宋体"/>
          <w:b/>
          <w:color w:val="000000"/>
          <w:sz w:val="24"/>
          <w:highlight w:val="none"/>
        </w:rPr>
      </w:pPr>
    </w:p>
    <w:p>
      <w:pPr>
        <w:numPr>
          <w:ilvl w:val="0"/>
          <w:numId w:val="8"/>
        </w:numPr>
        <w:shd w:val="clear" w:color="auto" w:fill="auto"/>
        <w:spacing w:line="360" w:lineRule="auto"/>
        <w:jc w:val="center"/>
        <w:rPr>
          <w:rFonts w:hint="eastAsia" w:ascii="宋体" w:hAnsi="宋体" w:cs="宋体"/>
          <w:color w:val="000000"/>
          <w:sz w:val="28"/>
          <w:szCs w:val="28"/>
          <w:highlight w:val="none"/>
        </w:rPr>
      </w:pPr>
      <w:r>
        <w:rPr>
          <w:rFonts w:hint="eastAsia" w:ascii="宋体" w:hAnsi="宋体" w:cs="宋体"/>
          <w:b/>
          <w:color w:val="000000"/>
          <w:sz w:val="24"/>
          <w:highlight w:val="none"/>
        </w:rPr>
        <w:t>招标需求</w:t>
      </w:r>
    </w:p>
    <w:p>
      <w:pPr>
        <w:keepNext/>
        <w:keepLines/>
        <w:widowControl/>
        <w:shd w:val="clear" w:color="auto" w:fill="auto"/>
        <w:spacing w:before="240" w:beforeLines="100" w:after="120" w:afterLines="50"/>
        <w:jc w:val="left"/>
        <w:outlineLvl w:val="1"/>
        <w:rPr>
          <w:rFonts w:hint="eastAsia" w:ascii="宋体" w:hAnsi="宋体" w:cs="宋体"/>
          <w:b/>
          <w:bCs/>
          <w:color w:val="000000"/>
          <w:sz w:val="24"/>
          <w:highlight w:val="none"/>
        </w:rPr>
      </w:pPr>
      <w:r>
        <w:rPr>
          <w:rFonts w:hint="eastAsia" w:ascii="宋体" w:hAnsi="宋体" w:cs="宋体"/>
          <w:b/>
          <w:bCs/>
          <w:color w:val="000000"/>
          <w:sz w:val="24"/>
          <w:highlight w:val="none"/>
        </w:rPr>
        <w:t>标项一，二，三项目概况</w:t>
      </w:r>
    </w:p>
    <w:p>
      <w:pPr>
        <w:keepNext/>
        <w:keepLines/>
        <w:widowControl/>
        <w:numPr>
          <w:ilvl w:val="3"/>
          <w:numId w:val="9"/>
        </w:numPr>
        <w:shd w:val="clear" w:color="auto" w:fill="auto"/>
        <w:tabs>
          <w:tab w:val="left" w:pos="360"/>
          <w:tab w:val="left" w:pos="735"/>
        </w:tabs>
        <w:spacing w:before="240" w:beforeLines="100" w:after="120" w:afterLines="50"/>
        <w:ind w:left="864" w:hanging="864"/>
        <w:jc w:val="left"/>
        <w:outlineLvl w:val="3"/>
        <w:rPr>
          <w:rFonts w:hint="eastAsia" w:ascii="宋体" w:hAnsi="宋体" w:cs="宋体"/>
          <w:b/>
          <w:bCs/>
          <w:color w:val="000000"/>
          <w:sz w:val="24"/>
          <w:highlight w:val="none"/>
        </w:rPr>
      </w:pPr>
      <w:bookmarkStart w:id="62" w:name="_Toc14640502"/>
      <w:bookmarkStart w:id="63" w:name="_Toc2884248"/>
      <w:r>
        <w:rPr>
          <w:rFonts w:hint="eastAsia" w:ascii="宋体" w:hAnsi="宋体" w:cs="宋体"/>
          <w:b/>
          <w:bCs/>
          <w:color w:val="000000"/>
          <w:sz w:val="24"/>
          <w:highlight w:val="none"/>
        </w:rPr>
        <w:t>业务需求</w:t>
      </w:r>
      <w:bookmarkEnd w:id="62"/>
      <w:bookmarkEnd w:id="63"/>
    </w:p>
    <w:p>
      <w:pPr>
        <w:widowControl/>
        <w:shd w:val="clear" w:color="auto" w:fill="auto"/>
        <w:adjustRightInd/>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众多小区存在各类管理盲点和痛点,且诸如:机动车,非机动车乱停乱放、小区门禁无用、智能化技防手段缺失等现象,大多萧山老小区都会存在治安,消防隐患难以根治的现状,极大地增加了公安和当地街道的管理难度,传统的治安管理和社会防控工作的方法和手段很难满足当前的工作要求。</w:t>
      </w:r>
    </w:p>
    <w:p>
      <w:pPr>
        <w:widowControl/>
        <w:shd w:val="clear" w:color="auto" w:fill="auto"/>
        <w:adjustRightInd/>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为了实现社区治安的高效管理和“以房管人”的目的，加大对犯罪分子的威慑作用，提升小区综合服务水平，并且结合综治、公安、街道、居民、物业、消防等多方需要，以及利用公安已有**数据和视频图片数据，更有效的满足小区日常管理，对人员追逃、身份排查、人员管控、消防管理的需求，主要分为如下几点：</w:t>
      </w:r>
    </w:p>
    <w:p>
      <w:pPr>
        <w:shd w:val="clear" w:color="auto" w:fill="auto"/>
        <w:adjustRightInd/>
        <w:spacing w:before="120" w:after="120" w:line="360" w:lineRule="auto"/>
        <w:ind w:left="420"/>
        <w:rPr>
          <w:rFonts w:hint="eastAsia" w:ascii="宋体" w:hAnsi="宋体" w:cs="宋体"/>
          <w:b/>
          <w:color w:val="000000"/>
          <w:kern w:val="0"/>
          <w:sz w:val="24"/>
          <w:highlight w:val="none"/>
          <w:shd w:val="clear" w:color="auto" w:fill="FFFFFF"/>
        </w:rPr>
      </w:pPr>
      <w:bookmarkStart w:id="64" w:name="_Toc522096562"/>
      <w:r>
        <w:rPr>
          <w:rFonts w:hint="eastAsia" w:ascii="宋体" w:hAnsi="宋体" w:cs="宋体"/>
          <w:b/>
          <w:color w:val="000000"/>
          <w:kern w:val="0"/>
          <w:sz w:val="24"/>
          <w:highlight w:val="none"/>
          <w:shd w:val="clear" w:color="auto" w:fill="FFFFFF"/>
        </w:rPr>
        <w:t>社区人员信息采集</w:t>
      </w:r>
      <w:bookmarkEnd w:id="64"/>
    </w:p>
    <w:p>
      <w:pPr>
        <w:widowControl/>
        <w:shd w:val="clear" w:color="auto" w:fill="auto"/>
        <w:adjustRightInd/>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街道可对物业要求对小区常驻居民、常住人口、流动人口的姓名、性别、民族、出生年月、身份证号、家庭成员、文化程度、婚姻状况、户口所在地、联系方式、职业、工作单位、是否参与养老保险等多项信息进行采集和登记。建立完成统一的人口信息数据库，从而实现全区、街道的人口信息的统一管理。</w:t>
      </w:r>
    </w:p>
    <w:p>
      <w:pPr>
        <w:shd w:val="clear" w:color="auto" w:fill="auto"/>
        <w:adjustRightInd/>
        <w:spacing w:before="120" w:after="120" w:line="360" w:lineRule="auto"/>
        <w:ind w:left="420"/>
        <w:rPr>
          <w:rFonts w:hint="eastAsia" w:ascii="宋体" w:hAnsi="宋体" w:cs="宋体"/>
          <w:b/>
          <w:color w:val="000000"/>
          <w:kern w:val="0"/>
          <w:sz w:val="24"/>
          <w:highlight w:val="none"/>
          <w:shd w:val="clear" w:color="auto" w:fill="FFFFFF"/>
        </w:rPr>
      </w:pPr>
      <w:bookmarkStart w:id="65" w:name="_Toc522096563"/>
      <w:r>
        <w:rPr>
          <w:rFonts w:hint="eastAsia" w:ascii="宋体" w:hAnsi="宋体" w:cs="宋体"/>
          <w:b/>
          <w:color w:val="000000"/>
          <w:kern w:val="0"/>
          <w:sz w:val="24"/>
          <w:highlight w:val="none"/>
          <w:shd w:val="clear" w:color="auto" w:fill="FFFFFF"/>
        </w:rPr>
        <w:t>流动人口实时管控</w:t>
      </w:r>
      <w:bookmarkEnd w:id="65"/>
    </w:p>
    <w:p>
      <w:pPr>
        <w:widowControl/>
        <w:shd w:val="clear" w:color="auto" w:fill="auto"/>
        <w:adjustRightInd/>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流动人口聚集地因人口密集，管理存在盲区，常成为不法分子的滋生地，入屋盗窃等刑事案件时有发生，人民群众的生命财产得不到有力保障。通过小区的门禁系统、建设人像卡口，对人员进出进行权限管理。实现开关门实时监控，人员信息实时查询，人脸信息实时查询，刷卡信息实时查询，房屋信息实时查询和管控。让违法犯罪分子不敢出现在流动人口居住区域内，减少治安隐患，让居住环境更安全。</w:t>
      </w:r>
    </w:p>
    <w:p>
      <w:pPr>
        <w:shd w:val="clear" w:color="auto" w:fill="auto"/>
        <w:adjustRightInd/>
        <w:spacing w:before="120" w:after="120" w:line="360" w:lineRule="auto"/>
        <w:ind w:left="420"/>
        <w:rPr>
          <w:rFonts w:hint="eastAsia" w:ascii="宋体" w:hAnsi="宋体" w:cs="宋体"/>
          <w:b/>
          <w:color w:val="000000"/>
          <w:kern w:val="0"/>
          <w:sz w:val="24"/>
          <w:highlight w:val="none"/>
          <w:shd w:val="clear" w:color="auto" w:fill="FFFFFF"/>
        </w:rPr>
      </w:pPr>
      <w:bookmarkStart w:id="66" w:name="_Toc522096564"/>
      <w:r>
        <w:rPr>
          <w:rFonts w:hint="eastAsia" w:ascii="宋体" w:hAnsi="宋体" w:cs="宋体"/>
          <w:b/>
          <w:color w:val="000000"/>
          <w:kern w:val="0"/>
          <w:sz w:val="24"/>
          <w:highlight w:val="none"/>
          <w:shd w:val="clear" w:color="auto" w:fill="FFFFFF"/>
        </w:rPr>
        <w:t>重点人车主动预警</w:t>
      </w:r>
      <w:bookmarkEnd w:id="66"/>
    </w:p>
    <w:p>
      <w:pPr>
        <w:widowControl/>
        <w:shd w:val="clear" w:color="auto" w:fill="auto"/>
        <w:adjustRightInd/>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公安机关对特殊人群和高危人群的动向进行重点关注，建立高危人员库，常住人口库，惯犯库等特殊人员库。实现在逃人员实时预警，涉毒人员实时预警，布控人员实时预警，研判人员实时预警，将视频应用从“事后打击”向“事中处置”和“事前防范”延伸，全面提升视频系统对社区安全的防控效能。对社区车辆、临时出入车辆信息采集，实现人车关联及盗窃车辆行踪预警检索。</w:t>
      </w:r>
    </w:p>
    <w:p>
      <w:pPr>
        <w:shd w:val="clear" w:color="auto" w:fill="auto"/>
        <w:adjustRightInd/>
        <w:spacing w:before="120" w:after="120" w:line="360" w:lineRule="auto"/>
        <w:ind w:left="420"/>
        <w:rPr>
          <w:rFonts w:hint="eastAsia" w:ascii="宋体" w:hAnsi="宋体" w:cs="宋体"/>
          <w:b/>
          <w:color w:val="000000"/>
          <w:kern w:val="0"/>
          <w:sz w:val="24"/>
          <w:highlight w:val="none"/>
          <w:shd w:val="clear" w:color="auto" w:fill="FFFFFF"/>
        </w:rPr>
      </w:pPr>
      <w:bookmarkStart w:id="67" w:name="_Toc522096565"/>
      <w:r>
        <w:rPr>
          <w:rFonts w:hint="eastAsia" w:ascii="宋体" w:hAnsi="宋体" w:cs="宋体"/>
          <w:b/>
          <w:color w:val="000000"/>
          <w:kern w:val="0"/>
          <w:sz w:val="24"/>
          <w:highlight w:val="none"/>
          <w:shd w:val="clear" w:color="auto" w:fill="FFFFFF"/>
        </w:rPr>
        <w:t>提升侦查办案效率</w:t>
      </w:r>
      <w:bookmarkEnd w:id="67"/>
    </w:p>
    <w:p>
      <w:pPr>
        <w:widowControl/>
        <w:shd w:val="clear" w:color="auto" w:fill="auto"/>
        <w:adjustRightInd/>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将智慧社区系统产生的数据与公安警综、情报等系统数据资源进行综合，推进数据资源的关联分析、建模应用，提升公安机关通过系统数据分析研判，提高刑事案件的侦查水平。</w:t>
      </w:r>
    </w:p>
    <w:p>
      <w:pPr>
        <w:shd w:val="clear" w:color="auto" w:fill="auto"/>
        <w:adjustRightInd/>
        <w:spacing w:before="120" w:after="120" w:line="360" w:lineRule="auto"/>
        <w:ind w:left="420"/>
        <w:rPr>
          <w:rFonts w:hint="eastAsia" w:ascii="宋体" w:hAnsi="宋体" w:cs="宋体"/>
          <w:b/>
          <w:color w:val="000000"/>
          <w:kern w:val="0"/>
          <w:sz w:val="24"/>
          <w:highlight w:val="none"/>
          <w:shd w:val="clear" w:color="auto" w:fill="FFFFFF"/>
        </w:rPr>
      </w:pPr>
      <w:bookmarkStart w:id="68" w:name="_Toc522096566"/>
      <w:r>
        <w:rPr>
          <w:rFonts w:hint="eastAsia" w:ascii="宋体" w:hAnsi="宋体" w:cs="宋体"/>
          <w:b/>
          <w:color w:val="000000"/>
          <w:kern w:val="0"/>
          <w:sz w:val="24"/>
          <w:highlight w:val="none"/>
          <w:shd w:val="clear" w:color="auto" w:fill="FFFFFF"/>
        </w:rPr>
        <w:t>提升社区智能服务</w:t>
      </w:r>
      <w:bookmarkEnd w:id="68"/>
    </w:p>
    <w:p>
      <w:pPr>
        <w:widowControl/>
        <w:shd w:val="clear" w:color="auto" w:fill="auto"/>
        <w:adjustRightInd/>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对于物业来说：建立一个高度集成的管理平台，可以将小区内的监控系统、停车场系统等集成在一个智能化管理平台中进行统一管理，这样可以大大提高系统的监控效率，降低使用难度。</w:t>
      </w:r>
    </w:p>
    <w:p>
      <w:pPr>
        <w:widowControl/>
        <w:shd w:val="clear" w:color="auto" w:fill="auto"/>
        <w:adjustRightInd/>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对于小区业主来说：通过智慧社区的建设，使业主可以通过智能化的技术和手段，譬如智能车牌识别应用、人脸识别应用、APP应用便民服务等，营造一个安全、便捷的社区环境。</w:t>
      </w:r>
    </w:p>
    <w:p>
      <w:pPr>
        <w:keepNext/>
        <w:keepLines/>
        <w:widowControl/>
        <w:numPr>
          <w:ilvl w:val="2"/>
          <w:numId w:val="9"/>
        </w:numPr>
        <w:shd w:val="clear" w:color="auto" w:fill="auto"/>
        <w:tabs>
          <w:tab w:val="left" w:pos="360"/>
          <w:tab w:val="left" w:pos="567"/>
        </w:tabs>
        <w:spacing w:before="240" w:beforeLines="100" w:after="120" w:afterLines="50"/>
        <w:ind w:left="720" w:hanging="720"/>
        <w:jc w:val="left"/>
        <w:outlineLvl w:val="2"/>
        <w:rPr>
          <w:rFonts w:hint="eastAsia" w:ascii="宋体" w:hAnsi="宋体" w:cs="宋体"/>
          <w:b/>
          <w:color w:val="000000"/>
          <w:sz w:val="24"/>
          <w:highlight w:val="none"/>
        </w:rPr>
      </w:pPr>
      <w:bookmarkStart w:id="69" w:name="_Toc73254769"/>
      <w:r>
        <w:rPr>
          <w:rFonts w:hint="eastAsia" w:ascii="宋体" w:hAnsi="宋体" w:cs="宋体"/>
          <w:b/>
          <w:color w:val="000000"/>
          <w:sz w:val="24"/>
          <w:highlight w:val="none"/>
        </w:rPr>
        <w:t>总体</w:t>
      </w:r>
      <w:bookmarkEnd w:id="69"/>
      <w:r>
        <w:rPr>
          <w:rFonts w:hint="eastAsia" w:ascii="宋体" w:hAnsi="宋体" w:cs="宋体"/>
          <w:b/>
          <w:color w:val="000000"/>
          <w:sz w:val="24"/>
          <w:highlight w:val="none"/>
        </w:rPr>
        <w:t>要求</w:t>
      </w:r>
    </w:p>
    <w:p>
      <w:pPr>
        <w:widowControl/>
        <w:shd w:val="clear" w:color="auto" w:fill="auto"/>
        <w:adjustRightInd/>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系统采用开放式架构，以网络化传输、数字化处理为基础，具有强大的集成能力，集成了人员出入管理子系统、车辆出入管理子系统、智能门禁子系统、视频监控子系统、人脸抓拍子系统等一系列功能模块，实现由单纯的人为管理向门禁控制、图像监控、报警联动、车辆管控、人脸分析等应用领域的广泛扩展，提高对小区住户的管理，互助可获得更便捷的操作、更高效的管理与更智能的决策支持，从而实现高效的安全管理。</w:t>
      </w:r>
    </w:p>
    <w:p>
      <w:pPr>
        <w:keepNext/>
        <w:keepLines/>
        <w:widowControl/>
        <w:numPr>
          <w:ilvl w:val="3"/>
          <w:numId w:val="9"/>
        </w:numPr>
        <w:shd w:val="clear" w:color="auto" w:fill="auto"/>
        <w:tabs>
          <w:tab w:val="left" w:pos="360"/>
          <w:tab w:val="left" w:pos="735"/>
        </w:tabs>
        <w:spacing w:before="240" w:beforeLines="100" w:after="120" w:afterLines="50"/>
        <w:ind w:left="864" w:hanging="864"/>
        <w:jc w:val="left"/>
        <w:outlineLvl w:val="3"/>
        <w:rPr>
          <w:rFonts w:hint="eastAsia" w:ascii="宋体" w:hAnsi="宋体" w:cs="宋体"/>
          <w:b/>
          <w:bCs/>
          <w:color w:val="000000"/>
          <w:sz w:val="24"/>
          <w:highlight w:val="none"/>
        </w:rPr>
      </w:pPr>
      <w:bookmarkStart w:id="70" w:name="_Toc14640507"/>
      <w:bookmarkStart w:id="71" w:name="_Toc2884253"/>
      <w:bookmarkStart w:id="72" w:name="_Toc73254770"/>
      <w:r>
        <w:rPr>
          <w:rFonts w:hint="eastAsia" w:ascii="宋体" w:hAnsi="宋体" w:cs="宋体"/>
          <w:b/>
          <w:bCs/>
          <w:color w:val="000000"/>
          <w:sz w:val="24"/>
          <w:highlight w:val="none"/>
        </w:rPr>
        <w:t>系统架构</w:t>
      </w:r>
      <w:bookmarkEnd w:id="70"/>
      <w:bookmarkEnd w:id="71"/>
      <w:bookmarkEnd w:id="72"/>
    </w:p>
    <w:p>
      <w:pPr>
        <w:widowControl/>
        <w:shd w:val="clear" w:color="auto" w:fill="auto"/>
        <w:adjustRightInd/>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 xml:space="preserve">根据建设技术要求中关于联网要求的规定，要求以各小区为联网接入单位，通过“萧山区全息感知 VPN 专网”进行联网汇聚， 同时，运营商应按照公安相关网络安全建设标准要求，建有专线至“萧山区智慧小区生态管控平台”。本方案中采用移动 VPN 专线接入，带宽根据用户实际并发量与网络负载进行测算。 </w:t>
      </w:r>
    </w:p>
    <w:p>
      <w:pPr>
        <w:widowControl/>
        <w:shd w:val="clear" w:color="auto" w:fill="auto"/>
        <w:adjustRightInd/>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本次通过高度集成化的“智慧小区”综合管控系统，实现各单元模块的统一管控，包括：人员出入管理子系统、车辆出入管理子系统、智能门禁子系统、视频监控子系统、人脸抓拍子系统等。通过多类系统的独立运行和综合性管控的优势，实现对小区居民、重点人员、出租屋、机动车辆、非机动车、外围治安、消防隐患的立体式全面化管控。前段各系统将采集数据通过运营商网络传输到“智慧小区”综合管理平台，实现动态监控存储，报警联动，多维数据统计分析和大屏展现等功能。</w:t>
      </w:r>
    </w:p>
    <w:p>
      <w:pPr>
        <w:widowControl/>
        <w:shd w:val="clear" w:color="auto" w:fill="auto"/>
        <w:adjustRightInd/>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其联网主要架构如下图：</w:t>
      </w:r>
    </w:p>
    <w:p>
      <w:pPr>
        <w:widowControl/>
        <w:shd w:val="clear" w:color="auto" w:fill="auto"/>
        <w:adjustRightInd/>
        <w:spacing w:line="360" w:lineRule="auto"/>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object>
          <v:shape id="_x0000_i1026" o:spt="75" type="#_x0000_t75" style="height:297.25pt;width:458.45pt;" o:ole="t" filled="f" o:preferrelative="t" stroked="f" coordsize="21600,21600">
            <v:path/>
            <v:fill on="f" focussize="0,0"/>
            <v:stroke on="f"/>
            <v:imagedata r:id="rId22" o:title=""/>
            <o:lock v:ext="edit" aspectratio="t"/>
            <w10:wrap type="none"/>
            <w10:anchorlock/>
          </v:shape>
          <o:OLEObject Type="Embed" ProgID="Visio.Drawing.15" ShapeID="_x0000_i1026" DrawAspect="Content" ObjectID="_1468075725" r:id="rId21">
            <o:LockedField>false</o:LockedField>
          </o:OLEObject>
        </w:object>
      </w:r>
    </w:p>
    <w:p>
      <w:pPr>
        <w:widowControl/>
        <w:shd w:val="clear" w:color="auto" w:fill="auto"/>
        <w:adjustRightInd/>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Mac采集数据通过多维感知网直接推送到运营商汇聚平台；</w:t>
      </w:r>
    </w:p>
    <w:p>
      <w:pPr>
        <w:widowControl/>
        <w:shd w:val="clear" w:color="auto" w:fill="auto"/>
        <w:adjustRightInd/>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本次改造设计在每个小区现场部署一台智安小区平台便于后续本地各系统设备接入扩容及本地管理，人员出入管理子系统、车辆出入管理子系统、智能门禁子系统、视频监控子系统、人脸抓拍子系统等通过小区平台进行统一管理，并推送至运营商汇聚平台，除人脸抓拍数据外，其它所有数据在小区内部署的存储服务器进行存储。</w:t>
      </w:r>
    </w:p>
    <w:p>
      <w:pPr>
        <w:keepNext/>
        <w:keepLines/>
        <w:widowControl/>
        <w:numPr>
          <w:ilvl w:val="3"/>
          <w:numId w:val="9"/>
        </w:numPr>
        <w:shd w:val="clear" w:color="auto" w:fill="auto"/>
        <w:tabs>
          <w:tab w:val="left" w:pos="360"/>
          <w:tab w:val="left" w:pos="735"/>
        </w:tabs>
        <w:spacing w:before="240" w:beforeLines="100" w:after="120" w:afterLines="50"/>
        <w:ind w:left="864" w:hanging="864"/>
        <w:jc w:val="left"/>
        <w:outlineLvl w:val="3"/>
        <w:rPr>
          <w:rFonts w:hint="eastAsia" w:ascii="宋体" w:hAnsi="宋体" w:cs="宋体"/>
          <w:b/>
          <w:bCs/>
          <w:color w:val="000000"/>
          <w:sz w:val="24"/>
          <w:highlight w:val="none"/>
        </w:rPr>
      </w:pPr>
      <w:bookmarkStart w:id="73" w:name="_Toc2884267"/>
      <w:bookmarkStart w:id="74" w:name="_Toc14640525"/>
      <w:r>
        <w:rPr>
          <w:rFonts w:hint="eastAsia" w:ascii="宋体" w:hAnsi="宋体" w:cs="宋体"/>
          <w:b/>
          <w:bCs/>
          <w:color w:val="000000"/>
          <w:sz w:val="24"/>
          <w:highlight w:val="none"/>
        </w:rPr>
        <w:t>业务优势</w:t>
      </w:r>
      <w:bookmarkEnd w:id="73"/>
      <w:bookmarkEnd w:id="74"/>
    </w:p>
    <w:p>
      <w:pPr>
        <w:widowControl/>
        <w:shd w:val="clear" w:color="auto" w:fill="auto"/>
        <w:adjustRightInd/>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以人、车、房屋等数据为核心，利用智能化、物联网、大数据等技术，将“万物互联、智慧治理、服务共享”理念植入到平台建设当中，实现智慧社区自治理的模式。将社区从传统的“被动式管理模式”转变为“硬件感知、系统分析预测的主动式管理模式”，全面提升社区物 业的管理水平，丰富提高公安机关、社区街道政府的管理手段，实现实时、精细化的管理目标。</w:t>
      </w:r>
    </w:p>
    <w:p>
      <w:pPr>
        <w:widowControl/>
        <w:shd w:val="clear" w:color="auto" w:fill="auto"/>
        <w:adjustRightInd/>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平台充分考虑所服务的人员、数据量、服务关联性、系统对接等业务闭环，通过分布式的系统架构、智能运维平台系统、实时预警分析系统，来实现对设备、故障的预防预警，运维管理和人机结合的手段来保障整个系统的正常运行，实现故障预警报警、流转处理、统计报表等功能;通过大数据分析摸清社区人员底数，掌握人员流动状况，为政府运维管理提供决策依据，从而能够快速和准确地进行系统维护的指挥调度。</w:t>
      </w:r>
    </w:p>
    <w:p>
      <w:pPr>
        <w:shd w:val="clear" w:color="auto" w:fill="auto"/>
        <w:adjustRightInd/>
        <w:rPr>
          <w:rFonts w:hint="eastAsia" w:ascii="宋体" w:hAnsi="宋体" w:cs="宋体"/>
          <w:color w:val="000000"/>
          <w:sz w:val="24"/>
          <w:highlight w:val="none"/>
        </w:rPr>
      </w:pPr>
    </w:p>
    <w:p>
      <w:pPr>
        <w:widowControl/>
        <w:shd w:val="clear" w:color="auto" w:fill="auto"/>
        <w:adjustRightInd/>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附小区清单：家景园，梅和名府（南区）梅和名府（北区），</w:t>
      </w:r>
      <w:r>
        <w:rPr>
          <w:rFonts w:hint="eastAsia" w:ascii="宋体" w:hAnsi="宋体" w:cs="宋体"/>
          <w:color w:val="000000"/>
          <w:kern w:val="0"/>
          <w:sz w:val="24"/>
          <w:highlight w:val="none"/>
        </w:rPr>
        <w:tab/>
      </w:r>
      <w:r>
        <w:rPr>
          <w:rFonts w:hint="eastAsia" w:ascii="宋体" w:hAnsi="宋体" w:cs="宋体"/>
          <w:color w:val="000000"/>
          <w:kern w:val="0"/>
          <w:sz w:val="24"/>
          <w:highlight w:val="none"/>
        </w:rPr>
        <w:t>城河公寓，崇化住宅区，南江公寓，</w:t>
      </w:r>
      <w:r>
        <w:rPr>
          <w:rFonts w:hint="eastAsia" w:ascii="宋体" w:hAnsi="宋体" w:cs="宋体"/>
          <w:color w:val="000000"/>
          <w:kern w:val="0"/>
          <w:sz w:val="24"/>
          <w:highlight w:val="none"/>
        </w:rPr>
        <w:tab/>
      </w:r>
      <w:r>
        <w:rPr>
          <w:rFonts w:hint="eastAsia" w:ascii="宋体" w:hAnsi="宋体" w:cs="宋体"/>
          <w:color w:val="000000"/>
          <w:kern w:val="0"/>
          <w:sz w:val="24"/>
          <w:highlight w:val="none"/>
        </w:rPr>
        <w:t>南欣公寓，潘水南苑，</w:t>
      </w:r>
      <w:r>
        <w:rPr>
          <w:rFonts w:hint="eastAsia" w:ascii="宋体" w:hAnsi="宋体" w:cs="宋体"/>
          <w:color w:val="000000"/>
          <w:kern w:val="0"/>
          <w:sz w:val="24"/>
          <w:highlight w:val="none"/>
        </w:rPr>
        <w:tab/>
      </w:r>
      <w:r>
        <w:rPr>
          <w:rFonts w:hint="eastAsia" w:ascii="宋体" w:hAnsi="宋体" w:cs="宋体"/>
          <w:color w:val="000000"/>
          <w:kern w:val="0"/>
          <w:sz w:val="24"/>
          <w:highlight w:val="none"/>
        </w:rPr>
        <w:t>潘水苑（南区）潘水苑（北区），珺悦府，萧然西路585号，</w:t>
      </w:r>
      <w:r>
        <w:rPr>
          <w:rFonts w:hint="eastAsia" w:ascii="宋体" w:hAnsi="宋体" w:cs="宋体"/>
          <w:color w:val="000000"/>
          <w:kern w:val="0"/>
          <w:sz w:val="24"/>
          <w:highlight w:val="none"/>
        </w:rPr>
        <w:tab/>
      </w:r>
      <w:r>
        <w:rPr>
          <w:rFonts w:hint="eastAsia" w:ascii="宋体" w:hAnsi="宋体" w:cs="宋体"/>
          <w:color w:val="000000"/>
          <w:kern w:val="0"/>
          <w:sz w:val="24"/>
          <w:highlight w:val="none"/>
        </w:rPr>
        <w:t>回澜北苑（东区）</w:t>
      </w:r>
      <w:r>
        <w:rPr>
          <w:rFonts w:hint="eastAsia" w:ascii="宋体" w:hAnsi="宋体" w:cs="宋体"/>
          <w:color w:val="000000"/>
          <w:kern w:val="0"/>
          <w:sz w:val="24"/>
          <w:highlight w:val="none"/>
        </w:rPr>
        <w:tab/>
      </w:r>
      <w:r>
        <w:rPr>
          <w:rFonts w:hint="eastAsia" w:ascii="宋体" w:hAnsi="宋体" w:cs="宋体"/>
          <w:color w:val="000000"/>
          <w:kern w:val="0"/>
          <w:sz w:val="24"/>
          <w:highlight w:val="none"/>
        </w:rPr>
        <w:t>回澜北苑（西区），</w:t>
      </w:r>
      <w:r>
        <w:rPr>
          <w:rFonts w:hint="eastAsia" w:ascii="宋体" w:hAnsi="宋体" w:cs="宋体"/>
          <w:color w:val="000000"/>
          <w:kern w:val="0"/>
          <w:sz w:val="24"/>
          <w:highlight w:val="none"/>
        </w:rPr>
        <w:tab/>
      </w:r>
      <w:r>
        <w:rPr>
          <w:rFonts w:hint="eastAsia" w:ascii="宋体" w:hAnsi="宋体" w:cs="宋体"/>
          <w:color w:val="000000"/>
          <w:kern w:val="0"/>
          <w:sz w:val="24"/>
          <w:highlight w:val="none"/>
        </w:rPr>
        <w:t>景苑公寓，阳光华庭，</w:t>
      </w:r>
      <w:r>
        <w:rPr>
          <w:rFonts w:hint="eastAsia" w:ascii="宋体" w:hAnsi="宋体" w:cs="宋体"/>
          <w:color w:val="000000"/>
          <w:kern w:val="0"/>
          <w:sz w:val="24"/>
          <w:highlight w:val="none"/>
        </w:rPr>
        <w:tab/>
      </w:r>
      <w:r>
        <w:rPr>
          <w:rFonts w:hint="eastAsia" w:ascii="宋体" w:hAnsi="宋体" w:cs="宋体"/>
          <w:color w:val="000000"/>
          <w:kern w:val="0"/>
          <w:sz w:val="24"/>
          <w:highlight w:val="none"/>
        </w:rPr>
        <w:t>井泉苑，</w:t>
      </w:r>
      <w:r>
        <w:rPr>
          <w:rFonts w:hint="eastAsia" w:ascii="宋体" w:hAnsi="宋体" w:cs="宋体"/>
          <w:color w:val="000000"/>
          <w:kern w:val="0"/>
          <w:sz w:val="24"/>
          <w:highlight w:val="none"/>
        </w:rPr>
        <w:tab/>
      </w:r>
      <w:r>
        <w:rPr>
          <w:rFonts w:hint="eastAsia" w:ascii="宋体" w:hAnsi="宋体" w:cs="宋体"/>
          <w:color w:val="000000"/>
          <w:kern w:val="0"/>
          <w:sz w:val="24"/>
          <w:highlight w:val="none"/>
        </w:rPr>
        <w:t>美之园东区，美之园西区，</w:t>
      </w:r>
      <w:r>
        <w:rPr>
          <w:rFonts w:hint="eastAsia" w:ascii="宋体" w:hAnsi="宋体" w:cs="宋体"/>
          <w:color w:val="000000"/>
          <w:kern w:val="0"/>
          <w:sz w:val="24"/>
          <w:highlight w:val="none"/>
        </w:rPr>
        <w:tab/>
      </w:r>
      <w:r>
        <w:rPr>
          <w:rFonts w:hint="eastAsia" w:ascii="宋体" w:hAnsi="宋体" w:cs="宋体"/>
          <w:color w:val="000000"/>
          <w:kern w:val="0"/>
          <w:sz w:val="24"/>
          <w:highlight w:val="none"/>
        </w:rPr>
        <w:t>同和公寓，西山公寓，湘湖林语，</w:t>
      </w:r>
      <w:r>
        <w:rPr>
          <w:rFonts w:hint="eastAsia" w:ascii="宋体" w:hAnsi="宋体" w:cs="宋体"/>
          <w:color w:val="000000"/>
          <w:kern w:val="0"/>
          <w:sz w:val="24"/>
          <w:highlight w:val="none"/>
        </w:rPr>
        <w:tab/>
      </w:r>
      <w:r>
        <w:rPr>
          <w:rFonts w:hint="eastAsia" w:ascii="宋体" w:hAnsi="宋体" w:cs="宋体"/>
          <w:color w:val="000000"/>
          <w:kern w:val="0"/>
          <w:sz w:val="24"/>
          <w:highlight w:val="none"/>
        </w:rPr>
        <w:t>湘湖美地，</w:t>
      </w:r>
      <w:r>
        <w:rPr>
          <w:rFonts w:hint="eastAsia" w:ascii="宋体" w:hAnsi="宋体" w:cs="宋体"/>
          <w:color w:val="000000"/>
          <w:kern w:val="0"/>
          <w:sz w:val="24"/>
          <w:highlight w:val="none"/>
        </w:rPr>
        <w:tab/>
      </w:r>
      <w:r>
        <w:rPr>
          <w:rFonts w:hint="eastAsia" w:ascii="宋体" w:hAnsi="宋体" w:cs="宋体"/>
          <w:color w:val="000000"/>
          <w:kern w:val="0"/>
          <w:sz w:val="24"/>
          <w:highlight w:val="none"/>
        </w:rPr>
        <w:t>东城名苑，</w:t>
      </w:r>
      <w:r>
        <w:rPr>
          <w:rFonts w:hint="eastAsia" w:ascii="宋体" w:hAnsi="宋体" w:cs="宋体"/>
          <w:color w:val="000000"/>
          <w:kern w:val="0"/>
          <w:sz w:val="24"/>
          <w:highlight w:val="none"/>
        </w:rPr>
        <w:tab/>
      </w:r>
      <w:r>
        <w:rPr>
          <w:rFonts w:hint="eastAsia" w:ascii="宋体" w:hAnsi="宋体" w:cs="宋体"/>
          <w:color w:val="000000"/>
          <w:kern w:val="0"/>
          <w:sz w:val="24"/>
          <w:highlight w:val="none"/>
        </w:rPr>
        <w:t>湖畔公寓，</w:t>
      </w:r>
      <w:r>
        <w:rPr>
          <w:rFonts w:hint="eastAsia" w:ascii="宋体" w:hAnsi="宋体" w:cs="宋体"/>
          <w:color w:val="000000"/>
          <w:kern w:val="0"/>
          <w:sz w:val="24"/>
          <w:highlight w:val="none"/>
        </w:rPr>
        <w:tab/>
      </w:r>
      <w:r>
        <w:rPr>
          <w:rFonts w:hint="eastAsia" w:ascii="宋体" w:hAnsi="宋体" w:cs="宋体"/>
          <w:color w:val="000000"/>
          <w:kern w:val="0"/>
          <w:sz w:val="24"/>
          <w:highlight w:val="none"/>
        </w:rPr>
        <w:t>丽都公寓，</w:t>
      </w:r>
      <w:r>
        <w:rPr>
          <w:rFonts w:hint="eastAsia" w:ascii="宋体" w:hAnsi="宋体" w:cs="宋体"/>
          <w:color w:val="000000"/>
          <w:kern w:val="0"/>
          <w:sz w:val="24"/>
          <w:highlight w:val="none"/>
        </w:rPr>
        <w:tab/>
      </w:r>
      <w:r>
        <w:rPr>
          <w:rFonts w:hint="eastAsia" w:ascii="宋体" w:hAnsi="宋体" w:cs="宋体"/>
          <w:color w:val="000000"/>
          <w:kern w:val="0"/>
          <w:sz w:val="24"/>
          <w:highlight w:val="none"/>
        </w:rPr>
        <w:t>绅园，丁香公馆。</w:t>
      </w:r>
    </w:p>
    <w:p>
      <w:pPr>
        <w:widowControl/>
        <w:shd w:val="clear" w:color="auto" w:fill="auto"/>
        <w:adjustRightInd/>
        <w:spacing w:line="360" w:lineRule="auto"/>
        <w:ind w:firstLine="480" w:firstLineChars="200"/>
        <w:jc w:val="left"/>
        <w:rPr>
          <w:rFonts w:hint="eastAsia" w:ascii="宋体" w:hAnsi="宋体" w:cs="宋体"/>
          <w:color w:val="000000"/>
          <w:kern w:val="0"/>
          <w:sz w:val="24"/>
          <w:highlight w:val="none"/>
        </w:rPr>
      </w:pPr>
    </w:p>
    <w:p>
      <w:pPr>
        <w:keepNext/>
        <w:keepLines/>
        <w:widowControl/>
        <w:shd w:val="clear" w:color="auto" w:fill="auto"/>
        <w:spacing w:before="240" w:beforeLines="100" w:after="120" w:afterLines="50"/>
        <w:jc w:val="left"/>
        <w:outlineLvl w:val="1"/>
        <w:rPr>
          <w:rFonts w:hint="eastAsia" w:ascii="宋体" w:hAnsi="宋体" w:cs="宋体"/>
          <w:b/>
          <w:bCs/>
          <w:color w:val="000000"/>
          <w:sz w:val="24"/>
          <w:highlight w:val="none"/>
        </w:rPr>
      </w:pPr>
      <w:r>
        <w:rPr>
          <w:rFonts w:hint="eastAsia" w:ascii="宋体" w:hAnsi="宋体" w:cs="宋体"/>
          <w:b/>
          <w:bCs/>
          <w:color w:val="000000"/>
          <w:sz w:val="24"/>
          <w:highlight w:val="none"/>
        </w:rPr>
        <w:t>标项四项目概况</w:t>
      </w:r>
    </w:p>
    <w:p>
      <w:pPr>
        <w:keepNext/>
        <w:keepLines/>
        <w:widowControl/>
        <w:numPr>
          <w:ilvl w:val="3"/>
          <w:numId w:val="9"/>
        </w:numPr>
        <w:shd w:val="clear" w:color="auto" w:fill="auto"/>
        <w:tabs>
          <w:tab w:val="left" w:pos="360"/>
          <w:tab w:val="left" w:pos="735"/>
        </w:tabs>
        <w:spacing w:before="240" w:beforeLines="100" w:after="120" w:afterLines="50"/>
        <w:ind w:left="864" w:hanging="864"/>
        <w:jc w:val="left"/>
        <w:outlineLvl w:val="3"/>
        <w:rPr>
          <w:rFonts w:hint="eastAsia" w:ascii="宋体" w:hAnsi="宋体" w:cs="宋体"/>
          <w:b/>
          <w:bCs/>
          <w:color w:val="000000"/>
          <w:sz w:val="24"/>
          <w:highlight w:val="none"/>
        </w:rPr>
      </w:pPr>
      <w:r>
        <w:rPr>
          <w:rFonts w:hint="eastAsia" w:ascii="宋体" w:hAnsi="宋体" w:cs="宋体"/>
          <w:b/>
          <w:bCs/>
          <w:color w:val="000000"/>
          <w:sz w:val="24"/>
          <w:highlight w:val="none"/>
        </w:rPr>
        <w:t>周界安全防范</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（1）在封闭型小区（楼宇）周界围墙上应当安装视频监控摄像机，安装位置、高度、方向能确保兼顾周界围墙内、外场景，且能确保夜间画面清晰可见。</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（2）开放性小区（楼宇）周边应当安装视频监控摄像机，形成视频虚拟围墙。</w:t>
      </w:r>
    </w:p>
    <w:p>
      <w:pPr>
        <w:keepNext/>
        <w:keepLines/>
        <w:widowControl/>
        <w:numPr>
          <w:ilvl w:val="3"/>
          <w:numId w:val="9"/>
        </w:numPr>
        <w:shd w:val="clear" w:color="auto" w:fill="auto"/>
        <w:tabs>
          <w:tab w:val="left" w:pos="360"/>
          <w:tab w:val="left" w:pos="735"/>
        </w:tabs>
        <w:spacing w:before="240" w:beforeLines="100" w:after="120" w:afterLines="50"/>
        <w:ind w:left="864" w:hanging="864"/>
        <w:jc w:val="left"/>
        <w:outlineLvl w:val="3"/>
        <w:rPr>
          <w:rFonts w:hint="eastAsia" w:ascii="宋体" w:hAnsi="宋体" w:cs="宋体"/>
          <w:b/>
          <w:bCs/>
          <w:color w:val="000000"/>
          <w:sz w:val="24"/>
          <w:highlight w:val="none"/>
        </w:rPr>
      </w:pPr>
      <w:r>
        <w:rPr>
          <w:rFonts w:hint="eastAsia" w:ascii="宋体" w:hAnsi="宋体" w:cs="宋体"/>
          <w:b/>
          <w:bCs/>
          <w:color w:val="000000"/>
          <w:sz w:val="24"/>
          <w:highlight w:val="none"/>
        </w:rPr>
        <w:t>出入口安全防范</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（1）在小区（楼宇）与外界相通出入口应当安装视频监控摄像机，能清晰记录人员、机动车、非机动车的进入小区（楼宇）情况。</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（2）在小区（楼宇）与外界相通出入口应安装人脸抓拍摄像机，进入小区（楼宇）人员作比对分析，及时预警黑名单人员，视频监控摄像机和人脸抓拍摄像机宜采用同时具备以上功能的一体化摄像机。</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（3）小区（楼宇）车辆出入口应采用车牌识别摄像一体机对进出车辆进行控制，实时记录出入口通行车辆信息，通过车牌识别系统分析进入小区（楼宇）的内部车辆、外来车辆、黑名单车辆等信息并记录。</w:t>
      </w:r>
    </w:p>
    <w:p>
      <w:pPr>
        <w:keepNext/>
        <w:keepLines/>
        <w:widowControl/>
        <w:numPr>
          <w:ilvl w:val="3"/>
          <w:numId w:val="9"/>
        </w:numPr>
        <w:shd w:val="clear" w:color="auto" w:fill="auto"/>
        <w:tabs>
          <w:tab w:val="left" w:pos="360"/>
          <w:tab w:val="left" w:pos="735"/>
        </w:tabs>
        <w:spacing w:before="240" w:beforeLines="100" w:after="120" w:afterLines="50"/>
        <w:ind w:left="864" w:hanging="864"/>
        <w:jc w:val="left"/>
        <w:outlineLvl w:val="3"/>
        <w:rPr>
          <w:rFonts w:hint="eastAsia" w:ascii="宋体" w:hAnsi="宋体" w:cs="宋体"/>
          <w:b/>
          <w:bCs/>
          <w:color w:val="000000"/>
          <w:sz w:val="24"/>
          <w:highlight w:val="none"/>
        </w:rPr>
      </w:pPr>
      <w:r>
        <w:rPr>
          <w:rFonts w:hint="eastAsia" w:ascii="宋体" w:hAnsi="宋体" w:cs="宋体"/>
          <w:b/>
          <w:bCs/>
          <w:color w:val="000000"/>
          <w:sz w:val="24"/>
          <w:highlight w:val="none"/>
        </w:rPr>
        <w:t>公共区域安全防范</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（1）在小区（楼宇）内部主要通道、业主活动场所等公共区域安装视频监控摄像机。</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（2）在小区（楼宇）消防车专用通道安装视频监控摄像机，通过视频解析对专用通道被占用情况实时预警。</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（3）根据高空抛物监控管理等需求，需要考虑监控向上安装的要求，并做好摄像机雨水防护。</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（4）根据小区消防登高面管理等需求，需要考虑监控向上安装的要求，并做好摄像机雨水防护。</w:t>
      </w:r>
    </w:p>
    <w:p>
      <w:pPr>
        <w:keepNext/>
        <w:keepLines/>
        <w:widowControl/>
        <w:numPr>
          <w:ilvl w:val="2"/>
          <w:numId w:val="9"/>
        </w:numPr>
        <w:shd w:val="clear" w:color="auto" w:fill="auto"/>
        <w:tabs>
          <w:tab w:val="left" w:pos="360"/>
          <w:tab w:val="left" w:pos="567"/>
        </w:tabs>
        <w:spacing w:before="240" w:beforeLines="100" w:after="120" w:afterLines="50"/>
        <w:ind w:left="720" w:hanging="720"/>
        <w:jc w:val="left"/>
        <w:outlineLvl w:val="2"/>
        <w:rPr>
          <w:rFonts w:hint="eastAsia" w:ascii="宋体" w:hAnsi="宋体" w:cs="宋体"/>
          <w:b/>
          <w:color w:val="000000"/>
          <w:sz w:val="24"/>
          <w:highlight w:val="none"/>
        </w:rPr>
      </w:pPr>
      <w:bookmarkStart w:id="75" w:name="_Toc84583919"/>
      <w:bookmarkStart w:id="76" w:name="_Toc30153452"/>
      <w:r>
        <w:rPr>
          <w:rFonts w:hint="eastAsia" w:ascii="宋体" w:hAnsi="宋体" w:cs="宋体"/>
          <w:b/>
          <w:color w:val="000000"/>
          <w:sz w:val="24"/>
          <w:highlight w:val="none"/>
        </w:rPr>
        <w:t>建设目标</w:t>
      </w:r>
      <w:bookmarkEnd w:id="75"/>
    </w:p>
    <w:p>
      <w:pPr>
        <w:keepNext/>
        <w:keepLines/>
        <w:widowControl/>
        <w:numPr>
          <w:ilvl w:val="3"/>
          <w:numId w:val="9"/>
        </w:numPr>
        <w:shd w:val="clear" w:color="auto" w:fill="auto"/>
        <w:tabs>
          <w:tab w:val="left" w:pos="360"/>
          <w:tab w:val="left" w:pos="735"/>
        </w:tabs>
        <w:spacing w:before="240" w:beforeLines="100" w:after="120" w:afterLines="50"/>
        <w:ind w:left="864" w:hanging="864"/>
        <w:jc w:val="left"/>
        <w:outlineLvl w:val="3"/>
        <w:rPr>
          <w:rFonts w:hint="eastAsia" w:ascii="宋体" w:hAnsi="宋体" w:cs="宋体"/>
          <w:b/>
          <w:bCs/>
          <w:color w:val="000000"/>
          <w:sz w:val="24"/>
          <w:highlight w:val="none"/>
        </w:rPr>
      </w:pPr>
      <w:bookmarkStart w:id="77" w:name="_Toc35627064"/>
      <w:r>
        <w:rPr>
          <w:rFonts w:hint="eastAsia" w:ascii="宋体" w:hAnsi="宋体" w:cs="宋体"/>
          <w:b/>
          <w:bCs/>
          <w:color w:val="000000"/>
          <w:sz w:val="24"/>
          <w:highlight w:val="none"/>
        </w:rPr>
        <w:t>实有人口 “底数清，情况明”</w:t>
      </w:r>
      <w:bookmarkEnd w:id="76"/>
      <w:bookmarkEnd w:id="77"/>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lang w:bidi="ar"/>
        </w:rPr>
        <w:t>智慧安防小区的建设，可实现居民身份信息登记由被动变主动，杜绝以往由流管工作人员、民警上门手工登记造成的效率低下、差错量大、数据更新不及时的问题，实现工作模式从“人工采”向“系统采、人监督”的转变，通过人脸道闸、门禁、智能门锁配合APP、小程序的应用，真正意义上实现了“来有注册、去有注销”的人员管理规则，可对常住人口、出租房屋、租客等多种对象进行管理，提供人口居住情况的动态信息，通过与公安实有人口库比对，精准识别6大类人口异常情况，可通过移动端下发至社区民警，指导社区精准**，做到实时完善小区实口权威库，实现底数清、情况明的工作目标。</w:t>
      </w:r>
    </w:p>
    <w:p>
      <w:pPr>
        <w:keepNext/>
        <w:keepLines/>
        <w:widowControl/>
        <w:numPr>
          <w:ilvl w:val="3"/>
          <w:numId w:val="9"/>
        </w:numPr>
        <w:shd w:val="clear" w:color="auto" w:fill="auto"/>
        <w:tabs>
          <w:tab w:val="left" w:pos="360"/>
          <w:tab w:val="left" w:pos="735"/>
        </w:tabs>
        <w:spacing w:before="240" w:beforeLines="100" w:after="120" w:afterLines="50"/>
        <w:ind w:left="864" w:hanging="864"/>
        <w:jc w:val="left"/>
        <w:outlineLvl w:val="3"/>
        <w:rPr>
          <w:rFonts w:hint="eastAsia" w:ascii="宋体" w:hAnsi="宋体" w:cs="宋体"/>
          <w:b/>
          <w:bCs/>
          <w:color w:val="000000"/>
          <w:sz w:val="24"/>
          <w:highlight w:val="none"/>
        </w:rPr>
      </w:pPr>
      <w:bookmarkStart w:id="78" w:name="_Toc35627065"/>
      <w:bookmarkStart w:id="79" w:name="_Toc30153453"/>
      <w:r>
        <w:rPr>
          <w:rFonts w:hint="eastAsia" w:ascii="宋体" w:hAnsi="宋体" w:cs="宋体"/>
          <w:b/>
          <w:bCs/>
          <w:color w:val="000000"/>
          <w:sz w:val="24"/>
          <w:highlight w:val="none"/>
        </w:rPr>
        <w:t>重点人员 “不漏管，不失控”</w:t>
      </w:r>
      <w:bookmarkEnd w:id="78"/>
      <w:bookmarkEnd w:id="79"/>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lang w:bidi="ar"/>
        </w:rPr>
        <w:t>通过智慧安防小区系统对小区内特殊人群和高危人群的动向进行重点关注，系统可记录重点人员的出行记录等信息，使公安机关能够及时了解重点人员的活动及异常情况；通过前端采集信息与公安数据碰撞运用，同时结合模型研判实现异常预警等功能。系统也可通过对人、车等对象布控的方式，提升对重点对象的管理能力，使公安机关能够及时对涉案人员、涉案车辆进行及时的发现和动作，提升公安机关异常情况的响应能力和案件的侦破能力，在保障小区居民安全的同时确保公安机关对小区内重点人员管理的“不漏管，不失控”。</w:t>
      </w:r>
    </w:p>
    <w:p>
      <w:pPr>
        <w:keepNext/>
        <w:keepLines/>
        <w:widowControl/>
        <w:numPr>
          <w:ilvl w:val="3"/>
          <w:numId w:val="9"/>
        </w:numPr>
        <w:shd w:val="clear" w:color="auto" w:fill="auto"/>
        <w:tabs>
          <w:tab w:val="left" w:pos="360"/>
          <w:tab w:val="left" w:pos="735"/>
        </w:tabs>
        <w:spacing w:before="240" w:beforeLines="100" w:after="120" w:afterLines="50"/>
        <w:ind w:left="864" w:hanging="864"/>
        <w:jc w:val="left"/>
        <w:outlineLvl w:val="3"/>
        <w:rPr>
          <w:rFonts w:hint="eastAsia" w:ascii="宋体" w:hAnsi="宋体" w:cs="宋体"/>
          <w:b/>
          <w:bCs/>
          <w:color w:val="000000"/>
          <w:sz w:val="24"/>
          <w:highlight w:val="none"/>
        </w:rPr>
      </w:pPr>
      <w:bookmarkStart w:id="80" w:name="_Toc30153454"/>
      <w:bookmarkStart w:id="81" w:name="_Toc35627066"/>
      <w:r>
        <w:rPr>
          <w:rFonts w:hint="eastAsia" w:ascii="宋体" w:hAnsi="宋体" w:cs="宋体"/>
          <w:b/>
          <w:bCs/>
          <w:color w:val="000000"/>
          <w:sz w:val="24"/>
          <w:highlight w:val="none"/>
        </w:rPr>
        <w:t>打造“零发案”小区</w:t>
      </w:r>
      <w:bookmarkEnd w:id="80"/>
      <w:bookmarkEnd w:id="81"/>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lang w:bidi="ar"/>
        </w:rPr>
        <w:t>智慧安防小区系统通过视频监控、出入控制、AI研判等技术提升小区技防能力；通过治安信息宣传发布，加强居民心防；借助系统的报警指派，落实责任制，通过“谁主管、谁负责”完善小区安全人防、责任防，利用物联感知技术为小区物防提供助力，最终打造小区人防、物防、技防、心防、责任防的五防体系，从多个维度提升小区的治安防控能力，从多方面保障居民的生命、财产安全，全方位提升安全管理，最终构建一个最具安全感的平安小区。</w:t>
      </w:r>
      <w:bookmarkStart w:id="82" w:name="_Toc30153455"/>
    </w:p>
    <w:p>
      <w:pPr>
        <w:keepNext/>
        <w:keepLines/>
        <w:widowControl/>
        <w:numPr>
          <w:ilvl w:val="3"/>
          <w:numId w:val="9"/>
        </w:numPr>
        <w:shd w:val="clear" w:color="auto" w:fill="auto"/>
        <w:tabs>
          <w:tab w:val="left" w:pos="360"/>
          <w:tab w:val="left" w:pos="735"/>
        </w:tabs>
        <w:spacing w:before="240" w:beforeLines="100" w:after="120" w:afterLines="50"/>
        <w:ind w:left="864" w:hanging="864"/>
        <w:jc w:val="left"/>
        <w:outlineLvl w:val="3"/>
        <w:rPr>
          <w:rFonts w:hint="eastAsia" w:ascii="宋体" w:hAnsi="宋体" w:cs="宋体"/>
          <w:b/>
          <w:bCs/>
          <w:color w:val="000000"/>
          <w:sz w:val="24"/>
          <w:highlight w:val="none"/>
        </w:rPr>
      </w:pPr>
      <w:bookmarkStart w:id="83" w:name="_Toc35627067"/>
      <w:r>
        <w:rPr>
          <w:rFonts w:hint="eastAsia" w:ascii="宋体" w:hAnsi="宋体" w:cs="宋体"/>
          <w:b/>
          <w:bCs/>
          <w:color w:val="000000"/>
          <w:sz w:val="24"/>
          <w:highlight w:val="none"/>
        </w:rPr>
        <w:t>业务应用“全闭环”</w:t>
      </w:r>
      <w:bookmarkEnd w:id="82"/>
      <w:bookmarkEnd w:id="83"/>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lang w:bidi="ar"/>
        </w:rPr>
        <w:t>系统能及时发现小区的各项报警、预警信息，并可将报警、预警信息下发至对应区域的民警、网格员、物业等管理者APP、小程序或者移动终端，当事件处理完成后，需对处理结果进行反馈、拍照，结果保存至系统平台，实现业务闭环，并为事件处理复核提供依据。</w:t>
      </w:r>
    </w:p>
    <w:p>
      <w:pPr>
        <w:keepNext/>
        <w:keepLines/>
        <w:widowControl/>
        <w:numPr>
          <w:ilvl w:val="3"/>
          <w:numId w:val="9"/>
        </w:numPr>
        <w:shd w:val="clear" w:color="auto" w:fill="auto"/>
        <w:tabs>
          <w:tab w:val="left" w:pos="360"/>
          <w:tab w:val="left" w:pos="735"/>
        </w:tabs>
        <w:spacing w:before="240" w:beforeLines="100" w:after="120" w:afterLines="50"/>
        <w:ind w:left="864" w:hanging="864"/>
        <w:jc w:val="left"/>
        <w:outlineLvl w:val="3"/>
        <w:rPr>
          <w:rFonts w:hint="eastAsia" w:ascii="宋体" w:hAnsi="宋体" w:cs="宋体"/>
          <w:b/>
          <w:bCs/>
          <w:color w:val="000000"/>
          <w:sz w:val="24"/>
          <w:highlight w:val="none"/>
        </w:rPr>
      </w:pPr>
      <w:bookmarkStart w:id="84" w:name="_Toc30153456"/>
      <w:bookmarkStart w:id="85" w:name="_Toc35627068"/>
      <w:r>
        <w:rPr>
          <w:rFonts w:hint="eastAsia" w:ascii="宋体" w:hAnsi="宋体" w:cs="宋体"/>
          <w:b/>
          <w:bCs/>
          <w:color w:val="000000"/>
          <w:sz w:val="24"/>
          <w:highlight w:val="none"/>
        </w:rPr>
        <w:t>居民服务“零跑腿”</w:t>
      </w:r>
      <w:bookmarkEnd w:id="84"/>
      <w:bookmarkEnd w:id="85"/>
    </w:p>
    <w:p>
      <w:pPr>
        <w:shd w:val="clear" w:color="auto" w:fill="auto"/>
        <w:spacing w:line="360" w:lineRule="auto"/>
        <w:ind w:firstLine="480" w:firstLineChars="200"/>
        <w:rPr>
          <w:rFonts w:hint="eastAsia" w:ascii="宋体" w:hAnsi="宋体" w:cs="宋体"/>
          <w:color w:val="000000"/>
          <w:sz w:val="24"/>
          <w:highlight w:val="none"/>
          <w:lang w:bidi="ar"/>
        </w:rPr>
      </w:pPr>
      <w:r>
        <w:rPr>
          <w:rFonts w:hint="eastAsia" w:ascii="宋体" w:hAnsi="宋体" w:cs="宋体"/>
          <w:color w:val="000000"/>
          <w:sz w:val="24"/>
          <w:highlight w:val="none"/>
          <w:lang w:bidi="ar"/>
        </w:rPr>
        <w:t>智慧安防小区利用APP、小程序以及各种便民设施的利用，配合小区便民服务政策，通过系统来优化流程，为小区居民提供一站式、针对性服务，依托"一站式"便民服务窗口、微信小程序，强化公共服务职能，切实体现以人为本、服务居民的理念，做到"一处受理、联合服务"，有效克服原来办事"进门多、问人多、跑腿多"的难题，有效的提升了服务的精准度，实现居民服务“零跑腿”的目标，使小区服务工作更具人性化。</w:t>
      </w:r>
      <w:bookmarkStart w:id="86" w:name="_Toc30153457"/>
    </w:p>
    <w:bookmarkEnd w:id="86"/>
    <w:p>
      <w:pPr>
        <w:shd w:val="clear" w:color="auto" w:fill="auto"/>
        <w:adjustRightInd/>
        <w:spacing w:line="440" w:lineRule="exact"/>
        <w:rPr>
          <w:rFonts w:hint="eastAsia" w:ascii="宋体" w:hAnsi="宋体" w:cs="宋体"/>
          <w:color w:val="000000"/>
          <w:sz w:val="24"/>
          <w:highlight w:val="none"/>
        </w:rPr>
      </w:pPr>
    </w:p>
    <w:p>
      <w:pPr>
        <w:pStyle w:val="4"/>
        <w:widowControl/>
        <w:numPr>
          <w:ilvl w:val="0"/>
          <w:numId w:val="0"/>
        </w:numPr>
        <w:shd w:val="clear" w:color="auto" w:fill="auto"/>
        <w:tabs>
          <w:tab w:val="left" w:pos="360"/>
        </w:tabs>
        <w:spacing w:before="240" w:beforeLines="100" w:after="120" w:afterLines="50" w:line="240" w:lineRule="auto"/>
        <w:rPr>
          <w:rFonts w:hint="eastAsia" w:ascii="宋体" w:hAnsi="宋体" w:eastAsia="宋体" w:cs="宋体"/>
          <w:color w:val="000000"/>
          <w:highlight w:val="none"/>
          <w:lang w:val="en-US"/>
        </w:rPr>
      </w:pPr>
    </w:p>
    <w:p>
      <w:pPr>
        <w:pStyle w:val="16"/>
        <w:shd w:val="clear" w:color="auto" w:fill="auto"/>
        <w:rPr>
          <w:rFonts w:hint="eastAsia" w:hAnsi="宋体" w:cs="宋体"/>
          <w:b/>
          <w:color w:val="000000"/>
          <w:sz w:val="24"/>
          <w:szCs w:val="24"/>
          <w:highlight w:val="none"/>
        </w:rPr>
      </w:pPr>
    </w:p>
    <w:p>
      <w:pPr>
        <w:pStyle w:val="16"/>
        <w:shd w:val="clear" w:color="auto" w:fill="auto"/>
        <w:rPr>
          <w:rFonts w:hint="eastAsia" w:hAnsi="宋体" w:cs="宋体"/>
          <w:b/>
          <w:color w:val="000000"/>
          <w:sz w:val="24"/>
          <w:szCs w:val="24"/>
          <w:highlight w:val="none"/>
        </w:rPr>
      </w:pPr>
    </w:p>
    <w:p>
      <w:pPr>
        <w:pStyle w:val="16"/>
        <w:shd w:val="clear" w:color="auto" w:fill="auto"/>
        <w:rPr>
          <w:rFonts w:hint="eastAsia" w:hAnsi="宋体" w:cs="宋体"/>
          <w:b/>
          <w:color w:val="000000"/>
          <w:sz w:val="24"/>
          <w:szCs w:val="24"/>
          <w:highlight w:val="none"/>
        </w:rPr>
      </w:pPr>
    </w:p>
    <w:p>
      <w:pPr>
        <w:pStyle w:val="16"/>
        <w:shd w:val="clear" w:color="auto" w:fill="auto"/>
        <w:rPr>
          <w:rFonts w:hint="eastAsia" w:hAnsi="宋体" w:cs="宋体"/>
          <w:b/>
          <w:color w:val="000000"/>
          <w:sz w:val="24"/>
          <w:szCs w:val="24"/>
          <w:highlight w:val="none"/>
        </w:rPr>
      </w:pPr>
      <w:r>
        <w:rPr>
          <w:rFonts w:hint="eastAsia" w:hAnsi="宋体" w:cs="宋体"/>
          <w:b/>
          <w:color w:val="000000"/>
          <w:sz w:val="24"/>
          <w:szCs w:val="24"/>
          <w:highlight w:val="none"/>
        </w:rPr>
        <w:t>标项一：产品设备清单</w:t>
      </w:r>
    </w:p>
    <w:p>
      <w:pPr>
        <w:pStyle w:val="16"/>
        <w:shd w:val="clear" w:color="auto" w:fill="auto"/>
        <w:rPr>
          <w:rFonts w:hint="eastAsia" w:hAnsi="宋体" w:cs="宋体"/>
          <w:b/>
          <w:color w:val="000000"/>
          <w:sz w:val="24"/>
          <w:szCs w:val="24"/>
          <w:highlight w:val="none"/>
        </w:rPr>
      </w:pPr>
      <w:r>
        <w:rPr>
          <w:rFonts w:hint="eastAsia" w:hAnsi="宋体" w:cs="宋体"/>
          <w:b/>
          <w:bCs/>
          <w:color w:val="000000"/>
          <w:kern w:val="0"/>
          <w:sz w:val="15"/>
          <w:szCs w:val="15"/>
          <w:highlight w:val="none"/>
          <w:lang w:bidi="ar"/>
        </w:rPr>
        <w:t>1城厢街道智安小区项目设备清单（家景园）</w:t>
      </w:r>
    </w:p>
    <w:tbl>
      <w:tblPr>
        <w:tblStyle w:val="62"/>
        <w:tblW w:w="4996" w:type="pct"/>
        <w:tblInd w:w="0" w:type="dxa"/>
        <w:tblLayout w:type="autofit"/>
        <w:tblCellMar>
          <w:top w:w="0" w:type="dxa"/>
          <w:left w:w="108" w:type="dxa"/>
          <w:bottom w:w="0" w:type="dxa"/>
          <w:right w:w="108" w:type="dxa"/>
        </w:tblCellMar>
      </w:tblPr>
      <w:tblGrid>
        <w:gridCol w:w="673"/>
        <w:gridCol w:w="923"/>
        <w:gridCol w:w="6341"/>
        <w:gridCol w:w="681"/>
        <w:gridCol w:w="661"/>
      </w:tblGrid>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497"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416"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66"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56"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643"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56"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880" w:hRule="atLeast"/>
        </w:trPr>
        <w:tc>
          <w:tcPr>
            <w:tcW w:w="363" w:type="pct"/>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497"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416"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66"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6"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3"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3.人行闸及门禁系统</w:t>
            </w:r>
          </w:p>
        </w:tc>
        <w:tc>
          <w:tcPr>
            <w:tcW w:w="356"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室外人脸一体主机</w:t>
            </w:r>
          </w:p>
        </w:tc>
        <w:tc>
          <w:tcPr>
            <w:tcW w:w="341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主处理器 高性能嵌入式处理器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网络协议 IPv4，RTSP，RTP，TCP，UDP，P2P</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OSDP协议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接入标准 CGI</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是否支持SDK和API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外观 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显示屏 10.1寸TFT屏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屏幕类型 电容屏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屏幕分辩率 1280×800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摄像头 200万CMOS高清摄像头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宽动态 120dB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光照补偿 自动白光补光 自动红外补光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状态指示灯 1个，蓝色-运行状态，红色-错误状态，绿色-正确状态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语音提示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蜂鸣器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外壳材料 PC+ABS 铝合金金属边框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开门模式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读卡类型 IC卡 CPU卡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假日时段表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网络更新升级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首用户开门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远程验证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黑白名单设定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Wi-Fi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外接读卡器 1路RS-485，1路韦根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多用户开门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实时监控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多重认证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刷卡拍照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WEB配置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主动注册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读卡距离 1cm～4cm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人脸识别身高范围 0.9m～2.4m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人脸识别距离 0.3m～2m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人脸识别准确率 99.5%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人脸识别速度 0.2s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指纹传感器类型 电容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指纹验证方式 1:N</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指纹比对时间 ≤1.5s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指纹识别时间 ≤0.5s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普通卡（用户）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巡逻卡（用户）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VIP卡（用户）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来宾卡（用户）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残疾人（用户）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用户容量 100000个用户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指纹容量 10000枚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卡片容量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密码容量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二维码容量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存储记录数量 100000条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RS-485接口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RS-232接口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韦根接口 1路输入/输出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USB接口 个USB2.0接口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网络接口 1个RJ-45 100Mbps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报警输入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报警输出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报警联动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开门按钮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门状态检测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门锁控制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防反潜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防拆报警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门超时报警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非法闯入报警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非法卡超次报警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胁迫指纹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 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供电方式 DC 12V  2A</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防护等级 IP65（需要点胶，详见操作手册）</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功耗 ≤24W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产品尺寸 396.9mm×185.6mm×77.2mm（高×宽×厚）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包装尺寸 515.0mm×271.0mm×148.0mm（高×宽×厚，内箱单机包装）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 -30℃~+60℃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工作湿度 5%~95%（无凝结）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 0m～1300m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使用环境 室内 室外</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毛重 4.32kg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配件 壁装支架标配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 壁挂安装</w:t>
            </w:r>
          </w:p>
        </w:tc>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4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指纹采集器</w:t>
            </w:r>
          </w:p>
        </w:tc>
        <w:tc>
          <w:tcPr>
            <w:tcW w:w="341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MOS光学传感器，传感器寿命100万次以上，分别率500DPI，采集窗口L18xW15mm，指纹录入时间≤350毫秒，认假率≤0.0001%，拒真率≤0.014%，比对时间≤1.5秒，指纹验证方式1：N指纹搜索，工作温度0℃～55℃，相对湿度20%～90%（无凝霜），通讯接口USB，供电电压DC3.8～7，工作电流≤80mA</w:t>
            </w:r>
          </w:p>
        </w:tc>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4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发卡器</w:t>
            </w:r>
          </w:p>
        </w:tc>
        <w:tc>
          <w:tcPr>
            <w:tcW w:w="341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IC卡(Mifare卡)发卡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USB供电和通讯，工作电流&lt;150mA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发卡距离：3cm~8cm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免驱动安装，即插即用</w:t>
            </w:r>
          </w:p>
        </w:tc>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4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IC卡</w:t>
            </w:r>
          </w:p>
        </w:tc>
        <w:tc>
          <w:tcPr>
            <w:tcW w:w="341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尺寸：55*85*1mm</w:t>
            </w:r>
          </w:p>
        </w:tc>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张</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1000</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4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闭门器</w:t>
            </w:r>
          </w:p>
        </w:tc>
        <w:tc>
          <w:tcPr>
            <w:tcW w:w="341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采用齿轮液压传动技术，结合机械传动的精确性和稳定性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铸特缸体，高强度整体锻钢活塞</w:t>
            </w:r>
          </w:p>
        </w:tc>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4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280KG单门防水磁力锁</w:t>
            </w:r>
          </w:p>
        </w:tc>
        <w:tc>
          <w:tcPr>
            <w:tcW w:w="341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铝合金；锁体尺寸：长210x宽42x厚28.5(mm) ；吸板尺寸：长185x宽38x厚12(mm)；280kg(600Lbs)直线拉力 ；锁状态信号输出 ；断电开门；适用木门\玻璃门\金属门\防火门等；工作温度：-20℃-+60℃， 工作湿度：≤95%；2.3KG；</w:t>
            </w:r>
          </w:p>
        </w:tc>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4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广告人型摆闸</w:t>
            </w:r>
          </w:p>
        </w:tc>
        <w:tc>
          <w:tcPr>
            <w:tcW w:w="341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(1242mm-1842mm)×250mm×1640mm（长×宽×高）；外壳材料冷轧钢板；驱动电机直流减速电机（24V）；电机使用寿命100万次；通道宽度1242mm-1842mm；最大定制通道宽度支持调节；通行速度15人~20人/min；开闸时间1.5s~10s，可调节；开门模式支持刷卡（另配）、遥控器、按键、人脸（另配）；功耗10W（待机）、50W（工作）；工作温度-20℃~+70℃；使用环境室内，室外</w:t>
            </w:r>
          </w:p>
        </w:tc>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4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单门控制器</w:t>
            </w:r>
          </w:p>
        </w:tc>
        <w:tc>
          <w:tcPr>
            <w:tcW w:w="341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用32位高处理器，支持TCP/IP通讯方式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同时支持RS485协议和韦根协议读卡器的接入,韦根接口支持国际标准W26\W34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支持2台读卡器（可设单门双向识别）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支持4组信号输入（开门按钮*1，门磁报警*1，报警输入*2）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支持3组控制输出（电锁控制*1，警报输出*2）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FLASH存储容量为16M（可扩展32M），最大支持100,000个持卡者, 150,000条刷卡记录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具有防反潜、多门互锁、多重验证、远程验证、平台视频联动等多项专项功能，支持首卡开门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支持普通卡、VIP卡、来宾卡、巡逻卡、黑白名单、胁迫卡等类型及权限下发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支持读卡器防拆报警、非法闯入报警、开门超时报警、支持胁迫卡及胁迫码设定，支持黑白名单及巡逻卡设定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支持卡片、密码、指纹各种组合方式开门，支持分时段开门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支持128组时间表及128组假日时段表，支持常开时间段、常闭时间段、远程开门时间段、首卡开门时间段等设置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工作温度：-30℃-+60℃， 工作湿度：≤95%</w:t>
            </w:r>
          </w:p>
        </w:tc>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4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41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4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41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43"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4.车牌识别系统</w:t>
            </w:r>
          </w:p>
        </w:tc>
        <w:tc>
          <w:tcPr>
            <w:tcW w:w="356"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车牌抓拍摄像机</w:t>
            </w:r>
          </w:p>
        </w:tc>
        <w:tc>
          <w:tcPr>
            <w:tcW w:w="3416"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补光灯数量2颗（可根据客户需求自由切换为暖光灯或红外灯，暖光灯色温3000K，亮度可自动调节）；传感器类型1/3英寸CMOS；图像分辨率2304×1296（不包含OSD黑边）；镜头标配4mm定焦镜头；视频分辨率主码流：1080P（1920×1080）/720P（1280×720）辅码流：720P（1280×720）/D1（704×576）；视频压缩标准MJPEG；H.264H；H.264M；H.264B；H.265；降噪3D降噪；坏点校正支持；触发方式支持视频检测、I/O线圈、雷达三种触发方式；存储功能内置1个TF卡接口（最大支持128G，TF卡可选大华、金士顿、闪迪等）；最大补光距离8m；OSD信息叠加支持叠加时间、地点、车牌、车身颜色、防伪码、车标、触发源、车牌类型、车辆颜色、车辆类型、卡口方向、车系、置信度、车头朝向、自定义信息；断网续传支持，平台/FTP；车辆检测车辆捕获率≥99.9%；车辆识别支持车型、车标、车系、车身颜色、车牌颜色、车牌号码、车牌类型、无牌车、新能源车牌识别车牌识别率≥99.9%；智能轨迹帧支持智能帧显示，可显示车牌和车辆行驶轨迹；网络接口1个，10/100M以太网口（RJ-45）；RS-485接口2个（可用于连接配套屏、雷达、道闸和外置常亮灯）；I/O接口2路，光耦输入（5V开关量），可用于车检器等信号输入；供电方式AC220V；防护等级IP67</w:t>
            </w:r>
          </w:p>
        </w:tc>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6"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4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摄像机立柱</w:t>
            </w:r>
          </w:p>
        </w:tc>
        <w:tc>
          <w:tcPr>
            <w:tcW w:w="3416"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抓拍一体机杆件（白色+1.5米)</w:t>
            </w:r>
          </w:p>
        </w:tc>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6"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trHeight w:val="800" w:hRule="atLeast"/>
        </w:trPr>
        <w:tc>
          <w:tcPr>
            <w:tcW w:w="4643"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5.网络设备</w:t>
            </w:r>
          </w:p>
        </w:tc>
        <w:tc>
          <w:tcPr>
            <w:tcW w:w="356"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41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41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41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4643"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8.管线及网络费用</w:t>
            </w:r>
          </w:p>
        </w:tc>
        <w:tc>
          <w:tcPr>
            <w:tcW w:w="356"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41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4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41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4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41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4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42U机柜</w:t>
            </w:r>
          </w:p>
        </w:tc>
        <w:tc>
          <w:tcPr>
            <w:tcW w:w="341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2米机柜</w:t>
            </w:r>
          </w:p>
        </w:tc>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41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41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41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41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道路开挖修复等费用</w:t>
            </w:r>
          </w:p>
        </w:tc>
        <w:tc>
          <w:tcPr>
            <w:tcW w:w="3416"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5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41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5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pStyle w:val="16"/>
        <w:shd w:val="clear" w:color="auto" w:fill="auto"/>
        <w:rPr>
          <w:rFonts w:hint="eastAsia" w:hAnsi="宋体" w:cs="宋体"/>
          <w:color w:val="000000"/>
          <w:highlight w:val="none"/>
        </w:rPr>
      </w:pPr>
    </w:p>
    <w:tbl>
      <w:tblPr>
        <w:tblStyle w:val="62"/>
        <w:tblW w:w="5000" w:type="pct"/>
        <w:tblInd w:w="0" w:type="dxa"/>
        <w:tblLayout w:type="autofit"/>
        <w:tblCellMar>
          <w:top w:w="0" w:type="dxa"/>
          <w:left w:w="108" w:type="dxa"/>
          <w:bottom w:w="0" w:type="dxa"/>
          <w:right w:w="108" w:type="dxa"/>
        </w:tblCellMar>
      </w:tblPr>
      <w:tblGrid>
        <w:gridCol w:w="674"/>
        <w:gridCol w:w="1397"/>
        <w:gridCol w:w="5869"/>
        <w:gridCol w:w="676"/>
        <w:gridCol w:w="670"/>
      </w:tblGrid>
      <w:tr>
        <w:tblPrEx>
          <w:tblCellMar>
            <w:top w:w="0" w:type="dxa"/>
            <w:left w:w="108" w:type="dxa"/>
            <w:bottom w:w="0" w:type="dxa"/>
            <w:right w:w="108" w:type="dxa"/>
          </w:tblCellMar>
        </w:tblPrEx>
        <w:trPr>
          <w:trHeight w:val="80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2.1城厢街道智安小区项目设备清单（梅和名苑南区）</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752"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160"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62"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60"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639"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60"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3" w:type="pct"/>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75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160"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39"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60"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190" w:hRule="atLeast"/>
        </w:trPr>
        <w:tc>
          <w:tcPr>
            <w:tcW w:w="363"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7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人脸Mac一体机</w:t>
            </w:r>
          </w:p>
        </w:tc>
        <w:tc>
          <w:tcPr>
            <w:tcW w:w="31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采用高性能四百万像素1/1.8英寸CMOS图像传感器，低照度效果好，图像清晰度高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最大可输出400万(2688×1520)@60fps，满足高帧率需求</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支持ROI，SVC，SMART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支持动态检测，视频遮挡检测，虚焦侦测，场景变更检测，音频异常侦测，外部报警</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支持报警7进3出，音频2进1出，1路内置MIC，RS485，BNC，最大支持256G SD卡，2个wifi天线，1个GPS天线，1个光口（需另配光模块）</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支持DC12V供电方式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内置高效暖光灯，最大监控距离80米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支持人脸检测，人脸曝光，人脸增强，非活体过滤以及人脸属性识别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支持人脸实时抓拍，优选抓拍，质量优先三种抓拍策略，支持人脸角度过滤功能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支持人脸抠图区域可设：人脸/单寸照</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支持人脸计数及实时OSD叠加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支持垂直/倾斜人数统计，区域内人数统计功能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支持周界检测功能，包括绊线入侵，区域入侵，物品遗留，快速移动，停车检测，人员聚集，物品搬移，徘徊检测</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支持视频结构化功能，包括机动车，非机动车，人员等目标的抓拍和属性识别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支持车牌、车标、车辆子品牌、车年款、车身颜色、车辆类型等车辆属性识别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支持MAC采集功能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支持GPS/北斗功能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支持五码流功能，三路高清视频显示</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3" w:type="pct"/>
            <w:tcBorders>
              <w:top w:val="nil"/>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75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160"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39"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3.视频监控系统</w:t>
            </w:r>
          </w:p>
        </w:tc>
        <w:tc>
          <w:tcPr>
            <w:tcW w:w="360"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7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室外枪机</w:t>
            </w:r>
          </w:p>
        </w:tc>
        <w:tc>
          <w:tcPr>
            <w:tcW w:w="316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采用高性能两百万像素1/2.7英寸CMOS图像传感器，低照度效果好，图像清晰度高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可输出200万(1920*1080)@25fps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最大红外监控距离50米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支持区域入侵,绊线入侵,场景变更，支持多种触发规则联动动作;支持目标过滤</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支持DC12V/POE供电方式，方便工程安装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支持IP67防护等级</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trHeight w:val="1190" w:hRule="atLeast"/>
        </w:trPr>
        <w:tc>
          <w:tcPr>
            <w:tcW w:w="363"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7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16路网络视频录像机</w:t>
            </w:r>
          </w:p>
        </w:tc>
        <w:tc>
          <w:tcPr>
            <w:tcW w:w="316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USB接口2个，1个前置USB2.0接口、1个后置USB3.0接口；操作界面WEB方式，本地GUI操作；操作系统嵌入式Linux操作系统；多路回放最大支持16路回放；解码能力8路1080P@30fps；视频输出1路VGA输出，1路HDMI输出，其中VGA和HDMI同源输出，VGA最大输出分辨率1080P，HDMI最大输出分辨率4K；网络带宽160Mbps接入、160Mbps存储、64Mbps转发；网络接口2个RJ-45，10/100/1000Mbps自适应以太网口；网络协议HTTP、HTTPS、TCP/IP、IPv4/IPv6、UPnP、SNMP、RTSP、UDP、SMTP、NTP、DHCP、DNS、IPFilter、DDNS、FTP、AlarmServer、IPSearch(SupportDahuaIPcamera、DVR、NVS、etc.)、P2P、主动注册；硬盘接口4个，SATA3.0，单盘最大10T；主处理器工业级嵌入式微控制器；报警输出4路，其中3路继电器输出，1路12V1Actrl输出</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3"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752"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显示器</w:t>
            </w:r>
          </w:p>
        </w:tc>
        <w:tc>
          <w:tcPr>
            <w:tcW w:w="3160" w:type="pct"/>
            <w:tcBorders>
              <w:top w:val="single" w:color="000000" w:sz="4" w:space="0"/>
              <w:left w:val="single" w:color="000000" w:sz="4" w:space="0"/>
              <w:bottom w:val="nil"/>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面板尺寸43英寸；亮度250cd/m²；安装方式底座、壁挂；信号输入标配VGA(D-Sub)×1、HDMI×1、Audioin×1；内置喇叭；支持的分辨率1920×1080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nil"/>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752"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6T硬盘</w:t>
            </w:r>
          </w:p>
        </w:tc>
        <w:tc>
          <w:tcPr>
            <w:tcW w:w="3160"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6000G；5400RPM；256M；SATA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块</w:t>
            </w:r>
          </w:p>
        </w:tc>
        <w:tc>
          <w:tcPr>
            <w:tcW w:w="360"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39"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4.人行闸及门禁系统</w:t>
            </w:r>
          </w:p>
        </w:tc>
        <w:tc>
          <w:tcPr>
            <w:tcW w:w="360"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7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室外人脸一体主机</w:t>
            </w:r>
          </w:p>
        </w:tc>
        <w:tc>
          <w:tcPr>
            <w:tcW w:w="3160"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主处理器 高性能嵌入式处理器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网络协议 IPv4，RTSP，RTP，TCP，UDP，P2P</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OSDP协议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接入标准 CGI</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是否支持SDK和API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外观 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显示屏 10.1寸TFT屏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屏幕类型 电容屏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屏幕分辩率 1280×800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摄像头 200万CMOS高清摄像头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宽动态 120dB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光照补偿 自动白光补光 自动红外补光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状态指示灯 1个，蓝色-运行状态，红色-错误状态，绿色-正确状态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语音提示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蜂鸣器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外壳材料 PC+ABS 铝合金金属边框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开门模式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读卡类型 IC卡 CPU卡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假日时段表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网络更新升级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首用户开门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远程验证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黑白名单设定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Wi-Fi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外接读卡器 1路RS-485，1路韦根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多用户开门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实时监控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多重认证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刷卡拍照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WEB配置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主动注册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读卡距离 1cm～4cm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人脸识别身高范围 0.9m～2.4m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人脸识别距离 0.3m～2m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人脸识别准确率 99.5%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人脸识别速度 0.2s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指纹传感器类型 电容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指纹验证方式 1:N</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指纹比对时间 ≤1.5s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指纹识别时间 ≤0.5s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普通卡（用户）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巡逻卡（用户）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VIP卡（用户）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来宾卡（用户）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残疾人（用户）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用户容量 100000个用户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指纹容量 10000枚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卡片容量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密码容量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二维码容量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存储记录数量 100000条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RS-485接口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RS-232接口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韦根接口 1路输入/输出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USB接口 个USB2.0接口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网络接口 1个RJ-45 100Mbps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报警输入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报警输出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报警联动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开门按钮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门状态检测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门锁控制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防反潜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防拆报警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门超时报警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非法闯入报警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非法卡超次报警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胁迫指纹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 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供电方式 DC 12V  2A</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防护等级 IP65（需要点胶，详见操作手册）</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功耗 ≤24W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产品尺寸 396.9mm×185.6mm×77.2mm（高×宽×厚）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包装尺寸 515.0mm×271.0mm×148.0mm（高×宽×厚，内箱单机包装）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 -30℃~+60℃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工作湿度 5%~95%（无凝结）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 0m～1300m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使用环境 室内 室外</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毛重 4.32kg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配件 壁装支架标配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 壁挂安装</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7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指纹采集器</w:t>
            </w:r>
          </w:p>
        </w:tc>
        <w:tc>
          <w:tcPr>
            <w:tcW w:w="31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MOS光学传感器，传感器寿命100万次以上，分别率500DPI，采集窗口L18xW15mm，指纹录入时间≤350毫秒，认假率≤0.0001%，拒真率≤0.014%，比对时间≤1.5秒，指纹验证方式1：N指纹搜索，工作温度0℃～55℃，相对湿度20%～90%（无凝霜），通讯接口USB，供电电压DC3.8～7，工作电流≤80m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7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发卡器</w:t>
            </w:r>
          </w:p>
        </w:tc>
        <w:tc>
          <w:tcPr>
            <w:tcW w:w="31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IC卡(Mifare卡)发卡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USB供电和通讯，工作电流&lt;150mA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发卡距离：3cm~8cm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免驱动安装，即插即用</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7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IC卡</w:t>
            </w:r>
          </w:p>
        </w:tc>
        <w:tc>
          <w:tcPr>
            <w:tcW w:w="31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尺寸：55*85*1mm</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张</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7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闭门器</w:t>
            </w:r>
          </w:p>
        </w:tc>
        <w:tc>
          <w:tcPr>
            <w:tcW w:w="31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采用齿轮液压传动技术，结合机械传动的精确性和稳定性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铸特缸体，高强度整体锻钢活塞</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7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280KG单门防水磁力锁</w:t>
            </w:r>
          </w:p>
        </w:tc>
        <w:tc>
          <w:tcPr>
            <w:tcW w:w="31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铝合金；锁体尺寸：长210x宽42x厚28.5(mm) ；吸板尺寸：长185x宽38x厚12(mm)；280kg(600Lbs)直线拉力 ；锁状态信号输出 ；断电开门；适用木门\玻璃门\金属门\防火门等；工作温度：-20℃-+60℃， 工作湿度：≤95%；2.3KG；</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7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广告人型摆闸</w:t>
            </w:r>
          </w:p>
        </w:tc>
        <w:tc>
          <w:tcPr>
            <w:tcW w:w="31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(1242mm-1842mm)×250mm×1640mm（长×宽×高）；外壳材料冷轧钢板；驱动电机直流减速电机（24V）；电机使用寿命100万次；通道宽度1242mm-1842mm；最大定制通道宽度支持调节；通行速度15人~20人/min；开闸时间1.5s~10s，可调节；开门模式支持刷卡（另配）、遥控器、按键、人脸（另配）；功耗10W（待机）、50W（工作）；工作温度-20℃~+70℃；使用环境室内，室外</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7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单门控制器</w:t>
            </w:r>
          </w:p>
        </w:tc>
        <w:tc>
          <w:tcPr>
            <w:tcW w:w="31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用32位高处理器，支持TCP/IP通讯方式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同时支持RS485协议和韦根协议读卡器的接入,韦根接口支持国际标准W26\W34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支持2台读卡器（可设单门双向识别）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支持4组信号输入（开门按钮*1，门磁报警*1，报警输入*2）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支持3组控制输出（电锁控制*1，警报输出*2）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FLASH存储容量为16M（可扩展32M），最大支持100,000个持卡者, 150,000条刷卡记录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具有防反潜、多门互锁、多重验证、远程验证、平台视频联动等多项专项功能，支持首卡开门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支持普通卡、VIP卡、来宾卡、巡逻卡、黑白名单、胁迫卡等类型及权限下发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支持读卡器防拆报警、非法闯入报警、开门超时报警、支持胁迫卡及胁迫码设定，支持黑白名单及巡逻卡设定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支持卡片、密码、指纹各种组合方式开门，支持分时段开门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支持128组时间表及128组假日时段表，支持常开时间段、常闭时间段、远程开门时间段、首卡开门时间段等设置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工作温度：-30℃-+60℃， 工作湿度：≤95%</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7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1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7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1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39"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5.车牌识别系统</w:t>
            </w:r>
          </w:p>
        </w:tc>
        <w:tc>
          <w:tcPr>
            <w:tcW w:w="360"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7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车牌抓拍摄像机</w:t>
            </w:r>
          </w:p>
        </w:tc>
        <w:tc>
          <w:tcPr>
            <w:tcW w:w="316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补光灯数量2颗（可根据客户需求自由切换为暖光灯或红外灯，暖光灯色温3000K，亮度可自动调节）；传感器类型1/3英寸CMOS；图像分辨率2304×1296（不包含OSD黑边）；镜头标配4mm定焦镜头；视频分辨率主码流：1080P（1920×1080）/720P（1280×720）辅码流：720P（1280×720）/D1（704×576）；视频压缩标准MJPEG；H.264H；H.264M；H.264B；H.265；降噪3D降噪；坏点校正支持；触发方式支持视频检测、I/O线圈、雷达三种触发方式；存储功能内置1个TF卡接口（最大支持128G，TF卡可选大华、金士顿、闪迪等）；最大补光距离8m；OSD信息叠加支持叠加时间、地点、车牌、车身颜色、防伪码、车标、触发源、车牌类型、车辆颜色、车辆类型、卡口方向、车系、置信度、车头朝向、自定义信息；断网续传支持，平台/FTP；车辆检测车辆捕获率≥99.9%；车辆识别支持车型、车标、车系、车身颜色、车牌颜色、车牌号码、车牌类型、无牌车、新能源车牌识别车牌识别率≥99.9%；智能轨迹帧支持智能帧显示，可显示车牌和车辆行驶轨迹；网络接口1个，10/100M以太网口（RJ-45）；RS-485接口2个（可用于连接配套屏、雷达、道闸和外置常亮灯）；I/O接口2路，光耦输入（5V开关量），可用于车检器等信号输入；供电方式AC220V；防护等级IP67</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60"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7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摄像机立柱</w:t>
            </w:r>
          </w:p>
        </w:tc>
        <w:tc>
          <w:tcPr>
            <w:tcW w:w="316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抓拍一体机杆件（白色+1.5米)</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39"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6.网络设备</w:t>
            </w:r>
          </w:p>
        </w:tc>
        <w:tc>
          <w:tcPr>
            <w:tcW w:w="360"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7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1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7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1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7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1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39"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7.管线及网络费用</w:t>
            </w:r>
          </w:p>
        </w:tc>
        <w:tc>
          <w:tcPr>
            <w:tcW w:w="360"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7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室外立杆</w:t>
            </w:r>
          </w:p>
        </w:tc>
        <w:tc>
          <w:tcPr>
            <w:tcW w:w="31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3-5米杆，含基础地笼设备箱</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处</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7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1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7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1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7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1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7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42U机柜</w:t>
            </w:r>
          </w:p>
        </w:tc>
        <w:tc>
          <w:tcPr>
            <w:tcW w:w="31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2米机柜</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7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1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700</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7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1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700</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7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1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7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PE32管</w:t>
            </w:r>
          </w:p>
        </w:tc>
        <w:tc>
          <w:tcPr>
            <w:tcW w:w="31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300</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7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PE50管</w:t>
            </w:r>
          </w:p>
        </w:tc>
        <w:tc>
          <w:tcPr>
            <w:tcW w:w="31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7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1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w:t>
            </w:r>
          </w:p>
        </w:tc>
        <w:tc>
          <w:tcPr>
            <w:tcW w:w="7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手孔</w:t>
            </w:r>
          </w:p>
        </w:tc>
        <w:tc>
          <w:tcPr>
            <w:tcW w:w="31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500*500*400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7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道路开挖修复等费用</w:t>
            </w:r>
          </w:p>
        </w:tc>
        <w:tc>
          <w:tcPr>
            <w:tcW w:w="3160"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7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1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pStyle w:val="16"/>
        <w:shd w:val="clear" w:color="auto" w:fill="auto"/>
        <w:rPr>
          <w:rFonts w:hint="eastAsia" w:hAnsi="宋体" w:cs="宋体"/>
          <w:color w:val="000000"/>
          <w:highlight w:val="none"/>
        </w:rPr>
      </w:pPr>
    </w:p>
    <w:tbl>
      <w:tblPr>
        <w:tblStyle w:val="62"/>
        <w:tblW w:w="5000" w:type="pct"/>
        <w:tblInd w:w="0" w:type="dxa"/>
        <w:tblLayout w:type="autofit"/>
        <w:tblCellMar>
          <w:top w:w="0" w:type="dxa"/>
          <w:left w:w="108" w:type="dxa"/>
          <w:bottom w:w="0" w:type="dxa"/>
          <w:right w:w="108" w:type="dxa"/>
        </w:tblCellMar>
      </w:tblPr>
      <w:tblGrid>
        <w:gridCol w:w="670"/>
        <w:gridCol w:w="1291"/>
        <w:gridCol w:w="5975"/>
        <w:gridCol w:w="680"/>
        <w:gridCol w:w="670"/>
      </w:tblGrid>
      <w:tr>
        <w:tblPrEx>
          <w:tblCellMar>
            <w:top w:w="0" w:type="dxa"/>
            <w:left w:w="108" w:type="dxa"/>
            <w:bottom w:w="0" w:type="dxa"/>
            <w:right w:w="108" w:type="dxa"/>
          </w:tblCellMar>
        </w:tblPrEx>
        <w:trPr>
          <w:trHeight w:val="80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2.2城厢街道智安小区项目设备清单（梅和名苑北区）</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695"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217"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65"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60"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639"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60"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1" w:type="pct"/>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95"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217"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65"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39"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60"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190" w:hRule="atLeast"/>
        </w:trPr>
        <w:tc>
          <w:tcPr>
            <w:tcW w:w="361"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95"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217"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65"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39"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3.视频监控系统</w:t>
            </w:r>
          </w:p>
        </w:tc>
        <w:tc>
          <w:tcPr>
            <w:tcW w:w="360"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室外枪机</w:t>
            </w:r>
          </w:p>
        </w:tc>
        <w:tc>
          <w:tcPr>
            <w:tcW w:w="3217"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采用高性能两百万像素1/2.7英寸CMOS图像传感器，低照度效果好，图像清晰度高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可输出200万(1920*1080)@25fps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最大红外监控距离50米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支持区域入侵,绊线入侵,场景变更，支持多种触发规则联动动作;支持目标过滤</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支持DC12V/POE供电方式，方便工程安装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支持IP67防护等级</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trHeight w:val="1190" w:hRule="atLeast"/>
        </w:trPr>
        <w:tc>
          <w:tcPr>
            <w:tcW w:w="361"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16路网络视频录像机</w:t>
            </w:r>
          </w:p>
        </w:tc>
        <w:tc>
          <w:tcPr>
            <w:tcW w:w="3217"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USB接口2个，1个前置USB2.0接口、1个后置USB3.0接口；操作界面WEB方式，本地GUI操作；操作系统嵌入式Linux操作系统；多路回放最大支持16路回放；解码能力8路1080P@30fps；视频输出1路VGA输出，1路HDMI输出，其中VGA和HDMI同源输出，VGA最大输出分辨率1080P，HDMI最大输出分辨率4K；网络带宽160Mbps接入、160Mbps存储、64Mbps转发；网络接口2个RJ-45，10/100/1000Mbps自适应以太网口；网络协议HTTP、HTTPS、TCP/IP、IPv4/IPv6、UPnP、SNMP、RTSP、UDP、SMTP、NTP、DHCP、DNS、IPFilter、DDNS、FTP、AlarmServer、IPSearch(SupportDahuaIPcamera、DVR、NVS、etc.)、P2P、主动注册；硬盘接口4个，SATA3.0，单盘最大10T；主处理器工业级嵌入式微控制器；报警输出4路，其中3路继电器输出，1路12V1Actrl输出</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1"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95"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显示器</w:t>
            </w:r>
          </w:p>
        </w:tc>
        <w:tc>
          <w:tcPr>
            <w:tcW w:w="3217" w:type="pct"/>
            <w:tcBorders>
              <w:top w:val="single" w:color="000000" w:sz="4" w:space="0"/>
              <w:left w:val="single" w:color="000000" w:sz="4" w:space="0"/>
              <w:bottom w:val="nil"/>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面板尺寸43英寸；亮度250cd/m²；安装方式底座、壁挂；信号输入标配VGA(D-Sub)×1、HDMI×1、Audioin×1；内置喇叭；支持的分辨率1920×1080</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nil"/>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95"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6T硬盘</w:t>
            </w:r>
          </w:p>
        </w:tc>
        <w:tc>
          <w:tcPr>
            <w:tcW w:w="3217"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6000G；5400RPM；256M；SATA</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块</w:t>
            </w:r>
          </w:p>
        </w:tc>
        <w:tc>
          <w:tcPr>
            <w:tcW w:w="360"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39"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4.人行闸及门禁系统</w:t>
            </w:r>
          </w:p>
        </w:tc>
        <w:tc>
          <w:tcPr>
            <w:tcW w:w="360"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室外人脸一体主机</w:t>
            </w:r>
          </w:p>
        </w:tc>
        <w:tc>
          <w:tcPr>
            <w:tcW w:w="3217"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主处理器 高性能嵌入式处理器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网络协议 IPv4，RTSP，RTP，TCP，UDP，P2P</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OSDP协议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接入标准 CGI</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是否支持SDK和API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外观 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显示屏 10.1寸TFT屏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屏幕类型 电容屏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屏幕分辩率 1280×800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摄像头 200万CMOS高清摄像头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宽动态 120dB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光照补偿 自动白光补光 自动红外补光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状态指示灯 1个，蓝色-运行状态，红色-错误状态，绿色-正确状态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语音提示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蜂鸣器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外壳材料 PC+ABS 铝合金金属边框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开门模式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读卡类型 IC卡 CPU卡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假日时段表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网络更新升级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首用户开门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远程验证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黑白名单设定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Wi-Fi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外接读卡器 1路RS-485，1路韦根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多用户开门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实时监控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多重认证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刷卡拍照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WEB配置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主动注册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读卡距离 1cm～4cm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人脸识别身高范围 0.9m～2.4m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人脸识别距离 0.3m～2m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人脸识别准确率 99.5%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人脸识别速度 0.2s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指纹传感器类型 电容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指纹验证方式 1:N</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指纹比对时间 ≤1.5s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指纹识别时间 ≤0.5s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普通卡（用户）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巡逻卡（用户）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VIP卡（用户）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来宾卡（用户）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残疾人（用户）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用户容量 100000个用户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指纹容量 10000枚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卡片容量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密码容量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二维码容量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存储记录数量 100000条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RS-485接口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RS-232接口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韦根接口 1路输入/输出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USB接口 个USB2.0接口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网络接口 1个RJ-45 100Mbps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报警输入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报警输出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报警联动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开门按钮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门状态检测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门锁控制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防反潜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防拆报警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门超时报警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非法闯入报警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非法卡超次报警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胁迫指纹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 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供电方式 DC 12V  2A</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防护等级 IP65（需要点胶，详见操作手册）</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功耗 ≤24W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产品尺寸 396.9mm×185.6mm×77.2mm（高×宽×厚）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包装尺寸 515.0mm×271.0mm×148.0mm（高×宽×厚，内箱单机包装）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 -30℃~+60℃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工作湿度 5%~95%（无凝结）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 0m～1300m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使用环境 室内 室外</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毛重 4.32kg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配件 壁装支架标配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 壁挂安装</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指纹采集器</w:t>
            </w:r>
          </w:p>
        </w:tc>
        <w:tc>
          <w:tcPr>
            <w:tcW w:w="321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MOS光学传感器，传感器寿命100万次以上，分别率500DPI，采集窗口L18xW15mm，指纹录入时间≤350毫秒，认假率≤0.0001%，拒真率≤0.014%，比对时间≤1.5秒，指纹验证方式1：N指纹搜索，工作温度0℃～55℃，相对湿度20%～90%（无凝霜），通讯接口USB，供电电压DC3.8～7，工作电流≤80mA</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发卡器</w:t>
            </w:r>
          </w:p>
        </w:tc>
        <w:tc>
          <w:tcPr>
            <w:tcW w:w="321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IC卡(Mifare卡)发卡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USB供电和通讯，工作电流&lt;150mA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发卡距离：3cm~8cm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免驱动安装，即插即用</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IC卡</w:t>
            </w:r>
          </w:p>
        </w:tc>
        <w:tc>
          <w:tcPr>
            <w:tcW w:w="321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尺寸：55*85*1mm</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张</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800</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6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单门控制器</w:t>
            </w:r>
          </w:p>
        </w:tc>
        <w:tc>
          <w:tcPr>
            <w:tcW w:w="321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用32位高处理器，支持TCP/IP通讯方式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同时支持RS485协议和韦根协议读卡器的接入,韦根接口支持国际标准W26\W34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支持2台读卡器（可设单门双向识别）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支持4组信号输入（开门按钮*1，门磁报警*1，报警输入*2）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支持3组控制输出（电锁控制*1，警报输出*2）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FLASH存储容量为16M（可扩展32M），最大支持100,000个持卡者, 150,000条刷卡记录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具有防反潜、多门互锁、多重验证、远程验证、平台视频联动等多项专项功能，支持首卡开门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支持普通卡、VIP卡、来宾卡、巡逻卡、黑白名单、胁迫卡等类型及权限下发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支持读卡器防拆报警、非法闯入报警、开门超时报警、支持胁迫卡及胁迫码设定，支持黑白名单及巡逻卡设定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支持卡片、密码、指纹各种组合方式开门，支持分时段开门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支持128组时间表及128组假日时段表，支持常开时间段、常闭时间段、远程开门时间段、首卡开门时间段等设置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工作温度：-30℃-+60℃， 工作湿度：≤95%</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6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21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6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21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39"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5.车牌识别系统</w:t>
            </w:r>
          </w:p>
        </w:tc>
        <w:tc>
          <w:tcPr>
            <w:tcW w:w="360"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车牌抓拍摄像机</w:t>
            </w:r>
          </w:p>
        </w:tc>
        <w:tc>
          <w:tcPr>
            <w:tcW w:w="3217"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补光灯数量2颗（可根据客户需求自由切换为暖光灯或红外灯，暖光灯色温3000K，亮度可自动调节）；传感器类型1/3英寸CMOS；图像分辨率2304×1296（不包含OSD黑边）；镜头标配4mm定焦镜头；视频分辨率主码流：1080P（1920×1080）/720P（1280×720）辅码流：720P（1280×720）/D1（704×576）；视频压缩标准MJPEG；H.264H；H.264M；H.264B；H.265；降噪3D降噪；坏点校正支持；触发方式支持视频检测、I/O线圈、雷达三种触发方式；存储功能内置1个TF卡接口（最大支持128G，TF卡可选大华、金士顿、闪迪等）；最大补光距离8m；OSD信息叠加支持叠加时间、地点、车牌、车身颜色、防伪码、车标、触发源、车牌类型、车辆颜色、车辆类型、卡口方向、车系、置信度、车头朝向、自定义信息；断网续传支持，平台/FTP；车辆检测车辆捕获率≥99.9%；车辆识别支持车型、车标、车系、车身颜色、车牌颜色、车牌号码、车牌类型、无牌车、新能源车牌识别车牌识别率≥99.9%；智能轨迹帧支持智能帧显示，可显示车牌和车辆行驶轨迹；网络接口1个，10/100M以太网口（RJ-45）；RS-485接口2个（可用于连接配套屏、雷达、道闸和外置常亮灯）；I/O接口2路，光耦输入（5V开关量），可用于车检器等信号输入；供电方式AC220V；防护等级IP67</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60"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摄像机立柱</w:t>
            </w:r>
          </w:p>
        </w:tc>
        <w:tc>
          <w:tcPr>
            <w:tcW w:w="3217"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抓拍一体机杆件（白色+1.5米)</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39"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6.网络设备</w:t>
            </w:r>
          </w:p>
        </w:tc>
        <w:tc>
          <w:tcPr>
            <w:tcW w:w="360"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9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21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9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24口交换机</w:t>
            </w:r>
          </w:p>
        </w:tc>
        <w:tc>
          <w:tcPr>
            <w:tcW w:w="321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千兆24口，带2光口</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9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21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9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21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39"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7.管线及网络费用</w:t>
            </w:r>
          </w:p>
        </w:tc>
        <w:tc>
          <w:tcPr>
            <w:tcW w:w="360"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室外立杆</w:t>
            </w:r>
          </w:p>
        </w:tc>
        <w:tc>
          <w:tcPr>
            <w:tcW w:w="321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3-5米杆，含基础地笼设备箱</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处</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21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21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21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42U机柜</w:t>
            </w:r>
          </w:p>
        </w:tc>
        <w:tc>
          <w:tcPr>
            <w:tcW w:w="321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2米机柜</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9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21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700</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9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21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700</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69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21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69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PE32管</w:t>
            </w:r>
          </w:p>
        </w:tc>
        <w:tc>
          <w:tcPr>
            <w:tcW w:w="321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69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PE50管</w:t>
            </w:r>
          </w:p>
        </w:tc>
        <w:tc>
          <w:tcPr>
            <w:tcW w:w="321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69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21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w:t>
            </w:r>
          </w:p>
        </w:tc>
        <w:tc>
          <w:tcPr>
            <w:tcW w:w="69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手孔</w:t>
            </w:r>
          </w:p>
        </w:tc>
        <w:tc>
          <w:tcPr>
            <w:tcW w:w="321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500*500*400</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69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道路开挖修复等费用</w:t>
            </w:r>
          </w:p>
        </w:tc>
        <w:tc>
          <w:tcPr>
            <w:tcW w:w="3217"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69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21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shd w:val="clear" w:color="auto" w:fill="auto"/>
        <w:adjustRightInd/>
        <w:spacing w:line="440" w:lineRule="exact"/>
        <w:ind w:firstLine="480" w:firstLineChars="200"/>
        <w:rPr>
          <w:rFonts w:hint="eastAsia" w:ascii="宋体" w:hAnsi="宋体" w:cs="宋体"/>
          <w:color w:val="000000"/>
          <w:sz w:val="24"/>
          <w:highlight w:val="none"/>
        </w:rPr>
      </w:pPr>
    </w:p>
    <w:tbl>
      <w:tblPr>
        <w:tblStyle w:val="62"/>
        <w:tblW w:w="5000" w:type="pct"/>
        <w:tblInd w:w="0" w:type="dxa"/>
        <w:tblLayout w:type="autofit"/>
        <w:tblCellMar>
          <w:top w:w="0" w:type="dxa"/>
          <w:left w:w="108" w:type="dxa"/>
          <w:bottom w:w="0" w:type="dxa"/>
          <w:right w:w="108" w:type="dxa"/>
        </w:tblCellMar>
      </w:tblPr>
      <w:tblGrid>
        <w:gridCol w:w="679"/>
        <w:gridCol w:w="1278"/>
        <w:gridCol w:w="5988"/>
        <w:gridCol w:w="672"/>
        <w:gridCol w:w="669"/>
      </w:tblGrid>
      <w:tr>
        <w:tblPrEx>
          <w:tblCellMar>
            <w:top w:w="0" w:type="dxa"/>
            <w:left w:w="108" w:type="dxa"/>
            <w:bottom w:w="0" w:type="dxa"/>
            <w:right w:w="108" w:type="dxa"/>
          </w:tblCellMar>
        </w:tblPrEx>
        <w:trPr>
          <w:trHeight w:val="80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3城厢街道智安小区项目设备清单（东城名苑）</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688"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224"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61"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5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59"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88"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224"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61"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190" w:hRule="atLeast"/>
        </w:trPr>
        <w:tc>
          <w:tcPr>
            <w:tcW w:w="366"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人脸Mac一体机</w:t>
            </w:r>
          </w:p>
        </w:tc>
        <w:tc>
          <w:tcPr>
            <w:tcW w:w="322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采用高性能四百万像素1/1.8英寸CMOS图像传感器，低照度效果好，图像清晰度高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最大可输出400万(2688×1520)@60fps，满足高帧率需求</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支持ROI，SVC，SMART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支持动态检测，视频遮挡检测，虚焦侦测，场景变更检测，音频异常侦测，外部报警</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支持报警7进3出，音频2进1出，1路内置MIC，RS485，BNC，最大支持256G SD卡，2个wifi天线，1个GPS天线，1个光口（需另配光模块）</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支持DC12V供电方式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内置高效暖光灯，最大监控距离80米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支持人脸检测，人脸曝光，人脸增强，非活体过滤以及人脸属性识别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支持人脸实时抓拍，优选抓拍，质量优先三种抓拍策略，支持人脸角度过滤功能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支持人脸抠图区域可设：人脸/单寸照</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支持人脸计数及实时OSD叠加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支持垂直/倾斜人数统计，区域内人数统计功能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支持周界检测功能，包括绊线入侵，区域入侵，物品遗留，快速移动，停车检测，人员聚集，物品搬移，徘徊检测</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支持视频结构化功能，包括机动车，非机动车，人员等目标的抓拍和属性识别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支持车牌、车标、车辆子品牌、车年款、车身颜色、车辆类型等车辆属性识别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支持MAC采集功能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支持GPS/北斗功能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支持五码流功能，三路高清视频显示</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6" w:type="pct"/>
            <w:tcBorders>
              <w:top w:val="nil"/>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88"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224"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61"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3.人行闸及门禁系统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室外人脸一体主机</w:t>
            </w:r>
          </w:p>
        </w:tc>
        <w:tc>
          <w:tcPr>
            <w:tcW w:w="322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主处理器 高性能嵌入式处理器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网络协议 IPv4，RTSP，RTP，TCP，UDP，P2P</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OSDP协议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接入标准 CGI</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是否支持SDK和API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外观 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显示屏 10.1寸TFT屏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屏幕类型 电容屏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屏幕分辩率 1280×800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摄像头 200万CMOS高清摄像头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宽动态 120dB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光照补偿 自动白光补光 自动红外补光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状态指示灯 1个，蓝色-运行状态，红色-错误状态，绿色-正确状态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语音提示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蜂鸣器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外壳材料 PC+ABS 铝合金金属边框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开门模式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读卡类型 IC卡 CPU卡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假日时段表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网络更新升级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首用户开门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远程验证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黑白名单设定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Wi-Fi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外接读卡器 1路RS-485，1路韦根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多用户开门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实时监控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多重认证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刷卡拍照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WEB配置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主动注册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读卡距离 1cm～4cm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人脸识别身高范围 0.9m～2.4m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人脸识别距离 0.3m～2m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人脸识别准确率 99.5%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人脸识别速度 0.2s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指纹传感器类型 电容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指纹验证方式 1:N</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指纹比对时间 ≤1.5s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指纹识别时间 ≤0.5s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普通卡（用户）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巡逻卡（用户）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VIP卡（用户）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来宾卡（用户）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残疾人（用户）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用户容量 100000个用户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指纹容量 10000枚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卡片容量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密码容量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二维码容量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存储记录数量 100000条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RS-485接口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RS-232接口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韦根接口 1路输入/输出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USB接口 个USB2.0接口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网络接口 1个RJ-45 100Mbps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报警输入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报警输出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报警联动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开门按钮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门状态检测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门锁控制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防反潜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防拆报警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门超时报警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非法闯入报警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非法卡超次报警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胁迫指纹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 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供电方式 DC 12V  2A</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防护等级 IP65（需要点胶，详见操作手册）</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功耗 ≤24W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产品尺寸 396.9mm×185.6mm×77.2mm（高×宽×厚）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包装尺寸 515.0mm×271.0mm×148.0mm（高×宽×厚，内箱单机包装）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 -30℃~+60℃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工作湿度 5%~95%（无凝结）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 0m～1300m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使用环境 室内 室外</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毛重 4.32kg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配件 壁装支架标配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 壁挂安装</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指纹采集器</w:t>
            </w:r>
          </w:p>
        </w:tc>
        <w:tc>
          <w:tcPr>
            <w:tcW w:w="322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MOS光学传感器，传感器寿命100万次以上，分别率500DPI，采集窗口L18xW15mm，指纹录入时间≤350毫秒，认假率≤0.0001%，拒真率≤0.014%，比对时间≤1.5秒，指纹验证方式1：N指纹搜索，工作温度0℃～55℃，相对湿度20%～90%（无凝霜），通讯接口USB，供电电压DC3.8～7，工作电流≤80mA</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发卡器</w:t>
            </w:r>
          </w:p>
        </w:tc>
        <w:tc>
          <w:tcPr>
            <w:tcW w:w="322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IC卡(Mifare卡)发卡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USB供电和通讯，工作电流&lt;150mA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发卡距离：3cm~8cm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免驱动安装，即插即用</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IC卡</w:t>
            </w:r>
          </w:p>
        </w:tc>
        <w:tc>
          <w:tcPr>
            <w:tcW w:w="322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尺寸：55*85*1mm</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张</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闭门器</w:t>
            </w:r>
          </w:p>
        </w:tc>
        <w:tc>
          <w:tcPr>
            <w:tcW w:w="322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采用齿轮液压传动技术，结合机械传动的精确性和稳定性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铸特缸体，高强度整体锻钢活塞</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280KG单门防水磁力锁</w:t>
            </w:r>
          </w:p>
        </w:tc>
        <w:tc>
          <w:tcPr>
            <w:tcW w:w="322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铝合金；锁体尺寸：长210x宽42x厚28.5(mm) ；吸板尺寸：长185x宽38x厚12(mm)；280kg(600Lbs)直线拉力 ；锁状态信号输出 ；断电开门；适用木门\玻璃门\金属门\防火门等；工作温度：-20℃-+60℃， 工作湿度：≤95%；2.3KG；</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广告人型摆闸</w:t>
            </w:r>
          </w:p>
        </w:tc>
        <w:tc>
          <w:tcPr>
            <w:tcW w:w="322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(1242mm-1842mm)×250mm×1640mm（长×宽×高）；外壳材料冷轧钢板；驱动电机直流减速电机（24V）；电机使用寿命100万次；通道宽度1242mm-1842mm；最大定制通道宽度支持调节；通行速度15人~20人/min；开闸时间1.5s~10s，可调节；开门模式支持刷卡（另配）、遥控器、按键、人脸（另配）；功耗10W（待机）、50W（工作）；工作温度-20℃~+70℃；使用环境室内，室外</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6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单门控制器</w:t>
            </w:r>
          </w:p>
        </w:tc>
        <w:tc>
          <w:tcPr>
            <w:tcW w:w="322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用32位高处理器，支持TCP/IP通讯方式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同时支持RS485协议和韦根协议读卡器的接入,韦根接口支持国际标准W26\W34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支持2台读卡器（可设单门双向识别）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支持4组信号输入（开门按钮*1，门磁报警*1，报警输入*2）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支持3组控制输出（电锁控制*1，警报输出*2）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FLASH存储容量为16M（可扩展32M），最大支持100,000个持卡者, 150,000条刷卡记录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具有防反潜、多门互锁、多重验证、远程验证、平台视频联动等多项专项功能，支持首卡开门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支持普通卡、VIP卡、来宾卡、巡逻卡、黑白名单、胁迫卡等类型及权限下发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支持读卡器防拆报警、非法闯入报警、开门超时报警、支持胁迫卡及胁迫码设定，支持黑白名单及巡逻卡设定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支持卡片、密码、指纹各种组合方式开门，支持分时段开门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支持128组时间表及128组假日时段表，支持常开时间段、常闭时间段、远程开门时间段、首卡开门时间段等设置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工作温度：-30℃-+60℃， 工作湿度：≤95%</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6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22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6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22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4.车牌识别系统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车牌抓拍摄像机</w:t>
            </w:r>
          </w:p>
        </w:tc>
        <w:tc>
          <w:tcPr>
            <w:tcW w:w="3224"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补光灯数量2颗（可根据客户需求自由切换为暖光灯或红外灯，暖光灯色温3000K，亮度可自动调节）；传感器类型1/3英寸CMOS；图像分辨率2304×1296（不包含OSD黑边）；镜头标配4mm定焦镜头；视频分辨率主码流：1080P（1920×1080）/720P（1280×720）辅码流：720P（1280×720）/D1（704×576）；视频压缩标准MJPEG；H.264H；H.264M；H.264B；H.265；降噪3D降噪；坏点校正支持；触发方式支持视频检测、I/O线圈、雷达三种触发方式；存储功能内置1个TF卡接口（最大支持128G，TF卡可选大华、金士顿、闪迪等）；最大补光距离8m；OSD信息叠加支持叠加时间、地点、车牌、车身颜色、防伪码、车标、触发源、车牌类型、车辆颜色、车辆类型、卡口方向、车系、置信度、车头朝向、自定义信息；断网续传支持，平台/FTP；车辆检测车辆捕获率≥99.9%；车辆识别支持车型、车标、车系、车身颜色、车牌颜色、车牌号码、车牌类型、无牌车、新能源车牌识别车牌识别率≥99.9%；智能轨迹帧支持智能帧显示，可显示车牌和车辆行驶轨迹；网络接口1个，10/100M以太网口（RJ-45）；RS-485接口2个（可用于连接配套屏、雷达、道闸和外置常亮灯）；I/O接口2路，光耦输入（5V开关量），可用于车检器等信号输入；供电方式AC220V；防护等级IP67</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摄像机立柱</w:t>
            </w:r>
          </w:p>
        </w:tc>
        <w:tc>
          <w:tcPr>
            <w:tcW w:w="3224"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抓拍一体机杆件（白色+1.5米)</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5.网络设备</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88"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224"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6.管线及网络费用</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室外立杆</w:t>
            </w:r>
          </w:p>
        </w:tc>
        <w:tc>
          <w:tcPr>
            <w:tcW w:w="322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3-5米杆，含基础地笼设备箱</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处</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22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22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42U机柜</w:t>
            </w:r>
          </w:p>
        </w:tc>
        <w:tc>
          <w:tcPr>
            <w:tcW w:w="322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2米机柜</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88"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224"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88"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224"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688"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224"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688"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道路开挖修复、基础等费用</w:t>
            </w:r>
          </w:p>
        </w:tc>
        <w:tc>
          <w:tcPr>
            <w:tcW w:w="3224"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688"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224"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shd w:val="clear" w:color="auto" w:fill="auto"/>
        <w:adjustRightInd/>
        <w:spacing w:line="440" w:lineRule="exact"/>
        <w:ind w:firstLine="480" w:firstLineChars="200"/>
        <w:rPr>
          <w:rFonts w:hint="eastAsia" w:ascii="宋体" w:hAnsi="宋体" w:cs="宋体"/>
          <w:color w:val="000000"/>
          <w:sz w:val="24"/>
          <w:highlight w:val="none"/>
        </w:rPr>
      </w:pPr>
    </w:p>
    <w:tbl>
      <w:tblPr>
        <w:tblStyle w:val="62"/>
        <w:tblW w:w="5000" w:type="pct"/>
        <w:tblInd w:w="0" w:type="dxa"/>
        <w:tblLayout w:type="autofit"/>
        <w:tblCellMar>
          <w:top w:w="0" w:type="dxa"/>
          <w:left w:w="108" w:type="dxa"/>
          <w:bottom w:w="0" w:type="dxa"/>
          <w:right w:w="108" w:type="dxa"/>
        </w:tblCellMar>
      </w:tblPr>
      <w:tblGrid>
        <w:gridCol w:w="677"/>
        <w:gridCol w:w="1280"/>
        <w:gridCol w:w="5986"/>
        <w:gridCol w:w="674"/>
        <w:gridCol w:w="669"/>
      </w:tblGrid>
      <w:tr>
        <w:tblPrEx>
          <w:tblCellMar>
            <w:top w:w="0" w:type="dxa"/>
            <w:left w:w="108" w:type="dxa"/>
            <w:bottom w:w="0" w:type="dxa"/>
            <w:right w:w="108" w:type="dxa"/>
          </w:tblCellMar>
        </w:tblPrEx>
        <w:trPr>
          <w:trHeight w:val="80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4城厢街道智安小区项目设备清单（丽都公寓）</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68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223"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62"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5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59"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8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223"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8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223"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3.视频监控系统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04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枪机壁装支架（通用）</w:t>
            </w:r>
          </w:p>
        </w:tc>
        <w:tc>
          <w:tcPr>
            <w:tcW w:w="3223"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尺寸为204.0*58.0*80.0mm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采用铝合金材质，不易生锈</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白色</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重量为0.38kg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支持最大承重1.0kg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支持壁装安装方式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支持水平：0~360°，竖直：-30°~0°旋转角度范围</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r>
      <w:tr>
        <w:tblPrEx>
          <w:tblCellMar>
            <w:top w:w="0" w:type="dxa"/>
            <w:left w:w="108" w:type="dxa"/>
            <w:bottom w:w="0" w:type="dxa"/>
            <w:right w:w="108" w:type="dxa"/>
          </w:tblCellMar>
        </w:tblPrEx>
        <w:trPr>
          <w:trHeight w:val="91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万向节</w:t>
            </w:r>
          </w:p>
        </w:tc>
        <w:tc>
          <w:tcPr>
            <w:tcW w:w="3223"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采用铝合金材质，不易生锈</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白色</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室外枪机</w:t>
            </w:r>
          </w:p>
        </w:tc>
        <w:tc>
          <w:tcPr>
            <w:tcW w:w="3223"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采用高性能两百万像素1/2.7英寸CMOS图像传感器，低照度效果好，图像清晰度高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可输出200万(1920*1080)@25fps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最大红外监控距离50米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支持区域入侵,绊线入侵,场景变更，支持多种触发规则联动动作;支持目标过滤</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支持DC12V/POE供电方式，方便工程安装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支持IP67防护等级</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16路网络视频录像机</w:t>
            </w:r>
          </w:p>
        </w:tc>
        <w:tc>
          <w:tcPr>
            <w:tcW w:w="3223"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USB接口2个，1个前置USB2.0接口、1个后置USB3.0接口；操作界面WEB方式，本地GUI操作；操作系统嵌入式Linux操作系统；多路回放最大支持16路回放；解码能力8路1080P@30fps；视频输出1路VGA输出，1路HDMI输出，其中VGA和HDMI同源输出，VGA最大输出分辨率1080P，HDMI最大输出分辨率4K；网络带宽160Mbps接入、160Mbps存储、64Mbps转发；网络接口2个RJ-45，10/100/1000Mbps自适应以太网口；网络协议HTTP、HTTPS、TCP/IP、IPv4/IPv6、UPnP、SNMP、RTSP、UDP、SMTP、NTP、DHCP、DNS、IPFilter、DDNS、FTP、AlarmServer、IPSearch(SupportDahuaIPcamera、DVR、NVS、etc.)、P2P、主动注册；硬盘接口4个，SATA3.0，单盘最大10T；主处理器工业级嵌入式微控制器；报警输出4路，其中3路继电器输出，1路12V1Actrl输出</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8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显示器</w:t>
            </w:r>
          </w:p>
        </w:tc>
        <w:tc>
          <w:tcPr>
            <w:tcW w:w="3223" w:type="pct"/>
            <w:tcBorders>
              <w:top w:val="single" w:color="000000" w:sz="4" w:space="0"/>
              <w:left w:val="single" w:color="000000" w:sz="4" w:space="0"/>
              <w:bottom w:val="nil"/>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面板尺寸43英寸；亮度250cd/m²；安装方式底座、壁挂；信号输入标配VGA(D-Sub)×1、HDMI×1、Audioin×1；内置喇叭；支持的分辨率1920×1080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8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6T硬盘</w:t>
            </w:r>
          </w:p>
        </w:tc>
        <w:tc>
          <w:tcPr>
            <w:tcW w:w="3223"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6000G；5400RPM；256M；SATA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块</w:t>
            </w:r>
          </w:p>
        </w:tc>
        <w:tc>
          <w:tcPr>
            <w:tcW w:w="35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5.车牌识别系统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车牌抓拍摄像机</w:t>
            </w:r>
          </w:p>
        </w:tc>
        <w:tc>
          <w:tcPr>
            <w:tcW w:w="3223"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补光灯数量2颗（可根据客户需求自由切换为暖光灯或红外灯，暖光灯色温3000K，亮度可自动调节）；传感器类型1/3英寸CMOS；图像分辨率2304×1296（不包含OSD黑边）；镜头标配4mm定焦镜头；视频分辨率主码流：1080P（1920×1080）/720P（1280×720）辅码流：720P（1280×720）/D1（704×576）；视频压缩标准MJPEG；H.264H；H.264M；H.264B；H.265；降噪3D降噪；坏点校正支持；触发方式支持视频检测、I/O线圈、雷达三种触发方式；存储功能内置1个TF卡接口（最大支持128G，TF卡可选大华、金士顿、闪迪等）；最大补光距离8m；OSD信息叠加支持叠加时间、地点、车牌、车身颜色、防伪码、车标、触发源、车牌类型、车辆颜色、车辆类型、卡口方向、车系、置信度、车头朝向、自定义信息；断网续传支持，平台/FTP；车辆检测车辆捕获率≥99.9%；车辆识别支持车型、车标、车系、车身颜色、车牌颜色、车牌号码、车牌类型、无牌车、新能源车牌识别车牌识别率≥99.9%；智能轨迹帧支持智能帧显示，可显示车牌和车辆行驶轨迹；网络接口1个，10/100M以太网口（RJ-45）；RS-485接口2个（可用于连接配套屏、雷达、道闸和外置常亮灯）；I/O接口2路，光耦输入（5V开关量），可用于车检器等信号输入；供电方式AC220V；防护等级IP67</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摄像机立柱</w:t>
            </w:r>
          </w:p>
        </w:tc>
        <w:tc>
          <w:tcPr>
            <w:tcW w:w="3223"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抓拍一体机杆件（白色+1.5米)</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6.网络设备</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8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22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8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24口交换机</w:t>
            </w:r>
          </w:p>
        </w:tc>
        <w:tc>
          <w:tcPr>
            <w:tcW w:w="322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千兆24口，带2光口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8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22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8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22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7.管线及网络费用</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22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22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22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42U机柜</w:t>
            </w:r>
          </w:p>
        </w:tc>
        <w:tc>
          <w:tcPr>
            <w:tcW w:w="322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2米机柜</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8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22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8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22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68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22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68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道路开挖修复、基础等费用</w:t>
            </w:r>
          </w:p>
        </w:tc>
        <w:tc>
          <w:tcPr>
            <w:tcW w:w="3223"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68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22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shd w:val="clear" w:color="auto" w:fill="auto"/>
        <w:adjustRightInd/>
        <w:spacing w:line="440" w:lineRule="exact"/>
        <w:ind w:firstLine="480" w:firstLineChars="200"/>
        <w:rPr>
          <w:rFonts w:hint="eastAsia" w:ascii="宋体" w:hAnsi="宋体" w:cs="宋体"/>
          <w:color w:val="000000"/>
          <w:sz w:val="24"/>
          <w:highlight w:val="none"/>
        </w:rPr>
      </w:pPr>
    </w:p>
    <w:tbl>
      <w:tblPr>
        <w:tblStyle w:val="62"/>
        <w:tblW w:w="5000" w:type="pct"/>
        <w:tblInd w:w="0" w:type="dxa"/>
        <w:tblLayout w:type="autofit"/>
        <w:tblCellMar>
          <w:top w:w="0" w:type="dxa"/>
          <w:left w:w="108" w:type="dxa"/>
          <w:bottom w:w="0" w:type="dxa"/>
          <w:right w:w="108" w:type="dxa"/>
        </w:tblCellMar>
      </w:tblPr>
      <w:tblGrid>
        <w:gridCol w:w="678"/>
        <w:gridCol w:w="1129"/>
        <w:gridCol w:w="6134"/>
        <w:gridCol w:w="676"/>
        <w:gridCol w:w="669"/>
      </w:tblGrid>
      <w:tr>
        <w:tblPrEx>
          <w:tblCellMar>
            <w:top w:w="0" w:type="dxa"/>
            <w:left w:w="108" w:type="dxa"/>
            <w:bottom w:w="0" w:type="dxa"/>
            <w:right w:w="108" w:type="dxa"/>
          </w:tblCellMar>
        </w:tblPrEx>
        <w:trPr>
          <w:trHeight w:val="80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5.1城厢街道智安小区项目设备清单（回澜北苑东区）</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608"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303"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62"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5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59"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08"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303"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08"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303"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3.视频监控系统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04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0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枪机壁装支架（通用）</w:t>
            </w:r>
          </w:p>
        </w:tc>
        <w:tc>
          <w:tcPr>
            <w:tcW w:w="3303"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尺寸为204.0*58.0*80.0mm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采用铝合金材质，不易生锈</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白色</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重量为0.38kg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支持最大承重1.0kg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支持壁装安装方式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支持水平：0~360°，竖直：-30°~0°旋转角度范围</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w:t>
            </w:r>
          </w:p>
        </w:tc>
      </w:tr>
      <w:tr>
        <w:tblPrEx>
          <w:tblCellMar>
            <w:top w:w="0" w:type="dxa"/>
            <w:left w:w="108" w:type="dxa"/>
            <w:bottom w:w="0" w:type="dxa"/>
            <w:right w:w="108" w:type="dxa"/>
          </w:tblCellMar>
        </w:tblPrEx>
        <w:trPr>
          <w:trHeight w:val="91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0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万向节</w:t>
            </w:r>
          </w:p>
        </w:tc>
        <w:tc>
          <w:tcPr>
            <w:tcW w:w="3303"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采用铝合金材质，不易生锈</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白色</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0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室外枪机</w:t>
            </w:r>
          </w:p>
        </w:tc>
        <w:tc>
          <w:tcPr>
            <w:tcW w:w="3303"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采用高性能两百万像素1/2.7英寸CMOS图像传感器，低照度效果好，图像清晰度高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可输出200万(1920*1080)@25fps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最大红外监控距离50米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支持区域入侵,绊线入侵,场景变更，支持多种触发规则联动动作;支持目标过滤</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支持DC12V/POE供电方式，方便工程安装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支持IP67防护等级</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0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16路网络视频录像机</w:t>
            </w:r>
          </w:p>
        </w:tc>
        <w:tc>
          <w:tcPr>
            <w:tcW w:w="3303"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USB接口2个，1个前置USB2.0接口、1个后置USB3.0接口；操作界面WEB方式，本地GUI操作；操作系统嵌入式Linux操作系统；多路回放最大支持16路回放；解码能力8路1080P@30fps；视频输出1路VGA输出，1路HDMI输出，其中VGA和HDMI同源输出，VGA最大输出分辨率1080P，HDMI最大输出分辨率4K；网络带宽160Mbps接入、160Mbps存储、64Mbps转发；网络接口2个RJ-45，10/100/1000Mbps自适应以太网口；网络协议HTTP、HTTPS、TCP/IP、IPv4/IPv6、UPnP、SNMP、RTSP、UDP、SMTP、NTP、DHCP、DNS、IPFilter、DDNS、FTP、AlarmServer、IPSearch(SupportDahuaIPcamera、DVR、NVS、etc.)、P2P、主动注册；硬盘接口4个，SATA3.0，单盘最大10T；主处理器工业级嵌入式微控制器；报警输出4路，其中3路继电器输出，1路12V1Actrl输出</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08"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显示器</w:t>
            </w:r>
          </w:p>
        </w:tc>
        <w:tc>
          <w:tcPr>
            <w:tcW w:w="3303" w:type="pct"/>
            <w:tcBorders>
              <w:top w:val="single" w:color="000000" w:sz="4" w:space="0"/>
              <w:left w:val="single" w:color="000000" w:sz="4" w:space="0"/>
              <w:bottom w:val="nil"/>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面板尺寸43英寸；亮度250cd/m²；安装方式底座、壁挂；信号输入标配VGA(D-Sub)×1、HDMI×1、Audioin×1；内置喇叭；支持的分辨率1920×1080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08"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6T硬盘</w:t>
            </w:r>
          </w:p>
        </w:tc>
        <w:tc>
          <w:tcPr>
            <w:tcW w:w="3303"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6000G；5400RPM；256M；SATA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块</w:t>
            </w:r>
          </w:p>
        </w:tc>
        <w:tc>
          <w:tcPr>
            <w:tcW w:w="35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4.人行闸及门禁系统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0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室外人脸一体主机</w:t>
            </w:r>
          </w:p>
        </w:tc>
        <w:tc>
          <w:tcPr>
            <w:tcW w:w="3303"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主处理器 高性能嵌入式处理器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网络协议 IPv4，RTSP，RTP，TCP，UDP，P2P</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OSDP协议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接入标准 CGI</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是否支持SDK和API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外观 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显示屏 10.1寸TFT屏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屏幕类型 电容屏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屏幕分辩率 1280×800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摄像头 200万CMOS高清摄像头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宽动态 120dB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光照补偿 自动白光补光 自动红外补光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状态指示灯 1个，蓝色-运行状态，红色-错误状态，绿色-正确状态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语音提示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蜂鸣器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外壳材料 PC+ABS 铝合金金属边框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开门模式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读卡类型 IC卡 CPU卡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假日时段表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网络更新升级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首用户开门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远程验证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黑白名单设定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Wi-Fi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外接读卡器 1路RS-485，1路韦根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多用户开门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实时监控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多重认证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刷卡拍照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WEB配置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主动注册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读卡距离 1cm～4cm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人脸识别身高范围 0.9m～2.4m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人脸识别距离 0.3m～2m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人脸识别准确率 99.5%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人脸识别速度 0.2s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指纹传感器类型 电容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指纹验证方式 1:N</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指纹比对时间 ≤1.5s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指纹识别时间 ≤0.5s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普通卡（用户）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巡逻卡（用户）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VIP卡（用户）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来宾卡（用户）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残疾人（用户）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用户容量 100000个用户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指纹容量 10000枚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卡片容量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密码容量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二维码容量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存储记录数量 100000条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RS-485接口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RS-232接口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韦根接口 1路输入/输出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USB接口 个USB2.0接口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网络接口 1个RJ-45 100Mbps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报警输入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报警输出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报警联动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开门按钮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门状态检测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门锁控制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防反潜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防拆报警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门超时报警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非法闯入报警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非法卡超次报警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胁迫指纹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 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供电方式 DC 12V  2A</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防护等级 IP65（需要点胶，详见操作手册）</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功耗 ≤24W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产品尺寸 396.9mm×185.6mm×77.2mm（高×宽×厚）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包装尺寸 515.0mm×271.0mm×148.0mm（高×宽×厚，内箱单机包装）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 -30℃~+60℃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工作湿度 5%~95%（无凝结）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 0m～1300m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使用环境 室内 室外</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毛重 4.32kg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配件 壁装支架标配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 壁挂安装</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0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指纹采集器</w:t>
            </w:r>
          </w:p>
        </w:tc>
        <w:tc>
          <w:tcPr>
            <w:tcW w:w="330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MOS光学传感器，传感器寿命100万次以上，分别率500DPI，采集窗口L18xW15mm，指纹录入时间≤350毫秒，认假率≤0.0001%，拒真率≤0.014%，比对时间≤1.5秒，指纹验证方式1：N指纹搜索，工作温度0℃～55℃，相对湿度20%～90%（无凝霜），通讯接口USB，供电电压DC3.8～7，工作电流≤80m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0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发卡器</w:t>
            </w:r>
          </w:p>
        </w:tc>
        <w:tc>
          <w:tcPr>
            <w:tcW w:w="330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IC卡(Mifare卡)发卡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USB供电和通讯，工作电流&lt;150mA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发卡距离：3cm~8cm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免驱动安装，即插即用</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0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IC卡</w:t>
            </w:r>
          </w:p>
        </w:tc>
        <w:tc>
          <w:tcPr>
            <w:tcW w:w="330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尺寸：55*85*1mm</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张</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60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30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60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30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5.车牌识别系统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0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车牌抓拍摄像机</w:t>
            </w:r>
          </w:p>
        </w:tc>
        <w:tc>
          <w:tcPr>
            <w:tcW w:w="3303"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补光灯数量2颗（可根据客户需求自由切换为暖光灯或红外灯，暖光灯色温3000K，亮度可自动调节）；传感器类型1/3英寸CMOS；图像分辨率2304×1296（不包含OSD黑边）；镜头标配4mm定焦镜头；视频分辨率主码流：1080P（1920×1080）/720P（1280×720）辅码流：720P（1280×720）/D1（704×576）；视频压缩标准MJPEG；H.264H；H.264M；H.264B；H.265；降噪3D降噪；坏点校正支持；触发方式支持视频检测、I/O线圈、雷达三种触发方式；存储功能内置1个TF卡接口（最大支持128G，TF卡可选大华、金士顿、闪迪等）；最大补光距离8m；OSD信息叠加支持叠加时间、地点、车牌、车身颜色、防伪码、车标、触发源、车牌类型、车辆颜色、车辆类型、卡口方向、车系、置信度、车头朝向、自定义信息；断网续传支持，平台/FTP；车辆检测车辆捕获率≥99.9%；车辆识别支持车型、车标、车系、车身颜色、车牌颜色、车牌号码、车牌类型、无牌车、新能源车牌识别车牌识别率≥99.9%；智能轨迹帧支持智能帧显示，可显示车牌和车辆行驶轨迹；网络接口1个，10/100M以太网口（RJ-45）；RS-485接口2个（可用于连接配套屏、雷达、道闸和外置常亮灯）；I/O接口2路，光耦输入（5V开关量），可用于车检器等信号输入；供电方式AC220V；防护等级IP67</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0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摄像机立柱</w:t>
            </w:r>
          </w:p>
        </w:tc>
        <w:tc>
          <w:tcPr>
            <w:tcW w:w="3303"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抓拍一体机杆件（白色+1.5米)</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6.网络设备</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08"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30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08"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24口交换机</w:t>
            </w:r>
          </w:p>
        </w:tc>
        <w:tc>
          <w:tcPr>
            <w:tcW w:w="330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千兆24口，带2光口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08"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30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08"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30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7.管线及网络费用</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0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30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0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30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0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30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0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42U机柜</w:t>
            </w:r>
          </w:p>
        </w:tc>
        <w:tc>
          <w:tcPr>
            <w:tcW w:w="330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2米机柜</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08"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30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08"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30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608"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30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608"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30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608"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道路开挖修复、基础等费用</w:t>
            </w:r>
          </w:p>
        </w:tc>
        <w:tc>
          <w:tcPr>
            <w:tcW w:w="3303"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608"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30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shd w:val="clear" w:color="auto" w:fill="auto"/>
        <w:adjustRightInd/>
        <w:spacing w:line="440" w:lineRule="exact"/>
        <w:ind w:firstLine="480" w:firstLineChars="200"/>
        <w:rPr>
          <w:rFonts w:hint="eastAsia" w:ascii="宋体" w:hAnsi="宋体" w:cs="宋体"/>
          <w:color w:val="000000"/>
          <w:sz w:val="24"/>
          <w:highlight w:val="none"/>
        </w:rPr>
      </w:pPr>
    </w:p>
    <w:tbl>
      <w:tblPr>
        <w:tblStyle w:val="62"/>
        <w:tblW w:w="5016" w:type="pct"/>
        <w:tblInd w:w="0" w:type="dxa"/>
        <w:tblLayout w:type="autofit"/>
        <w:tblCellMar>
          <w:top w:w="0" w:type="dxa"/>
          <w:left w:w="108" w:type="dxa"/>
          <w:bottom w:w="0" w:type="dxa"/>
          <w:right w:w="108" w:type="dxa"/>
        </w:tblCellMar>
      </w:tblPr>
      <w:tblGrid>
        <w:gridCol w:w="55"/>
        <w:gridCol w:w="462"/>
        <w:gridCol w:w="170"/>
        <w:gridCol w:w="891"/>
        <w:gridCol w:w="58"/>
        <w:gridCol w:w="6314"/>
        <w:gridCol w:w="22"/>
        <w:gridCol w:w="619"/>
        <w:gridCol w:w="39"/>
        <w:gridCol w:w="647"/>
        <w:gridCol w:w="39"/>
      </w:tblGrid>
      <w:tr>
        <w:tblPrEx>
          <w:tblCellMar>
            <w:top w:w="0" w:type="dxa"/>
            <w:left w:w="108" w:type="dxa"/>
            <w:bottom w:w="0" w:type="dxa"/>
            <w:right w:w="108" w:type="dxa"/>
          </w:tblCellMar>
        </w:tblPrEx>
        <w:trPr>
          <w:wAfter w:w="0" w:type="auto"/>
          <w:trHeight w:val="80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5.2城厢街道智安小区项目设备清单（回澜北苑西区）</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569" w:type="pct"/>
            <w:gridSpan w:val="2"/>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420" w:type="pct"/>
            <w:gridSpan w:val="2"/>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42" w:type="pct"/>
            <w:gridSpan w:val="2"/>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88" w:type="pct"/>
            <w:gridSpan w:val="3"/>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wAfter w:w="0" w:type="auto"/>
          <w:trHeight w:val="800" w:hRule="atLeast"/>
        </w:trPr>
        <w:tc>
          <w:tcPr>
            <w:tcW w:w="4611" w:type="pct"/>
            <w:gridSpan w:val="8"/>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wAfter w:w="0" w:type="auto"/>
          <w:trHeight w:val="800" w:hRule="atLeast"/>
        </w:trPr>
        <w:tc>
          <w:tcPr>
            <w:tcW w:w="278" w:type="pct"/>
            <w:gridSpan w:val="2"/>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69" w:type="pct"/>
            <w:gridSpan w:val="2"/>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420" w:type="pct"/>
            <w:gridSpan w:val="2"/>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42" w:type="pct"/>
            <w:gridSpan w:val="2"/>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wAfter w:w="0" w:type="auto"/>
          <w:trHeight w:val="800" w:hRule="atLeast"/>
        </w:trPr>
        <w:tc>
          <w:tcPr>
            <w:tcW w:w="4611" w:type="pct"/>
            <w:gridSpan w:val="8"/>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88" w:type="pct"/>
            <w:gridSpan w:val="3"/>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wAfter w:w="0" w:type="auto"/>
          <w:trHeight w:val="1190" w:hRule="atLeast"/>
        </w:trPr>
        <w:tc>
          <w:tcPr>
            <w:tcW w:w="278" w:type="pct"/>
            <w:gridSpan w:val="2"/>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6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人脸Mac一体机</w:t>
            </w:r>
          </w:p>
        </w:tc>
        <w:tc>
          <w:tcPr>
            <w:tcW w:w="3420"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采用高性能四百万像素1/1.8英寸CMOS图像传感器，低照度效果好，图像清晰度高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最大可输出400万(2688×1520)@60fps，满足高帧率需求</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支持ROI，SVC，SMART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支持动态检测，视频遮挡检测，虚焦侦测，场景变更检测，音频异常侦测，外部报警</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支持报警7进3出，音频2进1出，1路内置MIC，RS485，BNC，最大支持256G SD卡，2个wifi天线，1个GPS天线，1个光口（需另配光模块）</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支持DC12V供电方式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内置高效暖光灯，最大监控距离80米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支持人脸检测，人脸曝光，人脸增强，非活体过滤以及人脸属性识别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支持人脸实时抓拍，优选抓拍，质量优先三种抓拍策略，支持人脸角度过滤功能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支持人脸抠图区域可设：人脸/单寸照</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支持人脸计数及实时OSD叠加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支持垂直/倾斜人数统计，区域内人数统计功能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支持周界检测功能，包括绊线入侵，区域入侵，物品遗留，快速移动，停车检测，人员聚集，物品搬移，徘徊检测</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支持视频结构化功能，包括机动车，非机动车，人员等目标的抓拍和属性识别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支持车牌、车标、车辆子品牌、车年款、车身颜色、车辆类型等车辆属性识别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支持MAC采集功能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支持GPS/北斗功能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支持五码流功能，三路高清视频显示</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wAfter w:w="0" w:type="auto"/>
          <w:trHeight w:val="1190" w:hRule="atLeast"/>
        </w:trPr>
        <w:tc>
          <w:tcPr>
            <w:tcW w:w="278" w:type="pct"/>
            <w:gridSpan w:val="2"/>
            <w:tcBorders>
              <w:top w:val="nil"/>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69" w:type="pct"/>
            <w:gridSpan w:val="2"/>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420" w:type="pct"/>
            <w:gridSpan w:val="2"/>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42" w:type="pct"/>
            <w:gridSpan w:val="2"/>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wAfter w:w="0" w:type="auto"/>
          <w:trHeight w:val="800" w:hRule="atLeast"/>
        </w:trPr>
        <w:tc>
          <w:tcPr>
            <w:tcW w:w="4611" w:type="pct"/>
            <w:gridSpan w:val="8"/>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3.视频监控系统</w:t>
            </w:r>
          </w:p>
        </w:tc>
        <w:tc>
          <w:tcPr>
            <w:tcW w:w="388" w:type="pct"/>
            <w:gridSpan w:val="3"/>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wAfter w:w="0" w:type="auto"/>
          <w:trHeight w:val="1040" w:hRule="atLeast"/>
        </w:trPr>
        <w:tc>
          <w:tcPr>
            <w:tcW w:w="278"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6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枪机壁装支架（通用）</w:t>
            </w:r>
          </w:p>
        </w:tc>
        <w:tc>
          <w:tcPr>
            <w:tcW w:w="3420" w:type="pct"/>
            <w:gridSpan w:val="2"/>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尺寸为204.0*58.0*80.0mm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采用铝合金材质，不易生锈</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白色</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重量为0.38kg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支持最大承重1.0kg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支持壁装安装方式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支持水平：0~360°，竖直：-30°~0°旋转角度范围</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88" w:type="pct"/>
            <w:gridSpan w:val="3"/>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r>
      <w:tr>
        <w:tblPrEx>
          <w:tblCellMar>
            <w:top w:w="0" w:type="dxa"/>
            <w:left w:w="108" w:type="dxa"/>
            <w:bottom w:w="0" w:type="dxa"/>
            <w:right w:w="108" w:type="dxa"/>
          </w:tblCellMar>
        </w:tblPrEx>
        <w:trPr>
          <w:wAfter w:w="0" w:type="auto"/>
          <w:trHeight w:val="910" w:hRule="atLeast"/>
        </w:trPr>
        <w:tc>
          <w:tcPr>
            <w:tcW w:w="278"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6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万向节</w:t>
            </w:r>
          </w:p>
        </w:tc>
        <w:tc>
          <w:tcPr>
            <w:tcW w:w="3420" w:type="pct"/>
            <w:gridSpan w:val="2"/>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采用铝合金材质，不易生锈</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白色</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88" w:type="pct"/>
            <w:gridSpan w:val="3"/>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6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室外枪机</w:t>
            </w:r>
          </w:p>
        </w:tc>
        <w:tc>
          <w:tcPr>
            <w:tcW w:w="3420" w:type="pct"/>
            <w:gridSpan w:val="2"/>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采用高性能两百万像素1/2.7英寸CMOS图像传感器，低照度效果好，图像清晰度高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可输出200万(1920*1080)@25fps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最大红外监控距离50米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支持区域入侵,绊线入侵,场景变更，支持多种触发规则联动动作;支持目标过滤</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支持DC12V/POE供电方式，方便工程安装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支持IP67防护等级</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r>
      <w:tr>
        <w:tblPrEx>
          <w:tblCellMar>
            <w:top w:w="0" w:type="dxa"/>
            <w:left w:w="108" w:type="dxa"/>
            <w:bottom w:w="0" w:type="dxa"/>
            <w:right w:w="108" w:type="dxa"/>
          </w:tblCellMar>
        </w:tblPrEx>
        <w:trPr>
          <w:wAfter w:w="0" w:type="auto"/>
          <w:trHeight w:val="1190" w:hRule="atLeast"/>
        </w:trPr>
        <w:tc>
          <w:tcPr>
            <w:tcW w:w="278"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6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16路网络视频录像机</w:t>
            </w:r>
          </w:p>
        </w:tc>
        <w:tc>
          <w:tcPr>
            <w:tcW w:w="3420" w:type="pct"/>
            <w:gridSpan w:val="2"/>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USB接口2个，1个前置USB2.0接口、1个后置USB3.0接口；操作界面WEB方式，本地GUI操作；操作系统嵌入式Linux操作系统；多路回放最大支持16路回放；解码能力8路1080P@30fps；视频输出1路VGA输出，1路HDMI输出，其中VGA和HDMI同源输出，VGA最大输出分辨率1080P，HDMI最大输出分辨率4K；网络带宽160Mbps接入、160Mbps存储、64Mbps转发；网络接口2个RJ-45，10/100/1000Mbps自适应以太网口；网络协议HTTP、HTTPS、TCP/IP、IPv4/IPv6、UPnP、SNMP、RTSP、UDP、SMTP、NTP、DHCP、DNS、IPFilter、DDNS、FTP、AlarmServer、IPSearch(SupportDahuaIPcamera、DVR、NVS、etc.)、P2P、主动注册；硬盘接口4个，SATA3.0，单盘最大10T；主处理器工业级嵌入式微控制器；报警输出4路，其中3路继电器输出，1路12V1Actrl输出</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wAfter w:w="0" w:type="auto"/>
          <w:trHeight w:val="1190" w:hRule="atLeast"/>
        </w:trPr>
        <w:tc>
          <w:tcPr>
            <w:tcW w:w="278"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69" w:type="pct"/>
            <w:gridSpan w:val="2"/>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显示器</w:t>
            </w:r>
          </w:p>
        </w:tc>
        <w:tc>
          <w:tcPr>
            <w:tcW w:w="3420" w:type="pct"/>
            <w:gridSpan w:val="2"/>
            <w:tcBorders>
              <w:top w:val="single" w:color="000000" w:sz="4" w:space="0"/>
              <w:left w:val="single" w:color="000000" w:sz="4" w:space="0"/>
              <w:bottom w:val="nil"/>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面板尺寸43英寸；亮度250cd/m²；安装方式底座、壁挂；信号输入标配VGA(D-Sub)×1、HDMI×1、Audioin×1；内置喇叭；支持的分辨率1920×1080</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nil"/>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69" w:type="pct"/>
            <w:gridSpan w:val="2"/>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6T硬盘</w:t>
            </w:r>
          </w:p>
        </w:tc>
        <w:tc>
          <w:tcPr>
            <w:tcW w:w="3420" w:type="pct"/>
            <w:gridSpan w:val="2"/>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6000G；5400RPM；256M；SATA</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块</w:t>
            </w:r>
          </w:p>
        </w:tc>
        <w:tc>
          <w:tcPr>
            <w:tcW w:w="388" w:type="pct"/>
            <w:gridSpan w:val="3"/>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wAfter w:w="0" w:type="auto"/>
          <w:trHeight w:val="800" w:hRule="atLeast"/>
        </w:trPr>
        <w:tc>
          <w:tcPr>
            <w:tcW w:w="4611" w:type="pct"/>
            <w:gridSpan w:val="8"/>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4.人行闸及门禁系统</w:t>
            </w:r>
          </w:p>
        </w:tc>
        <w:tc>
          <w:tcPr>
            <w:tcW w:w="388" w:type="pct"/>
            <w:gridSpan w:val="3"/>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6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室外人脸一体主机</w:t>
            </w:r>
          </w:p>
        </w:tc>
        <w:tc>
          <w:tcPr>
            <w:tcW w:w="3420"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主处理器 高性能嵌入式处理器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网络协议 IPv4，RTSP，RTP，TCP，UDP，P2P</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OSDP协议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接入标准 CGI</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是否支持SDK和API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外观 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显示屏 10.1寸TFT屏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屏幕类型 电容屏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屏幕分辩率 1280×800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摄像头 200万CMOS高清摄像头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宽动态 120dB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光照补偿 自动白光补光 自动红外补光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状态指示灯 1个，蓝色-运行状态，红色-错误状态，绿色-正确状态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语音提示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蜂鸣器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外壳材料 PC+ABS 铝合金金属边框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开门模式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读卡类型 IC卡 CPU卡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假日时段表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网络更新升级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首用户开门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远程验证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黑白名单设定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Wi-Fi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外接读卡器 1路RS-485，1路韦根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多用户开门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实时监控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多重认证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刷卡拍照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WEB配置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主动注册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读卡距离 1cm～4cm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人脸识别身高范围 0.9m～2.4m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人脸识别距离 0.3m～2m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人脸识别准确率 99.5%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人脸识别速度 0.2s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指纹传感器类型 电容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指纹验证方式 1:N</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指纹比对时间 ≤1.5s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指纹识别时间 ≤0.5s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普通卡（用户）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巡逻卡（用户）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VIP卡（用户）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来宾卡（用户）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残疾人（用户）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用户容量 100000个用户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指纹容量 10000枚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卡片容量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密码容量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二维码容量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存储记录数量 100000条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RS-485接口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RS-232接口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韦根接口 1路输入/输出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USB接口 个USB2.0接口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网络接口 1个RJ-45 100Mbps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报警输入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报警输出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报警联动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开门按钮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门状态检测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门锁控制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防反潜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防拆报警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门超时报警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非法闯入报警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非法卡超次报警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胁迫指纹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 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供电方式 DC 12V  2A</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防护等级 IP65（需要点胶，详见操作手册）</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功耗 ≤24W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产品尺寸 396.9mm×185.6mm×77.2mm（高×宽×厚）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包装尺寸 515.0mm×271.0mm×148.0mm（高×宽×厚，内箱单机包装）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 -30℃~+60℃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工作湿度 5%~95%（无凝结）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 0m～1300m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使用环境 室内 室外</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毛重 4.32kg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配件 壁装支架标配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 壁挂安装</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6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指纹采集器</w:t>
            </w:r>
          </w:p>
        </w:tc>
        <w:tc>
          <w:tcPr>
            <w:tcW w:w="3420"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MOS光学传感器，传感器寿命100万次以上，分别率500DPI，采集窗口L18xW15mm，指纹录入时间≤350毫秒，认假率≤0.0001%，拒真率≤0.014%，比对时间≤1.5秒，指纹验证方式1：N指纹搜索，工作温度0℃～55℃，相对湿度20%～90%（无凝霜），通讯接口USB，供电电压DC3.8～7，工作电流≤80mA</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6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发卡器</w:t>
            </w:r>
          </w:p>
        </w:tc>
        <w:tc>
          <w:tcPr>
            <w:tcW w:w="3420"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IC卡(Mifare卡)发卡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USB供电和通讯，工作电流&lt;150mA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发卡距离：3cm~8cm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免驱动安装，即插即用</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6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IC卡</w:t>
            </w:r>
          </w:p>
        </w:tc>
        <w:tc>
          <w:tcPr>
            <w:tcW w:w="3420"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尺寸：55*85*1mm</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张</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1000</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6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闭门器</w:t>
            </w:r>
          </w:p>
        </w:tc>
        <w:tc>
          <w:tcPr>
            <w:tcW w:w="3420"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采用齿轮液压传动技术，结合机械传动的精确性和稳定性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铸特缸体，高强度整体锻钢活塞</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6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280KG单门防水磁力锁</w:t>
            </w:r>
          </w:p>
        </w:tc>
        <w:tc>
          <w:tcPr>
            <w:tcW w:w="3420"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铝合金；锁体尺寸：长210x宽42x厚28.5(mm) ；吸板尺寸：长185x宽38x厚12(mm)；280kg(600Lbs)直线拉力 ；锁状态信号输出 ；断电开门；适用木门\玻璃门\金属门\防火门等；工作温度：-20℃-+60℃， 工作湿度：≤95%；2.3KG；</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6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广告人型摆闸</w:t>
            </w:r>
          </w:p>
        </w:tc>
        <w:tc>
          <w:tcPr>
            <w:tcW w:w="3420"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(1242mm-1842mm)×250mm×1640mm（长×宽×高）；外壳材料冷轧钢板；驱动电机直流减速电机（24V）；电机使用寿命100万次；通道宽度1242mm-1842mm；最大定制通道宽度支持调节；通行速度15人~20人/min；开闸时间1.5s~10s，可调节；开门模式支持刷卡（另配）、遥控器、按键、人脸（另配）；功耗10W（待机）、50W（工作）；工作温度-20℃~+70℃；使用环境室内，室外</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56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单门控制器</w:t>
            </w:r>
          </w:p>
        </w:tc>
        <w:tc>
          <w:tcPr>
            <w:tcW w:w="3420"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用32位高处理器，支持TCP/IP通讯方式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同时支持RS485协议和韦根协议读卡器的接入,韦根接口支持国际标准W26\W34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支持2台读卡器（可设单门双向识别）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支持4组信号输入（开门按钮*1，门磁报警*1，报警输入*2）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支持3组控制输出（电锁控制*1，警报输出*2）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FLASH存储容量为16M（可扩展32M），最大支持100,000个持卡者, 150,000条刷卡记录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具有防反潜、多门互锁、多重验证、远程验证、平台视频联动等多项专项功能，支持首卡开门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支持普通卡、VIP卡、来宾卡、巡逻卡、黑白名单、胁迫卡等类型及权限下发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支持读卡器防拆报警、非法闯入报警、开门超时报警、支持胁迫卡及胁迫码设定，支持黑白名单及巡逻卡设定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支持卡片、密码、指纹各种组合方式开门，支持分时段开门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支持128组时间表及128组假日时段表，支持常开时间段、常闭时间段、远程开门时间段、首卡开门时间段等设置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工作温度：-30℃-+60℃， 工作湿度：≤95%</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56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420"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56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420"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569" w:type="pct"/>
            <w:gridSpan w:val="2"/>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护栏</w:t>
            </w:r>
          </w:p>
        </w:tc>
        <w:tc>
          <w:tcPr>
            <w:tcW w:w="3420" w:type="pct"/>
            <w:gridSpan w:val="2"/>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配套</w:t>
            </w:r>
          </w:p>
        </w:tc>
        <w:tc>
          <w:tcPr>
            <w:tcW w:w="342" w:type="pct"/>
            <w:gridSpan w:val="2"/>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88" w:type="pct"/>
            <w:gridSpan w:val="3"/>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wAfter w:w="0" w:type="auto"/>
          <w:trHeight w:val="800" w:hRule="atLeast"/>
        </w:trPr>
        <w:tc>
          <w:tcPr>
            <w:tcW w:w="4611" w:type="pct"/>
            <w:gridSpan w:val="8"/>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5.车牌识别系统</w:t>
            </w:r>
          </w:p>
        </w:tc>
        <w:tc>
          <w:tcPr>
            <w:tcW w:w="388" w:type="pct"/>
            <w:gridSpan w:val="3"/>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6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车牌抓拍摄像机</w:t>
            </w:r>
          </w:p>
        </w:tc>
        <w:tc>
          <w:tcPr>
            <w:tcW w:w="3420" w:type="pct"/>
            <w:gridSpan w:val="2"/>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补光灯数量2颗（可根据客户需求自由切换为暖光灯或红外灯，暖光灯色温3000K，亮度可自动调节）；传感器类型1/3英寸CMOS；图像分辨率2304×1296（不包含OSD黑边）；镜头标配4mm定焦镜头；视频分辨率主码流：1080P（1920×1080）/720P（1280×720）辅码流：720P（1280×720）/D1（704×576）；视频压缩标准MJPEG；H.264H；H.264M；H.264B；H.265；降噪3D降噪；坏点校正支持；触发方式支持视频检测、I/O线圈、雷达三种触发方式；存储功能内置1个TF卡接口（最大支持128G，TF卡可选大华、金士顿、闪迪等）；最大补光距离8m；OSD信息叠加支持叠加时间、地点、车牌、车身颜色、防伪码、车标、触发源、车牌类型、车辆颜色、车辆类型、卡口方向、车系、置信度、车头朝向、自定义信息；断网续传支持，平台/FTP；车辆检测车辆捕获率≥99.9%；车辆识别支持车型、车标、车系、车身颜色、车牌颜色、车牌号码、车牌类型、无牌车、新能源车牌识别车牌识别率≥99.9%；智能轨迹帧支持智能帧显示，可显示车牌和车辆行驶轨迹；网络接口1个，10/100M以太网口（RJ-45）；RS-485接口2个（可用于连接配套屏、雷达、道闸和外置常亮灯）；I/O接口2路，光耦输入（5V开关量），可用于车检器等信号输入；供电方式AC220V；防护等级IP67</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88" w:type="pct"/>
            <w:gridSpan w:val="3"/>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6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摄像机立柱</w:t>
            </w:r>
          </w:p>
        </w:tc>
        <w:tc>
          <w:tcPr>
            <w:tcW w:w="3420" w:type="pct"/>
            <w:gridSpan w:val="2"/>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抓拍一体机杆件（白色+1.5米)</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wAfter w:w="0" w:type="auto"/>
          <w:trHeight w:val="800" w:hRule="atLeast"/>
        </w:trPr>
        <w:tc>
          <w:tcPr>
            <w:tcW w:w="4611" w:type="pct"/>
            <w:gridSpan w:val="8"/>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6.网络设备</w:t>
            </w:r>
          </w:p>
        </w:tc>
        <w:tc>
          <w:tcPr>
            <w:tcW w:w="388" w:type="pct"/>
            <w:gridSpan w:val="3"/>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6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420"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42"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6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24口交换机</w:t>
            </w:r>
          </w:p>
        </w:tc>
        <w:tc>
          <w:tcPr>
            <w:tcW w:w="3420"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千兆24口，带2光口</w:t>
            </w:r>
          </w:p>
        </w:tc>
        <w:tc>
          <w:tcPr>
            <w:tcW w:w="342"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6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420"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42"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6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420"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42"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r>
      <w:tr>
        <w:tblPrEx>
          <w:tblCellMar>
            <w:top w:w="0" w:type="dxa"/>
            <w:left w:w="108" w:type="dxa"/>
            <w:bottom w:w="0" w:type="dxa"/>
            <w:right w:w="108" w:type="dxa"/>
          </w:tblCellMar>
        </w:tblPrEx>
        <w:trPr>
          <w:wAfter w:w="0" w:type="auto"/>
          <w:trHeight w:val="800" w:hRule="atLeast"/>
        </w:trPr>
        <w:tc>
          <w:tcPr>
            <w:tcW w:w="4611" w:type="pct"/>
            <w:gridSpan w:val="8"/>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7.管线及网络费用</w:t>
            </w:r>
          </w:p>
        </w:tc>
        <w:tc>
          <w:tcPr>
            <w:tcW w:w="388" w:type="pct"/>
            <w:gridSpan w:val="3"/>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6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420"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6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420"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6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420"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6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42U机柜</w:t>
            </w:r>
          </w:p>
        </w:tc>
        <w:tc>
          <w:tcPr>
            <w:tcW w:w="3420"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2米机柜</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6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420"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42"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88"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900</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6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420"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42"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88"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900</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56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420"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42"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88"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1400</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56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PE32管</w:t>
            </w:r>
          </w:p>
        </w:tc>
        <w:tc>
          <w:tcPr>
            <w:tcW w:w="3420"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w:t>
            </w:r>
          </w:p>
        </w:tc>
        <w:tc>
          <w:tcPr>
            <w:tcW w:w="342"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88"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56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420"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42"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88"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800</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56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道路开挖修复等费用</w:t>
            </w:r>
          </w:p>
        </w:tc>
        <w:tc>
          <w:tcPr>
            <w:tcW w:w="3420" w:type="pct"/>
            <w:gridSpan w:val="2"/>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42"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88"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wAfter w:w="0" w:type="auto"/>
          <w:trHeight w:val="800" w:hRule="atLeast"/>
        </w:trPr>
        <w:tc>
          <w:tcPr>
            <w:tcW w:w="278"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56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420"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42"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88"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gridAfter w:val="1"/>
          <w:wBefore w:w="30" w:type="pct"/>
          <w:wAfter w:w="20" w:type="pct"/>
          <w:trHeight w:val="800" w:hRule="atLeast"/>
        </w:trPr>
        <w:tc>
          <w:tcPr>
            <w:tcW w:w="4949" w:type="pct"/>
            <w:gridSpan w:val="9"/>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6城厢街道智安小区项目设备清单（景苑公寓）</w:t>
            </w:r>
          </w:p>
        </w:tc>
      </w:tr>
      <w:tr>
        <w:tblPrEx>
          <w:tblCellMar>
            <w:top w:w="0" w:type="dxa"/>
            <w:left w:w="108" w:type="dxa"/>
            <w:bottom w:w="0" w:type="dxa"/>
            <w:right w:w="108" w:type="dxa"/>
          </w:tblCellMar>
        </w:tblPrEx>
        <w:trPr>
          <w:gridBefore w:val="1"/>
          <w:gridAfter w:val="1"/>
          <w:wBefore w:w="30" w:type="pct"/>
          <w:wAfter w:w="20" w:type="pct"/>
          <w:trHeight w:val="800" w:hRule="atLeast"/>
        </w:trPr>
        <w:tc>
          <w:tcPr>
            <w:tcW w:w="339" w:type="pct"/>
            <w:gridSpan w:val="2"/>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509" w:type="pct"/>
            <w:gridSpan w:val="2"/>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401" w:type="pct"/>
            <w:gridSpan w:val="2"/>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51" w:type="pct"/>
            <w:gridSpan w:val="2"/>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47"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gridBefore w:val="1"/>
          <w:gridAfter w:val="1"/>
          <w:wBefore w:w="30" w:type="pct"/>
          <w:wAfter w:w="20" w:type="pct"/>
          <w:trHeight w:val="800" w:hRule="atLeast"/>
        </w:trPr>
        <w:tc>
          <w:tcPr>
            <w:tcW w:w="4601" w:type="pct"/>
            <w:gridSpan w:val="8"/>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47"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9" w:type="pct"/>
            <w:gridSpan w:val="2"/>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389"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42" w:type="pct"/>
            <w:gridSpan w:val="2"/>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0" w:type="pct"/>
          <w:trHeight w:val="800" w:hRule="atLeast"/>
        </w:trPr>
        <w:tc>
          <w:tcPr>
            <w:tcW w:w="4581" w:type="pct"/>
            <w:gridSpan w:val="7"/>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88" w:type="pct"/>
            <w:gridSpan w:val="3"/>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gridBefore w:val="1"/>
          <w:wBefore w:w="30" w:type="pct"/>
          <w:trHeight w:val="1190" w:hRule="atLeast"/>
        </w:trPr>
        <w:tc>
          <w:tcPr>
            <w:tcW w:w="339" w:type="pct"/>
            <w:gridSpan w:val="2"/>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9" w:type="pct"/>
            <w:gridSpan w:val="2"/>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38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42" w:type="pct"/>
            <w:gridSpan w:val="2"/>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0" w:type="pct"/>
          <w:trHeight w:val="800" w:hRule="atLeast"/>
        </w:trPr>
        <w:tc>
          <w:tcPr>
            <w:tcW w:w="4581" w:type="pct"/>
            <w:gridSpan w:val="7"/>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3.视频监控系统</w:t>
            </w:r>
          </w:p>
        </w:tc>
        <w:tc>
          <w:tcPr>
            <w:tcW w:w="388" w:type="pct"/>
            <w:gridSpan w:val="3"/>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gridBefore w:val="1"/>
          <w:wBefore w:w="30" w:type="pct"/>
          <w:trHeight w:val="1040" w:hRule="atLeast"/>
        </w:trPr>
        <w:tc>
          <w:tcPr>
            <w:tcW w:w="339"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枪机壁装支架（通用）</w:t>
            </w:r>
          </w:p>
        </w:tc>
        <w:tc>
          <w:tcPr>
            <w:tcW w:w="3389"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尺寸为204.0*58.0*80.0mm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采用铝合金材质，不易生锈</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白色</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重量为0.38kg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支持最大承重1.0kg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支持壁装安装方式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支持水平：0~360°，竖直：-30°~0°旋转角度范围</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88" w:type="pct"/>
            <w:gridSpan w:val="3"/>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gridBefore w:val="1"/>
          <w:wBefore w:w="30" w:type="pct"/>
          <w:trHeight w:val="910" w:hRule="atLeast"/>
        </w:trPr>
        <w:tc>
          <w:tcPr>
            <w:tcW w:w="339"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万向节</w:t>
            </w:r>
          </w:p>
        </w:tc>
        <w:tc>
          <w:tcPr>
            <w:tcW w:w="3389"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采用铝合金材质，不易生锈</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白色</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88" w:type="pct"/>
            <w:gridSpan w:val="3"/>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室外枪机</w:t>
            </w:r>
          </w:p>
        </w:tc>
        <w:tc>
          <w:tcPr>
            <w:tcW w:w="3389"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采用高性能两百万像素1/2.7英寸CMOS图像传感器，低照度效果好，图像清晰度高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可输出200万(1920*1080)@25fps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最大红外监控距离50米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支持区域入侵,绊线入侵,场景变更，支持多种触发规则联动动作;支持目标过滤</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支持DC12V/POE供电方式，方便工程安装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支持IP67防护等级</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r>
      <w:tr>
        <w:tblPrEx>
          <w:tblCellMar>
            <w:top w:w="0" w:type="dxa"/>
            <w:left w:w="108" w:type="dxa"/>
            <w:bottom w:w="0" w:type="dxa"/>
            <w:right w:w="108" w:type="dxa"/>
          </w:tblCellMar>
        </w:tblPrEx>
        <w:trPr>
          <w:gridBefore w:val="1"/>
          <w:wBefore w:w="30" w:type="pct"/>
          <w:trHeight w:val="1190" w:hRule="atLeast"/>
        </w:trPr>
        <w:tc>
          <w:tcPr>
            <w:tcW w:w="339"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16路网络视频录像机</w:t>
            </w:r>
          </w:p>
        </w:tc>
        <w:tc>
          <w:tcPr>
            <w:tcW w:w="3389"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USB接口2个，1个前置USB2.0接口、1个后置USB3.0接口；操作界面WEB方式，本地GUI操作；操作系统嵌入式Linux操作系统；多路回放最大支持16路回放；解码能力8路1080P@30fps；视频输出1路VGA输出，1路HDMI输出，其中VGA和HDMI同源输出，VGA最大输出分辨率1080P，HDMI最大输出分辨率4K；网络带宽160Mbps接入、160Mbps存储、64Mbps转发；网络接口2个RJ-45，10/100/1000Mbps自适应以太网口；网络协议HTTP、HTTPS、TCP/IP、IPv4/IPv6、UPnP、SNMP、RTSP、UDP、SMTP、NTP、DHCP、DNS、IPFilter、DDNS、FTP、AlarmServer、IPSearch(SupportDahuaIPcamera、DVR、NVS、etc.)、P2P、主动注册；硬盘接口4个，SATA3.0，单盘最大10T；主处理器工业级嵌入式微控制器；报警输出4路，其中3路继电器输出，1路12V1Actrl输出</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0" w:type="pct"/>
          <w:trHeight w:val="1190" w:hRule="atLeast"/>
        </w:trPr>
        <w:tc>
          <w:tcPr>
            <w:tcW w:w="339"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09" w:type="pct"/>
            <w:gridSpan w:val="2"/>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显示器</w:t>
            </w:r>
          </w:p>
        </w:tc>
        <w:tc>
          <w:tcPr>
            <w:tcW w:w="3389" w:type="pct"/>
            <w:tcBorders>
              <w:top w:val="single" w:color="000000" w:sz="4" w:space="0"/>
              <w:left w:val="single" w:color="000000" w:sz="4" w:space="0"/>
              <w:bottom w:val="nil"/>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面板尺寸43英寸；亮度250cd/m²；安装方式底座、壁挂；信号输入标配VGA(D-Sub)×1、HDMI×1、Audioin×1；内置喇叭；支持的分辨率1920×1080</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nil"/>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09" w:type="pct"/>
            <w:gridSpan w:val="2"/>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6T硬盘</w:t>
            </w:r>
          </w:p>
        </w:tc>
        <w:tc>
          <w:tcPr>
            <w:tcW w:w="338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6000G；5400RPM；256M；SATA</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块</w:t>
            </w:r>
          </w:p>
        </w:tc>
        <w:tc>
          <w:tcPr>
            <w:tcW w:w="388" w:type="pct"/>
            <w:gridSpan w:val="3"/>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gridBefore w:val="1"/>
          <w:wBefore w:w="30" w:type="pct"/>
          <w:trHeight w:val="800" w:hRule="atLeast"/>
        </w:trPr>
        <w:tc>
          <w:tcPr>
            <w:tcW w:w="4581" w:type="pct"/>
            <w:gridSpan w:val="7"/>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4.人行闸及门禁系统</w:t>
            </w:r>
          </w:p>
        </w:tc>
        <w:tc>
          <w:tcPr>
            <w:tcW w:w="388" w:type="pct"/>
            <w:gridSpan w:val="3"/>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室外人脸一体主机</w:t>
            </w:r>
          </w:p>
        </w:tc>
        <w:tc>
          <w:tcPr>
            <w:tcW w:w="3389"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主处理器 高性能嵌入式处理器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网络协议 IPv4，RTSP，RTP，TCP，UDP，P2P</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OSDP协议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接入标准 CGI</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是否支持SDK和API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外观 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显示屏 10.1寸TFT屏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屏幕类型 电容屏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屏幕分辩率 1280×800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摄像头 200万CMOS高清摄像头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宽动态 120dB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光照补偿 自动白光补光 自动红外补光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状态指示灯 1个，蓝色-运行状态，红色-错误状态，绿色-正确状态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语音提示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蜂鸣器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外壳材料 PC+ABS 铝合金金属边框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开门模式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读卡类型 IC卡 CPU卡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假日时段表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网络更新升级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首用户开门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远程验证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黑白名单设定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Wi-Fi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外接读卡器 1路RS-485，1路韦根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多用户开门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实时监控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多重认证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刷卡拍照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WEB配置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主动注册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读卡距离 1cm～4cm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人脸识别身高范围 0.9m～2.4m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人脸识别距离 0.3m～2m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人脸识别准确率 99.5%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人脸识别速度 0.2s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指纹传感器类型 电容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指纹验证方式 1:N</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指纹比对时间 ≤1.5s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指纹识别时间 ≤0.5s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普通卡（用户）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巡逻卡（用户）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VIP卡（用户）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来宾卡（用户）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残疾人（用户）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用户容量 100000个用户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指纹容量 10000枚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卡片容量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密码容量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二维码容量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存储记录数量 100000条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RS-485接口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RS-232接口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韦根接口 1路输入/输出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USB接口 个USB2.0接口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网络接口 1个RJ-45 100Mbps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报警输入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报警输出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报警联动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开门按钮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门状态检测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门锁控制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防反潜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防拆报警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门超时报警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非法闯入报警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非法卡超次报警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胁迫指纹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 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供电方式 DC 12V  2A</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防护等级 IP65（需要点胶，详见操作手册）</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功耗 ≤24W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产品尺寸 396.9mm×185.6mm×77.2mm（高×宽×厚）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包装尺寸 515.0mm×271.0mm×148.0mm（高×宽×厚，内箱单机包装）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 -30℃~+60℃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工作湿度 5%~95%（无凝结）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 0m～1300m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使用环境 室内 室外</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毛重 4.32kg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配件 壁装支架标配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 壁挂安装</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指纹采集器</w:t>
            </w:r>
          </w:p>
        </w:tc>
        <w:tc>
          <w:tcPr>
            <w:tcW w:w="33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MOS光学传感器，传感器寿命100万次以上，分别率500DPI，采集窗口L18xW15mm，指纹录入时间≤350毫秒，认假率≤0.0001%，拒真率≤0.014%，比对时间≤1.5秒，指纹验证方式1：N指纹搜索，工作温度0℃～55℃，相对湿度20%～90%（无凝霜），通讯接口USB，供电电压DC3.8～7，工作电流≤80mA</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发卡器</w:t>
            </w:r>
          </w:p>
        </w:tc>
        <w:tc>
          <w:tcPr>
            <w:tcW w:w="33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IC卡(Mifare卡)发卡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USB供电和通讯，工作电流&lt;150mA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发卡距离：3cm~8cm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免驱动安装，即插即用</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IC卡</w:t>
            </w:r>
          </w:p>
        </w:tc>
        <w:tc>
          <w:tcPr>
            <w:tcW w:w="33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尺寸：55*85*1mm</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张</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800</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闭门器</w:t>
            </w:r>
          </w:p>
        </w:tc>
        <w:tc>
          <w:tcPr>
            <w:tcW w:w="33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采用齿轮液压传动技术，结合机械传动的精确性和稳定性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铸特缸体，高强度整体锻钢活塞</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280KG单门防水磁力锁</w:t>
            </w:r>
          </w:p>
        </w:tc>
        <w:tc>
          <w:tcPr>
            <w:tcW w:w="33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铝合金；锁体尺寸：长210x宽42x厚28.5(mm) ；吸板尺寸：长185x宽38x厚12(mm)；280kg(600Lbs)直线拉力 ；锁状态信号输出 ；断电开门；适用木门\玻璃门\金属门\防火门等；工作温度：-20℃-+60℃， 工作湿度：≤95%；2.3KG；</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广告人型摆闸</w:t>
            </w:r>
          </w:p>
        </w:tc>
        <w:tc>
          <w:tcPr>
            <w:tcW w:w="33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(1242mm-1842mm)×250mm×1640mm（长×宽×高）；外壳材料冷轧钢板；驱动电机直流减速电机（24V）；电机使用寿命100万次；通道宽度1242mm-1842mm；最大定制通道宽度支持调节；通行速度15人~20人/min；开闸时间1.5s~10s，可调节；开门模式支持刷卡（另配）、遥控器、按键、人脸（另配）；功耗10W（待机）、50W（工作）；工作温度-20℃~+70℃；使用环境室内，室外</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单门控制器</w:t>
            </w:r>
          </w:p>
        </w:tc>
        <w:tc>
          <w:tcPr>
            <w:tcW w:w="33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用32位高处理器，支持TCP/IP通讯方式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同时支持RS485协议和韦根协议读卡器的接入,韦根接口支持国际标准W26\W34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支持2台读卡器（可设单门双向识别）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支持4组信号输入（开门按钮*1，门磁报警*1，报警输入*2）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支持3组控制输出（电锁控制*1，警报输出*2）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FLASH存储容量为16M（可扩展32M），最大支持100,000个持卡者, 150,000条刷卡记录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具有防反潜、多门互锁、多重验证、远程验证、平台视频联动等多项专项功能，支持首卡开门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支持普通卡、VIP卡、来宾卡、巡逻卡、黑白名单、胁迫卡等类型及权限下发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支持读卡器防拆报警、非法闯入报警、开门超时报警、支持胁迫卡及胁迫码设定，支持黑白名单及巡逻卡设定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支持卡片、密码、指纹各种组合方式开门，支持分时段开门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支持128组时间表及128组假日时段表，支持常开时间段、常闭时间段、远程开门时间段、首卡开门时间段等设置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工作温度：-30℃-+60℃， 工作湿度：≤95%</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3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3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gridBefore w:val="1"/>
          <w:wBefore w:w="30" w:type="pct"/>
          <w:trHeight w:val="800" w:hRule="atLeast"/>
        </w:trPr>
        <w:tc>
          <w:tcPr>
            <w:tcW w:w="4581" w:type="pct"/>
            <w:gridSpan w:val="7"/>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5.车牌识别系统（新增）</w:t>
            </w:r>
          </w:p>
        </w:tc>
        <w:tc>
          <w:tcPr>
            <w:tcW w:w="388" w:type="pct"/>
            <w:gridSpan w:val="3"/>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gridBefore w:val="1"/>
          <w:wBefore w:w="30" w:type="pct"/>
          <w:trHeight w:val="1725" w:hRule="atLeast"/>
        </w:trPr>
        <w:tc>
          <w:tcPr>
            <w:tcW w:w="339"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出入口杆式抓拍一体机（4行4字）</w:t>
            </w:r>
          </w:p>
        </w:tc>
        <w:tc>
          <w:tcPr>
            <w:tcW w:w="3389"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外观 杆式一体机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传感器类型 1/2.8英寸cmos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最大分辨率 1920×1080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视频编码标准 H265/H264/MJPEG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视频分辨率 主码流1920×1080，辅码流704×576</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视频码率 "H265/H264:32~6636Kb/S;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MJPEG:18662~37325K Kb/Sb/S"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视频帧率 1~25FPS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 最大支持10000条白名单车辆，可直接联动道闸输出，最大支持10000条黑名单车辆，可触发生成报警事件</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88" w:type="pct"/>
            <w:gridSpan w:val="3"/>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gridBefore w:val="1"/>
          <w:wBefore w:w="30" w:type="pct"/>
          <w:trHeight w:val="624" w:hRule="atLeast"/>
        </w:trPr>
        <w:tc>
          <w:tcPr>
            <w:tcW w:w="339"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两层中速栅栏杆道闸（右）</w:t>
            </w:r>
          </w:p>
        </w:tc>
        <w:tc>
          <w:tcPr>
            <w:tcW w:w="3389"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升降时间1.5 ～ 6秒可选，通讯协议 RS485接口或地感检测保护装置</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0" w:type="pct"/>
          <w:trHeight w:val="1810" w:hRule="atLeast"/>
        </w:trPr>
        <w:tc>
          <w:tcPr>
            <w:tcW w:w="339"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道闸防砸雷达</w:t>
            </w:r>
          </w:p>
        </w:tc>
        <w:tc>
          <w:tcPr>
            <w:tcW w:w="3389"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发射功率 ≤10mW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波束宽度 俯仰12°，水平34°</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响应时间 1ms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防砸区域 6m可编程</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检测目标 人，车</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88" w:type="pct"/>
            <w:gridSpan w:val="3"/>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0" w:type="pct"/>
          <w:trHeight w:val="720" w:hRule="atLeast"/>
        </w:trPr>
        <w:tc>
          <w:tcPr>
            <w:tcW w:w="339"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屏蔽双绞线RVSP2*1.0（长度20米）</w:t>
            </w:r>
          </w:p>
        </w:tc>
        <w:tc>
          <w:tcPr>
            <w:tcW w:w="3389"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车检器连接道闸、相机连接道闸，使用屏蔽双绞线</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88" w:type="pct"/>
            <w:gridSpan w:val="3"/>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0" w:type="pct"/>
          <w:trHeight w:val="1230" w:hRule="atLeast"/>
        </w:trPr>
        <w:tc>
          <w:tcPr>
            <w:tcW w:w="339"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数字车辆检测器(单路，停车场专用)</w:t>
            </w:r>
          </w:p>
        </w:tc>
        <w:tc>
          <w:tcPr>
            <w:tcW w:w="3389"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连接地感线圈，实现防砸线圈功能</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88" w:type="pct"/>
            <w:gridSpan w:val="3"/>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0" w:type="pct"/>
          <w:trHeight w:val="624" w:hRule="atLeast"/>
        </w:trPr>
        <w:tc>
          <w:tcPr>
            <w:tcW w:w="339"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地感线圈 FVN1*1.5（长度100米）</w:t>
            </w:r>
          </w:p>
        </w:tc>
        <w:tc>
          <w:tcPr>
            <w:tcW w:w="3389"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分为两段，50米一段，分别用于出口和入口的防砸线圈</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圈</w:t>
            </w:r>
          </w:p>
        </w:tc>
        <w:tc>
          <w:tcPr>
            <w:tcW w:w="388" w:type="pct"/>
            <w:gridSpan w:val="3"/>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0" w:type="pct"/>
          <w:trHeight w:val="600" w:hRule="atLeast"/>
        </w:trPr>
        <w:tc>
          <w:tcPr>
            <w:tcW w:w="339"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减速带</w:t>
            </w:r>
          </w:p>
        </w:tc>
        <w:tc>
          <w:tcPr>
            <w:tcW w:w="33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hd w:val="clear" w:color="auto" w:fill="auto"/>
              <w:jc w:val="left"/>
              <w:rPr>
                <w:rFonts w:hint="eastAsia" w:ascii="宋体" w:hAnsi="宋体" w:cs="宋体"/>
                <w:color w:val="000000"/>
                <w:sz w:val="15"/>
                <w:szCs w:val="15"/>
                <w:highlight w:val="none"/>
              </w:rPr>
            </w:pP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gridBefore w:val="1"/>
          <w:wBefore w:w="30" w:type="pct"/>
          <w:trHeight w:val="800" w:hRule="atLeast"/>
        </w:trPr>
        <w:tc>
          <w:tcPr>
            <w:tcW w:w="4581" w:type="pct"/>
            <w:gridSpan w:val="7"/>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6.网络设备</w:t>
            </w:r>
          </w:p>
        </w:tc>
        <w:tc>
          <w:tcPr>
            <w:tcW w:w="388" w:type="pct"/>
            <w:gridSpan w:val="3"/>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38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42"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0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24口交换机</w:t>
            </w:r>
          </w:p>
        </w:tc>
        <w:tc>
          <w:tcPr>
            <w:tcW w:w="338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千兆24口，带2光口</w:t>
            </w:r>
          </w:p>
        </w:tc>
        <w:tc>
          <w:tcPr>
            <w:tcW w:w="342"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0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38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42"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0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38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42"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gridBefore w:val="1"/>
          <w:wBefore w:w="30" w:type="pct"/>
          <w:trHeight w:val="800" w:hRule="atLeast"/>
        </w:trPr>
        <w:tc>
          <w:tcPr>
            <w:tcW w:w="4581" w:type="pct"/>
            <w:gridSpan w:val="7"/>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8.管线及网络费用</w:t>
            </w:r>
          </w:p>
        </w:tc>
        <w:tc>
          <w:tcPr>
            <w:tcW w:w="388" w:type="pct"/>
            <w:gridSpan w:val="3"/>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室外立杆</w:t>
            </w:r>
          </w:p>
        </w:tc>
        <w:tc>
          <w:tcPr>
            <w:tcW w:w="33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3-5米杆，含基础地笼设备箱</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处</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3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3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3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22U机柜</w:t>
            </w:r>
          </w:p>
        </w:tc>
        <w:tc>
          <w:tcPr>
            <w:tcW w:w="338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1米机柜</w:t>
            </w:r>
          </w:p>
        </w:tc>
        <w:tc>
          <w:tcPr>
            <w:tcW w:w="34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8"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0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38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42"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88"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700</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0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38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42"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88"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700</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50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38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42"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88"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300</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50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PE32管</w:t>
            </w:r>
          </w:p>
        </w:tc>
        <w:tc>
          <w:tcPr>
            <w:tcW w:w="338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w:t>
            </w:r>
          </w:p>
        </w:tc>
        <w:tc>
          <w:tcPr>
            <w:tcW w:w="342"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88"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300</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50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38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42"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88"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50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道路开挖修复、基础等费用</w:t>
            </w:r>
          </w:p>
        </w:tc>
        <w:tc>
          <w:tcPr>
            <w:tcW w:w="3389"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42"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88"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0" w:type="pct"/>
          <w:trHeight w:val="800" w:hRule="atLeast"/>
        </w:trPr>
        <w:tc>
          <w:tcPr>
            <w:tcW w:w="33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50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38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42"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88"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shd w:val="clear" w:color="auto" w:fill="auto"/>
        <w:adjustRightInd/>
        <w:spacing w:line="440" w:lineRule="exact"/>
        <w:ind w:firstLine="480" w:firstLineChars="200"/>
        <w:rPr>
          <w:rFonts w:hint="eastAsia" w:ascii="宋体" w:hAnsi="宋体" w:cs="宋体"/>
          <w:color w:val="000000"/>
          <w:sz w:val="24"/>
          <w:highlight w:val="none"/>
        </w:rPr>
      </w:pPr>
    </w:p>
    <w:tbl>
      <w:tblPr>
        <w:tblStyle w:val="62"/>
        <w:tblW w:w="5001" w:type="pct"/>
        <w:tblInd w:w="0" w:type="dxa"/>
        <w:tblLayout w:type="autofit"/>
        <w:tblCellMar>
          <w:top w:w="0" w:type="dxa"/>
          <w:left w:w="108" w:type="dxa"/>
          <w:bottom w:w="0" w:type="dxa"/>
          <w:right w:w="108" w:type="dxa"/>
        </w:tblCellMar>
      </w:tblPr>
      <w:tblGrid>
        <w:gridCol w:w="67"/>
        <w:gridCol w:w="477"/>
        <w:gridCol w:w="184"/>
        <w:gridCol w:w="854"/>
        <w:gridCol w:w="1854"/>
        <w:gridCol w:w="4475"/>
        <w:gridCol w:w="41"/>
        <w:gridCol w:w="626"/>
        <w:gridCol w:w="39"/>
        <w:gridCol w:w="656"/>
        <w:gridCol w:w="15"/>
      </w:tblGrid>
      <w:tr>
        <w:tblPrEx>
          <w:tblCellMar>
            <w:top w:w="0" w:type="dxa"/>
            <w:left w:w="108" w:type="dxa"/>
            <w:bottom w:w="0" w:type="dxa"/>
            <w:right w:w="108" w:type="dxa"/>
          </w:tblCellMar>
        </w:tblPrEx>
        <w:trPr>
          <w:wAfter w:w="0" w:type="auto"/>
          <w:trHeight w:val="80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7城厢街道智安小区项目设备清单（阳光华庭）</w:t>
            </w:r>
          </w:p>
        </w:tc>
      </w:tr>
      <w:tr>
        <w:tblPrEx>
          <w:tblCellMar>
            <w:top w:w="0" w:type="dxa"/>
            <w:left w:w="108" w:type="dxa"/>
            <w:bottom w:w="0" w:type="dxa"/>
            <w:right w:w="108" w:type="dxa"/>
          </w:tblCellMar>
        </w:tblPrEx>
        <w:trPr>
          <w:wAfter w:w="0" w:type="auto"/>
          <w:trHeight w:val="800" w:hRule="atLeast"/>
        </w:trPr>
        <w:tc>
          <w:tcPr>
            <w:tcW w:w="293" w:type="pct"/>
            <w:gridSpan w:val="2"/>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559" w:type="pct"/>
            <w:gridSpan w:val="2"/>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407" w:type="pct"/>
            <w:gridSpan w:val="2"/>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59" w:type="pct"/>
            <w:gridSpan w:val="2"/>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81" w:type="pct"/>
            <w:gridSpan w:val="3"/>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wAfter w:w="0" w:type="auto"/>
          <w:trHeight w:val="800" w:hRule="atLeast"/>
        </w:trPr>
        <w:tc>
          <w:tcPr>
            <w:tcW w:w="4618" w:type="pct"/>
            <w:gridSpan w:val="8"/>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81" w:type="pct"/>
            <w:gridSpan w:val="3"/>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wAfter w:w="0" w:type="auto"/>
          <w:trHeight w:val="800" w:hRule="atLeast"/>
        </w:trPr>
        <w:tc>
          <w:tcPr>
            <w:tcW w:w="293" w:type="pct"/>
            <w:gridSpan w:val="2"/>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59" w:type="pct"/>
            <w:gridSpan w:val="2"/>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407" w:type="pct"/>
            <w:gridSpan w:val="2"/>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59" w:type="pct"/>
            <w:gridSpan w:val="2"/>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1" w:type="pct"/>
            <w:gridSpan w:val="3"/>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wAfter w:w="0" w:type="auto"/>
          <w:trHeight w:val="800" w:hRule="atLeast"/>
        </w:trPr>
        <w:tc>
          <w:tcPr>
            <w:tcW w:w="4618" w:type="pct"/>
            <w:gridSpan w:val="8"/>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81" w:type="pct"/>
            <w:gridSpan w:val="3"/>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wAfter w:w="0" w:type="auto"/>
          <w:trHeight w:val="1190" w:hRule="atLeast"/>
        </w:trPr>
        <w:tc>
          <w:tcPr>
            <w:tcW w:w="293" w:type="pct"/>
            <w:gridSpan w:val="2"/>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59" w:type="pct"/>
            <w:gridSpan w:val="2"/>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407" w:type="pct"/>
            <w:gridSpan w:val="2"/>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59" w:type="pct"/>
            <w:gridSpan w:val="2"/>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1" w:type="pct"/>
            <w:gridSpan w:val="3"/>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wAfter w:w="0" w:type="auto"/>
          <w:trHeight w:val="800" w:hRule="atLeast"/>
        </w:trPr>
        <w:tc>
          <w:tcPr>
            <w:tcW w:w="4618" w:type="pct"/>
            <w:gridSpan w:val="8"/>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3.人行闸及门禁系统</w:t>
            </w:r>
          </w:p>
        </w:tc>
        <w:tc>
          <w:tcPr>
            <w:tcW w:w="381" w:type="pct"/>
            <w:gridSpan w:val="3"/>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wAfter w:w="0" w:type="auto"/>
          <w:trHeight w:val="800" w:hRule="atLeast"/>
        </w:trPr>
        <w:tc>
          <w:tcPr>
            <w:tcW w:w="293"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室外人脸一体主机</w:t>
            </w:r>
          </w:p>
        </w:tc>
        <w:tc>
          <w:tcPr>
            <w:tcW w:w="3407"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主处理器 高性能嵌入式处理器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网络协议 IPv4，RTSP，RTP，TCP，UDP，P2P</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OSDP协议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接入标准 CGI</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是否支持SDK和API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外观 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显示屏 10.1寸TFT屏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屏幕类型 电容屏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屏幕分辩率 1280×800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摄像头 200万CMOS高清摄像头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宽动态 120dB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光照补偿 自动白光补光 自动红外补光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状态指示灯 1个，蓝色-运行状态，红色-错误状态，绿色-正确状态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语音提示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蜂鸣器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外壳材料 PC+ABS 铝合金金属边框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开门模式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读卡类型 IC卡 CPU卡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假日时段表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网络更新升级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首用户开门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远程验证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黑白名单设定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Wi-Fi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外接读卡器 1路RS-485，1路韦根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多用户开门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实时监控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多重认证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刷卡拍照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WEB配置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主动注册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读卡距离 1cm～4cm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人脸识别身高范围 0.9m～2.4m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人脸识别距离 0.3m～2m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人脸识别准确率 99.5%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人脸识别速度 0.2s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指纹传感器类型 电容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指纹验证方式 1:N</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指纹比对时间 ≤1.5s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指纹识别时间 ≤0.5s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普通卡（用户）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巡逻卡（用户）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VIP卡（用户）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来宾卡（用户）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残疾人（用户）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用户容量 100000个用户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指纹容量 10000枚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卡片容量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密码容量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二维码容量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存储记录数量 100000条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RS-485接口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RS-232接口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韦根接口 1路输入/输出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USB接口 个USB2.0接口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网络接口 1个RJ-45 100Mbps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报警输入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报警输出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报警联动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开门按钮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门状态检测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门锁控制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防反潜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防拆报警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门超时报警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非法闯入报警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非法卡超次报警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胁迫指纹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 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供电方式 DC 12V  2A</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防护等级 IP65（需要点胶，详见操作手册）</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功耗 ≤24W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产品尺寸 396.9mm×185.6mm×77.2mm（高×宽×厚）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包装尺寸 515.0mm×271.0mm×148.0mm（高×宽×厚，内箱单机包装）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 -30℃~+60℃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工作湿度 5%~95%（无凝结）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 0m～1300m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使用环境 室内 室外</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毛重 4.32kg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配件 壁装支架标配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 壁挂安装</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1"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wAfter w:w="0" w:type="auto"/>
          <w:trHeight w:val="800" w:hRule="atLeast"/>
        </w:trPr>
        <w:tc>
          <w:tcPr>
            <w:tcW w:w="293"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指纹采集器</w:t>
            </w:r>
          </w:p>
        </w:tc>
        <w:tc>
          <w:tcPr>
            <w:tcW w:w="3407"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MOS光学传感器，传感器寿命100万次以上，分别率500DPI，采集窗口L18xW15mm，指纹录入时间≤350毫秒，认假率≤0.0001%，拒真率≤0.014%，比对时间≤1.5秒，指纹验证方式1：N指纹搜索，工作温度0℃～55℃，相对湿度20%～90%（无凝霜），通讯接口USB，供电电压DC3.8～7，工作电流≤80mA</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1"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wAfter w:w="0" w:type="auto"/>
          <w:trHeight w:val="800" w:hRule="atLeast"/>
        </w:trPr>
        <w:tc>
          <w:tcPr>
            <w:tcW w:w="293"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发卡器</w:t>
            </w:r>
          </w:p>
        </w:tc>
        <w:tc>
          <w:tcPr>
            <w:tcW w:w="3407"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IC卡(Mifare卡)发卡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USB供电和通讯，工作电流&lt;150mA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发卡距离：3cm~8cm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免驱动安装，即插即用</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1"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wAfter w:w="0" w:type="auto"/>
          <w:trHeight w:val="800" w:hRule="atLeast"/>
        </w:trPr>
        <w:tc>
          <w:tcPr>
            <w:tcW w:w="293"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IC卡</w:t>
            </w:r>
          </w:p>
        </w:tc>
        <w:tc>
          <w:tcPr>
            <w:tcW w:w="3407"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尺寸：55*85*1mm采用物业原有卡</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张</w:t>
            </w:r>
          </w:p>
        </w:tc>
        <w:tc>
          <w:tcPr>
            <w:tcW w:w="381"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1000</w:t>
            </w:r>
          </w:p>
        </w:tc>
      </w:tr>
      <w:tr>
        <w:tblPrEx>
          <w:tblCellMar>
            <w:top w:w="0" w:type="dxa"/>
            <w:left w:w="108" w:type="dxa"/>
            <w:bottom w:w="0" w:type="dxa"/>
            <w:right w:w="108" w:type="dxa"/>
          </w:tblCellMar>
        </w:tblPrEx>
        <w:trPr>
          <w:wAfter w:w="0" w:type="auto"/>
          <w:trHeight w:val="800" w:hRule="atLeast"/>
        </w:trPr>
        <w:tc>
          <w:tcPr>
            <w:tcW w:w="293"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5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单门控制器</w:t>
            </w:r>
          </w:p>
        </w:tc>
        <w:tc>
          <w:tcPr>
            <w:tcW w:w="3407"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用32位高处理器，支持TCP/IP通讯方式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同时支持RS485协议和韦根协议读卡器的接入,韦根接口支持国际标准W26\W34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支持2台读卡器（可设单门双向识别）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支持4组信号输入（开门按钮*1，门磁报警*1，报警输入*2）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支持3组控制输出（电锁控制*1，警报输出*2）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FLASH存储容量为16M（可扩展32M），最大支持100,000个持卡者, 150,000条刷卡记录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具有防反潜、多门互锁、多重验证、远程验证、平台视频联动等多项专项功能，支持首卡开门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支持普通卡、VIP卡、来宾卡、巡逻卡、黑白名单、胁迫卡等类型及权限下发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支持读卡器防拆报警、非法闯入报警、开门超时报警、支持胁迫卡及胁迫码设定，支持黑白名单及巡逻卡设定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支持卡片、密码、指纹各种组合方式开门，支持分时段开门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支持128组时间表及128组假日时段表，支持常开时间段、常闭时间段、远程开门时间段、首卡开门时间段等设置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工作温度：-30℃-+60℃， 工作湿度：≤95%</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1"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wAfter w:w="0" w:type="auto"/>
          <w:trHeight w:val="800" w:hRule="atLeast"/>
        </w:trPr>
        <w:tc>
          <w:tcPr>
            <w:tcW w:w="293"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5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407"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81"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wAfter w:w="0" w:type="auto"/>
          <w:trHeight w:val="800" w:hRule="atLeast"/>
        </w:trPr>
        <w:tc>
          <w:tcPr>
            <w:tcW w:w="293"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5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407"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81"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wAfter w:w="0" w:type="auto"/>
          <w:trHeight w:val="800" w:hRule="atLeast"/>
        </w:trPr>
        <w:tc>
          <w:tcPr>
            <w:tcW w:w="4618" w:type="pct"/>
            <w:gridSpan w:val="8"/>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4.车牌识别系统</w:t>
            </w:r>
          </w:p>
        </w:tc>
        <w:tc>
          <w:tcPr>
            <w:tcW w:w="381" w:type="pct"/>
            <w:gridSpan w:val="3"/>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wAfter w:w="0" w:type="auto"/>
          <w:trHeight w:val="1725" w:hRule="atLeast"/>
        </w:trPr>
        <w:tc>
          <w:tcPr>
            <w:tcW w:w="293"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车牌抓拍摄像机</w:t>
            </w:r>
          </w:p>
        </w:tc>
        <w:tc>
          <w:tcPr>
            <w:tcW w:w="3407" w:type="pct"/>
            <w:gridSpan w:val="2"/>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补光灯数量2颗（可根据客户需求自由切换为暖光灯或红外灯，暖光灯色温3000K，亮度可自动调节）；传感器类型1/3英寸CMOS；图像分辨率2304×1296（不包含OSD黑边）；镜头标配4mm定焦镜头；视频分辨率主码流：1080P（1920×1080）/720P（1280×720）辅码流：720P（1280×720）/D1（704×576）；视频压缩标准MJPEG；H.264H；H.264M；H.264B；H.265；降噪3D降噪；坏点校正支持；触发方式支持视频检测、I/O线圈、雷达三种触发方式；存储功能内置1个TF卡接口（最大支持128G，TF卡可选大华、金士顿、闪迪等）；最大补光距离8m；OSD信息叠加支持叠加时间、地点、车牌、车身颜色、防伪码、车标、触发源、车牌类型、车辆颜色、车辆类型、卡口方向、车系、置信度、车头朝向、自定义信息；断网续传支持，平台/FTP；车辆检测车辆捕获率≥99.9%；车辆识别支持车型、车标、车系、车身颜色、车牌颜色、车牌号码、车牌类型、无牌车、新能源车牌识别车牌识别率≥99.9%；智能轨迹帧支持智能帧显示，可显示车牌和车辆行驶轨迹；网络接口1个，10/100M以太网口（RJ-45）；RS-485接口2个（可用于连接配套屏、雷达、道闸和外置常亮灯）；I/O接口2路，光耦输入（5V开关量），可用于车检器等信号输入；供电方式AC220V；防护等级IP67</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81" w:type="pct"/>
            <w:gridSpan w:val="3"/>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wAfter w:w="0" w:type="auto"/>
          <w:trHeight w:val="327" w:hRule="atLeast"/>
        </w:trPr>
        <w:tc>
          <w:tcPr>
            <w:tcW w:w="293"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摄像机立柱</w:t>
            </w:r>
          </w:p>
        </w:tc>
        <w:tc>
          <w:tcPr>
            <w:tcW w:w="3407" w:type="pct"/>
            <w:gridSpan w:val="2"/>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抓拍一体机杆件（白色+1.5米)</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1" w:type="pct"/>
            <w:gridSpan w:val="3"/>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wAfter w:w="0" w:type="auto"/>
          <w:trHeight w:val="800" w:hRule="atLeast"/>
        </w:trPr>
        <w:tc>
          <w:tcPr>
            <w:tcW w:w="4618" w:type="pct"/>
            <w:gridSpan w:val="8"/>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5.网络设备</w:t>
            </w:r>
          </w:p>
        </w:tc>
        <w:tc>
          <w:tcPr>
            <w:tcW w:w="381" w:type="pct"/>
            <w:gridSpan w:val="3"/>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wAfter w:w="0" w:type="auto"/>
          <w:trHeight w:val="800" w:hRule="atLeast"/>
        </w:trPr>
        <w:tc>
          <w:tcPr>
            <w:tcW w:w="293"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407"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1"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wAfter w:w="0" w:type="auto"/>
          <w:trHeight w:val="800" w:hRule="atLeast"/>
        </w:trPr>
        <w:tc>
          <w:tcPr>
            <w:tcW w:w="4618" w:type="pct"/>
            <w:gridSpan w:val="8"/>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8.管线及网络费用</w:t>
            </w:r>
          </w:p>
        </w:tc>
        <w:tc>
          <w:tcPr>
            <w:tcW w:w="381" w:type="pct"/>
            <w:gridSpan w:val="3"/>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wAfter w:w="0" w:type="auto"/>
          <w:trHeight w:val="800" w:hRule="atLeast"/>
        </w:trPr>
        <w:tc>
          <w:tcPr>
            <w:tcW w:w="293"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407"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81"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wAfter w:w="0" w:type="auto"/>
          <w:trHeight w:val="800" w:hRule="atLeast"/>
        </w:trPr>
        <w:tc>
          <w:tcPr>
            <w:tcW w:w="293"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407"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81"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wAfter w:w="0" w:type="auto"/>
          <w:trHeight w:val="800" w:hRule="atLeast"/>
        </w:trPr>
        <w:tc>
          <w:tcPr>
            <w:tcW w:w="293"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22U机柜</w:t>
            </w:r>
          </w:p>
        </w:tc>
        <w:tc>
          <w:tcPr>
            <w:tcW w:w="3407"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1米机柜</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1"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wAfter w:w="0" w:type="auto"/>
          <w:trHeight w:val="800" w:hRule="atLeast"/>
        </w:trPr>
        <w:tc>
          <w:tcPr>
            <w:tcW w:w="293"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407"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81"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wAfter w:w="0" w:type="auto"/>
          <w:trHeight w:val="800" w:hRule="atLeast"/>
        </w:trPr>
        <w:tc>
          <w:tcPr>
            <w:tcW w:w="293"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407"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81"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wAfter w:w="0" w:type="auto"/>
          <w:trHeight w:val="800" w:hRule="atLeast"/>
        </w:trPr>
        <w:tc>
          <w:tcPr>
            <w:tcW w:w="293"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5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407"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81"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wAfter w:w="0" w:type="auto"/>
          <w:trHeight w:val="800" w:hRule="atLeast"/>
        </w:trPr>
        <w:tc>
          <w:tcPr>
            <w:tcW w:w="293"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5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道路开挖修复、基础等费用</w:t>
            </w:r>
          </w:p>
        </w:tc>
        <w:tc>
          <w:tcPr>
            <w:tcW w:w="3407" w:type="pct"/>
            <w:gridSpan w:val="2"/>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81"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wAfter w:w="0" w:type="auto"/>
          <w:trHeight w:val="800" w:hRule="atLeast"/>
        </w:trPr>
        <w:tc>
          <w:tcPr>
            <w:tcW w:w="293"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5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407"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81"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gridAfter w:val="1"/>
          <w:wBefore w:w="36" w:type="pct"/>
          <w:wAfter w:w="6" w:type="pct"/>
          <w:trHeight w:val="800" w:hRule="atLeast"/>
        </w:trPr>
        <w:tc>
          <w:tcPr>
            <w:tcW w:w="4956" w:type="pct"/>
            <w:gridSpan w:val="9"/>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8城厢街道智安小区项目设备清单（绅园）</w:t>
            </w:r>
          </w:p>
        </w:tc>
      </w:tr>
      <w:tr>
        <w:tblPrEx>
          <w:tblCellMar>
            <w:top w:w="0" w:type="dxa"/>
            <w:left w:w="108" w:type="dxa"/>
            <w:bottom w:w="0" w:type="dxa"/>
            <w:right w:w="108" w:type="dxa"/>
          </w:tblCellMar>
        </w:tblPrEx>
        <w:trPr>
          <w:gridBefore w:val="1"/>
          <w:gridAfter w:val="1"/>
          <w:wBefore w:w="36" w:type="pct"/>
          <w:wAfter w:w="6" w:type="pct"/>
          <w:trHeight w:val="800" w:hRule="atLeast"/>
        </w:trPr>
        <w:tc>
          <w:tcPr>
            <w:tcW w:w="356" w:type="pct"/>
            <w:gridSpan w:val="2"/>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45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429" w:type="pct"/>
            <w:gridSpan w:val="3"/>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57" w:type="pct"/>
            <w:gridSpan w:val="2"/>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53"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gridBefore w:val="1"/>
          <w:gridAfter w:val="1"/>
          <w:wBefore w:w="36" w:type="pct"/>
          <w:wAfter w:w="6" w:type="pct"/>
          <w:trHeight w:val="800" w:hRule="atLeast"/>
        </w:trPr>
        <w:tc>
          <w:tcPr>
            <w:tcW w:w="4603" w:type="pct"/>
            <w:gridSpan w:val="8"/>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53"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gridBefore w:val="1"/>
          <w:gridAfter w:val="1"/>
          <w:wBefore w:w="36" w:type="pct"/>
          <w:wAfter w:w="6" w:type="pct"/>
          <w:trHeight w:val="800" w:hRule="atLeast"/>
        </w:trPr>
        <w:tc>
          <w:tcPr>
            <w:tcW w:w="356" w:type="pct"/>
            <w:gridSpan w:val="2"/>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458" w:type="pct"/>
            <w:gridSpan w:val="2"/>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2430" w:type="pct"/>
            <w:gridSpan w:val="2"/>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57" w:type="pct"/>
            <w:gridSpan w:val="2"/>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3"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gridAfter w:val="1"/>
          <w:wBefore w:w="36" w:type="pct"/>
          <w:wAfter w:w="6" w:type="pct"/>
          <w:trHeight w:val="800" w:hRule="atLeast"/>
        </w:trPr>
        <w:tc>
          <w:tcPr>
            <w:tcW w:w="4603" w:type="pct"/>
            <w:gridSpan w:val="8"/>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53"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gridBefore w:val="1"/>
          <w:gridAfter w:val="1"/>
          <w:wBefore w:w="36" w:type="pct"/>
          <w:wAfter w:w="6" w:type="pct"/>
          <w:trHeight w:val="1190" w:hRule="atLeast"/>
        </w:trPr>
        <w:tc>
          <w:tcPr>
            <w:tcW w:w="356" w:type="pct"/>
            <w:gridSpan w:val="2"/>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4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429" w:type="pct"/>
            <w:gridSpan w:val="3"/>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57" w:type="pct"/>
            <w:gridSpan w:val="2"/>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3"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gridAfter w:val="1"/>
          <w:wBefore w:w="36" w:type="pct"/>
          <w:wAfter w:w="6" w:type="pct"/>
          <w:trHeight w:val="800" w:hRule="atLeast"/>
        </w:trPr>
        <w:tc>
          <w:tcPr>
            <w:tcW w:w="4603" w:type="pct"/>
            <w:gridSpan w:val="8"/>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3.视频监控系统</w:t>
            </w:r>
          </w:p>
        </w:tc>
        <w:tc>
          <w:tcPr>
            <w:tcW w:w="353"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室外枪机</w:t>
            </w:r>
          </w:p>
        </w:tc>
        <w:tc>
          <w:tcPr>
            <w:tcW w:w="3407" w:type="pct"/>
            <w:gridSpan w:val="2"/>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采用高性能两百万像素1/2.7英寸CMOS图像传感器，低照度效果好，图像清晰度高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可输出200万(1920*1080)@25fps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最大红外监控距离50米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支持区域入侵,绊线入侵,场景变更，支持多种触发规则联动动作;支持目标过滤</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支持DC12V/POE供电方式，方便工程安装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支持IP67防护等级</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1" w:type="pct"/>
            <w:gridSpan w:val="3"/>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r>
      <w:tr>
        <w:tblPrEx>
          <w:tblCellMar>
            <w:top w:w="0" w:type="dxa"/>
            <w:left w:w="108" w:type="dxa"/>
            <w:bottom w:w="0" w:type="dxa"/>
            <w:right w:w="108" w:type="dxa"/>
          </w:tblCellMar>
        </w:tblPrEx>
        <w:trPr>
          <w:gridBefore w:val="1"/>
          <w:wBefore w:w="36" w:type="pct"/>
          <w:trHeight w:val="1190" w:hRule="atLeast"/>
        </w:trPr>
        <w:tc>
          <w:tcPr>
            <w:tcW w:w="356"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16路网络视频录像机</w:t>
            </w:r>
          </w:p>
        </w:tc>
        <w:tc>
          <w:tcPr>
            <w:tcW w:w="3407" w:type="pct"/>
            <w:gridSpan w:val="2"/>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USB接口2个，1个前置USB2.0接口、1个后置USB3.0接口；操作界面WEB方式，本地GUI操作；操作系统嵌入式Linux操作系统；多路回放最大支持16路回放；解码能力8路1080P@30fps；视频输出1路VGA输出，1路HDMI输出，其中VGA和HDMI同源输出，VGA最大输出分辨率1080P，HDMI最大输出分辨率4K；网络带宽160Mbps接入、160Mbps存储、64Mbps转发；网络接口2个RJ-45，10/100/1000Mbps自适应以太网口；网络协议HTTP、HTTPS、TCP/IP、IPv4/IPv6、UPnP、SNMP、RTSP、UDP、SMTP、NTP、DHCP、DNS、IPFilter、DDNS、FTP、AlarmServer、IPSearch(SupportDahuaIPcamera、DVR、NVS、etc.)、P2P、主动注册；硬盘接口4个，SATA3.0，单盘最大10T；主处理器工业级嵌入式微控制器；报警输出4路，其中3路继电器输出，1路12V1Actrl输出</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1" w:type="pct"/>
            <w:gridSpan w:val="3"/>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6" w:type="pct"/>
          <w:trHeight w:val="1190" w:hRule="atLeast"/>
        </w:trPr>
        <w:tc>
          <w:tcPr>
            <w:tcW w:w="356"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45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显示器</w:t>
            </w:r>
          </w:p>
        </w:tc>
        <w:tc>
          <w:tcPr>
            <w:tcW w:w="3407" w:type="pct"/>
            <w:gridSpan w:val="2"/>
            <w:tcBorders>
              <w:top w:val="single" w:color="000000" w:sz="4" w:space="0"/>
              <w:left w:val="single" w:color="000000" w:sz="4" w:space="0"/>
              <w:bottom w:val="nil"/>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面板尺寸43英寸；亮度250cd/m²；安装方式底座、壁挂；信号输入标配VGA(D-Sub)×1、HDMI×1、Audioin×1；内置喇叭；支持的分辨率1920×1080</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1" w:type="pct"/>
            <w:gridSpan w:val="3"/>
            <w:tcBorders>
              <w:top w:val="single" w:color="000000" w:sz="4" w:space="0"/>
              <w:left w:val="nil"/>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45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6T硬盘</w:t>
            </w:r>
          </w:p>
        </w:tc>
        <w:tc>
          <w:tcPr>
            <w:tcW w:w="3407" w:type="pct"/>
            <w:gridSpan w:val="2"/>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6000G；5400RPM；256M；SATA</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块</w:t>
            </w:r>
          </w:p>
        </w:tc>
        <w:tc>
          <w:tcPr>
            <w:tcW w:w="381" w:type="pct"/>
            <w:gridSpan w:val="3"/>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gridBefore w:val="1"/>
          <w:wBefore w:w="36" w:type="pct"/>
          <w:trHeight w:val="800" w:hRule="atLeast"/>
        </w:trPr>
        <w:tc>
          <w:tcPr>
            <w:tcW w:w="4582" w:type="pct"/>
            <w:gridSpan w:val="7"/>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4.人行闸及门禁系统</w:t>
            </w:r>
          </w:p>
        </w:tc>
        <w:tc>
          <w:tcPr>
            <w:tcW w:w="381" w:type="pct"/>
            <w:gridSpan w:val="3"/>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室外人脸一体主机</w:t>
            </w:r>
          </w:p>
        </w:tc>
        <w:tc>
          <w:tcPr>
            <w:tcW w:w="3407"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主处理器 高性能嵌入式处理器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网络协议 IPv4，RTSP，RTP，TCP，UDP，P2P</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OSDP协议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接入标准 CGI</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是否支持SDK和API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外观 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显示屏 10.1寸TFT屏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屏幕类型 电容屏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屏幕分辩率 1280×800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摄像头 200万CMOS高清摄像头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宽动态 120dB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光照补偿 自动白光补光 自动红外补光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状态指示灯 1个，蓝色-运行状态，红色-错误状态，绿色-正确状态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语音提示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蜂鸣器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外壳材料 PC+ABS 铝合金金属边框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开门模式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读卡类型 IC卡 CPU卡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假日时段表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网络更新升级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首用户开门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远程验证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黑白名单设定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Wi-Fi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外接读卡器 1路RS-485，1路韦根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多用户开门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实时监控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多重认证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刷卡拍照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WEB配置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主动注册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读卡距离 1cm～4cm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人脸识别身高范围 0.9m～2.4m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人脸识别距离 0.3m～2m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人脸识别准确率 99.5%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人脸识别速度 0.2s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指纹传感器类型 电容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指纹验证方式 1:N</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指纹比对时间 ≤1.5s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指纹识别时间 ≤0.5s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普通卡（用户）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巡逻卡（用户）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VIP卡（用户）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来宾卡（用户）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残疾人（用户）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用户容量 100000个用户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指纹容量 10000枚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卡片容量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密码容量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二维码容量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存储记录数量 100000条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RS-485接口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RS-232接口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韦根接口 1路输入/输出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USB接口 个USB2.0接口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网络接口 1个RJ-45 100Mbps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报警输入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报警输出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报警联动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开门按钮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门状态检测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门锁控制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防反潜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防拆报警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门超时报警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非法闯入报警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非法卡超次报警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胁迫指纹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 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供电方式 DC 12V  2A</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防护等级 IP65（需要点胶，详见操作手册）</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功耗 ≤24W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产品尺寸 396.9mm×185.6mm×77.2mm（高×宽×厚）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包装尺寸 515.0mm×271.0mm×148.0mm（高×宽×厚，内箱单机包装）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 -30℃~+60℃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工作湿度 5%~95%（无凝结）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 0m～1300m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使用环境 室内 室外</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毛重 4.32kg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配件 壁装支架标配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 壁挂安装</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1"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指纹采集器</w:t>
            </w:r>
          </w:p>
        </w:tc>
        <w:tc>
          <w:tcPr>
            <w:tcW w:w="3407"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MOS光学传感器，传感器寿命100万次以上，分别率500DPI，采集窗口L18xW15mm，指纹录入时间≤350毫秒，认假率≤0.0001%，拒真率≤0.014%，比对时间≤1.5秒，指纹验证方式1：N指纹搜索，工作温度0℃～55℃，相对湿度20%～90%（无凝霜），通讯接口USB，供电电压DC3.8～7，工作电流≤80mA</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1"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发卡器</w:t>
            </w:r>
          </w:p>
        </w:tc>
        <w:tc>
          <w:tcPr>
            <w:tcW w:w="3407"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IC卡(Mifare卡)发卡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USB供电和通讯，工作电流&lt;150mA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发卡距离：3cm~8cm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免驱动安装，即插即用</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1"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IC卡</w:t>
            </w:r>
          </w:p>
        </w:tc>
        <w:tc>
          <w:tcPr>
            <w:tcW w:w="3407"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尺寸：55*85*1mm</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张</w:t>
            </w:r>
          </w:p>
        </w:tc>
        <w:tc>
          <w:tcPr>
            <w:tcW w:w="381"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2000</w:t>
            </w: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单门控制器</w:t>
            </w:r>
          </w:p>
        </w:tc>
        <w:tc>
          <w:tcPr>
            <w:tcW w:w="3407"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用32位高处理器，支持TCP/IP通讯方式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同时支持RS485协议和韦根协议读卡器的接入,韦根接口支持国际标准W26\W34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支持2台读卡器（可设单门双向识别）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支持4组信号输入（开门按钮*1，门磁报警*1，报警输入*2）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支持3组控制输出（电锁控制*1，警报输出*2）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FLASH存储容量为16M（可扩展32M），最大支持100,000个持卡者, 150,000条刷卡记录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具有防反潜、多门互锁、多重验证、远程验证、平台视频联动等多项专项功能，支持首卡开门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支持普通卡、VIP卡、来宾卡、巡逻卡、黑白名单、胁迫卡等类型及权限下发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支持读卡器防拆报警、非法闯入报警、开门超时报警、支持胁迫卡及胁迫码设定，支持黑白名单及巡逻卡设定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支持卡片、密码、指纹各种组合方式开门，支持分时段开门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支持128组时间表及128组假日时段表，支持常开时间段、常闭时间段、远程开门时间段、首卡开门时间段等设置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工作温度：-30℃-+60℃， 工作湿度：≤95%</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1"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407"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81"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407"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81"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gridBefore w:val="1"/>
          <w:wBefore w:w="36" w:type="pct"/>
          <w:trHeight w:val="800" w:hRule="atLeast"/>
        </w:trPr>
        <w:tc>
          <w:tcPr>
            <w:tcW w:w="4582" w:type="pct"/>
            <w:gridSpan w:val="7"/>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5.车牌识别系统</w:t>
            </w:r>
          </w:p>
        </w:tc>
        <w:tc>
          <w:tcPr>
            <w:tcW w:w="381" w:type="pct"/>
            <w:gridSpan w:val="3"/>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车牌抓拍摄像机</w:t>
            </w:r>
          </w:p>
        </w:tc>
        <w:tc>
          <w:tcPr>
            <w:tcW w:w="3407" w:type="pct"/>
            <w:gridSpan w:val="2"/>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补光灯数量2颗（可根据客户需求自由切换为暖光灯或红外灯，暖光灯色温3000K，亮度可自动调节）；传感器类型1/3英寸CMOS；图像分辨率2304×1296（不包含OSD黑边）；镜头标配4mm定焦镜头；视频分辨率主码流：1080P（1920×1080）/720P（1280×720）辅码流：720P（1280×720）/D1（704×576）；视频压缩标准MJPEG；H.264H；H.264M；H.264B；H.265；降噪3D降噪；坏点校正支持；触发方式支持视频检测、I/O线圈、雷达三种触发方式；存储功能内置1个TF卡接口（最大支持128G，TF卡可选大华、金士顿、闪迪等）；最大补光距离8m；OSD信息叠加支持叠加时间、地点、车牌、车身颜色、防伪码、车标、触发源、车牌类型、车辆颜色、车辆类型、卡口方向、车系、置信度、车头朝向、自定义信息；断网续传支持，平台/FTP；车辆检测车辆捕获率≥99.9%；车辆识别支持车型、车标、车系、车身颜色、车牌颜色、车牌号码、车牌类型、无牌车、新能源车牌识别车牌识别率≥99.9%；智能轨迹帧支持智能帧显示，可显示车牌和车辆行驶轨迹；网络接口1个，10/100M以太网口（RJ-45）；RS-485接口2个（可用于连接配套屏、雷达、道闸和外置常亮灯）；I/O接口2路，光耦输入（5V开关量），可用于车检器等信号输入；供电方式AC220V；防护等级IP67</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81" w:type="pct"/>
            <w:gridSpan w:val="3"/>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摄像机立柱</w:t>
            </w:r>
          </w:p>
        </w:tc>
        <w:tc>
          <w:tcPr>
            <w:tcW w:w="3407" w:type="pct"/>
            <w:gridSpan w:val="2"/>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抓拍一体机杆件（白色+1.5米)</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1" w:type="pct"/>
            <w:gridSpan w:val="3"/>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gridBefore w:val="1"/>
          <w:wBefore w:w="36" w:type="pct"/>
          <w:trHeight w:val="800" w:hRule="atLeast"/>
        </w:trPr>
        <w:tc>
          <w:tcPr>
            <w:tcW w:w="4582" w:type="pct"/>
            <w:gridSpan w:val="7"/>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6.网络设备</w:t>
            </w:r>
          </w:p>
        </w:tc>
        <w:tc>
          <w:tcPr>
            <w:tcW w:w="381" w:type="pct"/>
            <w:gridSpan w:val="3"/>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4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407"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1"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4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24口交换机</w:t>
            </w:r>
          </w:p>
        </w:tc>
        <w:tc>
          <w:tcPr>
            <w:tcW w:w="3407"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千兆24口，带2光口</w:t>
            </w:r>
          </w:p>
        </w:tc>
        <w:tc>
          <w:tcPr>
            <w:tcW w:w="3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1"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4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407"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1"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4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407"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1"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gridBefore w:val="1"/>
          <w:wBefore w:w="36" w:type="pct"/>
          <w:trHeight w:val="800" w:hRule="atLeast"/>
        </w:trPr>
        <w:tc>
          <w:tcPr>
            <w:tcW w:w="4582" w:type="pct"/>
            <w:gridSpan w:val="7"/>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7.管线及网络费用</w:t>
            </w:r>
          </w:p>
        </w:tc>
        <w:tc>
          <w:tcPr>
            <w:tcW w:w="381" w:type="pct"/>
            <w:gridSpan w:val="3"/>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室外立杆</w:t>
            </w:r>
          </w:p>
        </w:tc>
        <w:tc>
          <w:tcPr>
            <w:tcW w:w="3407"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3-5米杆，含基础地笼设备箱</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处</w:t>
            </w:r>
          </w:p>
        </w:tc>
        <w:tc>
          <w:tcPr>
            <w:tcW w:w="381"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407"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81"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407"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81"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407"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81"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42U机柜</w:t>
            </w:r>
          </w:p>
        </w:tc>
        <w:tc>
          <w:tcPr>
            <w:tcW w:w="3407"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2米机柜</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81"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4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407"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81"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1000</w:t>
            </w: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4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407"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81"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1000</w:t>
            </w: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4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407"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81"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900</w:t>
            </w: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4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PE32管</w:t>
            </w:r>
          </w:p>
        </w:tc>
        <w:tc>
          <w:tcPr>
            <w:tcW w:w="3407"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w:t>
            </w:r>
          </w:p>
        </w:tc>
        <w:tc>
          <w:tcPr>
            <w:tcW w:w="3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81"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800</w:t>
            </w: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4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PE50管</w:t>
            </w:r>
          </w:p>
        </w:tc>
        <w:tc>
          <w:tcPr>
            <w:tcW w:w="3407"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w:t>
            </w:r>
          </w:p>
        </w:tc>
        <w:tc>
          <w:tcPr>
            <w:tcW w:w="3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81"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w:t>
            </w: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4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407"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81"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w:t>
            </w:r>
          </w:p>
        </w:tc>
        <w:tc>
          <w:tcPr>
            <w:tcW w:w="4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手孔</w:t>
            </w:r>
          </w:p>
        </w:tc>
        <w:tc>
          <w:tcPr>
            <w:tcW w:w="3407"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500*500*400</w:t>
            </w:r>
          </w:p>
        </w:tc>
        <w:tc>
          <w:tcPr>
            <w:tcW w:w="3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81"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4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道路开挖修复、基础等费用</w:t>
            </w:r>
          </w:p>
        </w:tc>
        <w:tc>
          <w:tcPr>
            <w:tcW w:w="3407" w:type="pct"/>
            <w:gridSpan w:val="2"/>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81"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gridBefore w:val="1"/>
          <w:wBefore w:w="36" w:type="pct"/>
          <w:trHeight w:val="800" w:hRule="atLeast"/>
        </w:trPr>
        <w:tc>
          <w:tcPr>
            <w:tcW w:w="356"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4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407"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59"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81"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pStyle w:val="16"/>
        <w:shd w:val="clear" w:color="auto" w:fill="auto"/>
        <w:rPr>
          <w:rFonts w:hint="eastAsia" w:hAnsi="宋体" w:cs="宋体"/>
          <w:b/>
          <w:color w:val="000000"/>
          <w:sz w:val="24"/>
          <w:szCs w:val="24"/>
          <w:highlight w:val="none"/>
        </w:rPr>
      </w:pPr>
    </w:p>
    <w:p>
      <w:pPr>
        <w:pStyle w:val="16"/>
        <w:shd w:val="clear" w:color="auto" w:fill="auto"/>
        <w:rPr>
          <w:rFonts w:hint="eastAsia" w:hAnsi="宋体" w:cs="宋体"/>
          <w:b/>
          <w:color w:val="000000"/>
          <w:sz w:val="24"/>
          <w:szCs w:val="24"/>
          <w:highlight w:val="none"/>
        </w:rPr>
      </w:pPr>
      <w:r>
        <w:rPr>
          <w:rFonts w:hint="eastAsia" w:hAnsi="宋体" w:cs="宋体"/>
          <w:b/>
          <w:color w:val="000000"/>
          <w:sz w:val="24"/>
          <w:szCs w:val="24"/>
          <w:highlight w:val="none"/>
        </w:rPr>
        <w:t>标项二：产品设备清单</w:t>
      </w:r>
    </w:p>
    <w:tbl>
      <w:tblPr>
        <w:tblStyle w:val="62"/>
        <w:tblW w:w="5000" w:type="pct"/>
        <w:tblInd w:w="0" w:type="dxa"/>
        <w:tblLayout w:type="autofit"/>
        <w:tblCellMar>
          <w:top w:w="0" w:type="dxa"/>
          <w:left w:w="108" w:type="dxa"/>
          <w:bottom w:w="0" w:type="dxa"/>
          <w:right w:w="108" w:type="dxa"/>
        </w:tblCellMar>
      </w:tblPr>
      <w:tblGrid>
        <w:gridCol w:w="679"/>
        <w:gridCol w:w="929"/>
        <w:gridCol w:w="6337"/>
        <w:gridCol w:w="672"/>
        <w:gridCol w:w="669"/>
      </w:tblGrid>
      <w:tr>
        <w:tblPrEx>
          <w:tblCellMar>
            <w:top w:w="0" w:type="dxa"/>
            <w:left w:w="108" w:type="dxa"/>
            <w:bottom w:w="0" w:type="dxa"/>
            <w:right w:w="108" w:type="dxa"/>
          </w:tblCellMar>
        </w:tblPrEx>
        <w:trPr>
          <w:trHeight w:val="80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9城厢街道智安小区项目设备清单（潘水南苑）</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500"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412"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61"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5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59"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0"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412"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61"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190" w:hRule="atLeast"/>
        </w:trPr>
        <w:tc>
          <w:tcPr>
            <w:tcW w:w="366"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人脸Mac一体机</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采用高性能四百万像素1/1.8英寸CMOS图像传感器，低照度效果好，图像清晰度高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最大可输出400万(2688×1520)@60fps，满足高帧率需求</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支持ROI，SVC，SMART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支持动态检测，视频遮挡检测，虚焦侦测，场景变更检测，音频异常侦测，外部报警</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支持报警7进3出，音频2进1出，1路内置MIC，RS485，BNC，最大支持256G SD卡，2个wifi天线，1个GPS天线，1个光口（需另配光模块）</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支持DC12V供电方式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内置高效暖光灯，最大监控距离80米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支持人脸检测，人脸曝光，人脸增强，非活体过滤以及人脸属性识别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支持人脸实时抓拍，优选抓拍，质量优先三种抓拍策略，支持人脸角度过滤功能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支持人脸抠图区域可设：人脸/单寸照</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支持人脸计数及实时OSD叠加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支持垂直/倾斜人数统计，区域内人数统计功能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支持周界检测功能，包括绊线入侵，区域入侵，物品遗留，快速移动，停车检测，人员聚集，物品搬移，徘徊检测</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支持视频结构化功能，包括机动车，非机动车，人员等目标的抓拍和属性识别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支持车牌、车标、车辆子品牌、车年款、车身颜色、车辆类型等车辆属性识别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支持MAC采集功能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支持GPS/北斗功能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支持五码流功能，三路高清视频显示</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1190" w:hRule="atLeast"/>
        </w:trPr>
        <w:tc>
          <w:tcPr>
            <w:tcW w:w="366" w:type="pct"/>
            <w:tcBorders>
              <w:top w:val="nil"/>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00"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41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61"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3.视频监控系统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室外枪机</w:t>
            </w:r>
          </w:p>
        </w:tc>
        <w:tc>
          <w:tcPr>
            <w:tcW w:w="341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采用高性能两百万像素1/2.7英寸CMOS图像传感器，低照度效果好，图像清晰度高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可输出200万(1920*1080)@25fps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最大红外监控距离50米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支持区域入侵,绊线入侵,场景变更，支持多种触发规则联动动作;支持目标过滤</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支持DC12V/POE供电方式，方便工程安装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支持IP67防护等级</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r>
      <w:tr>
        <w:tblPrEx>
          <w:tblCellMar>
            <w:top w:w="0" w:type="dxa"/>
            <w:left w:w="108" w:type="dxa"/>
            <w:bottom w:w="0" w:type="dxa"/>
            <w:right w:w="108" w:type="dxa"/>
          </w:tblCellMar>
        </w:tblPrEx>
        <w:trPr>
          <w:trHeight w:val="119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16路网络视频录像机</w:t>
            </w:r>
          </w:p>
        </w:tc>
        <w:tc>
          <w:tcPr>
            <w:tcW w:w="341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USB接口2个，1个前置USB2.0接口、1个后置USB3.0接口；操作界面WEB方式，本地GUI操作；操作系统嵌入式Linux操作系统；多路回放最大支持16路回放；解码能力8路1080P@30fps；视频输出1路VGA输出，1路HDMI输出，其中VGA和HDMI同源输出，VGA最大输出分辨率1080P，HDMI最大输出分辨率4K；网络带宽160Mbps接入、160Mbps存储、64Mbps转发；网络接口2个RJ-45，10/100/1000Mbps自适应以太网口；网络协议HTTP、HTTPS、TCP/IP、IPv4/IPv6、UPnP、SNMP、RTSP、UDP、SMTP、NTP、DHCP、DNS、IPFilter、DDNS、FTP、AlarmServer、IPSearch(SupportDahuaIPcamera、DVR、NVS、etc.)、P2P、主动注册；硬盘接口4个，SATA3.0，单盘最大10T；主处理器工业级嵌入式微控制器；报警输出4路，其中3路继电器输出，1路12V1Actrl输出</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00"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显示器</w:t>
            </w:r>
          </w:p>
        </w:tc>
        <w:tc>
          <w:tcPr>
            <w:tcW w:w="3412" w:type="pct"/>
            <w:tcBorders>
              <w:top w:val="single" w:color="000000" w:sz="4" w:space="0"/>
              <w:left w:val="single" w:color="000000" w:sz="4" w:space="0"/>
              <w:bottom w:val="nil"/>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面板尺寸43英寸；亮度250cd/m²；安装方式底座、壁挂；信号输入标配VGA(D-Sub)×1、HDMI×1、Audioin×1；内置喇叭；支持的分辨率1920×1080</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00"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6T硬盘</w:t>
            </w:r>
          </w:p>
        </w:tc>
        <w:tc>
          <w:tcPr>
            <w:tcW w:w="3412"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6000G；5400RPM；256M；SATA</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块</w:t>
            </w:r>
          </w:p>
        </w:tc>
        <w:tc>
          <w:tcPr>
            <w:tcW w:w="35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4.人行闸及门禁系统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室外人脸一体主机</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主处理器 高性能嵌入式处理器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网络协议 IPv4，RTSP，RTP，TCP，UDP，P2P</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OSDP协议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接入标准 CGI</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是否支持SDK和API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外观 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显示屏 10.1寸TFT屏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屏幕类型 电容屏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屏幕分辩率 1280×800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摄像头 200万CMOS高清摄像头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宽动态 120dB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光照补偿 自动白光补光 自动红外补光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状态指示灯 1个，蓝色-运行状态，红色-错误状态，绿色-正确状态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语音提示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蜂鸣器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外壳材料 PC+ABS 铝合金金属边框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开门模式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读卡类型 IC卡 CPU卡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假日时段表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网络更新升级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首用户开门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远程验证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黑白名单设定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Wi-Fi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外接读卡器 1路RS-485，1路韦根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多用户开门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实时监控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多重认证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刷卡拍照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WEB配置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主动注册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读卡距离 1cm～4cm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人脸识别身高范围 0.9m～2.4m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人脸识别距离 0.3m～2m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人脸识别准确率 99.5%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人脸识别速度 0.2s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指纹传感器类型 电容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指纹验证方式 1:N</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指纹比对时间 ≤1.5s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指纹识别时间 ≤0.5s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普通卡（用户）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巡逻卡（用户）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VIP卡（用户）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来宾卡（用户）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残疾人（用户）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用户容量 100000个用户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指纹容量 10000枚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卡片容量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密码容量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二维码容量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存储记录数量 100000条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RS-485接口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RS-232接口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韦根接口 1路输入/输出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USB接口 个USB2.0接口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网络接口 1个RJ-45 100Mbps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报警输入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报警输出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报警联动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开门按钮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门状态检测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门锁控制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防反潜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防拆报警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门超时报警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非法闯入报警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非法卡超次报警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胁迫指纹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 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供电方式 DC 12V  2A</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防护等级 IP65（需要点胶，详见操作手册）</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功耗 ≤24W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产品尺寸 396.9mm×185.6mm×77.2mm（高×宽×厚）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包装尺寸 515.0mm×271.0mm×148.0mm（高×宽×厚，内箱单机包装）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 -30℃~+60℃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工作湿度 5%~95%（无凝结）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 0m～1300m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使用环境 室内 室外</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毛重 4.32kg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配件 壁装支架标配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 壁挂安装</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指纹采集器</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MOS光学传感器，传感器寿命100万次以上，分别率500DPI，采集窗口L18xW15mm，指纹录入时间≤350毫秒，认假率≤0.0001%，拒真率≤0.014%，比对时间≤1.5秒，指纹验证方式1：N指纹搜索，工作温度0℃～55℃，相对湿度20%～90%（无凝霜），通讯接口USB，供电电压DC3.8～7，工作电流≤80mA</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发卡器</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IC卡(Mifare卡)发卡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USB供电和通讯，工作电流&lt;150mA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发卡距离：3cm~8cm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免驱动安装，即插即用</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IC卡</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尺寸：55*85*1mm</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张</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1800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闭门器</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采用齿轮液压传动技术，结合机械传动的精确性和稳定性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铸特缸体，高强度整体锻钢活塞</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280KG单门防水磁力锁</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铝合金；锁体尺寸：长210x宽42x厚28.5(mm) ；吸板尺寸：长185x宽38x厚12(mm)；280kg(600Lbs)直线拉力 ；锁状态信号输出 ；断电开门；适用木门\玻璃门\金属门\防火门等；工作温度：-20℃-+60℃， 工作湿度：≤95%；2.3KG；</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广告人型摆闸</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(1242mm-1842mm)×250mm×1640mm（长×宽×高）；外壳材料冷轧钢板；驱动电机直流减速电机（24V）；电机使用寿命100万次；通道宽度1242mm-1842mm；最大定制通道宽度支持调节；通行速度15人~20人/min；开闸时间1.5s~10s，可调节；开门模式支持刷卡（另配）、遥控器、按键、人脸（另配）；功耗10W（待机）、50W（工作）；工作温度-20℃~+70℃；使用环境室内，室外</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单门控制器</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用32位高处理器，支持TCP/IP通讯方式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同时支持RS485协议和韦根协议读卡器的接入,韦根接口支持国际标准W26\W34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支持2台读卡器（可设单门双向识别）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支持4组信号输入（开门按钮*1，门磁报警*1，报警输入*2）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支持3组控制输出（电锁控制*1，警报输出*2）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FLASH存储容量为16M（可扩展32M），最大支持100,000个持卡者, 150,000条刷卡记录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具有防反潜、多门互锁、多重验证、远程验证、平台视频联动等多项专项功能，支持首卡开门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支持普通卡、VIP卡、来宾卡、巡逻卡、黑白名单、胁迫卡等类型及权限下发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支持读卡器防拆报警、非法闯入报警、开门超时报警、支持胁迫卡及胁迫码设定，支持黑白名单及巡逻卡设定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支持卡片、密码、指纹各种组合方式开门，支持分时段开门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支持128组时间表及128组假日时段表，支持常开时间段、常闭时间段、远程开门时间段、首卡开门时间段等设置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工作温度：-30℃-+60℃， 工作湿度：≤95%</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5.车牌识别系统（新增）</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725"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出入口杆式抓拍一体机（4行4字）</w:t>
            </w:r>
          </w:p>
        </w:tc>
        <w:tc>
          <w:tcPr>
            <w:tcW w:w="341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外观 杆式一体机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传感器类型 1/2.8英寸cmos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最大分辨率 1920×1080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视频编码标准 H265/H264/MJPEG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视频分辨率 主码流1920×1080，辅码流704×576</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视频码率 "H265/H264:32~6636Kb/S;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MJPEG:18662~37325K Kb/Sb/S"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视频帧率 1~25FPS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 最大支持10000条白名单车辆，可直接联动道闸输出，最大支持10000条黑名单车辆，可触发生成报警事件</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624"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两层中速栅栏杆道闸（右）</w:t>
            </w:r>
          </w:p>
        </w:tc>
        <w:tc>
          <w:tcPr>
            <w:tcW w:w="341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升降时间1.5 ～ 6秒可选，通讯协议 RS485接口或地感检测保护装置</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181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道闸防砸雷达</w:t>
            </w:r>
          </w:p>
        </w:tc>
        <w:tc>
          <w:tcPr>
            <w:tcW w:w="341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发射功率 ≤10mW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波束宽度 俯仰12°，水平34°</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响应时间 1ms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防砸区域 6m可编程</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检测目标 人，车</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72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屏蔽双绞线RVSP2*1.0（长度20米）</w:t>
            </w:r>
          </w:p>
        </w:tc>
        <w:tc>
          <w:tcPr>
            <w:tcW w:w="341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车检器连接道闸、相机连接道闸，使用屏蔽双绞线</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123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数字车辆检测器(单路，停车场专用)</w:t>
            </w:r>
          </w:p>
        </w:tc>
        <w:tc>
          <w:tcPr>
            <w:tcW w:w="341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连接地感线圈，实现防砸线圈功能</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624"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地感线圈 FVN1*1.5（长度100米）</w:t>
            </w:r>
          </w:p>
        </w:tc>
        <w:tc>
          <w:tcPr>
            <w:tcW w:w="341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分为两段，50米一段，分别用于出口和入口的防砸线圈</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圈</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60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减速带</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hd w:val="clear" w:color="auto" w:fill="auto"/>
              <w:jc w:val="left"/>
              <w:rPr>
                <w:rFonts w:hint="eastAsia" w:ascii="宋体" w:hAnsi="宋体" w:cs="宋体"/>
                <w:color w:val="000000"/>
                <w:sz w:val="15"/>
                <w:szCs w:val="15"/>
                <w:highlight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28</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6.网络设备</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24口交换机</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千兆24口，带2光口</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7.管线及网络费用</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室外立杆</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3-5米杆，含基础地笼设备箱</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处</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42U机柜</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2米机柜</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PE32管</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PE50管</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手孔</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500*500*400</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道路开挖修复、基础等费用</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pStyle w:val="6"/>
        <w:numPr>
          <w:ilvl w:val="0"/>
          <w:numId w:val="0"/>
        </w:numPr>
        <w:shd w:val="clear" w:color="auto" w:fill="auto"/>
        <w:rPr>
          <w:rFonts w:hint="eastAsia" w:ascii="宋体" w:hAnsi="宋体" w:eastAsia="宋体" w:cs="宋体"/>
          <w:color w:val="000000"/>
          <w:highlight w:val="none"/>
        </w:rPr>
      </w:pPr>
    </w:p>
    <w:tbl>
      <w:tblPr>
        <w:tblStyle w:val="62"/>
        <w:tblW w:w="5000" w:type="pct"/>
        <w:tblInd w:w="0" w:type="dxa"/>
        <w:tblLayout w:type="autofit"/>
        <w:tblCellMar>
          <w:top w:w="0" w:type="dxa"/>
          <w:left w:w="108" w:type="dxa"/>
          <w:bottom w:w="0" w:type="dxa"/>
          <w:right w:w="108" w:type="dxa"/>
        </w:tblCellMar>
      </w:tblPr>
      <w:tblGrid>
        <w:gridCol w:w="678"/>
        <w:gridCol w:w="1170"/>
        <w:gridCol w:w="6092"/>
        <w:gridCol w:w="676"/>
        <w:gridCol w:w="670"/>
      </w:tblGrid>
      <w:tr>
        <w:tblPrEx>
          <w:tblCellMar>
            <w:top w:w="0" w:type="dxa"/>
            <w:left w:w="108" w:type="dxa"/>
            <w:bottom w:w="0" w:type="dxa"/>
            <w:right w:w="108" w:type="dxa"/>
          </w:tblCellMar>
        </w:tblPrEx>
        <w:trPr>
          <w:trHeight w:val="80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10.1城厢街道智安小区项目设备清单（潘水苑南区）</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630"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280"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63"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60"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639"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60"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30"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280"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63"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39"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60"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30"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280"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63"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4639"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3.视频监控系统</w:t>
            </w:r>
          </w:p>
        </w:tc>
        <w:tc>
          <w:tcPr>
            <w:tcW w:w="360"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室外枪机</w:t>
            </w:r>
          </w:p>
        </w:tc>
        <w:tc>
          <w:tcPr>
            <w:tcW w:w="328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采用高性能两百万像素1/2.7英寸CMOS图像传感器，低照度效果好，图像清晰度高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可输出200万(1920*1080)@25fps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最大红外监控距离50米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支持区域入侵,绊线入侵,场景变更，支持多种触发规则联动动作;支持目标过滤</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支持DC12V/POE供电方式，方便工程安装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支持IP67防护等级</w:t>
            </w:r>
          </w:p>
        </w:tc>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16路网络视频录像机</w:t>
            </w:r>
          </w:p>
        </w:tc>
        <w:tc>
          <w:tcPr>
            <w:tcW w:w="328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USB接口2个，1个前置USB2.0接口、1个后置USB3.0接口；操作界面WEB方式，本地GUI操作；操作系统嵌入式Linux操作系统；多路回放最大支持16路回放；解码能力8路1080P@30fps；视频输出1路VGA输出，1路HDMI输出，其中VGA和HDMI同源输出，VGA最大输出分辨率1080P，HDMI最大输出分辨率4K；网络带宽160Mbps接入、160Mbps存储、64Mbps转发；网络接口2个RJ-45，10/100/1000Mbps自适应以太网口；网络协议HTTP、HTTPS、TCP/IP、IPv4/IPv6、UPnP、SNMP、RTSP、UDP、SMTP、NTP、DHCP、DNS、IPFilter、DDNS、FTP、AlarmServer、IPSearch(SupportDahuaIPcamera、DVR、NVS、etc.)、P2P、主动注册；硬盘接口4个，SATA3.0，单盘最大10T；主处理器工业级嵌入式微控制器；报警输出4路，其中3路继电器输出，1路12V1Actrl输出</w:t>
            </w:r>
          </w:p>
        </w:tc>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30"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显示器</w:t>
            </w:r>
          </w:p>
        </w:tc>
        <w:tc>
          <w:tcPr>
            <w:tcW w:w="3280" w:type="pct"/>
            <w:tcBorders>
              <w:top w:val="single" w:color="000000" w:sz="4" w:space="0"/>
              <w:left w:val="single" w:color="000000" w:sz="4" w:space="0"/>
              <w:bottom w:val="nil"/>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面板尺寸43英寸；亮度250cd/m²；安装方式底座、壁挂；信号输入标配VGA(D-Sub)×1、HDMI×1、Audioin×1；内置喇叭；支持的分辨率1920×1080</w:t>
            </w:r>
          </w:p>
        </w:tc>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nil"/>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30"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6T硬盘</w:t>
            </w:r>
          </w:p>
        </w:tc>
        <w:tc>
          <w:tcPr>
            <w:tcW w:w="3280"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6000G；5400RPM；256M；SATA</w:t>
            </w:r>
          </w:p>
        </w:tc>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块</w:t>
            </w:r>
          </w:p>
        </w:tc>
        <w:tc>
          <w:tcPr>
            <w:tcW w:w="360"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4639"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4.人行闸及门禁系统</w:t>
            </w:r>
          </w:p>
        </w:tc>
        <w:tc>
          <w:tcPr>
            <w:tcW w:w="360"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闭门器</w:t>
            </w:r>
          </w:p>
        </w:tc>
        <w:tc>
          <w:tcPr>
            <w:tcW w:w="328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采用齿轮液压传动技术，结合机械传动的精确性和稳定性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铸特缸体，高强度整体锻钢活塞</w:t>
            </w:r>
          </w:p>
        </w:tc>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280KG单门防水磁力锁</w:t>
            </w:r>
          </w:p>
        </w:tc>
        <w:tc>
          <w:tcPr>
            <w:tcW w:w="328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铝合金；锁体尺寸：长210x宽42x厚28.5(mm) ；吸板尺寸：长185x宽38x厚12(mm)；280kg(600Lbs)直线拉力 ；锁状态信号输出 ；断电开门；适用木门\玻璃门\金属门\防火门等；工作温度：-20℃-+60℃， 工作湿度：≤95%；2.3KG；</w:t>
            </w:r>
          </w:p>
        </w:tc>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广告人型摆闸</w:t>
            </w:r>
          </w:p>
        </w:tc>
        <w:tc>
          <w:tcPr>
            <w:tcW w:w="328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(1242mm-1842mm)×250mm×1640mm（长×宽×高）；外壳材料冷轧钢板；驱动电机直流减速电机（24V）；电机使用寿命100万次；通道宽度1242mm-1842mm；最大定制通道宽度支持调节；通行速度15人~20人/min；开闸时间1.5s~10s，可调节；开门模式支持刷卡（另配）、遥控器、按键、人脸（另配）；功耗10W（待机）、50W（工作）；工作温度-20℃~+70℃；使用环境室内，室外</w:t>
            </w:r>
          </w:p>
        </w:tc>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6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单门控制器</w:t>
            </w:r>
          </w:p>
        </w:tc>
        <w:tc>
          <w:tcPr>
            <w:tcW w:w="328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用32位高处理器，支持TCP/IP通讯方式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同时支持RS485协议和韦根协议读卡器的接入,韦根接口支持国际标准W26\W34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支持2台读卡器（可设单门双向识别）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支持4组信号输入（开门按钮*1，门磁报警*1，报警输入*2）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支持3组控制输出（电锁控制*1，警报输出*2）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FLASH存储容量为16M（可扩展32M），最大支持100,000个持卡者, 150,000条刷卡记录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具有防反潜、多门互锁、多重验证、远程验证、平台视频联动等多项专项功能，支持首卡开门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支持普通卡、VIP卡、来宾卡、巡逻卡、黑白名单、胁迫卡等类型及权限下发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支持读卡器防拆报警、非法闯入报警、开门超时报警、支持胁迫卡及胁迫码设定，支持黑白名单及巡逻卡设定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支持卡片、密码、指纹各种组合方式开门，支持分时段开门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支持128组时间表及128组假日时段表，支持常开时间段、常闭时间段、远程开门时间段、首卡开门时间段等设置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工作温度：-30℃-+60℃， 工作湿度：≤95%</w:t>
            </w:r>
          </w:p>
        </w:tc>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6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28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6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28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5"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630"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护栏</w:t>
            </w:r>
          </w:p>
        </w:tc>
        <w:tc>
          <w:tcPr>
            <w:tcW w:w="3280" w:type="pct"/>
            <w:tcBorders>
              <w:top w:val="nil"/>
              <w:left w:val="single" w:color="000000" w:sz="4" w:space="0"/>
              <w:bottom w:val="single" w:color="000000" w:sz="4" w:space="0"/>
              <w:right w:val="single" w:color="000000" w:sz="4" w:space="0"/>
            </w:tcBorders>
            <w:shd w:val="clear" w:color="auto" w:fill="FFFFFF"/>
            <w:noWrap w:val="0"/>
            <w:vAlign w:val="center"/>
          </w:tcPr>
          <w:p>
            <w:pPr>
              <w:shd w:val="clear" w:color="auto" w:fill="auto"/>
              <w:jc w:val="left"/>
              <w:rPr>
                <w:rFonts w:hint="eastAsia" w:ascii="宋体" w:hAnsi="宋体" w:cs="宋体"/>
                <w:color w:val="000000"/>
                <w:sz w:val="15"/>
                <w:szCs w:val="15"/>
                <w:highlight w:val="none"/>
              </w:rPr>
            </w:pPr>
          </w:p>
        </w:tc>
        <w:tc>
          <w:tcPr>
            <w:tcW w:w="363"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60"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39"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5.车牌识别系统</w:t>
            </w:r>
          </w:p>
        </w:tc>
        <w:tc>
          <w:tcPr>
            <w:tcW w:w="360"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车牌抓拍摄像机</w:t>
            </w:r>
          </w:p>
        </w:tc>
        <w:tc>
          <w:tcPr>
            <w:tcW w:w="328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补光灯数量2颗（可根据客户需求自由切换为暖光灯或红外灯，暖光灯色温3000K，亮度可自动调节）；传感器类型1/3英寸CMOS；图像分辨率2304×1296（不包含OSD黑边）；镜头标配4mm定焦镜头；视频分辨率主码流：1080P（1920×1080）/720P（1280×720）辅码流：720P（1280×720）/D1（704×576）；视频压缩标准MJPEG；H.264H；H.264M；H.264B；H.265；降噪3D降噪；坏点校正支持；触发方式支持视频检测、I/O线圈、雷达三种触发方式；存储功能内置1个TF卡接口（最大支持128G，TF卡可选大华、金士顿、闪迪等）；最大补光距离8m；OSD信息叠加支持叠加时间、地点、车牌、车身颜色、防伪码、车标、触发源、车牌类型、车辆颜色、车辆类型、卡口方向、车系、置信度、车头朝向、自定义信息；断网续传支持，平台/FTP；车辆检测车辆捕获率≥99.9%；车辆识别支持车型、车标、车系、车身颜色、车牌颜色、车牌号码、车牌类型、无牌车、新能源车牌识别车牌识别率≥99.9%；智能轨迹帧支持智能帧显示，可显示车牌和车辆行驶轨迹；网络接口1个，10/100M以太网口（RJ-45）；RS-485接口2个（可用于连接配套屏、雷达、道闸和外置常亮灯）；I/O接口2路，光耦输入（5V开关量），可用于车检器等信号输入；供电方式AC220V；防护等级IP67</w:t>
            </w:r>
          </w:p>
        </w:tc>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60"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摄像机立柱</w:t>
            </w:r>
          </w:p>
        </w:tc>
        <w:tc>
          <w:tcPr>
            <w:tcW w:w="328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抓拍一体机杆件（白色+1.5米)</w:t>
            </w:r>
          </w:p>
        </w:tc>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4639"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6.网络设备</w:t>
            </w:r>
          </w:p>
        </w:tc>
        <w:tc>
          <w:tcPr>
            <w:tcW w:w="360"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3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28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3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24口交换机</w:t>
            </w:r>
          </w:p>
        </w:tc>
        <w:tc>
          <w:tcPr>
            <w:tcW w:w="328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千兆24口，带2光口</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3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28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3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28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r>
      <w:tr>
        <w:tblPrEx>
          <w:tblCellMar>
            <w:top w:w="0" w:type="dxa"/>
            <w:left w:w="108" w:type="dxa"/>
            <w:bottom w:w="0" w:type="dxa"/>
            <w:right w:w="108" w:type="dxa"/>
          </w:tblCellMar>
        </w:tblPrEx>
        <w:trPr>
          <w:trHeight w:val="800" w:hRule="atLeast"/>
        </w:trPr>
        <w:tc>
          <w:tcPr>
            <w:tcW w:w="4639"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8.管线及网络费用</w:t>
            </w:r>
          </w:p>
        </w:tc>
        <w:tc>
          <w:tcPr>
            <w:tcW w:w="360"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室外立杆</w:t>
            </w:r>
          </w:p>
        </w:tc>
        <w:tc>
          <w:tcPr>
            <w:tcW w:w="328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3-5米杆，含基础地笼设备箱</w:t>
            </w:r>
          </w:p>
        </w:tc>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处</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28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28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28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42U机柜</w:t>
            </w:r>
          </w:p>
        </w:tc>
        <w:tc>
          <w:tcPr>
            <w:tcW w:w="328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2米机柜</w:t>
            </w:r>
          </w:p>
        </w:tc>
        <w:tc>
          <w:tcPr>
            <w:tcW w:w="3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3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28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3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28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63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28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63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PE32管</w:t>
            </w:r>
          </w:p>
        </w:tc>
        <w:tc>
          <w:tcPr>
            <w:tcW w:w="328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63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PE50管</w:t>
            </w:r>
          </w:p>
        </w:tc>
        <w:tc>
          <w:tcPr>
            <w:tcW w:w="328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63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28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w:t>
            </w:r>
          </w:p>
        </w:tc>
        <w:tc>
          <w:tcPr>
            <w:tcW w:w="63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手孔</w:t>
            </w:r>
          </w:p>
        </w:tc>
        <w:tc>
          <w:tcPr>
            <w:tcW w:w="328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500*500*400</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63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道路开挖修复、基础等费用</w:t>
            </w:r>
          </w:p>
        </w:tc>
        <w:tc>
          <w:tcPr>
            <w:tcW w:w="3280"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6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63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28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pStyle w:val="16"/>
        <w:shd w:val="clear" w:color="auto" w:fill="auto"/>
        <w:rPr>
          <w:rFonts w:hint="eastAsia" w:hAnsi="宋体" w:cs="宋体"/>
          <w:color w:val="000000"/>
          <w:highlight w:val="none"/>
        </w:rPr>
      </w:pPr>
    </w:p>
    <w:tbl>
      <w:tblPr>
        <w:tblStyle w:val="62"/>
        <w:tblW w:w="5000" w:type="pct"/>
        <w:tblInd w:w="0" w:type="dxa"/>
        <w:tblLayout w:type="autofit"/>
        <w:tblCellMar>
          <w:top w:w="0" w:type="dxa"/>
          <w:left w:w="108" w:type="dxa"/>
          <w:bottom w:w="0" w:type="dxa"/>
          <w:right w:w="108" w:type="dxa"/>
        </w:tblCellMar>
      </w:tblPr>
      <w:tblGrid>
        <w:gridCol w:w="678"/>
        <w:gridCol w:w="1120"/>
        <w:gridCol w:w="6145"/>
        <w:gridCol w:w="674"/>
        <w:gridCol w:w="669"/>
      </w:tblGrid>
      <w:tr>
        <w:tblPrEx>
          <w:tblCellMar>
            <w:top w:w="0" w:type="dxa"/>
            <w:left w:w="108" w:type="dxa"/>
            <w:bottom w:w="0" w:type="dxa"/>
            <w:right w:w="108" w:type="dxa"/>
          </w:tblCellMar>
        </w:tblPrEx>
        <w:trPr>
          <w:trHeight w:val="80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10.2城厢街道智安小区项目设备清单（潘水苑北区）</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603"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30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62"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5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59"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03"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309"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人脸Mac一体机</w:t>
            </w:r>
          </w:p>
        </w:tc>
        <w:tc>
          <w:tcPr>
            <w:tcW w:w="33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采用高性能四百万像素1/1.8英寸CMOS图像传感器，低照度效果好，图像清晰度高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最大可输出400万(2688×1520)@60fps，满足高帧率需求</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支持ROI，SVC，SMART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支持动态检测，视频遮挡检测，虚焦侦测，场景变更检测，音频异常侦测，外部报警</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支持报警7进3出，音频2进1出，1路内置MIC，RS485，BNC，最大支持256G SD卡，2个wifi天线，1个GPS天线，1个光口（需另配光模块）</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支持DC12V供电方式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内置高效暖光灯，最大监控距离80米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支持人脸检测，人脸曝光，人脸增强，非活体过滤以及人脸属性识别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支持人脸实时抓拍，优选抓拍，质量优先三种抓拍策略，支持人脸角度过滤功能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支持人脸抠图区域可设：人脸/单寸照</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支持人脸计数及实时OSD叠加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支持垂直/倾斜人数统计，区域内人数统计功能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支持周界检测功能，包括绊线入侵，区域入侵，物品遗留，快速移动，停车检测，人员聚集，物品搬移，徘徊检测</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支持视频结构化功能，包括机动车，非机动车，人员等目标的抓拍和属性识别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支持车牌、车标、车辆子品牌、车年款、车身颜色、车辆类型等车辆属性识别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支持MAC采集功能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支持GPS/北斗功能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支持五码流功能，三路高清视频显示</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5" w:type="pct"/>
            <w:tcBorders>
              <w:top w:val="nil"/>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03"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30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3.视频监控系统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室外枪机</w:t>
            </w:r>
          </w:p>
        </w:tc>
        <w:tc>
          <w:tcPr>
            <w:tcW w:w="3309"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采用高性能两百万像素1/2.7英寸CMOS图像传感器，低照度效果好，图像清晰度高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可输出200万(1920*1080)@25fps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最大红外监控距离50米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支持区域入侵,绊线入侵,场景变更，支持多种触发规则联动动作;支持目标过滤</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支持DC12V/POE供电方式，方便工程安装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支持IP67防护等级</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16路网络视频录像机</w:t>
            </w:r>
          </w:p>
        </w:tc>
        <w:tc>
          <w:tcPr>
            <w:tcW w:w="3309"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USB接口2个，1个前置USB2.0接口、1个后置USB3.0接口；操作界面WEB方式，本地GUI操作；操作系统嵌入式Linux操作系统；多路回放最大支持16路回放；解码能力8路1080P@30fps；视频输出1路VGA输出，1路HDMI输出，其中VGA和HDMI同源输出，VGA最大输出分辨率1080P，HDMI最大输出分辨率4K；网络带宽160Mbps接入、160Mbps存储、64Mbps转发；网络接口2个RJ-45，10/100/1000Mbps自适应以太网口；网络协议HTTP、HTTPS、TCP/IP、IPv4/IPv6、UPnP、SNMP、RTSP、UDP、SMTP、NTP、DHCP、DNS、IPFilter、DDNS、FTP、AlarmServer、IPSearch(SupportDahuaIPcamera、DVR、NVS、etc.)、P2P、主动注册；硬盘接口4个，SATA3.0，单盘最大10T；主处理器工业级嵌入式微控制器；报警输出4路，其中3路继电器输出，1路12V1Actrl输出</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03"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显示器</w:t>
            </w:r>
          </w:p>
        </w:tc>
        <w:tc>
          <w:tcPr>
            <w:tcW w:w="3309" w:type="pct"/>
            <w:tcBorders>
              <w:top w:val="single" w:color="000000" w:sz="4" w:space="0"/>
              <w:left w:val="single" w:color="000000" w:sz="4" w:space="0"/>
              <w:bottom w:val="nil"/>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面板尺寸43英寸；亮度250cd/m²；安装方式底座、壁挂；信号输入标配VGA(D-Sub)×1、HDMI×1、Audioin×1；内置喇叭；支持的分辨率1920×1080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03"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6T硬盘</w:t>
            </w:r>
          </w:p>
        </w:tc>
        <w:tc>
          <w:tcPr>
            <w:tcW w:w="330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6000G；5400RPM；256M；SATA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块</w:t>
            </w:r>
          </w:p>
        </w:tc>
        <w:tc>
          <w:tcPr>
            <w:tcW w:w="35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4.车牌识别系统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车牌抓拍摄像机</w:t>
            </w:r>
          </w:p>
        </w:tc>
        <w:tc>
          <w:tcPr>
            <w:tcW w:w="3309"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补光灯数量2颗（可根据客户需求自由切换为暖光灯或红外灯，暖光灯色温3000K，亮度可自动调节）；传感器类型1/3英寸CMOS；图像分辨率2304×1296（不包含OSD黑边）；镜头标配4mm定焦镜头；视频分辨率主码流：1080P（1920×1080）/720P（1280×720）辅码流：720P（1280×720）/D1（704×576）；视频压缩标准MJPEG；H.264H；H.264M；H.264B；H.265；降噪3D降噪；坏点校正支持；触发方式支持视频检测、I/O线圈、雷达三种触发方式；存储功能内置1个TF卡接口（最大支持128G，TF卡可选大华、金士顿、闪迪等）；最大补光距离8m；OSD信息叠加支持叠加时间、地点、车牌、车身颜色、防伪码、车标、触发源、车牌类型、车辆颜色、车辆类型、卡口方向、车系、置信度、车头朝向、自定义信息；断网续传支持，平台/FTP；车辆检测车辆捕获率≥99.9%；车辆识别支持车型、车标、车系、车身颜色、车牌颜色、车牌号码、车牌类型、无牌车、新能源车牌识别车牌识别率≥99.9%；智能轨迹帧支持智能帧显示，可显示车牌和车辆行驶轨迹；网络接口1个，10/100M以太网口（RJ-45）；RS-485接口2个（可用于连接配套屏、雷达、道闸和外置常亮灯）；I/O接口2路，光耦输入（5V开关量），可用于车检器等信号输入；供电方式AC220V；防护等级IP67</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摄像机立柱</w:t>
            </w:r>
          </w:p>
        </w:tc>
        <w:tc>
          <w:tcPr>
            <w:tcW w:w="3309"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抓拍一体机杆件（白色+1.5米)</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5.网络设备</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0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30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0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24口交换机</w:t>
            </w:r>
          </w:p>
        </w:tc>
        <w:tc>
          <w:tcPr>
            <w:tcW w:w="330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千兆24口，带2光口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0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30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0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30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6.管线及网络费用</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室外立杆</w:t>
            </w:r>
          </w:p>
        </w:tc>
        <w:tc>
          <w:tcPr>
            <w:tcW w:w="33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3-5米杆，含基础地笼设备箱</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处</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3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3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3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42U机柜</w:t>
            </w:r>
          </w:p>
        </w:tc>
        <w:tc>
          <w:tcPr>
            <w:tcW w:w="33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2米机柜</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0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30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0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30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60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30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60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PE32管</w:t>
            </w:r>
          </w:p>
        </w:tc>
        <w:tc>
          <w:tcPr>
            <w:tcW w:w="330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60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PE50管</w:t>
            </w:r>
          </w:p>
        </w:tc>
        <w:tc>
          <w:tcPr>
            <w:tcW w:w="330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60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30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w:t>
            </w:r>
          </w:p>
        </w:tc>
        <w:tc>
          <w:tcPr>
            <w:tcW w:w="60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手孔</w:t>
            </w:r>
          </w:p>
        </w:tc>
        <w:tc>
          <w:tcPr>
            <w:tcW w:w="330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500*500*400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60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道路开挖修复等费用</w:t>
            </w:r>
          </w:p>
        </w:tc>
        <w:tc>
          <w:tcPr>
            <w:tcW w:w="3309"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60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30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shd w:val="clear" w:color="auto" w:fill="auto"/>
        <w:adjustRightInd/>
        <w:spacing w:line="440" w:lineRule="exact"/>
        <w:ind w:firstLine="480" w:firstLineChars="200"/>
        <w:rPr>
          <w:rFonts w:hint="eastAsia" w:ascii="宋体" w:hAnsi="宋体" w:cs="宋体"/>
          <w:color w:val="000000"/>
          <w:sz w:val="24"/>
          <w:highlight w:val="none"/>
        </w:rPr>
      </w:pPr>
    </w:p>
    <w:tbl>
      <w:tblPr>
        <w:tblStyle w:val="62"/>
        <w:tblW w:w="5000" w:type="pct"/>
        <w:tblInd w:w="0" w:type="dxa"/>
        <w:tblLayout w:type="autofit"/>
        <w:tblCellMar>
          <w:top w:w="0" w:type="dxa"/>
          <w:left w:w="108" w:type="dxa"/>
          <w:bottom w:w="0" w:type="dxa"/>
          <w:right w:w="108" w:type="dxa"/>
        </w:tblCellMar>
      </w:tblPr>
      <w:tblGrid>
        <w:gridCol w:w="678"/>
        <w:gridCol w:w="1023"/>
        <w:gridCol w:w="6240"/>
        <w:gridCol w:w="676"/>
        <w:gridCol w:w="669"/>
      </w:tblGrid>
      <w:tr>
        <w:tblPrEx>
          <w:tblCellMar>
            <w:top w:w="0" w:type="dxa"/>
            <w:left w:w="108" w:type="dxa"/>
            <w:bottom w:w="0" w:type="dxa"/>
            <w:right w:w="108" w:type="dxa"/>
          </w:tblCellMar>
        </w:tblPrEx>
        <w:trPr>
          <w:trHeight w:val="80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11城厢街道智安小区项目设备清单（城河公寓）</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551"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360"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62"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5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59"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51"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360"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人脸Mac一体机</w:t>
            </w:r>
          </w:p>
        </w:tc>
        <w:tc>
          <w:tcPr>
            <w:tcW w:w="3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采用高性能四百万像素1/1.8英寸CMOS图像传感器，低照度效果好，图像清晰度高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最大可输出400万(2688×1520)@60fps，满足高帧率需求</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支持ROI，SVC，SMART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支持动态检测，视频遮挡检测，虚焦侦测，场景变更检测，音频异常侦测，外部报警</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支持报警7进3出，音频2进1出，1路内置MIC，RS485，BNC，最大支持256G SD卡，2个wifi天线，1个GPS天线，1个光口（需另配光模块）</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支持DC12V供电方式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内置高效暖光灯，最大监控距离80米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支持人脸检测，人脸曝光，人脸增强，非活体过滤以及人脸属性识别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支持人脸实时抓拍，优选抓拍，质量优先三种抓拍策略，支持人脸角度过滤功能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支持人脸抠图区域可设：人脸/单寸照</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支持人脸计数及实时OSD叠加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支持垂直/倾斜人数统计，区域内人数统计功能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支持周界检测功能，包括绊线入侵，区域入侵，物品遗留，快速移动，停车检测，人员聚集，物品搬移，徘徊检测</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支持视频结构化功能，包括机动车，非机动车，人员等目标的抓拍和属性识别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支持车牌、车标、车辆子品牌、车年款、车身颜色、车辆类型等车辆属性识别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支持MAC采集功能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支持GPS/北斗功能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支持五码流功能，三路高清视频显示</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5" w:type="pct"/>
            <w:tcBorders>
              <w:top w:val="nil"/>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51"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360"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3.视频监控系统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04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枪机壁装支架（通用）</w:t>
            </w:r>
          </w:p>
        </w:tc>
        <w:tc>
          <w:tcPr>
            <w:tcW w:w="336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尺寸为204.0*58.0*80.0mm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采用铝合金材质，不易生锈</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白色</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重量为0.38kg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支持最大承重1.0kg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支持壁装安装方式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支持水平：0~360°，竖直：-30°~0°旋转角度范围</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trHeight w:val="91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万向节</w:t>
            </w:r>
          </w:p>
        </w:tc>
        <w:tc>
          <w:tcPr>
            <w:tcW w:w="336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采用铝合金材质，不易生锈</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白色</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室外枪机</w:t>
            </w:r>
          </w:p>
        </w:tc>
        <w:tc>
          <w:tcPr>
            <w:tcW w:w="336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采用高性能两百万像素1/2.7英寸CMOS图像传感器，低照度效果好，图像清晰度高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可输出200万(1920*1080)@25fps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最大红外监控距离50米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支持区域入侵,绊线入侵,场景变更，支持多种触发规则联动动作;支持目标过滤</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支持DC12V/POE供电方式，方便工程安装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支持IP67防护等级</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16路网络视频录像机</w:t>
            </w:r>
          </w:p>
        </w:tc>
        <w:tc>
          <w:tcPr>
            <w:tcW w:w="336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USB接口2个，1个前置USB2.0接口、1个后置USB3.0接口；操作界面WEB方式，本地GUI操作；操作系统嵌入式Linux操作系统；多路回放最大支持16路回放；解码能力8路1080P@30fps；视频输出1路VGA输出，1路HDMI输出，其中VGA和HDMI同源输出，VGA最大输出分辨率1080P，HDMI最大输出分辨率4K；网络带宽160Mbps接入、160Mbps存储、64Mbps转发；网络接口2个RJ-45，10/100/1000Mbps自适应以太网口；网络协议HTTP、HTTPS、TCP/IP、IPv4/IPv6、UPnP、SNMP、RTSP、UDP、SMTP、NTP、DHCP、DNS、IPFilter、DDNS、FTP、AlarmServer、IPSearch(SupportDahuaIPcamera、DVR、NVS、etc.)、P2P、主动注册；硬盘接口4个，SATA3.0，单盘最大10T；主处理器工业级嵌入式微控制器；报警输出4路，其中3路继电器输出，1路12V1Actrl输出</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51"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显示器</w:t>
            </w:r>
          </w:p>
        </w:tc>
        <w:tc>
          <w:tcPr>
            <w:tcW w:w="3360" w:type="pct"/>
            <w:tcBorders>
              <w:top w:val="single" w:color="000000" w:sz="4" w:space="0"/>
              <w:left w:val="single" w:color="000000" w:sz="4" w:space="0"/>
              <w:bottom w:val="nil"/>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面板尺寸43英寸；亮度250cd/m²；安装方式底座、壁挂；信号输入标配VGA(D-Sub)×1、HDMI×1、Audioin×1；内置喇叭；支持的分辨率1920×1080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51"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6T硬盘</w:t>
            </w:r>
          </w:p>
        </w:tc>
        <w:tc>
          <w:tcPr>
            <w:tcW w:w="3360"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6000G；5400RPM；256M；SATA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块</w:t>
            </w:r>
          </w:p>
        </w:tc>
        <w:tc>
          <w:tcPr>
            <w:tcW w:w="35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4.人行闸及门禁系统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室外人脸一体主机</w:t>
            </w:r>
          </w:p>
        </w:tc>
        <w:tc>
          <w:tcPr>
            <w:tcW w:w="3360"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主处理器 高性能嵌入式处理器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网络协议 IPv4，RTSP，RTP，TCP，UDP，P2P</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OSDP协议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接入标准 CGI</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是否支持SDK和API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外观 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显示屏 10.1寸TFT屏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屏幕类型 电容屏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屏幕分辩率 1280×800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摄像头 200万CMOS高清摄像头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宽动态 120dB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光照补偿 自动白光补光 自动红外补光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状态指示灯 1个，蓝色-运行状态，红色-错误状态，绿色-正确状态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语音提示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蜂鸣器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外壳材料 PC+ABS 铝合金金属边框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开门模式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读卡类型 IC卡 CPU卡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假日时段表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网络更新升级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首用户开门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远程验证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黑白名单设定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Wi-Fi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外接读卡器 1路RS-485，1路韦根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多用户开门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实时监控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多重认证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刷卡拍照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WEB配置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主动注册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读卡距离 1cm～4cm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人脸识别身高范围 0.9m～2.4m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人脸识别距离 0.3m～2m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人脸识别准确率 99.5%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人脸识别速度 0.2s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指纹传感器类型 电容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指纹验证方式 1:N</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指纹比对时间 ≤1.5s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指纹识别时间 ≤0.5s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普通卡（用户）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巡逻卡（用户）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VIP卡（用户）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来宾卡（用户）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残疾人（用户）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用户容量 100000个用户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指纹容量 10000枚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卡片容量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密码容量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二维码容量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存储记录数量 100000条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RS-485接口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RS-232接口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韦根接口 1路输入/输出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USB接口 个USB2.0接口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网络接口 1个RJ-45 100Mbps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报警输入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报警输出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报警联动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开门按钮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门状态检测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门锁控制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防反潜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防拆报警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门超时报警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非法闯入报警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非法卡超次报警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胁迫指纹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 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供电方式 DC 12V  2A</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防护等级 IP65（需要点胶，详见操作手册）</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功耗 ≤24W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产品尺寸 396.9mm×185.6mm×77.2mm（高×宽×厚）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包装尺寸 515.0mm×271.0mm×148.0mm（高×宽×厚，内箱单机包装）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 -30℃~+60℃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工作湿度 5%~95%（无凝结）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 0m～1300m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使用环境 室内 室外</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毛重 4.32kg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配件 壁装支架标配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 壁挂安装</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指纹采集器</w:t>
            </w:r>
          </w:p>
        </w:tc>
        <w:tc>
          <w:tcPr>
            <w:tcW w:w="3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MOS光学传感器，传感器寿命100万次以上，分别率500DPI，采集窗口L18xW15mm，指纹录入时间≤350毫秒，认假率≤0.0001%，拒真率≤0.014%，比对时间≤1.5秒，指纹验证方式1：N指纹搜索，工作温度0℃～55℃，相对湿度20%～90%（无凝霜），通讯接口USB，供电电压DC3.8～7，工作电流≤80m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发卡器</w:t>
            </w:r>
          </w:p>
        </w:tc>
        <w:tc>
          <w:tcPr>
            <w:tcW w:w="3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IC卡(Mifare卡)发卡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USB供电和通讯，工作电流&lt;150mA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发卡距离：3cm~8cm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免驱动安装，即插即用</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IC卡</w:t>
            </w:r>
          </w:p>
        </w:tc>
        <w:tc>
          <w:tcPr>
            <w:tcW w:w="3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尺寸：55*85*1mm</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张</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闭门器</w:t>
            </w:r>
          </w:p>
        </w:tc>
        <w:tc>
          <w:tcPr>
            <w:tcW w:w="3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采用齿轮液压传动技术，结合机械传动的精确性和稳定性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铸特缸体，高强度整体锻钢活塞</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280KG单门防水磁力锁</w:t>
            </w:r>
          </w:p>
        </w:tc>
        <w:tc>
          <w:tcPr>
            <w:tcW w:w="3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铝合金；锁体尺寸：长210x宽42x厚28.5(mm) ；吸板尺寸：长185x宽38x厚12(mm)；280kg(600Lbs)直线拉力 ；锁状态信号输出 ；断电开门；适用木门\玻璃门\金属门\防火门等；工作温度：-20℃-+60℃， 工作湿度：≤95%；2.3KG；</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广告人型摆闸</w:t>
            </w:r>
          </w:p>
        </w:tc>
        <w:tc>
          <w:tcPr>
            <w:tcW w:w="3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(1242mm-1842mm)×250mm×1640mm（长×宽×高）；外壳材料冷轧钢板；驱动电机直流减速电机（24V）；电机使用寿命100万次；通道宽度1242mm-1842mm；最大定制通道宽度支持调节；通行速度15人~20人/min；开闸时间1.5s~10s，可调节；开门模式支持刷卡（另配）、遥控器、按键、人脸（另配）；功耗10W（待机）、50W（工作）；工作温度-20℃~+70℃；使用环境室内，室外</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单门控制器</w:t>
            </w:r>
          </w:p>
        </w:tc>
        <w:tc>
          <w:tcPr>
            <w:tcW w:w="3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用32位高处理器，支持TCP/IP通讯方式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同时支持RS485协议和韦根协议读卡器的接入,韦根接口支持国际标准W26\W34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支持2台读卡器（可设单门双向识别）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支持4组信号输入（开门按钮*1，门磁报警*1，报警输入*2）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支持3组控制输出（电锁控制*1，警报输出*2）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FLASH存储容量为16M（可扩展32M），最大支持100,000个持卡者, 150,000条刷卡记录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具有防反潜、多门互锁、多重验证、远程验证、平台视频联动等多项专项功能，支持首卡开门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支持普通卡、VIP卡、来宾卡、巡逻卡、黑白名单、胁迫卡等类型及权限下发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支持读卡器防拆报警、非法闯入报警、开门超时报警、支持胁迫卡及胁迫码设定，支持黑白名单及巡逻卡设定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支持卡片、密码、指纹各种组合方式开门，支持分时段开门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支持128组时间表及128组假日时段表，支持常开时间段、常闭时间段、远程开门时间段、首卡开门时间段等设置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工作温度：-30℃-+60℃， 工作湿度：≤95%</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5.车牌识别系统（新增）</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725"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出入口杆式抓拍一体机（4行4字）</w:t>
            </w:r>
          </w:p>
        </w:tc>
        <w:tc>
          <w:tcPr>
            <w:tcW w:w="336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外观 杆式一体机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传感器类型 1/2.8英寸cmos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最大分辨率 1920×1080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视频编码标准 H265/H264/MJPEG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视频分辨率 主码流1920×1080，辅码流704×576</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视频码率 "H265/H264:32~6636Kb/S;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MJPEG:18662~37325K Kb/Sb/S"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视频帧率 1~25FPS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 最大支持10000条白名单车辆，可直接联动道闸输出，最大支持10000条黑名单车辆，可触发生成报警事件</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624"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两层中速栅栏杆道闸（右）</w:t>
            </w:r>
          </w:p>
        </w:tc>
        <w:tc>
          <w:tcPr>
            <w:tcW w:w="336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升降时间1.5 ～ 6秒可选，通讯协议 RS485接口或地感检测保护装置</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81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道闸防砸雷达</w:t>
            </w:r>
          </w:p>
        </w:tc>
        <w:tc>
          <w:tcPr>
            <w:tcW w:w="336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发射功率 ≤10mW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波束宽度 俯仰12°，水平34°</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响应时间 1ms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防砸区域 6m可编程</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检测目标 人，车</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72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屏蔽双绞线RVSP2*1.0（长度20米）</w:t>
            </w:r>
          </w:p>
        </w:tc>
        <w:tc>
          <w:tcPr>
            <w:tcW w:w="336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车检器连接道闸、相机连接道闸，使用屏蔽双绞线</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23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数字车辆检测器(单路，停车场专用)</w:t>
            </w:r>
          </w:p>
        </w:tc>
        <w:tc>
          <w:tcPr>
            <w:tcW w:w="336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连接地感线圈，实现防砸线圈功能</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624"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地感线圈 FVN1*1.5（长度100米）</w:t>
            </w:r>
          </w:p>
        </w:tc>
        <w:tc>
          <w:tcPr>
            <w:tcW w:w="336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分为两段，50米一段，分别用于出口和入口的防砸线圈</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圈</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6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减速带</w:t>
            </w:r>
          </w:p>
        </w:tc>
        <w:tc>
          <w:tcPr>
            <w:tcW w:w="3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hd w:val="clear" w:color="auto" w:fill="auto"/>
              <w:jc w:val="left"/>
              <w:rPr>
                <w:rFonts w:hint="eastAsia" w:ascii="宋体" w:hAnsi="宋体" w:cs="宋体"/>
                <w:color w:val="000000"/>
                <w:sz w:val="15"/>
                <w:szCs w:val="15"/>
                <w:highlight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6.网络设备</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管理电脑</w:t>
            </w:r>
          </w:p>
        </w:tc>
        <w:tc>
          <w:tcPr>
            <w:tcW w:w="3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I5,1T,8G</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7.管线及网络费用</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室外立杆</w:t>
            </w:r>
          </w:p>
        </w:tc>
        <w:tc>
          <w:tcPr>
            <w:tcW w:w="3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3-5米杆，含基础地笼设备箱</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处</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22U机柜</w:t>
            </w:r>
          </w:p>
        </w:tc>
        <w:tc>
          <w:tcPr>
            <w:tcW w:w="33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1米机柜</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PE32管</w:t>
            </w:r>
          </w:p>
        </w:tc>
        <w:tc>
          <w:tcPr>
            <w:tcW w:w="3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PE50管</w:t>
            </w:r>
          </w:p>
        </w:tc>
        <w:tc>
          <w:tcPr>
            <w:tcW w:w="3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手孔</w:t>
            </w:r>
          </w:p>
        </w:tc>
        <w:tc>
          <w:tcPr>
            <w:tcW w:w="3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500*500*400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道路开挖修复、道闸基础等费用</w:t>
            </w:r>
          </w:p>
        </w:tc>
        <w:tc>
          <w:tcPr>
            <w:tcW w:w="3360"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55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3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shd w:val="clear" w:color="auto" w:fill="auto"/>
        <w:adjustRightInd/>
        <w:spacing w:line="440" w:lineRule="exact"/>
        <w:ind w:firstLine="480" w:firstLineChars="200"/>
        <w:rPr>
          <w:rFonts w:hint="eastAsia" w:ascii="宋体" w:hAnsi="宋体" w:cs="宋体"/>
          <w:color w:val="000000"/>
          <w:sz w:val="24"/>
          <w:highlight w:val="none"/>
        </w:rPr>
      </w:pPr>
    </w:p>
    <w:tbl>
      <w:tblPr>
        <w:tblStyle w:val="62"/>
        <w:tblW w:w="5000" w:type="pct"/>
        <w:tblInd w:w="0" w:type="dxa"/>
        <w:tblLayout w:type="autofit"/>
        <w:tblCellMar>
          <w:top w:w="0" w:type="dxa"/>
          <w:left w:w="108" w:type="dxa"/>
          <w:bottom w:w="0" w:type="dxa"/>
          <w:right w:w="108" w:type="dxa"/>
        </w:tblCellMar>
      </w:tblPr>
      <w:tblGrid>
        <w:gridCol w:w="678"/>
        <w:gridCol w:w="997"/>
        <w:gridCol w:w="6268"/>
        <w:gridCol w:w="674"/>
        <w:gridCol w:w="669"/>
      </w:tblGrid>
      <w:tr>
        <w:tblPrEx>
          <w:tblCellMar>
            <w:top w:w="0" w:type="dxa"/>
            <w:left w:w="108" w:type="dxa"/>
            <w:bottom w:w="0" w:type="dxa"/>
            <w:right w:w="108" w:type="dxa"/>
          </w:tblCellMar>
        </w:tblPrEx>
        <w:trPr>
          <w:trHeight w:val="80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12城厢街道智安小区项目设备清单（崇化住宅区）</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537"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375"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62"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5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59"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37"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375"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人脸Mac一体机</w:t>
            </w:r>
          </w:p>
        </w:tc>
        <w:tc>
          <w:tcPr>
            <w:tcW w:w="33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采用高性能四百万像素1/1.8英寸CMOS图像传感器，低照度效果好，图像清晰度高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最大可输出400万(2688×1520)@60fps，满足高帧率需求</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支持ROI，SVC，SMART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支持动态检测，视频遮挡检测，虚焦侦测，场景变更检测，音频异常侦测，外部报警</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支持报警7进3出，音频2进1出，1路内置MIC，RS485，BNC，最大支持256G SD卡，2个wifi天线，1个GPS天线，1个光口（需另配光模块）</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支持DC12V供电方式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内置高效暖光灯，最大监控距离80米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支持人脸检测，人脸曝光，人脸增强，非活体过滤以及人脸属性识别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支持人脸实时抓拍，优选抓拍，质量优先三种抓拍策略，支持人脸角度过滤功能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支持人脸抠图区域可设：人脸/单寸照</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支持人脸计数及实时OSD叠加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支持垂直/倾斜人数统计，区域内人数统计功能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支持周界检测功能，包括绊线入侵，区域入侵，物品遗留，快速移动，停车检测，人员聚集，物品搬移，徘徊检测</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支持视频结构化功能，包括机动车，非机动车，人员等目标的抓拍和属性识别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支持车牌、车标、车辆子品牌、车年款、车身颜色、车辆类型等车辆属性识别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支持MAC采集功能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支持GPS/北斗功能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支持五码流功能，三路高清视频显示</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37"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375"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3.车牌识别系统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车牌抓拍摄像机</w:t>
            </w:r>
          </w:p>
        </w:tc>
        <w:tc>
          <w:tcPr>
            <w:tcW w:w="3375"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补光灯数量2颗（可根据客户需求自由切换为暖光灯或红外灯，暖光灯色温3000K，亮度可自动调节）；传感器类型1/3英寸CMOS；图像分辨率2304×1296（不包含OSD黑边）；镜头标配4mm定焦镜头；视频分辨率主码流：1080P（1920×1080）/720P（1280×720）辅码流：720P（1280×720）/D1（704×576）；视频压缩标准MJPEG；H.264H；H.264M；H.264B；H.265；降噪3D降噪；坏点校正支持；触发方式支持视频检测、I/O线圈、雷达三种触发方式；存储功能内置1个TF卡接口（最大支持128G，TF卡可选大华、金士顿、闪迪等）；最大补光距离8m；OSD信息叠加支持叠加时间、地点、车牌、车身颜色、防伪码、车标、触发源、车牌类型、车辆颜色、车辆类型、卡口方向、车系、置信度、车头朝向、自定义信息；断网续传支持，平台/FTP；车辆检测车辆捕获率≥99.9%；车辆识别支持车型、车标、车系、车身颜色、车牌颜色、车牌号码、车牌类型、无牌车、新能源车牌识别车牌识别率≥99.9%；智能轨迹帧支持智能帧显示，可显示车牌和车辆行驶轨迹；网络接口1个，10/100M以太网口（RJ-45）；RS-485接口2个（可用于连接配套屏、雷达、道闸和外置常亮灯）；I/O接口2路，光耦输入（5V开关量），可用于车检器等信号输入；供电方式AC220V；防护等级IP67</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摄像机立柱</w:t>
            </w:r>
          </w:p>
        </w:tc>
        <w:tc>
          <w:tcPr>
            <w:tcW w:w="3375"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抓拍一体机杆件（白色+1.5米)</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4.网络设备</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37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37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37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5.管线及网络费用</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室外立杆</w:t>
            </w:r>
          </w:p>
        </w:tc>
        <w:tc>
          <w:tcPr>
            <w:tcW w:w="33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3-5米杆，含基础地笼设备箱</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处</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3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3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3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42U机柜</w:t>
            </w:r>
          </w:p>
        </w:tc>
        <w:tc>
          <w:tcPr>
            <w:tcW w:w="33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2米机柜</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37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37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37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PE32管</w:t>
            </w:r>
          </w:p>
        </w:tc>
        <w:tc>
          <w:tcPr>
            <w:tcW w:w="337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PE50管</w:t>
            </w:r>
          </w:p>
        </w:tc>
        <w:tc>
          <w:tcPr>
            <w:tcW w:w="337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37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道路开挖修复、基础等费用</w:t>
            </w:r>
          </w:p>
        </w:tc>
        <w:tc>
          <w:tcPr>
            <w:tcW w:w="3375"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37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shd w:val="clear" w:color="auto" w:fill="auto"/>
        <w:adjustRightInd/>
        <w:spacing w:line="440" w:lineRule="exact"/>
        <w:ind w:firstLine="480" w:firstLineChars="200"/>
        <w:rPr>
          <w:rFonts w:hint="eastAsia" w:ascii="宋体" w:hAnsi="宋体" w:cs="宋体"/>
          <w:color w:val="000000"/>
          <w:sz w:val="24"/>
          <w:highlight w:val="none"/>
        </w:rPr>
      </w:pPr>
    </w:p>
    <w:tbl>
      <w:tblPr>
        <w:tblStyle w:val="62"/>
        <w:tblW w:w="5000" w:type="pct"/>
        <w:tblInd w:w="0" w:type="dxa"/>
        <w:tblLayout w:type="autofit"/>
        <w:tblCellMar>
          <w:top w:w="0" w:type="dxa"/>
          <w:left w:w="108" w:type="dxa"/>
          <w:bottom w:w="0" w:type="dxa"/>
          <w:right w:w="108" w:type="dxa"/>
        </w:tblCellMar>
      </w:tblPr>
      <w:tblGrid>
        <w:gridCol w:w="678"/>
        <w:gridCol w:w="997"/>
        <w:gridCol w:w="6268"/>
        <w:gridCol w:w="674"/>
        <w:gridCol w:w="669"/>
      </w:tblGrid>
      <w:tr>
        <w:tblPrEx>
          <w:tblCellMar>
            <w:top w:w="0" w:type="dxa"/>
            <w:left w:w="108" w:type="dxa"/>
            <w:bottom w:w="0" w:type="dxa"/>
            <w:right w:w="108" w:type="dxa"/>
          </w:tblCellMar>
        </w:tblPrEx>
        <w:trPr>
          <w:trHeight w:val="80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13城厢街道智安小区项目设备清单（南江公寓）</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537"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375"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62"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5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59"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37"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375"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人脸Mac一体机</w:t>
            </w:r>
          </w:p>
        </w:tc>
        <w:tc>
          <w:tcPr>
            <w:tcW w:w="33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采用高性能四百万像素1/1.8英寸CMOS图像传感器，低照度效果好，图像清晰度高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最大可输出400万(2688×1520)@60fps，满足高帧率需求</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支持ROI，SVC，SMART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支持动态检测，视频遮挡检测，虚焦侦测，场景变更检测，音频异常侦测，外部报警</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支持报警7进3出，音频2进1出，1路内置MIC，RS485，BNC，最大支持256G SD卡，2个wifi天线，1个GPS天线，1个光口（需另配光模块）</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支持DC12V供电方式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内置高效暖光灯，最大监控距离80米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支持人脸检测，人脸曝光，人脸增强，非活体过滤以及人脸属性识别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支持人脸实时抓拍，优选抓拍，质量优先三种抓拍策略，支持人脸角度过滤功能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支持人脸抠图区域可设：人脸/单寸照</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支持人脸计数及实时OSD叠加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支持垂直/倾斜人数统计，区域内人数统计功能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支持周界检测功能，包括绊线入侵，区域入侵，物品遗留，快速移动，停车检测，人员聚集，物品搬移，徘徊检测</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支持视频结构化功能，包括机动车，非机动车，人员等目标的抓拍和属性识别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支持车牌、车标、车辆子品牌、车年款、车身颜色、车辆类型等车辆属性识别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支持MAC采集功能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支持GPS/北斗功能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支持五码流功能，三路高清视频显示</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5" w:type="pct"/>
            <w:tcBorders>
              <w:top w:val="nil"/>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37"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375"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3.视频监控系统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室外枪机</w:t>
            </w:r>
          </w:p>
        </w:tc>
        <w:tc>
          <w:tcPr>
            <w:tcW w:w="3375"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采用高性能两百万像素1/2.7英寸CMOS图像传感器，低照度效果好，图像清晰度高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可输出200万(1920*1080)@25fps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最大红外监控距离50米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支持区域入侵,绊线入侵,场景变更，支持多种触发规则联动动作;支持目标过滤</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支持DC12V/POE供电方式，方便工程安装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支持IP67防护等级</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16路网络视频录像机</w:t>
            </w:r>
          </w:p>
        </w:tc>
        <w:tc>
          <w:tcPr>
            <w:tcW w:w="3375"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USB接口2个，1个前置USB2.0接口、1个后置USB3.0接口；操作界面WEB方式，本地GUI操作；操作系统嵌入式Linux操作系统；多路回放最大支持16路回放；解码能力8路1080P@30fps；视频输出1路VGA输出，1路HDMI输出，其中VGA和HDMI同源输出，VGA最大输出分辨率1080P，HDMI最大输出分辨率4K；网络带宽160Mbps接入、160Mbps存储、64Mbps转发；网络接口2个RJ-45，10/100/1000Mbps自适应以太网口；网络协议HTTP、HTTPS、TCP/IP、IPv4/IPv6、UPnP、SNMP、RTSP、UDP、SMTP、NTP、DHCP、DNS、IPFilter、DDNS、FTP、AlarmServer、IPSearch(SupportDahuaIPcamera、DVR、NVS、etc.)、P2P、主动注册；硬盘接口4个，SATA3.0，单盘最大10T；主处理器工业级嵌入式微控制器；报警输出4路，其中3路继电器输出，1路12V1Actrl输出</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37"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显示器</w:t>
            </w:r>
          </w:p>
        </w:tc>
        <w:tc>
          <w:tcPr>
            <w:tcW w:w="3375" w:type="pct"/>
            <w:tcBorders>
              <w:top w:val="single" w:color="000000" w:sz="4" w:space="0"/>
              <w:left w:val="single" w:color="000000" w:sz="4" w:space="0"/>
              <w:bottom w:val="nil"/>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面板尺寸43英寸；亮度250cd/m²；安装方式底座、壁挂；信号输入标配VGA(D-Sub)×1、HDMI×1、Audioin×1；内置喇叭；支持的分辨率1920×1080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37"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6T硬盘</w:t>
            </w:r>
          </w:p>
        </w:tc>
        <w:tc>
          <w:tcPr>
            <w:tcW w:w="3375"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6000G；5400RPM；256M；SATA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块</w:t>
            </w:r>
          </w:p>
        </w:tc>
        <w:tc>
          <w:tcPr>
            <w:tcW w:w="35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4.人行闸及门禁系统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室外人脸一体主机</w:t>
            </w:r>
          </w:p>
        </w:tc>
        <w:tc>
          <w:tcPr>
            <w:tcW w:w="3375"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主处理器 高性能嵌入式处理器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网络协议 IPv4，RTSP，RTP，TCP，UDP，P2P</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OSDP协议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接入标准 CGI</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是否支持SDK和API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外观 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显示屏 10.1寸TFT屏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屏幕类型 电容屏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屏幕分辩率 1280×800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摄像头 200万CMOS高清摄像头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宽动态 120dB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光照补偿 自动白光补光 自动红外补光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状态指示灯 1个，蓝色-运行状态，红色-错误状态，绿色-正确状态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语音提示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蜂鸣器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外壳材料 PC+ABS 铝合金金属边框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开门模式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读卡类型 IC卡 CPU卡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假日时段表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网络更新升级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首用户开门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远程验证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黑白名单设定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Wi-Fi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外接读卡器 1路RS-485，1路韦根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多用户开门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实时监控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多重认证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刷卡拍照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WEB配置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主动注册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读卡距离 1cm～4cm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人脸识别身高范围 0.9m～2.4m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人脸识别距离 0.3m～2m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人脸识别准确率 99.5%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人脸识别速度 0.2s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指纹传感器类型 电容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指纹验证方式 1:N</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指纹比对时间 ≤1.5s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指纹识别时间 ≤0.5s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普通卡（用户）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巡逻卡（用户）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VIP卡（用户）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来宾卡（用户）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残疾人（用户）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用户容量 100000个用户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指纹容量 10000枚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卡片容量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密码容量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二维码容量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存储记录数量 100000条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RS-485接口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RS-232接口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韦根接口 1路输入/输出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USB接口 个USB2.0接口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网络接口 1个RJ-45 100Mbps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报警输入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报警输出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报警联动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开门按钮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门状态检测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门锁控制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防反潜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防拆报警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门超时报警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非法闯入报警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非法卡超次报警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胁迫指纹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 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供电方式 DC 12V  2A</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防护等级 IP65（需要点胶，详见操作手册）</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功耗 ≤24W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产品尺寸 396.9mm×185.6mm×77.2mm（高×宽×厚）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包装尺寸 515.0mm×271.0mm×148.0mm（高×宽×厚，内箱单机包装）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 -30℃~+60℃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工作湿度 5%~95%（无凝结）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 0m～1300m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使用环境 室内 室外</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毛重 4.32kg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配件 壁装支架标配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 壁挂安装</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指纹采集器</w:t>
            </w:r>
          </w:p>
        </w:tc>
        <w:tc>
          <w:tcPr>
            <w:tcW w:w="33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MOS光学传感器，传感器寿命100万次以上，分别率500DPI，采集窗口L18xW15mm，指纹录入时间≤350毫秒，认假率≤0.0001%，拒真率≤0.014%，比对时间≤1.5秒，指纹验证方式1：N指纹搜索，工作温度0℃～55℃，相对湿度20%～90%（无凝霜），通讯接口USB，供电电压DC3.8～7，工作电流≤80m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发卡器</w:t>
            </w:r>
          </w:p>
        </w:tc>
        <w:tc>
          <w:tcPr>
            <w:tcW w:w="33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IC卡(Mifare卡)发卡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USB供电和通讯，工作电流&lt;150mA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发卡距离：3cm~8cm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免驱动安装，即插即用</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IC卡</w:t>
            </w:r>
          </w:p>
        </w:tc>
        <w:tc>
          <w:tcPr>
            <w:tcW w:w="33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尺寸：55*85*1mm</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张</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闭门器</w:t>
            </w:r>
          </w:p>
        </w:tc>
        <w:tc>
          <w:tcPr>
            <w:tcW w:w="33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采用齿轮液压传动技术，结合机械传动的精确性和稳定性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铸特缸体，高强度整体锻钢活塞</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280KG单门防水磁力锁</w:t>
            </w:r>
          </w:p>
        </w:tc>
        <w:tc>
          <w:tcPr>
            <w:tcW w:w="33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铝合金；锁体尺寸：长210x宽42x厚28.5(mm) ；吸板尺寸：长185x宽38x厚12(mm)；280kg(600Lbs)直线拉力 ；锁状态信号输出 ；断电开门；适用木门\玻璃门\金属门\防火门等；工作温度：-20℃-+60℃， 工作湿度：≤95%；2.3KG；</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广告人型摆闸</w:t>
            </w:r>
          </w:p>
        </w:tc>
        <w:tc>
          <w:tcPr>
            <w:tcW w:w="33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(1242mm-1842mm)×250mm×1640mm（长×宽×高）；外壳材料冷轧钢板；驱动电机直流减速电机（24V）；电机使用寿命100万次；通道宽度1242mm-1842mm；最大定制通道宽度支持调节；通行速度15人~20人/min；开闸时间1.5s~10s，可调节；开门模式支持刷卡（另配）、遥控器、按键、人脸（另配）；功耗10W（待机）、50W（工作）；工作温度-20℃~+70℃；使用环境室内，室外</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单门控制器</w:t>
            </w:r>
          </w:p>
        </w:tc>
        <w:tc>
          <w:tcPr>
            <w:tcW w:w="33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用32位高处理器，支持TCP/IP通讯方式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同时支持RS485协议和韦根协议读卡器的接入,韦根接口支持国际标准W26\W34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支持2台读卡器（可设单门双向识别）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支持4组信号输入（开门按钮*1，门磁报警*1，报警输入*2）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支持3组控制输出（电锁控制*1，警报输出*2）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FLASH存储容量为16M（可扩展32M），最大支持100,000个持卡者, 150,000条刷卡记录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具有防反潜、多门互锁、多重验证、远程验证、平台视频联动等多项专项功能，支持首卡开门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支持普通卡、VIP卡、来宾卡、巡逻卡、黑白名单、胁迫卡等类型及权限下发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支持读卡器防拆报警、非法闯入报警、开门超时报警、支持胁迫卡及胁迫码设定，支持黑白名单及巡逻卡设定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支持卡片、密码、指纹各种组合方式开门，支持分时段开门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支持128组时间表及128组假日时段表，支持常开时间段、常闭时间段、远程开门时间段、首卡开门时间段等设置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工作温度：-30℃-+60℃， 工作湿度：≤95%</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3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3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5"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537"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护栏</w:t>
            </w:r>
          </w:p>
        </w:tc>
        <w:tc>
          <w:tcPr>
            <w:tcW w:w="3375"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和人员摆闸配套</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5.车牌识别系统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725"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出入口杆式抓拍一体机（4行4字）</w:t>
            </w:r>
          </w:p>
        </w:tc>
        <w:tc>
          <w:tcPr>
            <w:tcW w:w="3375"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外观 杆式一体机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传感器类型 1/2.8英寸cmos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最大分辨率 1920×1080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视频编码标准 H265/H264/MJPEG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视频分辨率 主码流1920×1080，辅码流704×576</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视频码率 "H265/H264:32~6636Kb/S;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MJPEG:18662~37325K Kb/Sb/S"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视频帧率 1~25FPS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 最大支持10000条白名单车辆，可直接联动道闸输出，最大支持10000条黑名单车辆，可触发生成报警事件</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6.网络设备</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37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37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37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7.管线及网络费用</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室外立杆</w:t>
            </w:r>
          </w:p>
        </w:tc>
        <w:tc>
          <w:tcPr>
            <w:tcW w:w="33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3-5米杆，含基础地笼设备箱</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处</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3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3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3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22U机柜</w:t>
            </w:r>
          </w:p>
        </w:tc>
        <w:tc>
          <w:tcPr>
            <w:tcW w:w="33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1米机柜</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37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37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37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PE32管</w:t>
            </w:r>
          </w:p>
        </w:tc>
        <w:tc>
          <w:tcPr>
            <w:tcW w:w="337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37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道路开挖修复、基础等费用</w:t>
            </w:r>
          </w:p>
        </w:tc>
        <w:tc>
          <w:tcPr>
            <w:tcW w:w="3375"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37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shd w:val="clear" w:color="auto" w:fill="auto"/>
        <w:adjustRightInd/>
        <w:spacing w:line="440" w:lineRule="exact"/>
        <w:ind w:firstLine="480" w:firstLineChars="200"/>
        <w:rPr>
          <w:rFonts w:hint="eastAsia" w:ascii="宋体" w:hAnsi="宋体" w:cs="宋体"/>
          <w:color w:val="000000"/>
          <w:sz w:val="24"/>
          <w:highlight w:val="none"/>
        </w:rPr>
      </w:pPr>
    </w:p>
    <w:tbl>
      <w:tblPr>
        <w:tblStyle w:val="62"/>
        <w:tblW w:w="5000" w:type="pct"/>
        <w:tblInd w:w="0" w:type="dxa"/>
        <w:tblLayout w:type="autofit"/>
        <w:tblCellMar>
          <w:top w:w="0" w:type="dxa"/>
          <w:left w:w="108" w:type="dxa"/>
          <w:bottom w:w="0" w:type="dxa"/>
          <w:right w:w="108" w:type="dxa"/>
        </w:tblCellMar>
      </w:tblPr>
      <w:tblGrid>
        <w:gridCol w:w="680"/>
        <w:gridCol w:w="956"/>
        <w:gridCol w:w="6309"/>
        <w:gridCol w:w="672"/>
        <w:gridCol w:w="669"/>
      </w:tblGrid>
      <w:tr>
        <w:tblPrEx>
          <w:tblCellMar>
            <w:top w:w="0" w:type="dxa"/>
            <w:left w:w="108" w:type="dxa"/>
            <w:bottom w:w="0" w:type="dxa"/>
            <w:right w:w="108" w:type="dxa"/>
          </w:tblCellMar>
        </w:tblPrEx>
        <w:trPr>
          <w:trHeight w:val="80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14城厢街道智安小区项目设备清单（南欣公寓）</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515"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397"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61"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5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59"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15"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397"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61"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190" w:hRule="atLeast"/>
        </w:trPr>
        <w:tc>
          <w:tcPr>
            <w:tcW w:w="366"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人脸Mac一体机</w:t>
            </w:r>
          </w:p>
        </w:tc>
        <w:tc>
          <w:tcPr>
            <w:tcW w:w="33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采用高性能四百万像素1/1.8英寸CMOS图像传感器，低照度效果好，图像清晰度高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最大可输出400万(2688×1520)@60fps，满足高帧率需求</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支持ROI，SVC，SMART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支持动态检测，视频遮挡检测，虚焦侦测，场景变更检测，音频异常侦测，外部报警</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支持报警7进3出，音频2进1出，1路内置MIC，RS485，BNC，最大支持256G SD卡，2个wifi天线，1个GPS天线，1个光口（需另配光模块）</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支持DC12V供电方式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内置高效暖光灯，最大监控距离80米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支持人脸检测，人脸曝光，人脸增强，非活体过滤以及人脸属性识别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支持人脸实时抓拍，优选抓拍，质量优先三种抓拍策略，支持人脸角度过滤功能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支持人脸抠图区域可设：人脸/单寸照</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支持人脸计数及实时OSD叠加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支持垂直/倾斜人数统计，区域内人数统计功能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支持周界检测功能，包括绊线入侵，区域入侵，物品遗留，快速移动，停车检测，人员聚集，物品搬移，徘徊检测</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支持视频结构化功能，包括机动车，非机动车，人员等目标的抓拍和属性识别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支持车牌、车标、车辆子品牌、车年款、车身颜色、车辆类型等车辆属性识别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支持MAC采集功能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支持GPS/北斗功能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支持五码流功能，三路高清视频显示</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1190" w:hRule="atLeast"/>
        </w:trPr>
        <w:tc>
          <w:tcPr>
            <w:tcW w:w="366"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15"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397"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61"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3.视频监控系统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1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室外枪机</w:t>
            </w:r>
          </w:p>
        </w:tc>
        <w:tc>
          <w:tcPr>
            <w:tcW w:w="3397"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采用高性能两百万像素1/2.7英寸CMOS图像传感器，低照度效果好，图像清晰度高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可输出200万(1920*1080)@25fps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最大红外监控距离50米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支持区域入侵,绊线入侵,场景变更，支持多种触发规则联动动作;支持目标过滤</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支持DC12V/POE供电方式，方便工程安装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支持IP67防护等级</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w:t>
            </w:r>
          </w:p>
        </w:tc>
      </w:tr>
      <w:tr>
        <w:tblPrEx>
          <w:tblCellMar>
            <w:top w:w="0" w:type="dxa"/>
            <w:left w:w="108" w:type="dxa"/>
            <w:bottom w:w="0" w:type="dxa"/>
            <w:right w:w="108" w:type="dxa"/>
          </w:tblCellMar>
        </w:tblPrEx>
        <w:trPr>
          <w:trHeight w:val="119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1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16路网络视频录像机</w:t>
            </w:r>
          </w:p>
        </w:tc>
        <w:tc>
          <w:tcPr>
            <w:tcW w:w="3397"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USB接口2个，1个前置USB2.0接口、1个后置USB3.0接口；操作界面WEB方式，本地GUI操作；操作系统嵌入式Linux操作系统；多路回放最大支持16路回放；解码能力8路1080P@30fps；视频输出1路VGA输出，1路HDMI输出，其中VGA和HDMI同源输出，VGA最大输出分辨率1080P，HDMI最大输出分辨率4K；网络带宽160Mbps接入、160Mbps存储、64Mbps转发；网络接口2个RJ-45，10/100/1000Mbps自适应以太网口；网络协议HTTP、HTTPS、TCP/IP、IPv4/IPv6、UPnP、SNMP、RTSP、UDP、SMTP、NTP、DHCP、DNS、IPFilter、DDNS、FTP、AlarmServer、IPSearch(SupportDahuaIPcamera、DVR、NVS、etc.)、P2P、主动注册；硬盘接口4个，SATA3.0，单盘最大10T；主处理器工业级嵌入式微控制器；报警输出4路，其中3路继电器输出，1路12V1Actrl输出</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15"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显示器</w:t>
            </w:r>
          </w:p>
        </w:tc>
        <w:tc>
          <w:tcPr>
            <w:tcW w:w="3397" w:type="pct"/>
            <w:tcBorders>
              <w:top w:val="single" w:color="000000" w:sz="4" w:space="0"/>
              <w:left w:val="single" w:color="000000" w:sz="4" w:space="0"/>
              <w:bottom w:val="nil"/>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面板尺寸43英寸；亮度250cd/m²；安装方式底座、壁挂；信号输入标配VGA(D-Sub)×1、HDMI×1、Audioin×1；内置喇叭；支持的分辨率1920×1080</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15"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6T硬盘</w:t>
            </w:r>
          </w:p>
        </w:tc>
        <w:tc>
          <w:tcPr>
            <w:tcW w:w="3397"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6000G；5400RPM；256M；SATA</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块</w:t>
            </w:r>
          </w:p>
        </w:tc>
        <w:tc>
          <w:tcPr>
            <w:tcW w:w="35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4.人行闸及门禁系统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室外人脸一体主机</w:t>
            </w:r>
          </w:p>
        </w:tc>
        <w:tc>
          <w:tcPr>
            <w:tcW w:w="3397"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主处理器 高性能嵌入式处理器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网络协议 IPv4，RTSP，RTP，TCP，UDP，P2P</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OSDP协议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接入标准 CGI</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是否支持SDK和API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外观 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显示屏 10.1寸TFT屏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屏幕类型 电容屏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屏幕分辩率 1280×800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摄像头 200万CMOS高清摄像头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宽动态 120dB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光照补偿 自动白光补光 自动红外补光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状态指示灯 1个，蓝色-运行状态，红色-错误状态，绿色-正确状态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语音提示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蜂鸣器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外壳材料 PC+ABS 铝合金金属边框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开门模式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读卡类型 IC卡 CPU卡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假日时段表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网络更新升级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首用户开门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远程验证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黑白名单设定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Wi-Fi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外接读卡器 1路RS-485，1路韦根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多用户开门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实时监控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多重认证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刷卡拍照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WEB配置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主动注册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读卡距离 1cm～4cm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人脸识别身高范围 0.9m～2.4m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人脸识别距离 0.3m～2m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人脸识别准确率 99.5%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人脸识别速度 0.2s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指纹传感器类型 电容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指纹验证方式 1:N</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指纹比对时间 ≤1.5s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指纹识别时间 ≤0.5s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普通卡（用户）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巡逻卡（用户）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VIP卡（用户）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来宾卡（用户）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残疾人（用户）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用户容量 100000个用户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指纹容量 10000枚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卡片容量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密码容量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二维码容量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存储记录数量 100000条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RS-485接口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RS-232接口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韦根接口 1路输入/输出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USB接口 个USB2.0接口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网络接口 1个RJ-45 100Mbps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报警输入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报警输出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报警联动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开门按钮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门状态检测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门锁控制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防反潜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防拆报警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门超时报警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非法闯入报警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非法卡超次报警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胁迫指纹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 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供电方式 DC 12V  2A</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防护等级 IP65（需要点胶，详见操作手册）</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功耗 ≤24W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产品尺寸 396.9mm×185.6mm×77.2mm（高×宽×厚）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包装尺寸 515.0mm×271.0mm×148.0mm（高×宽×厚，内箱单机包装）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 -30℃~+60℃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工作湿度 5%~95%（无凝结）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 0m～1300m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使用环境 室内 室外</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毛重 4.32kg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配件 壁装支架标配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 壁挂安装</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1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指纹采集器</w:t>
            </w:r>
          </w:p>
        </w:tc>
        <w:tc>
          <w:tcPr>
            <w:tcW w:w="33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MOS光学传感器，传感器寿命100万次以上，分别率500DPI，采集窗口L18xW15mm，指纹录入时间≤350毫秒，认假率≤0.0001%，拒真率≤0.014%，比对时间≤1.5秒，指纹验证方式1：N指纹搜索，工作温度0℃～55℃，相对湿度20%～90%（无凝霜），通讯接口USB，供电电压DC3.8～7，工作电流≤80mA</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1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发卡器</w:t>
            </w:r>
          </w:p>
        </w:tc>
        <w:tc>
          <w:tcPr>
            <w:tcW w:w="33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IC卡(Mifare卡)发卡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USB供电和通讯，工作电流&lt;150mA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发卡距离：3cm~8cm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免驱动安装，即插即用</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1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IC卡</w:t>
            </w:r>
          </w:p>
        </w:tc>
        <w:tc>
          <w:tcPr>
            <w:tcW w:w="33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尺寸：55*85*1mm</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张</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1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闭门器</w:t>
            </w:r>
          </w:p>
        </w:tc>
        <w:tc>
          <w:tcPr>
            <w:tcW w:w="33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采用齿轮液压传动技术，结合机械传动的精确性和稳定性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铸特缸体，高强度整体锻钢活塞</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1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280KG单门防水磁力锁</w:t>
            </w:r>
          </w:p>
        </w:tc>
        <w:tc>
          <w:tcPr>
            <w:tcW w:w="33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铝合金；锁体尺寸：长210x宽42x厚28.5(mm) ；吸板尺寸：长185x宽38x厚12(mm)；280kg(600Lbs)直线拉力 ；锁状态信号输出 ；断电开门；适用木门\玻璃门\金属门\防火门等；工作温度：-20℃-+60℃， 工作湿度：≤95%；2.3KG；</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1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广告人型摆闸</w:t>
            </w:r>
          </w:p>
        </w:tc>
        <w:tc>
          <w:tcPr>
            <w:tcW w:w="33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(1242mm-1842mm)×250mm×1640mm（长×宽×高）；外壳材料冷轧钢板；驱动电机直流减速电机（24V）；电机使用寿命100万次；通道宽度1242mm-1842mm；最大定制通道宽度支持调节；通行速度15人~20人/min；开闸时间1.5s~10s，可调节；开门模式支持刷卡（另配）、遥控器、按键、人脸（另配）；功耗10W（待机）、50W（工作）；工作温度-20℃~+70℃；使用环境室内，室外</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51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单门控制器</w:t>
            </w:r>
          </w:p>
        </w:tc>
        <w:tc>
          <w:tcPr>
            <w:tcW w:w="33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用32位高处理器，支持TCP/IP通讯方式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同时支持RS485协议和韦根协议读卡器的接入,韦根接口支持国际标准W26\W34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支持2台读卡器（可设单门双向识别）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支持4组信号输入（开门按钮*1，门磁报警*1，报警输入*2）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支持3组控制输出（电锁控制*1，警报输出*2）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FLASH存储容量为16M（可扩展32M），最大支持100,000个持卡者, 150,000条刷卡记录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具有防反潜、多门互锁、多重验证、远程验证、平台视频联动等多项专项功能，支持首卡开门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支持普通卡、VIP卡、来宾卡、巡逻卡、黑白名单、胁迫卡等类型及权限下发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支持读卡器防拆报警、非法闯入报警、开门超时报警、支持胁迫卡及胁迫码设定，支持黑白名单及巡逻卡设定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支持卡片、密码、指纹各种组合方式开门，支持分时段开门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支持128组时间表及128组假日时段表，支持常开时间段、常闭时间段、远程开门时间段、首卡开门时间段等设置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工作温度：-30℃-+60℃， 工作湿度：≤95%</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51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3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51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3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6"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515"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护栏</w:t>
            </w:r>
          </w:p>
        </w:tc>
        <w:tc>
          <w:tcPr>
            <w:tcW w:w="3397"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和人员摆闸配套</w:t>
            </w:r>
          </w:p>
        </w:tc>
        <w:tc>
          <w:tcPr>
            <w:tcW w:w="361"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5.车牌识别系统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725"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车牌抓拍摄像机</w:t>
            </w:r>
          </w:p>
        </w:tc>
        <w:tc>
          <w:tcPr>
            <w:tcW w:w="3397"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补光灯数量2颗（可根据客户需求自由切换为暖光灯或红外灯，暖光灯色温3000K，亮度可自动调节）；传感器类型1/3英寸CMOS；图像分辨率2304×1296（不包含OSD黑边）；镜头标配4mm定焦镜头；视频分辨率主码流：1080P（1920×1080）/720P（1280×720）辅码流：720P（1280×720）/D1（704×576）；视频压缩标准MJPEG；H.264H；H.264M；H.264B；H.265；降噪3D降噪；坏点校正支持；触发方式支持视频检测、I/O线圈、雷达三种触发方式；存储功能内置1个TF卡接口（最大支持128G，TF卡可选大华、金士顿、闪迪等）；最大补光距离8m；OSD信息叠加支持叠加时间、地点、车牌、车身颜色、防伪码、车标、触发源、车牌类型、车辆颜色、车辆类型、卡口方向、车系、置信度、车头朝向、自定义信息；断网续传支持，平台/FTP；车辆检测车辆捕获率≥99.9%；车辆识别支持车型、车标、车系、车身颜色、车牌颜色、车牌号码、车牌类型、无牌车、新能源车牌识别车牌识别率≥99.9%；智能轨迹帧支持智能帧显示，可显示车牌和车辆行驶轨迹；网络接口1个，10/100M以太网口（RJ-45）；RS-485接口2个（可用于连接配套屏、雷达、道闸和外置常亮灯）；I/O接口2路，光耦输入（5V开关量），可用于车检器等信号输入；供电方式AC220V；防护等级IP67</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327"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1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摄像机立柱</w:t>
            </w:r>
          </w:p>
        </w:tc>
        <w:tc>
          <w:tcPr>
            <w:tcW w:w="3397"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抓拍一体机杆件（白色+1.5米)</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6.网络设备</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39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24口交换机</w:t>
            </w:r>
          </w:p>
        </w:tc>
        <w:tc>
          <w:tcPr>
            <w:tcW w:w="339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千兆24口，带2光口</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39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39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8.管线及网络费用</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室外立杆</w:t>
            </w:r>
          </w:p>
        </w:tc>
        <w:tc>
          <w:tcPr>
            <w:tcW w:w="33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3-5米杆，含基础地笼设备箱</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处</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1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3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1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3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1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3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1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22U机柜</w:t>
            </w:r>
          </w:p>
        </w:tc>
        <w:tc>
          <w:tcPr>
            <w:tcW w:w="33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1米机柜</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39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39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39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PE32管</w:t>
            </w:r>
          </w:p>
        </w:tc>
        <w:tc>
          <w:tcPr>
            <w:tcW w:w="339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920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PE50管</w:t>
            </w:r>
          </w:p>
        </w:tc>
        <w:tc>
          <w:tcPr>
            <w:tcW w:w="339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150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39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手孔</w:t>
            </w:r>
          </w:p>
        </w:tc>
        <w:tc>
          <w:tcPr>
            <w:tcW w:w="339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500*500*400</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道路开挖修复、基础等费用</w:t>
            </w:r>
          </w:p>
        </w:tc>
        <w:tc>
          <w:tcPr>
            <w:tcW w:w="3397"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39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shd w:val="clear" w:color="auto" w:fill="auto"/>
        <w:adjustRightInd/>
        <w:spacing w:line="440" w:lineRule="exact"/>
        <w:ind w:firstLine="480" w:firstLineChars="200"/>
        <w:rPr>
          <w:rFonts w:hint="eastAsia" w:ascii="宋体" w:hAnsi="宋体" w:cs="宋体"/>
          <w:color w:val="000000"/>
          <w:sz w:val="24"/>
          <w:highlight w:val="none"/>
        </w:rPr>
      </w:pPr>
    </w:p>
    <w:tbl>
      <w:tblPr>
        <w:tblStyle w:val="62"/>
        <w:tblW w:w="5000" w:type="pct"/>
        <w:tblInd w:w="0" w:type="dxa"/>
        <w:tblLayout w:type="autofit"/>
        <w:tblCellMar>
          <w:top w:w="0" w:type="dxa"/>
          <w:left w:w="108" w:type="dxa"/>
          <w:bottom w:w="0" w:type="dxa"/>
          <w:right w:w="108" w:type="dxa"/>
        </w:tblCellMar>
      </w:tblPr>
      <w:tblGrid>
        <w:gridCol w:w="678"/>
        <w:gridCol w:w="969"/>
        <w:gridCol w:w="6296"/>
        <w:gridCol w:w="674"/>
        <w:gridCol w:w="669"/>
      </w:tblGrid>
      <w:tr>
        <w:tblPrEx>
          <w:tblCellMar>
            <w:top w:w="0" w:type="dxa"/>
            <w:left w:w="108" w:type="dxa"/>
            <w:bottom w:w="0" w:type="dxa"/>
            <w:right w:w="108" w:type="dxa"/>
          </w:tblCellMar>
        </w:tblPrEx>
        <w:trPr>
          <w:trHeight w:val="80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15城厢街道智安小区项目设备清单（珺悦府）</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522"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390"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62"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5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59"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2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390"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人脸Mac一体机</w:t>
            </w:r>
          </w:p>
        </w:tc>
        <w:tc>
          <w:tcPr>
            <w:tcW w:w="33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采用高性能四百万像素1/1.8英寸CMOS图像传感器，低照度效果好，图像清晰度高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最大可输出400万(2688×1520)@60fps，满足高帧率需求</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支持ROI，SVC，SMART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支持动态检测，视频遮挡检测，虚焦侦测，场景变更检测，音频异常侦测，外部报警</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支持报警7进3出，音频2进1出，1路内置MIC，RS485，BNC，最大支持256G SD卡，2个wifi天线，1个GPS天线，1个光口（需另配光模块）</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支持DC12V供电方式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内置高效暖光灯，最大监控距离80米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支持人脸检测，人脸曝光，人脸增强，非活体过滤以及人脸属性识别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支持人脸实时抓拍，优选抓拍，质量优先三种抓拍策略，支持人脸角度过滤功能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支持人脸抠图区域可设：人脸/单寸照</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支持人脸计数及实时OSD叠加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支持垂直/倾斜人数统计，区域内人数统计功能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支持周界检测功能，包括绊线入侵，区域入侵，物品遗留，快速移动，停车检测，人员聚集，物品搬移，徘徊检测</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支持视频结构化功能，包括机动车，非机动车，人员等目标的抓拍和属性识别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支持车牌、车标、车辆子品牌、车年款、车身颜色、车辆类型等车辆属性识别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支持MAC采集功能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支持GPS/北斗功能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支持五码流功能，三路高清视频显示</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1190" w:hRule="atLeast"/>
        </w:trPr>
        <w:tc>
          <w:tcPr>
            <w:tcW w:w="365" w:type="pct"/>
            <w:tcBorders>
              <w:top w:val="nil"/>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2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390"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3.视频监控系统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室外枪机</w:t>
            </w:r>
          </w:p>
        </w:tc>
        <w:tc>
          <w:tcPr>
            <w:tcW w:w="339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采用高性能两百万像素1/2.7英寸CMOS图像传感器，低照度效果好，图像清晰度高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可输出200万(1920*1080)@25fps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最大红外监控距离50米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支持区域入侵,绊线入侵,场景变更，支持多种触发规则联动动作;支持目标过滤</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支持DC12V/POE供电方式，方便工程安装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支持IP67防护等级</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16路网络视频录像机</w:t>
            </w:r>
          </w:p>
        </w:tc>
        <w:tc>
          <w:tcPr>
            <w:tcW w:w="339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USB接口2个，1个前置USB2.0接口、1个后置USB3.0接口；操作界面WEB方式，本地GUI操作；操作系统嵌入式Linux操作系统；多路回放最大支持16路回放；解码能力8路1080P@30fps；视频输出1路VGA输出，1路HDMI输出，其中VGA和HDMI同源输出，VGA最大输出分辨率1080P，HDMI最大输出分辨率4K；网络带宽160Mbps接入、160Mbps存储、64Mbps转发；网络接口2个RJ-45，10/100/1000Mbps自适应以太网口；网络协议HTTP、HTTPS、TCP/IP、IPv4/IPv6、UPnP、SNMP、RTSP、UDP、SMTP、NTP、DHCP、DNS、IPFilter、DDNS、FTP、AlarmServer、IPSearch(SupportDahuaIPcamera、DVR、NVS、etc.)、P2P、主动注册；硬盘接口4个，SATA3.0，单盘最大10T；主处理器工业级嵌入式微控制器；报警输出4路，其中3路继电器输出，1路12V1Actrl输出</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22"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显示器</w:t>
            </w:r>
          </w:p>
        </w:tc>
        <w:tc>
          <w:tcPr>
            <w:tcW w:w="3390" w:type="pct"/>
            <w:tcBorders>
              <w:top w:val="single" w:color="000000" w:sz="4" w:space="0"/>
              <w:left w:val="single" w:color="000000" w:sz="4" w:space="0"/>
              <w:bottom w:val="nil"/>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面板尺寸43英寸；亮度250cd/m²；安装方式底座、壁挂；信号输入标配VGA(D-Sub)×1、HDMI×1、Audioin×1；内置喇叭；支持的分辨率1920×1080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22"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6T硬盘</w:t>
            </w:r>
          </w:p>
        </w:tc>
        <w:tc>
          <w:tcPr>
            <w:tcW w:w="3390"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6000G；5400RPM；256M；SATA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块</w:t>
            </w:r>
          </w:p>
        </w:tc>
        <w:tc>
          <w:tcPr>
            <w:tcW w:w="35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4.人行闸及门禁系统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室外人脸一体主机</w:t>
            </w:r>
          </w:p>
        </w:tc>
        <w:tc>
          <w:tcPr>
            <w:tcW w:w="3390"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主处理器 高性能嵌入式处理器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网络协议 IPv4，RTSP，RTP，TCP，UDP，P2P</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OSDP协议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接入标准 CGI</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是否支持SDK和API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外观 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显示屏 10.1寸TFT屏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屏幕类型 电容屏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屏幕分辩率 1280×800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摄像头 200万CMOS高清摄像头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宽动态 120dB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光照补偿 自动白光补光 自动红外补光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状态指示灯 1个，蓝色-运行状态，红色-错误状态，绿色-正确状态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语音提示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蜂鸣器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外壳材料 PC+ABS 铝合金金属边框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开门模式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读卡类型 IC卡 CPU卡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假日时段表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网络更新升级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首用户开门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远程验证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黑白名单设定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Wi-Fi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外接读卡器 1路RS-485，1路韦根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多用户开门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实时监控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多重认证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刷卡拍照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WEB配置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主动注册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读卡距离 1cm～4cm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人脸识别身高范围 0.9m～2.4m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人脸识别距离 0.3m～2m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人脸识别准确率 99.5%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人脸识别速度 0.2s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指纹传感器类型 电容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指纹验证方式 1:N</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指纹比对时间 ≤1.5s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指纹识别时间 ≤0.5s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普通卡（用户）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巡逻卡（用户）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VIP卡（用户）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来宾卡（用户）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残疾人（用户）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用户容量 100000个用户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指纹容量 10000枚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卡片容量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密码容量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二维码容量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存储记录数量 100000条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RS-485接口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RS-232接口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韦根接口 1路输入/输出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USB接口 个USB2.0接口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网络接口 1个RJ-45 100Mbps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报警输入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报警输出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报警联动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开门按钮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门状态检测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门锁控制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防反潜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防拆报警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门超时报警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非法闯入报警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非法卡超次报警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胁迫指纹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 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供电方式 DC 12V  2A</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防护等级 IP65（需要点胶，详见操作手册）</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功耗 ≤24W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产品尺寸 396.9mm×185.6mm×77.2mm（高×宽×厚）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包装尺寸 515.0mm×271.0mm×148.0mm（高×宽×厚，内箱单机包装）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 -30℃~+60℃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工作湿度 5%~95%（无凝结）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 0m～1300m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使用环境 室内 室外</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毛重 4.32kg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配件 壁装支架标配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 壁挂安装</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指纹采集器</w:t>
            </w:r>
          </w:p>
        </w:tc>
        <w:tc>
          <w:tcPr>
            <w:tcW w:w="33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MOS光学传感器，传感器寿命100万次以上，分别率500DPI，采集窗口L18xW15mm，指纹录入时间≤350毫秒，认假率≤0.0001%，拒真率≤0.014%，比对时间≤1.5秒，指纹验证方式1：N指纹搜索，工作温度0℃～55℃，相对湿度20%～90%（无凝霜），通讯接口USB，供电电压DC3.8～7，工作电流≤80m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发卡器</w:t>
            </w:r>
          </w:p>
        </w:tc>
        <w:tc>
          <w:tcPr>
            <w:tcW w:w="33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IC卡(Mifare卡)发卡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USB供电和通讯，工作电流&lt;150mA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发卡距离：3cm~8cm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免驱动安装，即插即用</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IC卡</w:t>
            </w:r>
          </w:p>
        </w:tc>
        <w:tc>
          <w:tcPr>
            <w:tcW w:w="33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尺寸：55*85*1mm</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张</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2500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5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单门控制器</w:t>
            </w:r>
          </w:p>
        </w:tc>
        <w:tc>
          <w:tcPr>
            <w:tcW w:w="33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用32位高处理器，支持TCP/IP通讯方式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同时支持RS485协议和韦根协议读卡器的接入,韦根接口支持国际标准W26\W34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支持2台读卡器（可设单门双向识别）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支持4组信号输入（开门按钮*1，门磁报警*1，报警输入*2）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支持3组控制输出（电锁控制*1，警报输出*2）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FLASH存储容量为16M（可扩展32M），最大支持100,000个持卡者, 150,000条刷卡记录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具有防反潜、多门互锁、多重验证、远程验证、平台视频联动等多项专项功能，支持首卡开门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支持普通卡、VIP卡、来宾卡、巡逻卡、黑白名单、胁迫卡等类型及权限下发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支持读卡器防拆报警、非法闯入报警、开门超时报警、支持胁迫卡及胁迫码设定，支持黑白名单及巡逻卡设定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支持卡片、密码、指纹各种组合方式开门，支持分时段开门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支持128组时间表及128组假日时段表，支持常开时间段、常闭时间段、远程开门时间段、首卡开门时间段等设置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工作温度：-30℃-+60℃， 工作湿度：≤95%</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5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3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5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3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5.车牌识别系统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车牌抓拍摄像机</w:t>
            </w:r>
          </w:p>
        </w:tc>
        <w:tc>
          <w:tcPr>
            <w:tcW w:w="339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补光灯数量2颗（可根据客户需求自由切换为暖光灯或红外灯，暖光灯色温3000K，亮度可自动调节）；传感器类型1/3英寸CMOS；图像分辨率2304×1296（不包含OSD黑边）；镜头标配4mm定焦镜头；视频分辨率主码流：1080P（1920×1080）/720P（1280×720）辅码流：720P（1280×720）/D1（704×576）；视频压缩标准MJPEG；H.264H；H.264M；H.264B；H.265；降噪3D降噪；坏点校正支持；触发方式支持视频检测、I/O线圈、雷达三种触发方式；存储功能内置1个TF卡接口（最大支持128G，TF卡可选大华、金士顿、闪迪等）；最大补光距离8m；OSD信息叠加支持叠加时间、地点、车牌、车身颜色、防伪码、车标、触发源、车牌类型、车辆颜色、车辆类型、卡口方向、车系、置信度、车头朝向、自定义信息；断网续传支持，平台/FTP；车辆检测车辆捕获率≥99.9%；车辆识别支持车型、车标、车系、车身颜色、车牌颜色、车牌号码、车牌类型、无牌车、新能源车牌识别车牌识别率≥99.9%；智能轨迹帧支持智能帧显示，可显示车牌和车辆行驶轨迹；网络接口1个，10/100M以太网口（RJ-45）；RS-485接口2个（可用于连接配套屏、雷达、道闸和外置常亮灯）；I/O接口2路，光耦输入（5V开关量），可用于车检器等信号输入；供电方式AC220V；防护等级IP67</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摄像机立柱</w:t>
            </w:r>
          </w:p>
        </w:tc>
        <w:tc>
          <w:tcPr>
            <w:tcW w:w="339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抓拍一体机杆件（白色+1.5米)</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6.网络设备</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2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39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2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39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2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39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7.管线及网络费用</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室外立杆</w:t>
            </w:r>
          </w:p>
        </w:tc>
        <w:tc>
          <w:tcPr>
            <w:tcW w:w="33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3-5米杆，含基础地笼设备箱</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处</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3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3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3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42U机柜</w:t>
            </w:r>
          </w:p>
        </w:tc>
        <w:tc>
          <w:tcPr>
            <w:tcW w:w="33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2米机柜</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2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39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2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39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52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39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52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PE32管</w:t>
            </w:r>
          </w:p>
        </w:tc>
        <w:tc>
          <w:tcPr>
            <w:tcW w:w="339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52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PE50管</w:t>
            </w:r>
          </w:p>
        </w:tc>
        <w:tc>
          <w:tcPr>
            <w:tcW w:w="339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52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39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w:t>
            </w:r>
          </w:p>
        </w:tc>
        <w:tc>
          <w:tcPr>
            <w:tcW w:w="52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手孔</w:t>
            </w:r>
          </w:p>
        </w:tc>
        <w:tc>
          <w:tcPr>
            <w:tcW w:w="339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500*500*400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52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道路开挖修复、基础等费用</w:t>
            </w:r>
          </w:p>
        </w:tc>
        <w:tc>
          <w:tcPr>
            <w:tcW w:w="3390"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52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39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shd w:val="clear" w:color="auto" w:fill="auto"/>
        <w:adjustRightInd/>
        <w:spacing w:line="440" w:lineRule="exact"/>
        <w:ind w:firstLine="480" w:firstLineChars="200"/>
        <w:rPr>
          <w:rFonts w:hint="eastAsia" w:ascii="宋体" w:hAnsi="宋体" w:cs="宋体"/>
          <w:color w:val="000000"/>
          <w:sz w:val="24"/>
          <w:highlight w:val="none"/>
        </w:rPr>
      </w:pPr>
    </w:p>
    <w:tbl>
      <w:tblPr>
        <w:tblStyle w:val="62"/>
        <w:tblW w:w="5000" w:type="pct"/>
        <w:tblInd w:w="0" w:type="dxa"/>
        <w:tblLayout w:type="autofit"/>
        <w:tblCellMar>
          <w:top w:w="0" w:type="dxa"/>
          <w:left w:w="108" w:type="dxa"/>
          <w:bottom w:w="0" w:type="dxa"/>
          <w:right w:w="108" w:type="dxa"/>
        </w:tblCellMar>
      </w:tblPr>
      <w:tblGrid>
        <w:gridCol w:w="678"/>
        <w:gridCol w:w="945"/>
        <w:gridCol w:w="6318"/>
        <w:gridCol w:w="676"/>
        <w:gridCol w:w="669"/>
      </w:tblGrid>
      <w:tr>
        <w:tblPrEx>
          <w:tblCellMar>
            <w:top w:w="0" w:type="dxa"/>
            <w:left w:w="108" w:type="dxa"/>
            <w:bottom w:w="0" w:type="dxa"/>
            <w:right w:w="108" w:type="dxa"/>
          </w:tblCellMar>
        </w:tblPrEx>
        <w:trPr>
          <w:trHeight w:val="80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16城厢街道智安小区项目设备清单（萧然西路585号小区）</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50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402"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62"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5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59"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402"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人脸Mac一体机</w:t>
            </w:r>
          </w:p>
        </w:tc>
        <w:tc>
          <w:tcPr>
            <w:tcW w:w="340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采用高性能四百万像素1/1.8英寸CMOS图像传感器，低照度效果好，图像清晰度高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最大可输出400万(2688×1520)@60fps，满足高帧率需求</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支持ROI，SVC，SMART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支持动态检测，视频遮挡检测，虚焦侦测，场景变更检测，音频异常侦测，外部报警</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支持报警7进3出，音频2进1出，1路内置MIC，RS485，BNC，最大支持256G SD卡，2个wifi天线，1个GPS天线，1个光口（需另配光模块）</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支持DC12V供电方式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内置高效暖光灯，最大监控距离80米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支持人脸检测，人脸曝光，人脸增强，非活体过滤以及人脸属性识别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支持人脸实时抓拍，优选抓拍，质量优先三种抓拍策略，支持人脸角度过滤功能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支持人脸抠图区域可设：人脸/单寸照</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支持人脸计数及实时OSD叠加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支持垂直/倾斜人数统计，区域内人数统计功能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支持周界检测功能，包括绊线入侵，区域入侵，物品遗留，快速移动，停车检测，人员聚集，物品搬移，徘徊检测</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支持视频结构化功能，包括机动车，非机动车，人员等目标的抓拍和属性识别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支持车牌、车标、车辆子品牌、车年款、车身颜色、车辆类型等车辆属性识别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支持MAC采集功能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支持GPS/北斗功能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支持五码流功能，三路高清视频显示</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5" w:type="pct"/>
            <w:tcBorders>
              <w:top w:val="nil"/>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0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40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3.视频监控系统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04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枪机壁装支架（通用）</w:t>
            </w:r>
          </w:p>
        </w:tc>
        <w:tc>
          <w:tcPr>
            <w:tcW w:w="340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尺寸为204.0*58.0*80.0mm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采用铝合金材质，不易生锈</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白色</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重量为0.38kg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支持最大承重1.0kg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支持壁装安装方式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支持水平：0~360°，竖直：-30°~0°旋转角度范围</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r>
      <w:tr>
        <w:tblPrEx>
          <w:tblCellMar>
            <w:top w:w="0" w:type="dxa"/>
            <w:left w:w="108" w:type="dxa"/>
            <w:bottom w:w="0" w:type="dxa"/>
            <w:right w:w="108" w:type="dxa"/>
          </w:tblCellMar>
        </w:tblPrEx>
        <w:trPr>
          <w:trHeight w:val="91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万向节</w:t>
            </w:r>
          </w:p>
        </w:tc>
        <w:tc>
          <w:tcPr>
            <w:tcW w:w="340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采用铝合金材质，不易生锈</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白色</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室外枪机</w:t>
            </w:r>
          </w:p>
        </w:tc>
        <w:tc>
          <w:tcPr>
            <w:tcW w:w="340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采用高性能两百万像素1/2.7英寸CMOS图像传感器，低照度效果好，图像清晰度高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可输出200万(1920*1080)@25fps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最大红外监控距离50米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支持区域入侵,绊线入侵,场景变更，支持多种触发规则联动动作;支持目标过滤</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支持DC12V/POE供电方式，方便工程安装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支持IP67防护等级</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16路网络视频录像机</w:t>
            </w:r>
          </w:p>
        </w:tc>
        <w:tc>
          <w:tcPr>
            <w:tcW w:w="340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USB接口2个，1个前置USB2.0接口、1个后置USB3.0接口；操作界面WEB方式，本地GUI操作；操作系统嵌入式Linux操作系统；多路回放最大支持16路回放；解码能力8路1080P@30fps；视频输出1路VGA输出，1路HDMI输出，其中VGA和HDMI同源输出，VGA最大输出分辨率1080P，HDMI最大输出分辨率4K；网络带宽160Mbps接入、160Mbps存储、64Mbps转发；网络接口2个RJ-45，10/100/1000Mbps自适应以太网口；网络协议HTTP、HTTPS、TCP/IP、IPv4/IPv6、UPnP、SNMP、RTSP、UDP、SMTP、NTP、DHCP、DNS、IPFilter、DDNS、FTP、AlarmServer、IPSearch(SupportDahuaIPcamera、DVR、NVS、etc.)、P2P、主动注册；硬盘接口4个，SATA3.0，单盘最大10T；主处理器工业级嵌入式微控制器；报警输出4路，其中3路继电器输出，1路12V1Actrl输出</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0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显示器</w:t>
            </w:r>
          </w:p>
        </w:tc>
        <w:tc>
          <w:tcPr>
            <w:tcW w:w="3402" w:type="pct"/>
            <w:tcBorders>
              <w:top w:val="single" w:color="000000" w:sz="4" w:space="0"/>
              <w:left w:val="single" w:color="000000" w:sz="4" w:space="0"/>
              <w:bottom w:val="nil"/>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面板尺寸43英寸；亮度250cd/m²；安装方式底座、壁挂；信号输入标配VGA(D-Sub)×1、HDMI×1、Audioin×1；内置喇叭；支持的分辨率1920×1080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0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6T硬盘</w:t>
            </w:r>
          </w:p>
        </w:tc>
        <w:tc>
          <w:tcPr>
            <w:tcW w:w="3402"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6000G；5400RPM；256M；SATA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块</w:t>
            </w:r>
          </w:p>
        </w:tc>
        <w:tc>
          <w:tcPr>
            <w:tcW w:w="35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4.人行闸及门禁系统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室外人脸一体主机</w:t>
            </w:r>
          </w:p>
        </w:tc>
        <w:tc>
          <w:tcPr>
            <w:tcW w:w="3402"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主处理器 高性能嵌入式处理器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网络协议 IPv4，RTSP，RTP，TCP，UDP，P2P</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OSDP协议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接入标准 CGI</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是否支持SDK和API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外观 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显示屏 10.1寸TFT屏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屏幕类型 电容屏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屏幕分辩率 1280×800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摄像头 200万CMOS高清摄像头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宽动态 120dB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光照补偿 自动白光补光 自动红外补光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状态指示灯 1个，蓝色-运行状态，红色-错误状态，绿色-正确状态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语音提示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蜂鸣器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外壳材料 PC+ABS 铝合金金属边框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开门模式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读卡类型 IC卡 CPU卡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假日时段表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网络更新升级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首用户开门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远程验证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黑白名单设定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Wi-Fi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外接读卡器 1路RS-485，1路韦根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多用户开门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实时监控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多重认证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刷卡拍照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WEB配置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主动注册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读卡距离 1cm～4cm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人脸识别身高范围 0.9m～2.4m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人脸识别距离 0.3m～2m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人脸识别准确率 99.5%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人脸识别速度 0.2s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指纹传感器类型 电容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指纹验证方式 1:N</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指纹比对时间 ≤1.5s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指纹识别时间 ≤0.5s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普通卡（用户）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巡逻卡（用户）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VIP卡（用户）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来宾卡（用户）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残疾人（用户）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用户容量 100000个用户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指纹容量 10000枚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卡片容量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密码容量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二维码容量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存储记录数量 100000条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RS-485接口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RS-232接口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韦根接口 1路输入/输出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USB接口 个USB2.0接口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网络接口 1个RJ-45 100Mbps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报警输入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报警输出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报警联动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开门按钮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门状态检测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门锁控制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防反潜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防拆报警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门超时报警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非法闯入报警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非法卡超次报警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胁迫指纹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 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供电方式 DC 12V  2A</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防护等级 IP65（需要点胶，详见操作手册）</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功耗 ≤24W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产品尺寸 396.9mm×185.6mm×77.2mm（高×宽×厚）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包装尺寸 515.0mm×271.0mm×148.0mm（高×宽×厚，内箱单机包装）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 -30℃~+60℃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工作湿度 5%~95%（无凝结）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 0m～1300m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使用环境 室内 室外</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毛重 4.32kg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配件 壁装支架标配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 壁挂安装</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指纹采集器</w:t>
            </w:r>
          </w:p>
        </w:tc>
        <w:tc>
          <w:tcPr>
            <w:tcW w:w="340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MOS光学传感器，传感器寿命100万次以上，分别率500DPI，采集窗口L18xW15mm，指纹录入时间≤350毫秒，认假率≤0.0001%，拒真率≤0.014%，比对时间≤1.5秒，指纹验证方式1：N指纹搜索，工作温度0℃～55℃，相对湿度20%～90%（无凝霜），通讯接口USB，供电电压DC3.8～7，工作电流≤80m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发卡器</w:t>
            </w:r>
          </w:p>
        </w:tc>
        <w:tc>
          <w:tcPr>
            <w:tcW w:w="340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IC卡(Mifare卡)发卡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USB供电和通讯，工作电流&lt;150mA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发卡距离：3cm~8cm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免驱动安装，即插即用</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IC卡</w:t>
            </w:r>
          </w:p>
        </w:tc>
        <w:tc>
          <w:tcPr>
            <w:tcW w:w="340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尺寸：55*85*1mm</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张</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单门控制器</w:t>
            </w:r>
          </w:p>
        </w:tc>
        <w:tc>
          <w:tcPr>
            <w:tcW w:w="340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用32位高处理器，支持TCP/IP通讯方式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同时支持RS485协议和韦根协议读卡器的接入,韦根接口支持国际标准W26\W34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支持2台读卡器（可设单门双向识别）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支持4组信号输入（开门按钮*1，门磁报警*1，报警输入*2）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支持3组控制输出（电锁控制*1，警报输出*2）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FLASH存储容量为16M（可扩展32M），最大支持100,000个持卡者, 150,000条刷卡记录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具有防反潜、多门互锁、多重验证、远程验证、平台视频联动等多项专项功能，支持首卡开门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支持普通卡、VIP卡、来宾卡、巡逻卡、黑白名单、胁迫卡等类型及权限下发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支持读卡器防拆报警、非法闯入报警、开门超时报警、支持胁迫卡及胁迫码设定，支持黑白名单及巡逻卡设定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支持卡片、密码、指纹各种组合方式开门，支持分时段开门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支持128组时间表及128组假日时段表，支持常开时间段、常闭时间段、远程开门时间段、首卡开门时间段等设置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工作温度：-30℃-+60℃， 工作湿度：≤95%</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40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40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5.车牌识别系统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725"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车牌抓拍摄像机</w:t>
            </w:r>
          </w:p>
        </w:tc>
        <w:tc>
          <w:tcPr>
            <w:tcW w:w="340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补光灯数量2颗（可根据客户需求自由切换为暖光灯或红外灯，暖光灯色温3000K，亮度可自动调节）；传感器类型1/3英寸CMOS；图像分辨率2304×1296（不包含OSD黑边）；镜头标配4mm定焦镜头；视频分辨率主码流：1080P（1920×1080）/720P（1280×720）辅码流：720P（1280×720）/D1（704×576）；视频压缩标准MJPEG；H.264H；H.264M；H.264B；H.265；降噪3D降噪；坏点校正支持；触发方式支持视频检测、I/O线圈、雷达三种触发方式；存储功能内置1个TF卡接口（最大支持128G，TF卡可选大华、金士顿、闪迪等）；最大补光距离8m；OSD信息叠加支持叠加时间、地点、车牌、车身颜色、防伪码、车标、触发源、车牌类型、车辆颜色、车辆类型、卡口方向、车系、置信度、车头朝向、自定义信息；断网续传支持，平台/FTP；车辆检测车辆捕获率≥99.9%；车辆识别支持车型、车标、车系、车身颜色、车牌颜色、车牌号码、车牌类型、无牌车、新能源车牌识别车牌识别率≥99.9%；智能轨迹帧支持智能帧显示，可显示车牌和车辆行驶轨迹；网络接口1个，10/100M以太网口（RJ-45）；RS-485接口2个（可用于连接配套屏、雷达、道闸和外置常亮灯）；I/O接口2路，光耦输入（5V开关量），可用于车检器等信号输入；供电方式AC220V；防护等级IP67</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327"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摄像机立柱</w:t>
            </w:r>
          </w:p>
        </w:tc>
        <w:tc>
          <w:tcPr>
            <w:tcW w:w="340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抓拍一体机杆件（白色+1.5米)</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6.网络设备</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40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0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24口交换机</w:t>
            </w:r>
          </w:p>
        </w:tc>
        <w:tc>
          <w:tcPr>
            <w:tcW w:w="340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千兆24口，带2光口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0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40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0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40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7.管线及网络费用</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室外立杆</w:t>
            </w:r>
          </w:p>
        </w:tc>
        <w:tc>
          <w:tcPr>
            <w:tcW w:w="340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3-5米杆，含基础地笼设备箱</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处</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40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40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40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22U机柜</w:t>
            </w:r>
          </w:p>
        </w:tc>
        <w:tc>
          <w:tcPr>
            <w:tcW w:w="340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1米机柜</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0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40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0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40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50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40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50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PE32管</w:t>
            </w:r>
          </w:p>
        </w:tc>
        <w:tc>
          <w:tcPr>
            <w:tcW w:w="340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50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PE50管</w:t>
            </w:r>
          </w:p>
        </w:tc>
        <w:tc>
          <w:tcPr>
            <w:tcW w:w="340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50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40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50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道路开挖修复、基础等费用</w:t>
            </w:r>
          </w:p>
        </w:tc>
        <w:tc>
          <w:tcPr>
            <w:tcW w:w="3402"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50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40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shd w:val="clear" w:color="auto" w:fill="auto"/>
        <w:adjustRightInd/>
        <w:spacing w:line="440" w:lineRule="exact"/>
        <w:ind w:firstLine="480" w:firstLineChars="200"/>
        <w:rPr>
          <w:rFonts w:hint="eastAsia" w:ascii="宋体" w:hAnsi="宋体" w:cs="宋体"/>
          <w:color w:val="000000"/>
          <w:sz w:val="24"/>
          <w:highlight w:val="none"/>
        </w:rPr>
      </w:pPr>
    </w:p>
    <w:p>
      <w:pPr>
        <w:pStyle w:val="16"/>
        <w:shd w:val="clear" w:color="auto" w:fill="auto"/>
        <w:rPr>
          <w:rFonts w:hint="eastAsia" w:hAnsi="宋体" w:cs="宋体"/>
          <w:b/>
          <w:color w:val="000000"/>
          <w:sz w:val="24"/>
          <w:szCs w:val="24"/>
          <w:highlight w:val="none"/>
        </w:rPr>
      </w:pPr>
      <w:r>
        <w:rPr>
          <w:rFonts w:hint="eastAsia" w:hAnsi="宋体" w:cs="宋体"/>
          <w:b/>
          <w:color w:val="000000"/>
          <w:sz w:val="24"/>
          <w:szCs w:val="24"/>
          <w:highlight w:val="none"/>
        </w:rPr>
        <w:t>标项三：产品设备清单</w:t>
      </w:r>
    </w:p>
    <w:tbl>
      <w:tblPr>
        <w:tblStyle w:val="62"/>
        <w:tblW w:w="5000" w:type="pct"/>
        <w:tblInd w:w="0" w:type="dxa"/>
        <w:tblLayout w:type="autofit"/>
        <w:tblCellMar>
          <w:top w:w="0" w:type="dxa"/>
          <w:left w:w="108" w:type="dxa"/>
          <w:bottom w:w="0" w:type="dxa"/>
          <w:right w:w="108" w:type="dxa"/>
        </w:tblCellMar>
      </w:tblPr>
      <w:tblGrid>
        <w:gridCol w:w="679"/>
        <w:gridCol w:w="929"/>
        <w:gridCol w:w="6337"/>
        <w:gridCol w:w="672"/>
        <w:gridCol w:w="669"/>
      </w:tblGrid>
      <w:tr>
        <w:tblPrEx>
          <w:tblCellMar>
            <w:top w:w="0" w:type="dxa"/>
            <w:left w:w="108" w:type="dxa"/>
            <w:bottom w:w="0" w:type="dxa"/>
            <w:right w:w="108" w:type="dxa"/>
          </w:tblCellMar>
        </w:tblPrEx>
        <w:trPr>
          <w:trHeight w:val="80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17城厢街道智安小区项目设备清单（美之园东区）</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500"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412"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61"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5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59"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0"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412"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61"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190" w:hRule="atLeast"/>
        </w:trPr>
        <w:tc>
          <w:tcPr>
            <w:tcW w:w="366"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人脸Mac一体机</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采用高性能四百万像素1/1.8英寸CMOS图像传感器，低照度效果好，图像清晰度高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最大可输出400万(2688×1520)@60fps，满足高帧率需求</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支持ROI，SVC，SMART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支持动态检测，视频遮挡检测，虚焦侦测，场景变更检测，音频异常侦测，外部报警</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支持报警7进3出，音频2进1出，1路内置MIC，RS485，BNC，最大支持256G SD卡，2个wifi天线，1个GPS天线，1个光口（需另配光模块）</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支持DC12V供电方式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内置高效暖光灯，最大监控距离80米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支持人脸检测，人脸曝光，人脸增强，非活体过滤以及人脸属性识别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支持人脸实时抓拍，优选抓拍，质量优先三种抓拍策略，支持人脸角度过滤功能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支持人脸抠图区域可设：人脸/单寸照</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支持人脸计数及实时OSD叠加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支持垂直/倾斜人数统计，区域内人数统计功能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支持周界检测功能，包括绊线入侵，区域入侵，物品遗留，快速移动，停车检测，人员聚集，物品搬移，徘徊检测</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支持视频结构化功能，包括机动车，非机动车，人员等目标的抓拍和属性识别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支持车牌、车标、车辆子品牌、车年款、车身颜色、车辆类型等车辆属性识别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支持MAC采集功能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支持GPS/北斗功能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支持五码流功能，三路高清视频显示</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6" w:type="pct"/>
            <w:tcBorders>
              <w:top w:val="nil"/>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00"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41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61"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3.视频监控系统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室外枪机</w:t>
            </w:r>
          </w:p>
        </w:tc>
        <w:tc>
          <w:tcPr>
            <w:tcW w:w="341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采用高性能两百万像素1/2.7英寸CMOS图像传感器，低照度效果好，图像清晰度高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可输出200万(1920*1080)@25fps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最大红外监控距离50米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支持区域入侵,绊线入侵,场景变更，支持多种触发规则联动动作;支持目标过滤</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支持DC12V/POE供电方式，方便工程安装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支持IP67防护等级</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r>
      <w:tr>
        <w:tblPrEx>
          <w:tblCellMar>
            <w:top w:w="0" w:type="dxa"/>
            <w:left w:w="108" w:type="dxa"/>
            <w:bottom w:w="0" w:type="dxa"/>
            <w:right w:w="108" w:type="dxa"/>
          </w:tblCellMar>
        </w:tblPrEx>
        <w:trPr>
          <w:trHeight w:val="119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16路网络视频录像机</w:t>
            </w:r>
          </w:p>
        </w:tc>
        <w:tc>
          <w:tcPr>
            <w:tcW w:w="341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USB接口2个，1个前置USB2.0接口、1个后置USB3.0接口；操作界面WEB方式，本地GUI操作；操作系统嵌入式Linux操作系统；多路回放最大支持16路回放；解码能力8路1080P@30fps；视频输出1路VGA输出，1路HDMI输出，其中VGA和HDMI同源输出，VGA最大输出分辨率1080P，HDMI最大输出分辨率4K；网络带宽160Mbps接入、160Mbps存储、64Mbps转发；网络接口2个RJ-45，10/100/1000Mbps自适应以太网口；网络协议HTTP、HTTPS、TCP/IP、IPv4/IPv6、UPnP、SNMP、RTSP、UDP、SMTP、NTP、DHCP、DNS、IPFilter、DDNS、FTP、AlarmServer、IPSearch(SupportDahuaIPcamera、DVR、NVS、etc.)、P2P、主动注册；硬盘接口4个，SATA3.0，单盘最大10T；主处理器工业级嵌入式微控制器；报警输出4路，其中3路继电器输出，1路12V1Actrl输出</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00"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显示器</w:t>
            </w:r>
          </w:p>
        </w:tc>
        <w:tc>
          <w:tcPr>
            <w:tcW w:w="3412" w:type="pct"/>
            <w:tcBorders>
              <w:top w:val="single" w:color="000000" w:sz="4" w:space="0"/>
              <w:left w:val="single" w:color="000000" w:sz="4" w:space="0"/>
              <w:bottom w:val="nil"/>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面板尺寸43英寸；亮度250cd/m²；安装方式底座、壁挂；信号输入标配VGA(D-Sub)×1、HDMI×1、Audioin×1；内置喇叭；支持的分辨率1920×1080</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00"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6T硬盘</w:t>
            </w:r>
          </w:p>
        </w:tc>
        <w:tc>
          <w:tcPr>
            <w:tcW w:w="3412"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6000G；5400RPM；256M；SATA</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块</w:t>
            </w:r>
          </w:p>
        </w:tc>
        <w:tc>
          <w:tcPr>
            <w:tcW w:w="35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4.人行闸及门禁系统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室外人脸一体主机</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主处理器 高性能嵌入式处理器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网络协议 IPv4，RTSP，RTP，TCP，UDP，P2P</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OSDP协议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接入标准 CGI</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是否支持SDK和API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外观 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显示屏 10.1寸TFT屏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屏幕类型 电容屏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屏幕分辩率 1280×800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摄像头 200万CMOS高清摄像头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宽动态 120dB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光照补偿 自动白光补光 自动红外补光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状态指示灯 1个，蓝色-运行状态，红色-错误状态，绿色-正确状态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语音提示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蜂鸣器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外壳材料 PC+ABS 铝合金金属边框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开门模式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读卡类型 IC卡 CPU卡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假日时段表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网络更新升级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首用户开门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远程验证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黑白名单设定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Wi-Fi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外接读卡器 1路RS-485，1路韦根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多用户开门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实时监控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多重认证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刷卡拍照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WEB配置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主动注册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读卡距离 1cm～4cm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人脸识别身高范围 0.9m～2.4m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人脸识别距离 0.3m～2m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人脸识别准确率 99.5%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人脸识别速度 0.2s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指纹传感器类型 电容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指纹验证方式 1:N</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指纹比对时间 ≤1.5s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指纹识别时间 ≤0.5s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普通卡（用户）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巡逻卡（用户）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VIP卡（用户）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来宾卡（用户）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残疾人（用户）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用户容量 100000个用户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指纹容量 10000枚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卡片容量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密码容量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二维码容量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存储记录数量 100000条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RS-485接口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RS-232接口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韦根接口 1路输入/输出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USB接口 个USB2.0接口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网络接口 1个RJ-45 100Mbps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报警输入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报警输出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报警联动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开门按钮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门状态检测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门锁控制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防反潜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防拆报警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门超时报警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非法闯入报警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非法卡超次报警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胁迫指纹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 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供电方式 DC 12V  2A</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防护等级 IP65（需要点胶，详见操作手册）</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功耗 ≤24W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产品尺寸 396.9mm×185.6mm×77.2mm（高×宽×厚）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包装尺寸 515.0mm×271.0mm×148.0mm（高×宽×厚，内箱单机包装）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 -30℃~+60℃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工作湿度 5%~95%（无凝结）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 0m～1300m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使用环境 室内 室外</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毛重 4.32kg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配件 壁装支架标配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 壁挂安装</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指纹采集器</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MOS光学传感器，传感器寿命100万次以上，分别率500DPI，采集窗口L18xW15mm，指纹录入时间≤350毫秒，认假率≤0.0001%，拒真率≤0.014%，比对时间≤1.5秒，指纹验证方式1：N指纹搜索，工作温度0℃～55℃，相对湿度20%～90%（无凝霜），通讯接口USB，供电电压DC3.8～7，工作电流≤80mA</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发卡器</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IC卡(Mifare卡)发卡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USB供电和通讯，工作电流&lt;150mA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发卡距离：3cm~8cm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免驱动安装，即插即用</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IC卡</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尺寸：55*85*1mm</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张</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单门控制器</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用32位高处理器，支持TCP/IP通讯方式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同时支持RS485协议和韦根协议读卡器的接入,韦根接口支持国际标准W26\W34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支持2台读卡器（可设单门双向识别）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支持4组信号输入（开门按钮*1，门磁报警*1，报警输入*2）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支持3组控制输出（电锁控制*1，警报输出*2）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FLASH存储容量为16M（可扩展32M），最大支持100,000个持卡者, 150,000条刷卡记录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具有防反潜、多门互锁、多重验证、远程验证、平台视频联动等多项专项功能，支持首卡开门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支持普通卡、VIP卡、来宾卡、巡逻卡、黑白名单、胁迫卡等类型及权限下发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支持读卡器防拆报警、非法闯入报警、开门超时报警、支持胁迫卡及胁迫码设定，支持黑白名单及巡逻卡设定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支持卡片、密码、指纹各种组合方式开门，支持分时段开门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支持128组时间表及128组假日时段表，支持常开时间段、常闭时间段、远程开门时间段、首卡开门时间段等设置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工作温度：-30℃-+60℃， 工作湿度：≤95%</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5.车牌识别系统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车牌抓拍摄像机</w:t>
            </w:r>
          </w:p>
        </w:tc>
        <w:tc>
          <w:tcPr>
            <w:tcW w:w="341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补光灯数量2颗（可根据客户需求自由切换为暖光灯或红外灯，暖光灯色温3000K，亮度可自动调节）；传感器类型1/3英寸CMOS；图像分辨率2304×1296（不包含OSD黑边）；镜头标配4mm定焦镜头；视频分辨率主码流：1080P（1920×1080）/720P（1280×720）辅码流：720P（1280×720）/D1（704×576）；视频压缩标准MJPEG；H.264H；H.264M；H.264B；H.265；降噪3D降噪；坏点校正支持；触发方式支持视频检测、I/O线圈、雷达三种触发方式；存储功能内置1个TF卡接口（最大支持128G，TF卡可选大华、金士顿、闪迪等）；最大补光距离8m；OSD信息叠加支持叠加时间、地点、车牌、车身颜色、防伪码、车标、触发源、车牌类型、车辆颜色、车辆类型、卡口方向、车系、置信度、车头朝向、自定义信息；断网续传支持，平台/FTP；车辆检测车辆捕获率≥99.9%；车辆识别支持车型、车标、车系、车身颜色、车牌颜色、车牌号码、车牌类型、无牌车、新能源车牌识别车牌识别率≥99.9%；智能轨迹帧支持智能帧显示，可显示车牌和车辆行驶轨迹；网络接口1个，10/100M以太网口（RJ-45）；RS-485接口2个（可用于连接配套屏、雷达、道闸和外置常亮灯）；I/O接口2路，光耦输入（5V开关量），可用于车检器等信号输入；供电方式AC220V；防护等级IP67</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摄像机立柱</w:t>
            </w:r>
          </w:p>
        </w:tc>
        <w:tc>
          <w:tcPr>
            <w:tcW w:w="341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抓拍一体机杆件（白色+1.5米)</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6.网络设备</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7.管线及网络费用</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室外立杆</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3-5米杆，含基础地笼设备箱</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处</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42U机柜</w:t>
            </w:r>
          </w:p>
        </w:tc>
        <w:tc>
          <w:tcPr>
            <w:tcW w:w="341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2米机柜</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PE32管</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PE50管</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手孔</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500*500*400</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道路开挖修复、基础等费用</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41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shd w:val="clear" w:color="auto" w:fill="auto"/>
        <w:adjustRightInd/>
        <w:spacing w:line="440" w:lineRule="exact"/>
        <w:ind w:firstLine="480" w:firstLineChars="200"/>
        <w:rPr>
          <w:rFonts w:hint="eastAsia" w:ascii="宋体" w:hAnsi="宋体" w:cs="宋体"/>
          <w:color w:val="000000"/>
          <w:sz w:val="24"/>
          <w:highlight w:val="none"/>
        </w:rPr>
      </w:pPr>
    </w:p>
    <w:tbl>
      <w:tblPr>
        <w:tblStyle w:val="62"/>
        <w:tblW w:w="5000" w:type="pct"/>
        <w:tblInd w:w="0" w:type="dxa"/>
        <w:tblLayout w:type="autofit"/>
        <w:tblCellMar>
          <w:top w:w="0" w:type="dxa"/>
          <w:left w:w="108" w:type="dxa"/>
          <w:bottom w:w="0" w:type="dxa"/>
          <w:right w:w="108" w:type="dxa"/>
        </w:tblCellMar>
      </w:tblPr>
      <w:tblGrid>
        <w:gridCol w:w="680"/>
        <w:gridCol w:w="1198"/>
        <w:gridCol w:w="6067"/>
        <w:gridCol w:w="672"/>
        <w:gridCol w:w="669"/>
      </w:tblGrid>
      <w:tr>
        <w:tblPrEx>
          <w:tblCellMar>
            <w:top w:w="0" w:type="dxa"/>
            <w:left w:w="108" w:type="dxa"/>
            <w:bottom w:w="0" w:type="dxa"/>
            <w:right w:w="108" w:type="dxa"/>
          </w:tblCellMar>
        </w:tblPrEx>
        <w:trPr>
          <w:trHeight w:val="80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18城厢街道智安小区项目设备清单（美之园西区）</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645"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267"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61"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5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59"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45"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267"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61"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190" w:hRule="atLeast"/>
        </w:trPr>
        <w:tc>
          <w:tcPr>
            <w:tcW w:w="366"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人脸Mac一体机</w:t>
            </w:r>
          </w:p>
        </w:tc>
        <w:tc>
          <w:tcPr>
            <w:tcW w:w="326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采用高性能四百万像素1/1.8英寸CMOS图像传感器，低照度效果好，图像清晰度高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最大可输出400万(2688×1520)@60fps，满足高帧率需求</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支持ROI，SVC，SMART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支持动态检测，视频遮挡检测，虚焦侦测，场景变更检测，音频异常侦测，外部报警</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支持报警7进3出，音频2进1出，1路内置MIC，RS485，BNC，最大支持256G SD卡，2个wifi天线，1个GPS天线，1个光口（需另配光模块）</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支持DC12V供电方式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内置高效暖光灯，最大监控距离80米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支持人脸检测，人脸曝光，人脸增强，非活体过滤以及人脸属性识别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支持人脸实时抓拍，优选抓拍，质量优先三种抓拍策略，支持人脸角度过滤功能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支持人脸抠图区域可设：人脸/单寸照</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支持人脸计数及实时OSD叠加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支持垂直/倾斜人数统计，区域内人数统计功能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支持周界检测功能，包括绊线入侵，区域入侵，物品遗留，快速移动，停车检测，人员聚集，物品搬移，徘徊检测</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支持视频结构化功能，包括机动车，非机动车，人员等目标的抓拍和属性识别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支持车牌、车标、车辆子品牌、车年款、车身颜色、车辆类型等车辆属性识别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支持MAC采集功能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支持GPS/北斗功能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支持五码流功能，三路高清视频显示</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6" w:type="pct"/>
            <w:tcBorders>
              <w:top w:val="nil"/>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45"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267"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61"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3.视频监控系统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室外枪机</w:t>
            </w:r>
          </w:p>
        </w:tc>
        <w:tc>
          <w:tcPr>
            <w:tcW w:w="3267"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采用高性能两百万像素1/2.7英寸CMOS图像传感器，低照度效果好，图像清晰度高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可输出200万(1920*1080)@25fps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最大红外监控距离50米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支持区域入侵,绊线入侵,场景变更，支持多种触发规则联动动作;支持目标过滤</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支持DC12V/POE供电方式，方便工程安装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支持IP67防护等级</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r>
      <w:tr>
        <w:tblPrEx>
          <w:tblCellMar>
            <w:top w:w="0" w:type="dxa"/>
            <w:left w:w="108" w:type="dxa"/>
            <w:bottom w:w="0" w:type="dxa"/>
            <w:right w:w="108" w:type="dxa"/>
          </w:tblCellMar>
        </w:tblPrEx>
        <w:trPr>
          <w:trHeight w:val="119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16路网络视频录像机</w:t>
            </w:r>
          </w:p>
        </w:tc>
        <w:tc>
          <w:tcPr>
            <w:tcW w:w="3267"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USB接口2个，1个前置USB2.0接口、1个后置USB3.0接口；操作界面WEB方式，本地GUI操作；操作系统嵌入式Linux操作系统；多路回放最大支持16路回放；解码能力8路1080P@30fps；视频输出1路VGA输出，1路HDMI输出，其中VGA和HDMI同源输出，VGA最大输出分辨率1080P，HDMI最大输出分辨率4K；网络带宽160Mbps接入、160Mbps存储、64Mbps转发；网络接口2个RJ-45，10/100/1000Mbps自适应以太网口；网络协议HTTP、HTTPS、TCP/IP、IPv4/IPv6、UPnP、SNMP、RTSP、UDP、SMTP、NTP、DHCP、DNS、IPFilter、DDNS、FTP、AlarmServer、IPSearch(SupportDahuaIPcamera、DVR、NVS、etc.)、P2P、主动注册；硬盘接口4个，SATA3.0，单盘最大10T；主处理器工业级嵌入式微控制器；报警输出4路，其中3路继电器输出，1路12V1Actrl输出</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45"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显示器</w:t>
            </w:r>
          </w:p>
        </w:tc>
        <w:tc>
          <w:tcPr>
            <w:tcW w:w="3267" w:type="pct"/>
            <w:tcBorders>
              <w:top w:val="single" w:color="000000" w:sz="4" w:space="0"/>
              <w:left w:val="single" w:color="000000" w:sz="4" w:space="0"/>
              <w:bottom w:val="nil"/>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面板尺寸43英寸；亮度250cd/m²；安装方式底座、壁挂；信号输入标配VGA(D-Sub)×1、HDMI×1、Audioin×1；内置喇叭；支持的分辨率1920×1080</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45"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6T硬盘</w:t>
            </w:r>
          </w:p>
        </w:tc>
        <w:tc>
          <w:tcPr>
            <w:tcW w:w="3267"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6000G；5400RPM；256M；SATA</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块</w:t>
            </w:r>
          </w:p>
        </w:tc>
        <w:tc>
          <w:tcPr>
            <w:tcW w:w="35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4.人行闸及门禁系统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室外人脸一体主机</w:t>
            </w:r>
          </w:p>
        </w:tc>
        <w:tc>
          <w:tcPr>
            <w:tcW w:w="3267"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主处理器 高性能嵌入式处理器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网络协议 IPv4，RTSP，RTP，TCP，UDP，P2P</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OSDP协议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接入标准 CGI</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是否支持SDK和API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外观 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显示屏 10.1寸TFT屏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屏幕类型 电容屏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屏幕分辩率 1280×800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摄像头 200万CMOS高清摄像头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宽动态 120dB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光照补偿 自动白光补光 自动红外补光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状态指示灯 1个，蓝色-运行状态，红色-错误状态，绿色-正确状态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语音提示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蜂鸣器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外壳材料 PC+ABS 铝合金金属边框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开门模式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读卡类型 IC卡 CPU卡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假日时段表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网络更新升级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首用户开门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远程验证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黑白名单设定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Wi-Fi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外接读卡器 1路RS-485，1路韦根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多用户开门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实时监控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多重认证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刷卡拍照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WEB配置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主动注册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读卡距离 1cm～4cm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人脸识别身高范围 0.9m～2.4m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人脸识别距离 0.3m～2m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人脸识别准确率 99.5%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人脸识别速度 0.2s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指纹传感器类型 电容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指纹验证方式 1:N</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指纹比对时间 ≤1.5s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指纹识别时间 ≤0.5s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普通卡（用户）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巡逻卡（用户）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VIP卡（用户）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来宾卡（用户）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残疾人（用户）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用户容量 100000个用户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指纹容量 10000枚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卡片容量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密码容量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二维码容量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存储记录数量 100000条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RS-485接口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RS-232接口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韦根接口 1路输入/输出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USB接口 个USB2.0接口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网络接口 1个RJ-45 100Mbps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报警输入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报警输出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报警联动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开门按钮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门状态检测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门锁控制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防反潜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防拆报警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门超时报警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非法闯入报警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非法卡超次报警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胁迫指纹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 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供电方式 DC 12V  2A</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防护等级 IP65（需要点胶，详见操作手册）</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功耗 ≤24W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产品尺寸 396.9mm×185.6mm×77.2mm（高×宽×厚）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包装尺寸 515.0mm×271.0mm×148.0mm（高×宽×厚，内箱单机包装）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 -30℃~+60℃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工作湿度 5%~95%（无凝结）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 0m～1300m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使用环境 室内 室外</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毛重 4.32kg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配件 壁装支架标配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 壁挂安装</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指纹采集器</w:t>
            </w:r>
          </w:p>
        </w:tc>
        <w:tc>
          <w:tcPr>
            <w:tcW w:w="326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MOS光学传感器，传感器寿命100万次以上，分别率500DPI，采集窗口L18xW15mm，指纹录入时间≤350毫秒，认假率≤0.0001%，拒真率≤0.014%，比对时间≤1.5秒，指纹验证方式1：N指纹搜索，工作温度0℃～55℃，相对湿度20%～90%（无凝霜），通讯接口USB，供电电压DC3.8～7，工作电流≤80mA</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发卡器</w:t>
            </w:r>
          </w:p>
        </w:tc>
        <w:tc>
          <w:tcPr>
            <w:tcW w:w="326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IC卡(Mifare卡)发卡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USB供电和通讯，工作电流&lt;150mA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发卡距离：3cm~8cm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免驱动安装，即插即用</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IC卡</w:t>
            </w:r>
          </w:p>
        </w:tc>
        <w:tc>
          <w:tcPr>
            <w:tcW w:w="326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尺寸：55*85*1mm</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张</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3000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闭门器</w:t>
            </w:r>
          </w:p>
        </w:tc>
        <w:tc>
          <w:tcPr>
            <w:tcW w:w="326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采用齿轮液压传动技术，结合机械传动的精确性和稳定性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铸特缸体，高强度整体锻钢活塞</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280KG单门防水磁力锁</w:t>
            </w:r>
          </w:p>
        </w:tc>
        <w:tc>
          <w:tcPr>
            <w:tcW w:w="326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铝合金；锁体尺寸：长210x宽42x厚28.5(mm) ；吸板尺寸：长185x宽38x厚12(mm)；280kg(600Lbs)直线拉力 ；锁状态信号输出 ；断电开门；适用木门\玻璃门\金属门\防火门等；工作温度：-20℃-+60℃， 工作湿度：≤95%；2.3KG；</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广告人型摆闸</w:t>
            </w:r>
          </w:p>
        </w:tc>
        <w:tc>
          <w:tcPr>
            <w:tcW w:w="326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(1242mm-1842mm)×250mm×1640mm（长×宽×高）；外壳材料冷轧钢板；驱动电机直流减速电机（24V）；电机使用寿命100万次；通道宽度1242mm-1842mm；最大定制通道宽度支持调节；通行速度15人~20人/min；开闸时间1.5s~10s，可调节；开门模式支持刷卡（另配）、遥控器、按键、人脸（另配）；功耗10W（待机）、50W（工作）；工作温度-20℃~+70℃；使用环境室内，室外</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6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单门控制器</w:t>
            </w:r>
          </w:p>
        </w:tc>
        <w:tc>
          <w:tcPr>
            <w:tcW w:w="326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用32位高处理器，支持TCP/IP通讯方式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同时支持RS485协议和韦根协议读卡器的接入,韦根接口支持国际标准W26\W34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支持2台读卡器（可设单门双向识别）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支持4组信号输入（开门按钮*1，门磁报警*1，报警输入*2）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支持3组控制输出（电锁控制*1，警报输出*2）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FLASH存储容量为16M（可扩展32M），最大支持100,000个持卡者, 150,000条刷卡记录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具有防反潜、多门互锁、多重验证、远程验证、平台视频联动等多项专项功能，支持首卡开门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支持普通卡、VIP卡、来宾卡、巡逻卡、黑白名单、胁迫卡等类型及权限下发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支持读卡器防拆报警、非法闯入报警、开门超时报警、支持胁迫卡及胁迫码设定，支持黑白名单及巡逻卡设定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支持卡片、密码、指纹各种组合方式开门，支持分时段开门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支持128组时间表及128组假日时段表，支持常开时间段、常闭时间段、远程开门时间段、首卡开门时间段等设置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工作温度：-30℃-+60℃， 工作湿度：≤95%</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6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26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6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26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5.车牌识别系统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车牌抓拍摄像机</w:t>
            </w:r>
          </w:p>
        </w:tc>
        <w:tc>
          <w:tcPr>
            <w:tcW w:w="3267"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补光灯数量2颗（可根据客户需求自由切换为暖光灯或红外灯，暖光灯色温3000K，亮度可自动调节）；传感器类型1/3英寸CMOS；图像分辨率2304×1296（不包含OSD黑边）；镜头标配4mm定焦镜头；视频分辨率主码流：1080P（1920×1080）/720P（1280×720）辅码流：720P（1280×720）/D1（704×576）；视频压缩标准MJPEG；H.264H；H.264M；H.264B；H.265；降噪3D降噪；坏点校正支持；触发方式支持视频检测、I/O线圈、雷达三种触发方式；存储功能内置1个TF卡接口（最大支持128G，TF卡可选大华、金士顿、闪迪等）；最大补光距离8m；OSD信息叠加支持叠加时间、地点、车牌、车身颜色、防伪码、车标、触发源、车牌类型、车辆颜色、车辆类型、卡口方向、车系、置信度、车头朝向、自定义信息；断网续传支持，平台/FTP；车辆检测车辆捕获率≥99.9%；车辆识别支持车型、车标、车系、车身颜色、车牌颜色、车牌号码、车牌类型、无牌车、新能源车牌识别车牌识别率≥99.9%；智能轨迹帧支持智能帧显示，可显示车牌和车辆行驶轨迹；网络接口1个，10/100M以太网口（RJ-45）；RS-485接口2个（可用于连接配套屏、雷达、道闸和外置常亮灯）；I/O接口2路，光耦输入（5V开关量），可用于车检器等信号输入；供电方式AC220V；防护等级IP67</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摄像机立柱</w:t>
            </w:r>
          </w:p>
        </w:tc>
        <w:tc>
          <w:tcPr>
            <w:tcW w:w="3267"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抓拍一体机杆件（白色+1.5米)</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6.网络设备</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26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26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26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7.管线及网络费用</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室外立杆</w:t>
            </w:r>
          </w:p>
        </w:tc>
        <w:tc>
          <w:tcPr>
            <w:tcW w:w="326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3-5米杆，含基础地笼设备箱</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处</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26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26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26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42U机柜</w:t>
            </w:r>
          </w:p>
        </w:tc>
        <w:tc>
          <w:tcPr>
            <w:tcW w:w="326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2米机柜</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26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26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26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PE32管</w:t>
            </w:r>
          </w:p>
        </w:tc>
        <w:tc>
          <w:tcPr>
            <w:tcW w:w="326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PE50管</w:t>
            </w:r>
          </w:p>
        </w:tc>
        <w:tc>
          <w:tcPr>
            <w:tcW w:w="326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26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手孔</w:t>
            </w:r>
          </w:p>
        </w:tc>
        <w:tc>
          <w:tcPr>
            <w:tcW w:w="326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500*500*400</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道路开挖修复、基础等费用</w:t>
            </w:r>
          </w:p>
        </w:tc>
        <w:tc>
          <w:tcPr>
            <w:tcW w:w="3267"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267"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shd w:val="clear" w:color="auto" w:fill="auto"/>
        <w:adjustRightInd/>
        <w:spacing w:line="440" w:lineRule="exact"/>
        <w:ind w:firstLine="480" w:firstLineChars="200"/>
        <w:rPr>
          <w:rFonts w:hint="eastAsia" w:ascii="宋体" w:hAnsi="宋体" w:cs="宋体"/>
          <w:color w:val="000000"/>
          <w:sz w:val="24"/>
          <w:highlight w:val="none"/>
        </w:rPr>
      </w:pPr>
    </w:p>
    <w:tbl>
      <w:tblPr>
        <w:tblStyle w:val="62"/>
        <w:tblW w:w="5000" w:type="pct"/>
        <w:tblInd w:w="0" w:type="dxa"/>
        <w:tblLayout w:type="autofit"/>
        <w:tblCellMar>
          <w:top w:w="0" w:type="dxa"/>
          <w:left w:w="108" w:type="dxa"/>
          <w:bottom w:w="0" w:type="dxa"/>
          <w:right w:w="108" w:type="dxa"/>
        </w:tblCellMar>
      </w:tblPr>
      <w:tblGrid>
        <w:gridCol w:w="680"/>
        <w:gridCol w:w="995"/>
        <w:gridCol w:w="6270"/>
        <w:gridCol w:w="672"/>
        <w:gridCol w:w="669"/>
      </w:tblGrid>
      <w:tr>
        <w:tblPrEx>
          <w:tblCellMar>
            <w:top w:w="0" w:type="dxa"/>
            <w:left w:w="108" w:type="dxa"/>
            <w:bottom w:w="0" w:type="dxa"/>
            <w:right w:w="108" w:type="dxa"/>
          </w:tblCellMar>
        </w:tblPrEx>
        <w:trPr>
          <w:trHeight w:val="80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19城厢街道智安小区项目设备清单（湘湖美地）</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536"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376"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61"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5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59"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36"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376"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61"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190" w:hRule="atLeast"/>
        </w:trPr>
        <w:tc>
          <w:tcPr>
            <w:tcW w:w="366"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36"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376"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61"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3.人行闸及门禁系统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3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室外人脸一体主机</w:t>
            </w:r>
          </w:p>
        </w:tc>
        <w:tc>
          <w:tcPr>
            <w:tcW w:w="3376"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主处理器 高性能嵌入式处理器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网络协议 IPv4，RTSP，RTP，TCP，UDP，P2P</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OSDP协议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接入标准 CGI</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是否支持SDK和API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外观 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显示屏 10.1寸TFT屏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屏幕类型 电容屏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屏幕分辩率 1280×800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摄像头 200万CMOS高清摄像头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宽动态 120dB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光照补偿 自动白光补光 自动红外补光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状态指示灯 1个，蓝色-运行状态，红色-错误状态，绿色-正确状态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语音提示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蜂鸣器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外壳材料 PC+ABS 铝合金金属边框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开门模式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读卡类型 IC卡 CPU卡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假日时段表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网络更新升级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首用户开门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远程验证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黑白名单设定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Wi-Fi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外接读卡器 1路RS-485，1路韦根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多用户开门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实时监控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多重认证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刷卡拍照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WEB配置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主动注册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读卡距离 1cm～4cm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人脸识别身高范围 0.9m～2.4m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人脸识别距离 0.3m～2m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人脸识别准确率 99.5%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人脸识别速度 0.2s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指纹传感器类型 电容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指纹验证方式 1:N</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指纹比对时间 ≤1.5s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指纹识别时间 ≤0.5s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普通卡（用户）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巡逻卡（用户）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VIP卡（用户）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来宾卡（用户）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残疾人（用户）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用户容量 100000个用户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指纹容量 10000枚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卡片容量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密码容量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二维码容量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存储记录数量 100000条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RS-485接口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RS-232接口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韦根接口 1路输入/输出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USB接口 个USB2.0接口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网络接口 1个RJ-45 100Mbps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报警输入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报警输出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报警联动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开门按钮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门状态检测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门锁控制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防反潜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防拆报警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门超时报警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非法闯入报警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非法卡超次报警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胁迫指纹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 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供电方式 DC 12V  2A</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防护等级 IP65（需要点胶，详见操作手册）</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功耗 ≤24W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产品尺寸 396.9mm×185.6mm×77.2mm（高×宽×厚）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包装尺寸 515.0mm×271.0mm×148.0mm（高×宽×厚，内箱单机包装）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 -30℃~+60℃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工作湿度 5%~95%（无凝结）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 0m～1300m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使用环境 室内 室外</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毛重 4.32kg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配件 壁装支架标配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 壁挂安装</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3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指纹采集器</w:t>
            </w:r>
          </w:p>
        </w:tc>
        <w:tc>
          <w:tcPr>
            <w:tcW w:w="337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MOS光学传感器，传感器寿命100万次以上，分别率500DPI，采集窗口L18xW15mm，指纹录入时间≤350毫秒，认假率≤0.0001%，拒真率≤0.014%，比对时间≤1.5秒，指纹验证方式1：N指纹搜索，工作温度0℃～55℃，相对湿度20%～90%（无凝霜），通讯接口USB，供电电压DC3.8～7，工作电流≤80mA</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3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发卡器</w:t>
            </w:r>
          </w:p>
        </w:tc>
        <w:tc>
          <w:tcPr>
            <w:tcW w:w="337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IC卡(Mifare卡)发卡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USB供电和通讯，工作电流&lt;150mA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发卡距离：3cm~8cm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免驱动安装，即插即用</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3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IC卡</w:t>
            </w:r>
          </w:p>
        </w:tc>
        <w:tc>
          <w:tcPr>
            <w:tcW w:w="337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尺寸：55*85*1mm</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张</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53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单门控制器</w:t>
            </w:r>
          </w:p>
        </w:tc>
        <w:tc>
          <w:tcPr>
            <w:tcW w:w="337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用32位高处理器，支持TCP/IP通讯方式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同时支持RS485协议和韦根协议读卡器的接入,韦根接口支持国际标准W26\W34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支持2台读卡器（可设单门双向识别）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支持4组信号输入（开门按钮*1，门磁报警*1，报警输入*2）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支持3组控制输出（电锁控制*1，警报输出*2）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FLASH存储容量为16M（可扩展32M），最大支持100,000个持卡者, 150,000条刷卡记录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具有防反潜、多门互锁、多重验证、远程验证、平台视频联动等多项专项功能，支持首卡开门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支持普通卡、VIP卡、来宾卡、巡逻卡、黑白名单、胁迫卡等类型及权限下发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支持读卡器防拆报警、非法闯入报警、开门超时报警、支持胁迫卡及胁迫码设定，支持黑白名单及巡逻卡设定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支持卡片、密码、指纹各种组合方式开门，支持分时段开门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支持128组时间表及128组假日时段表，支持常开时间段、常闭时间段、远程开门时间段、首卡开门时间段等设置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工作温度：-30℃-+60℃， 工作湿度：≤95%</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53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37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53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37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5.车牌识别系统（新增）</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725"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3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车牌抓拍摄像机</w:t>
            </w:r>
          </w:p>
        </w:tc>
        <w:tc>
          <w:tcPr>
            <w:tcW w:w="3376"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补光灯数量2颗（可根据客户需求自由切换为暖光灯或红外灯，暖光灯色温3000K，亮度可自动调节）；传感器类型1/3英寸CMOS；图像分辨率2304×1296（不包含OSD黑边）；镜头标配4mm定焦镜头；视频分辨率主码流：1080P（1920×1080）/720P（1280×720）辅码流：720P（1280×720）/D1（704×576）；视频压缩标准MJPEG；H.264H；H.264M；H.264B；H.265；降噪3D降噪；坏点校正支持；触发方式支持视频检测、I/O线圈、雷达三种触发方式；存储功能内置1个TF卡接口（最大支持128G，TF卡可选大华、金士顿、闪迪等）；最大补光距离8m；OSD信息叠加支持叠加时间、地点、车牌、车身颜色、防伪码、车标、触发源、车牌类型、车辆颜色、车辆类型、卡口方向、车系、置信度、车头朝向、自定义信息；断网续传支持，平台/FTP；车辆检测车辆捕获率≥99.9%；车辆识别支持车型、车标、车系、车身颜色、车牌颜色、车牌号码、车牌类型、无牌车、新能源车牌识别车牌识别率≥99.9%；智能轨迹帧支持智能帧显示，可显示车牌和车辆行驶轨迹；网络接口1个，10/100M以太网口（RJ-45）；RS-485接口2个（可用于连接配套屏、雷达、道闸和外置常亮灯）；I/O接口2路，光耦输入（5V开关量），可用于车检器等信号输入；供电方式AC220V；防护等级IP67</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327"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3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摄像机立柱</w:t>
            </w:r>
          </w:p>
        </w:tc>
        <w:tc>
          <w:tcPr>
            <w:tcW w:w="3376"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抓拍一体机杆件（白色+1.5米)</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6.网络设备</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3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3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3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7.管线及网络费用</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3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室外立杆</w:t>
            </w:r>
          </w:p>
        </w:tc>
        <w:tc>
          <w:tcPr>
            <w:tcW w:w="337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3-5米杆，含基础地笼设备箱</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处</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3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37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3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37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3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37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3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22U机柜</w:t>
            </w:r>
          </w:p>
        </w:tc>
        <w:tc>
          <w:tcPr>
            <w:tcW w:w="337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1米机柜</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3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3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53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53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PE32管</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53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w:t>
            </w:r>
          </w:p>
        </w:tc>
        <w:tc>
          <w:tcPr>
            <w:tcW w:w="53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手孔</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500*500*400</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53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道路开挖修复等费用</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53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shd w:val="clear" w:color="auto" w:fill="auto"/>
        <w:adjustRightInd/>
        <w:spacing w:line="440" w:lineRule="exact"/>
        <w:ind w:firstLine="480" w:firstLineChars="200"/>
        <w:rPr>
          <w:rFonts w:hint="eastAsia" w:ascii="宋体" w:hAnsi="宋体" w:cs="宋体"/>
          <w:color w:val="000000"/>
          <w:sz w:val="24"/>
          <w:highlight w:val="none"/>
        </w:rPr>
      </w:pPr>
    </w:p>
    <w:tbl>
      <w:tblPr>
        <w:tblStyle w:val="62"/>
        <w:tblW w:w="5000" w:type="pct"/>
        <w:tblInd w:w="0" w:type="dxa"/>
        <w:tblLayout w:type="autofit"/>
        <w:tblCellMar>
          <w:top w:w="0" w:type="dxa"/>
          <w:left w:w="108" w:type="dxa"/>
          <w:bottom w:w="0" w:type="dxa"/>
          <w:right w:w="108" w:type="dxa"/>
        </w:tblCellMar>
      </w:tblPr>
      <w:tblGrid>
        <w:gridCol w:w="680"/>
        <w:gridCol w:w="1168"/>
        <w:gridCol w:w="6097"/>
        <w:gridCol w:w="672"/>
        <w:gridCol w:w="669"/>
      </w:tblGrid>
      <w:tr>
        <w:tblPrEx>
          <w:tblCellMar>
            <w:top w:w="0" w:type="dxa"/>
            <w:left w:w="108" w:type="dxa"/>
            <w:bottom w:w="0" w:type="dxa"/>
            <w:right w:w="108" w:type="dxa"/>
          </w:tblCellMar>
        </w:tblPrEx>
        <w:trPr>
          <w:trHeight w:val="80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20城厢街道智安小区项目设备清单（同和公寓）</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62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283"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61"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5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59"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2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283"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61"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190" w:hRule="atLeast"/>
        </w:trPr>
        <w:tc>
          <w:tcPr>
            <w:tcW w:w="366"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人脸Mac一体机</w:t>
            </w:r>
          </w:p>
        </w:tc>
        <w:tc>
          <w:tcPr>
            <w:tcW w:w="32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采用高性能四百万像素1/1.8英寸CMOS图像传感器，低照度效果好，图像清晰度高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最大可输出400万(2688×1520)@60fps，满足高帧率需求</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支持ROI，SVC，SMART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支持动态检测，视频遮挡检测，虚焦侦测，场景变更检测，音频异常侦测，外部报警</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支持报警7进3出，音频2进1出，1路内置MIC，RS485，BNC，最大支持256G SD卡，2个wifi天线，1个GPS天线，1个光口（需另配光模块）</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支持DC12V供电方式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内置高效暖光灯，最大监控距离80米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支持人脸检测，人脸曝光，人脸增强，非活体过滤以及人脸属性识别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支持人脸实时抓拍，优选抓拍，质量优先三种抓拍策略，支持人脸角度过滤功能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支持人脸抠图区域可设：人脸/单寸照</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支持人脸计数及实时OSD叠加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支持垂直/倾斜人数统计，区域内人数统计功能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支持周界检测功能，包括绊线入侵，区域入侵，物品遗留，快速移动，停车检测，人员聚集，物品搬移，徘徊检测</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支持视频结构化功能，包括机动车，非机动车，人员等目标的抓拍和属性识别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支持车牌、车标、车辆子品牌、车年款、车身颜色、车辆类型等车辆属性识别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支持MAC采集功能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支持GPS/北斗功能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支持五码流功能，三路高清视频显示</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6" w:type="pct"/>
            <w:tcBorders>
              <w:top w:val="nil"/>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2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283"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61"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3.视频监控系统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室外枪机</w:t>
            </w:r>
          </w:p>
        </w:tc>
        <w:tc>
          <w:tcPr>
            <w:tcW w:w="3283"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采用高性能两百万像素1/2.7英寸CMOS图像传感器，低照度效果好，图像清晰度高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可输出200万(1920*1080)@25fps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最大红外监控距离50米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支持区域入侵,绊线入侵,场景变更，支持多种触发规则联动动作;支持目标过滤</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支持DC12V/POE供电方式，方便工程安装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支持IP67防护等级</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119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16路网络视频录像机</w:t>
            </w:r>
          </w:p>
        </w:tc>
        <w:tc>
          <w:tcPr>
            <w:tcW w:w="3283"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USB接口2个，1个前置USB2.0接口、1个后置USB3.0接口；操作界面WEB方式，本地GUI操作；操作系统嵌入式Linux操作系统；多路回放最大支持16路回放；解码能力8路1080P@30fps；视频输出1路VGA输出，1路HDMI输出，其中VGA和HDMI同源输出，VGA最大输出分辨率1080P，HDMI最大输出分辨率4K；网络带宽160Mbps接入、160Mbps存储、64Mbps转发；网络接口2个RJ-45，10/100/1000Mbps自适应以太网口；网络协议HTTP、HTTPS、TCP/IP、IPv4/IPv6、UPnP、SNMP、RTSP、UDP、SMTP、NTP、DHCP、DNS、IPFilter、DDNS、FTP、AlarmServer、IPSearch(SupportDahuaIPcamera、DVR、NVS、etc.)、P2P、主动注册；硬盘接口4个，SATA3.0，单盘最大10T；主处理器工业级嵌入式微控制器；报警输出4路，其中3路继电器输出，1路12V1Actrl输出</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2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显示器</w:t>
            </w:r>
          </w:p>
        </w:tc>
        <w:tc>
          <w:tcPr>
            <w:tcW w:w="3283" w:type="pct"/>
            <w:tcBorders>
              <w:top w:val="single" w:color="000000" w:sz="4" w:space="0"/>
              <w:left w:val="single" w:color="000000" w:sz="4" w:space="0"/>
              <w:bottom w:val="nil"/>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面板尺寸43英寸；亮度250cd/m²；安装方式底座、壁挂；信号输入标配VGA(D-Sub)×1、HDMI×1、Audioin×1；内置喇叭；支持的分辨率1920×1080</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2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6T硬盘</w:t>
            </w:r>
          </w:p>
        </w:tc>
        <w:tc>
          <w:tcPr>
            <w:tcW w:w="3283"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6000G；5400RPM；256M；SATA</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块</w:t>
            </w:r>
          </w:p>
        </w:tc>
        <w:tc>
          <w:tcPr>
            <w:tcW w:w="35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4.人行闸及门禁系统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室外人脸一体主机</w:t>
            </w:r>
          </w:p>
        </w:tc>
        <w:tc>
          <w:tcPr>
            <w:tcW w:w="3283"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主处理器 高性能嵌入式处理器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网络协议 IPv4，RTSP，RTP，TCP，UDP，P2P</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OSDP协议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接入标准 CGI</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是否支持SDK和API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外观 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显示屏 10.1寸TFT屏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屏幕类型 电容屏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屏幕分辩率 1280×800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摄像头 200万CMOS高清摄像头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宽动态 120dB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光照补偿 自动白光补光 自动红外补光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状态指示灯 1个，蓝色-运行状态，红色-错误状态，绿色-正确状态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语音提示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蜂鸣器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外壳材料 PC+ABS 铝合金金属边框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开门模式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读卡类型 IC卡 CPU卡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假日时段表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网络更新升级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首用户开门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远程验证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黑白名单设定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Wi-Fi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外接读卡器 1路RS-485，1路韦根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多用户开门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实时监控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多重认证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刷卡拍照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WEB配置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主动注册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读卡距离 1cm～4cm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人脸识别身高范围 0.9m～2.4m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人脸识别距离 0.3m～2m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人脸识别准确率 99.5%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人脸识别速度 0.2s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指纹传感器类型 电容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指纹验证方式 1:N</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指纹比对时间 ≤1.5s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指纹识别时间 ≤0.5s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普通卡（用户）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巡逻卡（用户）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VIP卡（用户）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来宾卡（用户）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残疾人（用户）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用户容量 100000个用户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指纹容量 10000枚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卡片容量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密码容量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二维码容量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存储记录数量 100000条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RS-485接口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RS-232接口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韦根接口 1路输入/输出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USB接口 个USB2.0接口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网络接口 1个RJ-45 100Mbps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报警输入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报警输出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报警联动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开门按钮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门状态检测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门锁控制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防反潜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防拆报警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门超时报警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非法闯入报警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非法卡超次报警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胁迫指纹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 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供电方式 DC 12V  2A</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防护等级 IP65（需要点胶，详见操作手册）</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功耗 ≤24W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产品尺寸 396.9mm×185.6mm×77.2mm（高×宽×厚）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包装尺寸 515.0mm×271.0mm×148.0mm（高×宽×厚，内箱单机包装）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 -30℃~+60℃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工作湿度 5%~95%（无凝结）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 0m～1300m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使用环境 室内 室外</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毛重 4.32kg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配件 壁装支架标配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 壁挂安装</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指纹采集器</w:t>
            </w:r>
          </w:p>
        </w:tc>
        <w:tc>
          <w:tcPr>
            <w:tcW w:w="32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MOS光学传感器，传感器寿命100万次以上，分别率500DPI，采集窗口L18xW15mm，指纹录入时间≤350毫秒，认假率≤0.0001%，拒真率≤0.014%，比对时间≤1.5秒，指纹验证方式1：N指纹搜索，工作温度0℃～55℃，相对湿度20%～90%（无凝霜），通讯接口USB，供电电压DC3.8～7，工作电流≤80mA</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发卡器</w:t>
            </w:r>
          </w:p>
        </w:tc>
        <w:tc>
          <w:tcPr>
            <w:tcW w:w="32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IC卡(Mifare卡)发卡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USB供电和通讯，工作电流&lt;150mA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发卡距离：3cm~8cm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免驱动安装，即插即用</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IC卡</w:t>
            </w:r>
          </w:p>
        </w:tc>
        <w:tc>
          <w:tcPr>
            <w:tcW w:w="32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尺寸：55*85*1mm</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张</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单门控制器</w:t>
            </w:r>
          </w:p>
        </w:tc>
        <w:tc>
          <w:tcPr>
            <w:tcW w:w="32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用32位高处理器，支持TCP/IP通讯方式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同时支持RS485协议和韦根协议读卡器的接入,韦根接口支持国际标准W26\W34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支持2台读卡器（可设单门双向识别）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支持4组信号输入（开门按钮*1，门磁报警*1，报警输入*2）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支持3组控制输出（电锁控制*1，警报输出*2）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FLASH存储容量为16M（可扩展32M），最大支持100,000个持卡者, 150,000条刷卡记录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具有防反潜、多门互锁、多重验证、远程验证、平台视频联动等多项专项功能，支持首卡开门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支持普通卡、VIP卡、来宾卡、巡逻卡、黑白名单、胁迫卡等类型及权限下发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支持读卡器防拆报警、非法闯入报警、开门超时报警、支持胁迫卡及胁迫码设定，支持黑白名单及巡逻卡设定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支持卡片、密码、指纹各种组合方式开门，支持分时段开门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支持128组时间表及128组假日时段表，支持常开时间段、常闭时间段、远程开门时间段、首卡开门时间段等设置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工作温度：-30℃-+60℃， 工作湿度：≤95%</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2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2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5.车牌识别系统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车牌抓拍摄像机</w:t>
            </w:r>
          </w:p>
        </w:tc>
        <w:tc>
          <w:tcPr>
            <w:tcW w:w="3283"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补光灯数量2颗（可根据客户需求自由切换为暖光灯或红外灯，暖光灯色温3000K，亮度可自动调节）；传感器类型1/3英寸CMOS；图像分辨率2304×1296（不包含OSD黑边）；镜头标配4mm定焦镜头；视频分辨率主码流：1080P（1920×1080）/720P（1280×720）辅码流：720P（1280×720）/D1（704×576）；视频压缩标准MJPEG；H.264H；H.264M；H.264B；H.265；降噪3D降噪；坏点校正支持；触发方式支持视频检测、I/O线圈、雷达三种触发方式；存储功能内置1个TF卡接口（最大支持128G，TF卡可选大华、金士顿、闪迪等）；最大补光距离8m；OSD信息叠加支持叠加时间、地点、车牌、车身颜色、防伪码、车标、触发源、车牌类型、车辆颜色、车辆类型、卡口方向、车系、置信度、车头朝向、自定义信息；断网续传支持，平台/FTP；车辆检测车辆捕获率≥99.9%；车辆识别支持车型、车标、车系、车身颜色、车牌颜色、车牌号码、车牌类型、无牌车、新能源车牌识别车牌识别率≥99.9%；智能轨迹帧支持智能帧显示，可显示车牌和车辆行驶轨迹；网络接口1个，10/100M以太网口（RJ-45）；RS-485接口2个（可用于连接配套屏、雷达、道闸和外置常亮灯）；I/O接口2路，光耦输入（5V开关量），可用于车检器等信号输入；供电方式AC220V；防护等级IP67</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摄像机立柱</w:t>
            </w:r>
          </w:p>
        </w:tc>
        <w:tc>
          <w:tcPr>
            <w:tcW w:w="3283"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抓拍一体机杆件（白色+1.5米)</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6.网络设备</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2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28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2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28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2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28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8.管线及网络费用</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室外立杆</w:t>
            </w:r>
          </w:p>
        </w:tc>
        <w:tc>
          <w:tcPr>
            <w:tcW w:w="32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3-5米杆，含基础地笼设备箱</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处</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2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2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2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42U机柜</w:t>
            </w:r>
          </w:p>
        </w:tc>
        <w:tc>
          <w:tcPr>
            <w:tcW w:w="32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2米机柜</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2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28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2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28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62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28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550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62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PE32管</w:t>
            </w:r>
          </w:p>
        </w:tc>
        <w:tc>
          <w:tcPr>
            <w:tcW w:w="328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62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PE50管</w:t>
            </w:r>
          </w:p>
        </w:tc>
        <w:tc>
          <w:tcPr>
            <w:tcW w:w="328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62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28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62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道路开挖修复、基础等费用</w:t>
            </w:r>
          </w:p>
        </w:tc>
        <w:tc>
          <w:tcPr>
            <w:tcW w:w="3283"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62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28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shd w:val="clear" w:color="auto" w:fill="auto"/>
        <w:adjustRightInd/>
        <w:spacing w:line="440" w:lineRule="exact"/>
        <w:ind w:firstLine="480" w:firstLineChars="200"/>
        <w:rPr>
          <w:rFonts w:hint="eastAsia" w:ascii="宋体" w:hAnsi="宋体" w:cs="宋体"/>
          <w:color w:val="000000"/>
          <w:sz w:val="24"/>
          <w:highlight w:val="none"/>
        </w:rPr>
      </w:pPr>
    </w:p>
    <w:tbl>
      <w:tblPr>
        <w:tblStyle w:val="62"/>
        <w:tblW w:w="5000" w:type="pct"/>
        <w:tblInd w:w="0" w:type="dxa"/>
        <w:tblLayout w:type="autofit"/>
        <w:tblCellMar>
          <w:top w:w="0" w:type="dxa"/>
          <w:left w:w="108" w:type="dxa"/>
          <w:bottom w:w="0" w:type="dxa"/>
          <w:right w:w="108" w:type="dxa"/>
        </w:tblCellMar>
      </w:tblPr>
      <w:tblGrid>
        <w:gridCol w:w="680"/>
        <w:gridCol w:w="1021"/>
        <w:gridCol w:w="6244"/>
        <w:gridCol w:w="672"/>
        <w:gridCol w:w="669"/>
      </w:tblGrid>
      <w:tr>
        <w:tblPrEx>
          <w:tblCellMar>
            <w:top w:w="0" w:type="dxa"/>
            <w:left w:w="108" w:type="dxa"/>
            <w:bottom w:w="0" w:type="dxa"/>
            <w:right w:w="108" w:type="dxa"/>
          </w:tblCellMar>
        </w:tblPrEx>
        <w:trPr>
          <w:trHeight w:val="80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21城厢街道智安小区项目设备清单（西山公寓）</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550"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362"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61"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5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59"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50"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362"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61"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190" w:hRule="atLeast"/>
        </w:trPr>
        <w:tc>
          <w:tcPr>
            <w:tcW w:w="366"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人脸Mac一体机</w:t>
            </w:r>
          </w:p>
        </w:tc>
        <w:tc>
          <w:tcPr>
            <w:tcW w:w="3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采用高性能四百万像素1/1.8英寸CMOS图像传感器，低照度效果好，图像清晰度高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最大可输出400万(2688×1520)@60fps，满足高帧率需求</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支持ROI，SVC，SMART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支持动态检测，视频遮挡检测，虚焦侦测，场景变更检测，音频异常侦测，外部报警</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支持报警7进3出，音频2进1出，1路内置MIC，RS485，BNC，最大支持256G SD卡，2个wifi天线，1个GPS天线，1个光口（需另配光模块）</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支持DC12V供电方式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内置高效暖光灯，最大监控距离80米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支持人脸检测，人脸曝光，人脸增强，非活体过滤以及人脸属性识别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支持人脸实时抓拍，优选抓拍，质量优先三种抓拍策略，支持人脸角度过滤功能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支持人脸抠图区域可设：人脸/单寸照</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支持人脸计数及实时OSD叠加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支持垂直/倾斜人数统计，区域内人数统计功能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支持周界检测功能，包括绊线入侵，区域入侵，物品遗留，快速移动，停车检测，人员聚集，物品搬移，徘徊检测</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支持视频结构化功能，包括机动车，非机动车，人员等目标的抓拍和属性识别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支持车牌、车标、车辆子品牌、车年款、车身颜色、车辆类型等车辆属性识别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支持MAC采集功能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支持GPS/北斗功能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支持五码流功能，三路高清视频显示</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6" w:type="pct"/>
            <w:tcBorders>
              <w:top w:val="nil"/>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50"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61"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3.视频监控系统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室外枪机</w:t>
            </w:r>
          </w:p>
        </w:tc>
        <w:tc>
          <w:tcPr>
            <w:tcW w:w="336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采用高性能两百万像素1/2.7英寸CMOS图像传感器，低照度效果好，图像清晰度高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可输出200万(1920*1080)@25fps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最大红外监控距离50米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支持区域入侵,绊线入侵,场景变更，支持多种触发规则联动动作;支持目标过滤</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支持DC12V/POE供电方式，方便工程安装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支持IP67防护等级</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r>
      <w:tr>
        <w:tblPrEx>
          <w:tblCellMar>
            <w:top w:w="0" w:type="dxa"/>
            <w:left w:w="108" w:type="dxa"/>
            <w:bottom w:w="0" w:type="dxa"/>
            <w:right w:w="108" w:type="dxa"/>
          </w:tblCellMar>
        </w:tblPrEx>
        <w:trPr>
          <w:trHeight w:val="119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16路网络视频录像机</w:t>
            </w:r>
          </w:p>
        </w:tc>
        <w:tc>
          <w:tcPr>
            <w:tcW w:w="336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USB接口2个，1个前置USB2.0接口、1个后置USB3.0接口；操作界面WEB方式，本地GUI操作；操作系统嵌入式Linux操作系统；多路回放最大支持16路回放；解码能力8路1080P@30fps；视频输出1路VGA输出，1路HDMI输出，其中VGA和HDMI同源输出，VGA最大输出分辨率1080P，HDMI最大输出分辨率4K；网络带宽160Mbps接入、160Mbps存储、64Mbps转发；网络接口2个RJ-45，10/100/1000Mbps自适应以太网口；网络协议HTTP、HTTPS、TCP/IP、IPv4/IPv6、UPnP、SNMP、RTSP、UDP、SMTP、NTP、DHCP、DNS、IPFilter、DDNS、FTP、AlarmServer、IPSearch(SupportDahuaIPcamera、DVR、NVS、etc.)、P2P、主动注册；硬盘接口4个，SATA3.0，单盘最大10T；主处理器工业级嵌入式微控制器；报警输出4路，其中3路继电器输出，1路12V1Actrl输出</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50"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显示器</w:t>
            </w:r>
          </w:p>
        </w:tc>
        <w:tc>
          <w:tcPr>
            <w:tcW w:w="3362" w:type="pct"/>
            <w:tcBorders>
              <w:top w:val="single" w:color="000000" w:sz="4" w:space="0"/>
              <w:left w:val="single" w:color="000000" w:sz="4" w:space="0"/>
              <w:bottom w:val="nil"/>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面板尺寸43英寸；亮度250cd/m²；安装方式底座、壁挂；信号输入标配VGA(D-Sub)×1、HDMI×1、Audioin×1；内置喇叭；支持的分辨率1920×1080</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50"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6T硬盘</w:t>
            </w:r>
          </w:p>
        </w:tc>
        <w:tc>
          <w:tcPr>
            <w:tcW w:w="3362"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6000G；5400RPM；256M；SATA</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块</w:t>
            </w:r>
          </w:p>
        </w:tc>
        <w:tc>
          <w:tcPr>
            <w:tcW w:w="35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4.人行闸及门禁系统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室外人脸一体主机</w:t>
            </w:r>
          </w:p>
        </w:tc>
        <w:tc>
          <w:tcPr>
            <w:tcW w:w="3362"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主处理器 高性能嵌入式处理器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网络协议 IPv4，RTSP，RTP，TCP，UDP，P2P</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OSDP协议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接入标准 CGI</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是否支持SDK和API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外观 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显示屏 10.1寸TFT屏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屏幕类型 电容屏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屏幕分辩率 1280×800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摄像头 200万CMOS高清摄像头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宽动态 120dB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光照补偿 自动白光补光 自动红外补光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状态指示灯 1个，蓝色-运行状态，红色-错误状态，绿色-正确状态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语音提示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蜂鸣器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外壳材料 PC+ABS 铝合金金属边框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开门模式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读卡类型 IC卡 CPU卡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假日时段表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网络更新升级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首用户开门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远程验证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黑白名单设定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Wi-Fi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外接读卡器 1路RS-485，1路韦根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多用户开门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实时监控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多重认证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刷卡拍照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WEB配置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主动注册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读卡距离 1cm～4cm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人脸识别身高范围 0.9m～2.4m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人脸识别距离 0.3m～2m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人脸识别准确率 99.5%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人脸识别速度 0.2s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指纹传感器类型 电容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指纹验证方式 1:N</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指纹比对时间 ≤1.5s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指纹识别时间 ≤0.5s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普通卡（用户）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巡逻卡（用户）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VIP卡（用户）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来宾卡（用户）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残疾人（用户）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用户容量 100000个用户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指纹容量 10000枚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卡片容量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密码容量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二维码容量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存储记录数量 100000条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RS-485接口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RS-232接口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韦根接口 1路输入/输出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USB接口 个USB2.0接口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网络接口 1个RJ-45 100Mbps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报警输入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报警输出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报警联动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开门按钮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门状态检测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门锁控制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防反潜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防拆报警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门超时报警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非法闯入报警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非法卡超次报警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胁迫指纹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 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供电方式 DC 12V  2A</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防护等级 IP65（需要点胶，详见操作手册）</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功耗 ≤24W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产品尺寸 396.9mm×185.6mm×77.2mm（高×宽×厚）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包装尺寸 515.0mm×271.0mm×148.0mm（高×宽×厚，内箱单机包装）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 -30℃~+60℃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工作湿度 5%~95%（无凝结）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 0m～1300m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使用环境 室内 室外</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毛重 4.32kg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配件 壁装支架标配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 壁挂安装</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指纹采集器</w:t>
            </w:r>
          </w:p>
        </w:tc>
        <w:tc>
          <w:tcPr>
            <w:tcW w:w="3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MOS光学传感器，传感器寿命100万次以上，分别率500DPI，采集窗口L18xW15mm，指纹录入时间≤350毫秒，认假率≤0.0001%，拒真率≤0.014%，比对时间≤1.5秒，指纹验证方式1：N指纹搜索，工作温度0℃～55℃，相对湿度20%～90%（无凝霜），通讯接口USB，供电电压DC3.8～7，工作电流≤80mA</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发卡器</w:t>
            </w:r>
          </w:p>
        </w:tc>
        <w:tc>
          <w:tcPr>
            <w:tcW w:w="3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IC卡(Mifare卡)发卡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USB供电和通讯，工作电流&lt;150mA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发卡距离：3cm~8cm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免驱动安装，即插即用</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IC卡</w:t>
            </w:r>
          </w:p>
        </w:tc>
        <w:tc>
          <w:tcPr>
            <w:tcW w:w="3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尺寸：55*85*1mm</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张</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闭门器</w:t>
            </w:r>
          </w:p>
        </w:tc>
        <w:tc>
          <w:tcPr>
            <w:tcW w:w="3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采用齿轮液压传动技术，结合机械传动的精确性和稳定性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铸特缸体，高强度整体锻钢活塞</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280KG单门防水磁力锁</w:t>
            </w:r>
          </w:p>
        </w:tc>
        <w:tc>
          <w:tcPr>
            <w:tcW w:w="3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铝合金；锁体尺寸：长210x宽42x厚28.5(mm) ；吸板尺寸：长185x宽38x厚12(mm)；280kg(600Lbs)直线拉力 ；锁状态信号输出 ；断电开门；适用木门\玻璃门\金属门\防火门等；工作温度：-20℃-+60℃， 工作湿度：≤95%；2.3KG；</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广告人型摆闸</w:t>
            </w:r>
          </w:p>
        </w:tc>
        <w:tc>
          <w:tcPr>
            <w:tcW w:w="3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(1242mm-1842mm)×250mm×1640mm（长×宽×高）；外壳材料冷轧钢板；驱动电机直流减速电机（24V）；电机使用寿命100万次；通道宽度1242mm-1842mm；最大定制通道宽度支持调节；通行速度15人~20人/min；开闸时间1.5s~10s，可调节；开门模式支持刷卡（另配）、遥控器、按键、人脸（另配）；功耗10W（待机）、50W（工作）；工作温度-20℃~+70℃；使用环境室内，室外</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单门控制器</w:t>
            </w:r>
          </w:p>
        </w:tc>
        <w:tc>
          <w:tcPr>
            <w:tcW w:w="3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用32位高处理器，支持TCP/IP通讯方式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同时支持RS485协议和韦根协议读卡器的接入,韦根接口支持国际标准W26\W34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支持2台读卡器（可设单门双向识别）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支持4组信号输入（开门按钮*1，门磁报警*1，报警输入*2）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支持3组控制输出（电锁控制*1，警报输出*2）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FLASH存储容量为16M（可扩展32M），最大支持100,000个持卡者, 150,000条刷卡记录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具有防反潜、多门互锁、多重验证、远程验证、平台视频联动等多项专项功能，支持首卡开门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支持普通卡、VIP卡、来宾卡、巡逻卡、黑白名单、胁迫卡等类型及权限下发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支持读卡器防拆报警、非法闯入报警、开门超时报警、支持胁迫卡及胁迫码设定，支持黑白名单及巡逻卡设定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支持卡片、密码、指纹各种组合方式开门，支持分时段开门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支持128组时间表及128组假日时段表，支持常开时间段、常闭时间段、远程开门时间段、首卡开门时间段等设置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工作温度：-30℃-+60℃， 工作湿度：≤95%</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5.车牌识别系统（新增）</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725"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出入口杆式抓拍一体机（4行4字）</w:t>
            </w:r>
          </w:p>
        </w:tc>
        <w:tc>
          <w:tcPr>
            <w:tcW w:w="336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外观 杆式一体机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传感器类型 1/2.8英寸cmos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最大分辨率 1920×1080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视频编码标准 H265/H264/MJPEG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视频分辨率 主码流1920×1080，辅码流704×576</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视频码率 "H265/H264:32~6636Kb/S;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MJPEG:18662~37325K Kb/Sb/S"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视频帧率 1~25FPS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 最大支持10000条白名单车辆，可直接联动道闸输出，最大支持10000条黑名单车辆，可触发生成报警事件</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624"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两层中速栅栏杆道闸（右）</w:t>
            </w:r>
          </w:p>
        </w:tc>
        <w:tc>
          <w:tcPr>
            <w:tcW w:w="336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升降时间1.5 ～ 6秒可选，通讯协议 RS485接口或地感检测保护装置</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81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道闸防砸雷达</w:t>
            </w:r>
          </w:p>
        </w:tc>
        <w:tc>
          <w:tcPr>
            <w:tcW w:w="336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发射功率 ≤10mW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波束宽度 俯仰12°，水平34°</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响应时间 1ms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防砸区域 6m可编程</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检测目标 人，车</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72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屏蔽双绞线RVSP2*1.0（长度20米）</w:t>
            </w:r>
          </w:p>
        </w:tc>
        <w:tc>
          <w:tcPr>
            <w:tcW w:w="336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车检器连接道闸、相机连接道闸，使用屏蔽双绞线</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23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数字车辆检测器(单路，停车场专用)</w:t>
            </w:r>
          </w:p>
        </w:tc>
        <w:tc>
          <w:tcPr>
            <w:tcW w:w="336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连接地感线圈，实现防砸线圈功能</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624"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地感线圈 FVN1*1.5（长度100米）</w:t>
            </w:r>
          </w:p>
        </w:tc>
        <w:tc>
          <w:tcPr>
            <w:tcW w:w="336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分为两段，50米一段，分别用于出口和入口的防砸线圈</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圈</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600" w:hRule="atLeast"/>
        </w:trPr>
        <w:tc>
          <w:tcPr>
            <w:tcW w:w="366"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减速带</w:t>
            </w:r>
          </w:p>
        </w:tc>
        <w:tc>
          <w:tcPr>
            <w:tcW w:w="3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hd w:val="clear" w:color="auto" w:fill="auto"/>
              <w:jc w:val="left"/>
              <w:rPr>
                <w:rFonts w:hint="eastAsia" w:ascii="宋体" w:hAnsi="宋体" w:cs="宋体"/>
                <w:color w:val="000000"/>
                <w:sz w:val="15"/>
                <w:szCs w:val="15"/>
                <w:highlight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6.网络设备</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5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5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5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5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管理电脑</w:t>
            </w:r>
          </w:p>
        </w:tc>
        <w:tc>
          <w:tcPr>
            <w:tcW w:w="3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I5,1T,8G</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8.管线及网络费用</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室外立杆</w:t>
            </w:r>
          </w:p>
        </w:tc>
        <w:tc>
          <w:tcPr>
            <w:tcW w:w="3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3-5米杆，含基础地笼设备箱</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处</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5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22U机柜</w:t>
            </w:r>
          </w:p>
        </w:tc>
        <w:tc>
          <w:tcPr>
            <w:tcW w:w="3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1米机柜</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55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55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55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55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PE32管</w:t>
            </w:r>
          </w:p>
        </w:tc>
        <w:tc>
          <w:tcPr>
            <w:tcW w:w="3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55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PE50管</w:t>
            </w:r>
          </w:p>
        </w:tc>
        <w:tc>
          <w:tcPr>
            <w:tcW w:w="3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55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w:t>
            </w:r>
          </w:p>
        </w:tc>
        <w:tc>
          <w:tcPr>
            <w:tcW w:w="55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手孔</w:t>
            </w:r>
          </w:p>
        </w:tc>
        <w:tc>
          <w:tcPr>
            <w:tcW w:w="3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500*500*400</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55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道路开挖修复、基础等费用</w:t>
            </w:r>
          </w:p>
        </w:tc>
        <w:tc>
          <w:tcPr>
            <w:tcW w:w="3362"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55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shd w:val="clear" w:color="auto" w:fill="auto"/>
        <w:adjustRightInd/>
        <w:spacing w:line="440" w:lineRule="exact"/>
        <w:ind w:firstLine="480" w:firstLineChars="200"/>
        <w:rPr>
          <w:rFonts w:hint="eastAsia" w:ascii="宋体" w:hAnsi="宋体" w:cs="宋体"/>
          <w:color w:val="000000"/>
          <w:sz w:val="24"/>
          <w:highlight w:val="none"/>
        </w:rPr>
      </w:pPr>
    </w:p>
    <w:tbl>
      <w:tblPr>
        <w:tblStyle w:val="62"/>
        <w:tblW w:w="5000" w:type="pct"/>
        <w:tblInd w:w="0" w:type="dxa"/>
        <w:tblLayout w:type="autofit"/>
        <w:tblCellMar>
          <w:top w:w="0" w:type="dxa"/>
          <w:left w:w="108" w:type="dxa"/>
          <w:bottom w:w="0" w:type="dxa"/>
          <w:right w:w="108" w:type="dxa"/>
        </w:tblCellMar>
      </w:tblPr>
      <w:tblGrid>
        <w:gridCol w:w="677"/>
        <w:gridCol w:w="1410"/>
        <w:gridCol w:w="5856"/>
        <w:gridCol w:w="674"/>
        <w:gridCol w:w="669"/>
      </w:tblGrid>
      <w:tr>
        <w:tblPrEx>
          <w:tblCellMar>
            <w:top w:w="0" w:type="dxa"/>
            <w:left w:w="108" w:type="dxa"/>
            <w:bottom w:w="0" w:type="dxa"/>
            <w:right w:w="108" w:type="dxa"/>
          </w:tblCellMar>
        </w:tblPrEx>
        <w:trPr>
          <w:trHeight w:val="80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22城厢街道智安小区项目设备清单（湘湖林语）</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75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153"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62"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5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59"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7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153"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7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人脸Mac一体机</w:t>
            </w:r>
          </w:p>
        </w:tc>
        <w:tc>
          <w:tcPr>
            <w:tcW w:w="31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采用高性能四百万像素1/1.8英寸CMOS图像传感器，低照度效果好，图像清晰度高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最大可输出400万(2688×1520)@60fps，满足高帧率需求</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支持ROI，SVC，SMART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支持动态检测，视频遮挡检测，虚焦侦测，场景变更检测，音频异常侦测，外部报警</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支持报警7进3出，音频2进1出，1路内置MIC，RS485，BNC，最大支持256G SD卡，2个wifi天线，1个GPS天线，1个光口（需另配光模块）</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支持DC12V供电方式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内置高效暖光灯，最大监控距离80米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支持人脸检测，人脸曝光，人脸增强，非活体过滤以及人脸属性识别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支持人脸实时抓拍，优选抓拍，质量优先三种抓拍策略，支持人脸角度过滤功能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支持人脸抠图区域可设：人脸/单寸照</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支持人脸计数及实时OSD叠加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支持垂直/倾斜人数统计，区域内人数统计功能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支持周界检测功能，包括绊线入侵，区域入侵，物品遗留，快速移动，停车检测，人员聚集，物品搬移，徘徊检测</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支持视频结构化功能，包括机动车，非机动车，人员等目标的抓拍和属性识别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支持车牌、车标、车辆子品牌、车年款、车身颜色、车辆类型等车辆属性识别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支持MAC采集功能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支持GPS/北斗功能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支持五码流功能，三路高清视频显示</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1190" w:hRule="atLeast"/>
        </w:trPr>
        <w:tc>
          <w:tcPr>
            <w:tcW w:w="365" w:type="pct"/>
            <w:tcBorders>
              <w:top w:val="nil"/>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7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153"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3.视频监控系统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7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室外枪机</w:t>
            </w:r>
          </w:p>
        </w:tc>
        <w:tc>
          <w:tcPr>
            <w:tcW w:w="3153"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采用高性能两百万像素1/2.7英寸CMOS图像传感器，低照度效果好，图像清晰度高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可输出200万(1920*1080)@25fps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最大红外监控距离50米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支持区域入侵,绊线入侵,场景变更，支持多种触发规则联动动作;支持目标过滤</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支持DC12V/POE供电方式，方便工程安装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支持IP67防护等级</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7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16路网络视频录像机</w:t>
            </w:r>
          </w:p>
        </w:tc>
        <w:tc>
          <w:tcPr>
            <w:tcW w:w="3153"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USB接口2个，1个前置USB2.0接口、1个后置USB3.0接口；操作界面WEB方式，本地GUI操作；操作系统嵌入式Linux操作系统；多路回放最大支持16路回放；解码能力8路1080P@30fps；视频输出1路VGA输出，1路HDMI输出，其中VGA和HDMI同源输出，VGA最大输出分辨率1080P，HDMI最大输出分辨率4K；网络带宽160Mbps接入、160Mbps存储、64Mbps转发；网络接口2个RJ-45，10/100/1000Mbps自适应以太网口；网络协议HTTP、HTTPS、TCP/IP、IPv4/IPv6、UPnP、SNMP、RTSP、UDP、SMTP、NTP、DHCP、DNS、IPFilter、DDNS、FTP、AlarmServer、IPSearch(SupportDahuaIPcamera、DVR、NVS、etc.)、P2P、主动注册；硬盘接口4个，SATA3.0，单盘最大10T；主处理器工业级嵌入式微控制器；报警输出4路，其中3路继电器输出，1路12V1Actrl输出</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75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显示器</w:t>
            </w:r>
          </w:p>
        </w:tc>
        <w:tc>
          <w:tcPr>
            <w:tcW w:w="3153" w:type="pct"/>
            <w:tcBorders>
              <w:top w:val="single" w:color="000000" w:sz="4" w:space="0"/>
              <w:left w:val="single" w:color="000000" w:sz="4" w:space="0"/>
              <w:bottom w:val="nil"/>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面板尺寸43英寸；亮度250cd/m²；安装方式底座、壁挂；信号输入标配VGA(D-Sub)×1、HDMI×1、Audioin×1；内置喇叭；支持的分辨率1920×1080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75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6T硬盘</w:t>
            </w:r>
          </w:p>
        </w:tc>
        <w:tc>
          <w:tcPr>
            <w:tcW w:w="3153"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6000G；5400RPM；256M；SATA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块</w:t>
            </w:r>
          </w:p>
        </w:tc>
        <w:tc>
          <w:tcPr>
            <w:tcW w:w="35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4.人行闸及门禁系统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7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室外人脸一体主机</w:t>
            </w:r>
          </w:p>
        </w:tc>
        <w:tc>
          <w:tcPr>
            <w:tcW w:w="3153"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主处理器 高性能嵌入式处理器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网络协议 IPv4，RTSP，RTP，TCP，UDP，P2P</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OSDP协议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接入标准 CGI</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是否支持SDK和API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外观 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显示屏 10.1寸TFT屏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屏幕类型 电容屏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屏幕分辩率 1280×800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摄像头 200万CMOS高清摄像头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宽动态 120dB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光照补偿 自动白光补光 自动红外补光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状态指示灯 1个，蓝色-运行状态，红色-错误状态，绿色-正确状态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语音提示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蜂鸣器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外壳材料 PC+ABS 铝合金金属边框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开门模式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读卡类型 IC卡 CPU卡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假日时段表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网络更新升级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首用户开门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远程验证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黑白名单设定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Wi-Fi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外接读卡器 1路RS-485，1路韦根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多用户开门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实时监控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多重认证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刷卡拍照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WEB配置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主动注册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读卡距离 1cm～4cm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人脸识别身高范围 0.9m～2.4m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人脸识别距离 0.3m～2m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人脸识别准确率 99.5%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人脸识别速度 0.2s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指纹传感器类型 电容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指纹验证方式 1:N</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指纹比对时间 ≤1.5s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指纹识别时间 ≤0.5s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普通卡（用户）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巡逻卡（用户）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VIP卡（用户）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来宾卡（用户）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残疾人（用户）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用户容量 100000个用户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指纹容量 10000枚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卡片容量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密码容量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二维码容量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存储记录数量 100000条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RS-485接口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RS-232接口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韦根接口 1路输入/输出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USB接口 个USB2.0接口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网络接口 1个RJ-45 100Mbps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报警输入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报警输出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报警联动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开门按钮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门状态检测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门锁控制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防反潜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防拆报警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门超时报警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非法闯入报警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非法卡超次报警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胁迫指纹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 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供电方式 DC 12V  2A</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防护等级 IP65（需要点胶，详见操作手册）</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功耗 ≤24W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产品尺寸 396.9mm×185.6mm×77.2mm（高×宽×厚）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包装尺寸 515.0mm×271.0mm×148.0mm（高×宽×厚，内箱单机包装）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 -30℃~+60℃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工作湿度 5%~95%（无凝结）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 0m～1300m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使用环境 室内 室外</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毛重 4.32kg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配件 壁装支架标配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 壁挂安装</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7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指纹采集器</w:t>
            </w:r>
          </w:p>
        </w:tc>
        <w:tc>
          <w:tcPr>
            <w:tcW w:w="31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MOS光学传感器，传感器寿命100万次以上，分别率500DPI，采集窗口L18xW15mm，指纹录入时间≤350毫秒，认假率≤0.0001%，拒真率≤0.014%，比对时间≤1.5秒，指纹验证方式1：N指纹搜索，工作温度0℃～55℃，相对湿度20%～90%（无凝霜），通讯接口USB，供电电压DC3.8～7，工作电流≤80m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7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发卡器</w:t>
            </w:r>
          </w:p>
        </w:tc>
        <w:tc>
          <w:tcPr>
            <w:tcW w:w="31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IC卡(Mifare卡)发卡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USB供电和通讯，工作电流&lt;150mA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发卡距离：3cm~8cm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免驱动安装，即插即用</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7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IC卡</w:t>
            </w:r>
          </w:p>
        </w:tc>
        <w:tc>
          <w:tcPr>
            <w:tcW w:w="31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尺寸：55*85*1mm</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张</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1500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7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闭门器</w:t>
            </w:r>
          </w:p>
        </w:tc>
        <w:tc>
          <w:tcPr>
            <w:tcW w:w="31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采用齿轮液压传动技术，结合机械传动的精确性和稳定性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铸特缸体，高强度整体锻钢活塞</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7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280KG单门防水磁力锁</w:t>
            </w:r>
          </w:p>
        </w:tc>
        <w:tc>
          <w:tcPr>
            <w:tcW w:w="31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铝合金；锁体尺寸：长210x宽42x厚28.5(mm) ；吸板尺寸：长185x宽38x厚12(mm)；280kg(600Lbs)直线拉力 ；锁状态信号输出 ；断电开门；适用木门\玻璃门\金属门\防火门等；工作温度：-20℃-+60℃， 工作湿度：≤95%；2.3KG；</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7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广告人型摆闸</w:t>
            </w:r>
          </w:p>
        </w:tc>
        <w:tc>
          <w:tcPr>
            <w:tcW w:w="31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(1242mm-1842mm)×250mm×1640mm（长×宽×高）；外壳材料冷轧钢板；驱动电机直流减速电机（24V）；电机使用寿命100万次；通道宽度1242mm-1842mm；最大定制通道宽度支持调节；通行速度15人~20人/min；开闸时间1.5s~10s，可调节；开门模式支持刷卡（另配）、遥控器、按键、人脸（另配）；功耗10W（待机）、50W（工作）；工作温度-20℃~+70℃；使用环境室内，室外</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7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单门控制器</w:t>
            </w:r>
          </w:p>
        </w:tc>
        <w:tc>
          <w:tcPr>
            <w:tcW w:w="31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用32位高处理器，支持TCP/IP通讯方式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同时支持RS485协议和韦根协议读卡器的接入,韦根接口支持国际标准W26\W34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支持2台读卡器（可设单门双向识别）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支持4组信号输入（开门按钮*1，门磁报警*1，报警输入*2）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支持3组控制输出（电锁控制*1，警报输出*2）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FLASH存储容量为16M（可扩展32M），最大支持100,000个持卡者, 150,000条刷卡记录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具有防反潜、多门互锁、多重验证、远程验证、平台视频联动等多项专项功能，支持首卡开门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支持普通卡、VIP卡、来宾卡、巡逻卡、黑白名单、胁迫卡等类型及权限下发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支持读卡器防拆报警、非法闯入报警、开门超时报警、支持胁迫卡及胁迫码设定，支持黑白名单及巡逻卡设定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支持卡片、密码、指纹各种组合方式开门，支持分时段开门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支持128组时间表及128组假日时段表，支持常开时间段、常闭时间段、远程开门时间段、首卡开门时间段等设置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工作温度：-30℃-+60℃， 工作湿度：≤95%</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7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1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7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1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5.车牌识别系统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7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车牌抓拍摄像机</w:t>
            </w:r>
          </w:p>
        </w:tc>
        <w:tc>
          <w:tcPr>
            <w:tcW w:w="3153"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补光灯数量2颗（可根据客户需求自由切换为暖光灯或红外灯，暖光灯色温3000K，亮度可自动调节）；传感器类型1/3英寸CMOS；图像分辨率2304×1296（不包含OSD黑边）；镜头标配4mm定焦镜头；视频分辨率主码流：1080P（1920×1080）/720P（1280×720）辅码流：720P（1280×720）/D1（704×576）；视频压缩标准MJPEG；H.264H；H.264M；H.264B；H.265；降噪3D降噪；坏点校正支持；触发方式支持视频检测、I/O线圈、雷达三种触发方式；存储功能内置1个TF卡接口（最大支持128G，TF卡可选大华、金士顿、闪迪等）；最大补光距离8m；OSD信息叠加支持叠加时间、地点、车牌、车身颜色、防伪码、车标、触发源、车牌类型、车辆颜色、车辆类型、卡口方向、车系、置信度、车头朝向、自定义信息；断网续传支持，平台/FTP；车辆检测车辆捕获率≥99.9%；车辆识别支持车型、车标、车系、车身颜色、车牌颜色、车牌号码、车牌类型、无牌车、新能源车牌识别车牌识别率≥99.9%；智能轨迹帧支持智能帧显示，可显示车牌和车辆行驶轨迹；网络接口1个，10/100M以太网口（RJ-45）；RS-485接口2个（可用于连接配套屏、雷达、道闸和外置常亮灯）；I/O接口2路，光耦输入（5V开关量），可用于车检器等信号输入；供电方式AC220V；防护等级IP67</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7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摄像机立柱</w:t>
            </w:r>
          </w:p>
        </w:tc>
        <w:tc>
          <w:tcPr>
            <w:tcW w:w="3153"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抓拍一体机杆件（白色+1.5米)</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6.网络设备</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7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15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7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24口交换机</w:t>
            </w:r>
          </w:p>
        </w:tc>
        <w:tc>
          <w:tcPr>
            <w:tcW w:w="315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千兆24口，带2光口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7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15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7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15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7.管线及网络费用</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7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室外立杆</w:t>
            </w:r>
          </w:p>
        </w:tc>
        <w:tc>
          <w:tcPr>
            <w:tcW w:w="31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3-5米杆，含基础地笼设备箱</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处</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7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1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7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1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7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1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7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42U机柜</w:t>
            </w:r>
          </w:p>
        </w:tc>
        <w:tc>
          <w:tcPr>
            <w:tcW w:w="31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2米机柜</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7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15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7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15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7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15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7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PE32管</w:t>
            </w:r>
          </w:p>
        </w:tc>
        <w:tc>
          <w:tcPr>
            <w:tcW w:w="315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7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PE50管</w:t>
            </w:r>
          </w:p>
        </w:tc>
        <w:tc>
          <w:tcPr>
            <w:tcW w:w="315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7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15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w:t>
            </w:r>
          </w:p>
        </w:tc>
        <w:tc>
          <w:tcPr>
            <w:tcW w:w="7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手孔</w:t>
            </w:r>
          </w:p>
        </w:tc>
        <w:tc>
          <w:tcPr>
            <w:tcW w:w="315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500*500*400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7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道路开挖修复、基础等费用</w:t>
            </w:r>
          </w:p>
        </w:tc>
        <w:tc>
          <w:tcPr>
            <w:tcW w:w="3153"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7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153"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shd w:val="clear" w:color="auto" w:fill="auto"/>
        <w:adjustRightInd/>
        <w:spacing w:line="440" w:lineRule="exact"/>
        <w:ind w:firstLine="480" w:firstLineChars="200"/>
        <w:rPr>
          <w:rFonts w:hint="eastAsia" w:ascii="宋体" w:hAnsi="宋体" w:cs="宋体"/>
          <w:color w:val="000000"/>
          <w:sz w:val="24"/>
          <w:highlight w:val="none"/>
        </w:rPr>
      </w:pPr>
    </w:p>
    <w:tbl>
      <w:tblPr>
        <w:tblStyle w:val="62"/>
        <w:tblW w:w="5000" w:type="pct"/>
        <w:tblInd w:w="0" w:type="dxa"/>
        <w:tblLayout w:type="autofit"/>
        <w:tblCellMar>
          <w:top w:w="0" w:type="dxa"/>
          <w:left w:w="108" w:type="dxa"/>
          <w:bottom w:w="0" w:type="dxa"/>
          <w:right w:w="108" w:type="dxa"/>
        </w:tblCellMar>
      </w:tblPr>
      <w:tblGrid>
        <w:gridCol w:w="677"/>
        <w:gridCol w:w="1226"/>
        <w:gridCol w:w="6040"/>
        <w:gridCol w:w="674"/>
        <w:gridCol w:w="669"/>
      </w:tblGrid>
      <w:tr>
        <w:tblPrEx>
          <w:tblCellMar>
            <w:top w:w="0" w:type="dxa"/>
            <w:left w:w="108" w:type="dxa"/>
            <w:bottom w:w="0" w:type="dxa"/>
            <w:right w:w="108" w:type="dxa"/>
          </w:tblCellMar>
        </w:tblPrEx>
        <w:trPr>
          <w:trHeight w:val="80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23城厢街道智安小区项目设备清单（井泉苑）</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660"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252"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62"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5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59"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60"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252"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人脸Mac一体机</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采用高性能四百万像素1/1.8英寸CMOS图像传感器，低照度效果好，图像清晰度高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最大可输出400万(2688×1520)@60fps，满足高帧率需求</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支持ROI，SVC，SMART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支持动态检测，视频遮挡检测，虚焦侦测，场景变更检测，音频异常侦测，外部报警</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支持报警7进3出，音频2进1出，1路内置MIC，RS485，BNC，最大支持256G SD卡，2个wifi天线，1个GPS天线，1个光口（需另配光模块）</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支持DC12V供电方式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内置高效暖光灯，最大监控距离80米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支持人脸检测，人脸曝光，人脸增强，非活体过滤以及人脸属性识别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支持人脸实时抓拍，优选抓拍，质量优先三种抓拍策略，支持人脸角度过滤功能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支持人脸抠图区域可设：人脸/单寸照</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支持人脸计数及实时OSD叠加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支持垂直/倾斜人数统计，区域内人数统计功能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支持周界检测功能，包括绊线入侵，区域入侵，物品遗留，快速移动，停车检测，人员聚集，物品搬移，徘徊检测</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支持视频结构化功能，包括机动车，非机动车，人员等目标的抓拍和属性识别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支持车牌、车标、车辆子品牌、车年款、车身颜色、车辆类型等车辆属性识别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支持MAC采集功能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支持GPS/北斗功能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支持五码流功能，三路高清视频显示</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60"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25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3.视频监控系统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室外枪机</w:t>
            </w:r>
          </w:p>
        </w:tc>
        <w:tc>
          <w:tcPr>
            <w:tcW w:w="325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采用高性能两百万像素1/2.7英寸CMOS图像传感器，低照度效果好，图像清晰度高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可输出200万(1920*1080)@25fps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最大红外监控距离50米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支持区域入侵,绊线入侵,场景变更，支持多种触发规则联动动作;支持目标过滤</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支持DC12V/POE供电方式，方便工程安装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支持IP67防护等级</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16路网络视频录像机</w:t>
            </w:r>
          </w:p>
        </w:tc>
        <w:tc>
          <w:tcPr>
            <w:tcW w:w="325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USB接口2个，1个前置USB2.0接口、1个后置USB3.0接口；操作界面WEB方式，本地GUI操作；操作系统嵌入式Linux操作系统；多路回放最大支持16路回放；解码能力8路1080P@30fps；视频输出1路VGA输出，1路HDMI输出，其中VGA和HDMI同源输出，VGA最大输出分辨率1080P，HDMI最大输出分辨率4K；网络带宽160Mbps接入、160Mbps存储、64Mbps转发；网络接口2个RJ-45，10/100/1000Mbps自适应以太网口；网络协议HTTP、HTTPS、TCP/IP、IPv4/IPv6、UPnP、SNMP、RTSP、UDP、SMTP、NTP、DHCP、DNS、IPFilter、DDNS、FTP、AlarmServer、IPSearch(SupportDahuaIPcamera、DVR、NVS、etc.)、P2P、主动注册；硬盘接口4个，SATA3.0，单盘最大10T；主处理器工业级嵌入式微控制器；报警输出4路，其中3路继电器输出，1路12V1Actrl输出</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60"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显示器</w:t>
            </w:r>
          </w:p>
        </w:tc>
        <w:tc>
          <w:tcPr>
            <w:tcW w:w="3252" w:type="pct"/>
            <w:tcBorders>
              <w:top w:val="single" w:color="000000" w:sz="4" w:space="0"/>
              <w:left w:val="single" w:color="000000" w:sz="4" w:space="0"/>
              <w:bottom w:val="nil"/>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面板尺寸43英寸；亮度250cd/m²；安装方式底座、壁挂；信号输入标配VGA(D-Sub)×1、HDMI×1、Audioin×1；内置喇叭；支持的分辨率1920×1080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60"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6T硬盘</w:t>
            </w:r>
          </w:p>
        </w:tc>
        <w:tc>
          <w:tcPr>
            <w:tcW w:w="3252"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6000G；5400RPM；256M；SATA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块</w:t>
            </w:r>
          </w:p>
        </w:tc>
        <w:tc>
          <w:tcPr>
            <w:tcW w:w="35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4.人行闸及门禁系统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室外人脸一体主机</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主处理器 高性能嵌入式处理器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网络协议 IPv4，RTSP，RTP，TCP，UDP，P2P</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OSDP协议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接入标准 CGI</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是否支持SDK和API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外观 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显示屏 10.1寸TFT屏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屏幕类型 电容屏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屏幕分辩率 1280×800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摄像头 200万CMOS高清摄像头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宽动态 120dB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光照补偿 自动白光补光 自动红外补光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状态指示灯 1个，蓝色-运行状态，红色-错误状态，绿色-正确状态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语音提示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蜂鸣器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外壳材料 PC+ABS 铝合金金属边框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开门模式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读卡类型 IC卡 CPU卡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假日时段表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网络更新升级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首用户开门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远程验证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黑白名单设定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Wi-Fi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外接读卡器 1路RS-485，1路韦根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多用户开门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实时监控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多重认证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刷卡拍照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WEB配置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主动注册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读卡距离 1cm～4cm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人脸识别身高范围 0.9m～2.4m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人脸识别距离 0.3m～2m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人脸识别准确率 99.5%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人脸识别速度 0.2s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指纹传感器类型 电容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指纹验证方式 1:N</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指纹比对时间 ≤1.5s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指纹识别时间 ≤0.5s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普通卡（用户）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巡逻卡（用户）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VIP卡（用户）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来宾卡（用户）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残疾人（用户）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用户容量 100000个用户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指纹容量 10000枚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卡片容量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密码容量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二维码容量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存储记录数量 100000条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RS-485接口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RS-232接口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韦根接口 1路输入/输出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USB接口 个USB2.0接口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网络接口 1个RJ-45 100Mbps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报警输入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报警输出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报警联动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开门按钮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门状态检测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门锁控制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防反潜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防拆报警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门超时报警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非法闯入报警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非法卡超次报警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胁迫指纹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 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供电方式 DC 12V  2A</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防护等级 IP65（需要点胶，详见操作手册）</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功耗 ≤24W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产品尺寸 396.9mm×185.6mm×77.2mm（高×宽×厚）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包装尺寸 515.0mm×271.0mm×148.0mm（高×宽×厚，内箱单机包装）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 -30℃~+60℃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工作湿度 5%~95%（无凝结）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 0m～1300m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使用环境 室内 室外</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毛重 4.32kg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配件 壁装支架标配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 壁挂安装</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指纹采集器</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MOS光学传感器，传感器寿命100万次以上，分别率500DPI，采集窗口L18xW15mm，指纹录入时间≤350毫秒，认假率≤0.0001%，拒真率≤0.014%，比对时间≤1.5秒，指纹验证方式1：N指纹搜索，工作温度0℃～55℃，相对湿度20%～90%（无凝霜），通讯接口USB，供电电压DC3.8～7，工作电流≤80m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发卡器</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IC卡(Mifare卡)发卡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USB供电和通讯，工作电流&lt;150mA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发卡距离：3cm~8cm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免驱动安装，即插即用</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IC卡</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尺寸：55*85*1mm</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张</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闭门器</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采用齿轮液压传动技术，结合机械传动的精确性和稳定性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铸特缸体，高强度整体锻钢活塞</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280KG单门防水磁力锁</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铝合金；锁体尺寸：长210x宽42x厚28.5(mm) ；吸板尺寸：长185x宽38x厚12(mm)；280kg(600Lbs)直线拉力 ；锁状态信号输出 ；断电开门；适用木门\玻璃门\金属门\防火门等；工作温度：-20℃-+60℃， 工作湿度：≤95%；2.3KG；</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广告人型摆闸</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(1242mm-1842mm)×250mm×1640mm（长×宽×高）；外壳材料冷轧钢板；驱动电机直流减速电机（24V）；电机使用寿命100万次；通道宽度1242mm-1842mm；最大定制通道宽度支持调节；通行速度15人~20人/min；开闸时间1.5s~10s，可调节；开门模式支持刷卡（另配）、遥控器、按键、人脸（另配）；功耗10W（待机）、50W（工作）；工作温度-20℃~+70℃；使用环境室内，室外</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单门控制器</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用32位高处理器，支持TCP/IP通讯方式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同时支持RS485协议和韦根协议读卡器的接入,韦根接口支持国际标准W26\W34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支持2台读卡器（可设单门双向识别）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支持4组信号输入（开门按钮*1，门磁报警*1，报警输入*2）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支持3组控制输出（电锁控制*1，警报输出*2）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FLASH存储容量为16M（可扩展32M），最大支持100,000个持卡者, 150,000条刷卡记录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具有防反潜、多门互锁、多重验证、远程验证、平台视频联动等多项专项功能，支持首卡开门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支持普通卡、VIP卡、来宾卡、巡逻卡、黑白名单、胁迫卡等类型及权限下发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支持读卡器防拆报警、非法闯入报警、开门超时报警、支持胁迫卡及胁迫码设定，支持黑白名单及巡逻卡设定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支持卡片、密码、指纹各种组合方式开门，支持分时段开门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支持128组时间表及128组假日时段表，支持常开时间段、常闭时间段、远程开门时间段、首卡开门时间段等设置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工作温度：-30℃-+60℃， 工作湿度：≤95%</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5.车牌识别系统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车牌抓拍摄像机</w:t>
            </w:r>
          </w:p>
        </w:tc>
        <w:tc>
          <w:tcPr>
            <w:tcW w:w="325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补光灯数量2颗（可根据客户需求自由切换为暖光灯或红外灯，暖光灯色温3000K，亮度可自动调节）；传感器类型1/3英寸CMOS；图像分辨率2304×1296（不包含OSD黑边）；镜头标配4mm定焦镜头；视频分辨率主码流：1080P（1920×1080）/720P（1280×720）辅码流：720P（1280×720）/D1（704×576）；视频压缩标准MJPEG；H.264H；H.264M；H.264B；H.265；降噪3D降噪；坏点校正支持；触发方式支持视频检测、I/O线圈、雷达三种触发方式；存储功能内置1个TF卡接口（最大支持128G，TF卡可选大华、金士顿、闪迪等）；最大补光距离8m；OSD信息叠加支持叠加时间、地点、车牌、车身颜色、防伪码、车标、触发源、车牌类型、车辆颜色、车辆类型、卡口方向、车系、置信度、车头朝向、自定义信息；断网续传支持，平台/FTP；车辆检测车辆捕获率≥99.9%；车辆识别支持车型、车标、车系、车身颜色、车牌颜色、车牌号码、车牌类型、无牌车、新能源车牌识别车牌识别率≥99.9%；智能轨迹帧支持智能帧显示，可显示车牌和车辆行驶轨迹；网络接口1个，10/100M以太网口（RJ-45）；RS-485接口2个（可用于连接配套屏、雷达、道闸和外置常亮灯）；I/O接口2路，光耦输入（5V开关量），可用于车检器等信号输入；供电方式AC220V；防护等级IP67</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摄像机立柱</w:t>
            </w:r>
          </w:p>
        </w:tc>
        <w:tc>
          <w:tcPr>
            <w:tcW w:w="325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抓拍一体机杆件（白色+1.5米)</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6.网络设备</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7.管线及网络费用</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室外立杆</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3-5米杆，含基础地笼设备箱</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处</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42U机柜</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2米机柜</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PE32管</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PE50管</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手孔</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500*500*400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道路开挖修复、基础等费用</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shd w:val="clear" w:color="auto" w:fill="auto"/>
        <w:adjustRightInd/>
        <w:spacing w:line="440" w:lineRule="exact"/>
        <w:ind w:firstLine="480" w:firstLineChars="200"/>
        <w:rPr>
          <w:rFonts w:hint="eastAsia" w:ascii="宋体" w:hAnsi="宋体" w:cs="宋体"/>
          <w:color w:val="000000"/>
          <w:sz w:val="24"/>
          <w:highlight w:val="none"/>
        </w:rPr>
      </w:pPr>
    </w:p>
    <w:tbl>
      <w:tblPr>
        <w:tblStyle w:val="62"/>
        <w:tblW w:w="5000" w:type="pct"/>
        <w:tblInd w:w="0" w:type="dxa"/>
        <w:tblLayout w:type="autofit"/>
        <w:tblCellMar>
          <w:top w:w="0" w:type="dxa"/>
          <w:left w:w="108" w:type="dxa"/>
          <w:bottom w:w="0" w:type="dxa"/>
          <w:right w:w="108" w:type="dxa"/>
        </w:tblCellMar>
      </w:tblPr>
      <w:tblGrid>
        <w:gridCol w:w="678"/>
        <w:gridCol w:w="1116"/>
        <w:gridCol w:w="6147"/>
        <w:gridCol w:w="676"/>
        <w:gridCol w:w="669"/>
      </w:tblGrid>
      <w:tr>
        <w:tblPrEx>
          <w:tblCellMar>
            <w:top w:w="0" w:type="dxa"/>
            <w:left w:w="108" w:type="dxa"/>
            <w:bottom w:w="0" w:type="dxa"/>
            <w:right w:w="108" w:type="dxa"/>
          </w:tblCellMar>
        </w:tblPrEx>
        <w:trPr>
          <w:trHeight w:val="80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24城厢街道智安小区项目设备清单（湖畔公寓）</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601"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310"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62"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5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59"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01"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310"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0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人脸Mac一体机</w:t>
            </w:r>
          </w:p>
        </w:tc>
        <w:tc>
          <w:tcPr>
            <w:tcW w:w="33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采用高性能四百万像素1/1.8英寸CMOS图像传感器，低照度效果好，图像清晰度高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最大可输出400万(2688×1520)@60fps，满足高帧率需求</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支持ROI，SVC，SMART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支持动态检测，视频遮挡检测，虚焦侦测，场景变更检测，音频异常侦测，外部报警</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支持报警7进3出，音频2进1出，1路内置MIC，RS485，BNC，最大支持256G SD卡，2个wifi天线，1个GPS天线，1个光口（需另配光模块）</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支持DC12V供电方式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内置高效暖光灯，最大监控距离80米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支持人脸检测，人脸曝光，人脸增强，非活体过滤以及人脸属性识别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支持人脸实时抓拍，优选抓拍，质量优先三种抓拍策略，支持人脸角度过滤功能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支持人脸抠图区域可设：人脸/单寸照</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支持人脸计数及实时OSD叠加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支持垂直/倾斜人数统计，区域内人数统计功能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支持周界检测功能，包括绊线入侵，区域入侵，物品遗留，快速移动，停车检测，人员聚集，物品搬移，徘徊检测</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支持视频结构化功能，包括机动车，非机动车，人员等目标的抓拍和属性识别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支持车牌、车标、车辆子品牌、车年款、车身颜色、车辆类型等车辆属性识别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支持MAC采集功能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支持GPS/北斗功能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支持五码流功能，三路高清视频显示</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5" w:type="pct"/>
            <w:tcBorders>
              <w:top w:val="nil"/>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01"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310"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3.视频监控系统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0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室外枪机</w:t>
            </w:r>
          </w:p>
        </w:tc>
        <w:tc>
          <w:tcPr>
            <w:tcW w:w="331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采用高性能两百万像素1/2.7英寸CMOS图像传感器，低照度效果好，图像清晰度高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可输出200万(1920*1080)@25fps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最大红外监控距离50米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支持区域入侵,绊线入侵,场景变更，支持多种触发规则联动动作;支持目标过滤</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支持DC12V/POE供电方式，方便工程安装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支持IP67防护等级</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0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16路网络视频录像机</w:t>
            </w:r>
          </w:p>
        </w:tc>
        <w:tc>
          <w:tcPr>
            <w:tcW w:w="331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USB接口2个，1个前置USB2.0接口、1个后置USB3.0接口；操作界面WEB方式，本地GUI操作；操作系统嵌入式Linux操作系统；多路回放最大支持16路回放；解码能力8路1080P@30fps；视频输出1路VGA输出，1路HDMI输出，其中VGA和HDMI同源输出，VGA最大输出分辨率1080P，HDMI最大输出分辨率4K；网络带宽160Mbps接入、160Mbps存储、64Mbps转发；网络接口2个RJ-45，10/100/1000Mbps自适应以太网口；网络协议HTTP、HTTPS、TCP/IP、IPv4/IPv6、UPnP、SNMP、RTSP、UDP、SMTP、NTP、DHCP、DNS、IPFilter、DDNS、FTP、AlarmServer、IPSearch(SupportDahuaIPcamera、DVR、NVS、etc.)、P2P、主动注册；硬盘接口4个，SATA3.0，单盘最大10T；主处理器工业级嵌入式微控制器；报警输出4路，其中3路继电器输出，1路12V1Actrl输出</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01"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显示器</w:t>
            </w:r>
          </w:p>
        </w:tc>
        <w:tc>
          <w:tcPr>
            <w:tcW w:w="3310" w:type="pct"/>
            <w:tcBorders>
              <w:top w:val="single" w:color="000000" w:sz="4" w:space="0"/>
              <w:left w:val="single" w:color="000000" w:sz="4" w:space="0"/>
              <w:bottom w:val="nil"/>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面板尺寸43英寸；亮度250cd/m²；安装方式底座、壁挂；信号输入标配VGA(D-Sub)×1、HDMI×1、Audioin×1；内置喇叭；支持的分辨率1920×1080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01"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6T硬盘</w:t>
            </w:r>
          </w:p>
        </w:tc>
        <w:tc>
          <w:tcPr>
            <w:tcW w:w="3310"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6000G；5400RPM；256M；SATA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块</w:t>
            </w:r>
          </w:p>
        </w:tc>
        <w:tc>
          <w:tcPr>
            <w:tcW w:w="35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4.人行闸及门禁系统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0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室外人脸一体主机</w:t>
            </w:r>
          </w:p>
        </w:tc>
        <w:tc>
          <w:tcPr>
            <w:tcW w:w="3310"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主处理器 高性能嵌入式处理器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网络协议 IPv4，RTSP，RTP，TCP，UDP，P2P</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OSDP协议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接入标准 CGI</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是否支持SDK和API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外观 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显示屏 10.1寸TFT屏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屏幕类型 电容屏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屏幕分辩率 1280×800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摄像头 200万CMOS高清摄像头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宽动态 120dB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光照补偿 自动白光补光 自动红外补光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状态指示灯 1个，蓝色-运行状态，红色-错误状态，绿色-正确状态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语音提示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蜂鸣器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外壳材料 PC+ABS 铝合金金属边框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开门模式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读卡类型 IC卡 CPU卡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假日时段表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网络更新升级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首用户开门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远程验证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黑白名单设定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Wi-Fi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外接读卡器 1路RS-485，1路韦根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多用户开门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实时监控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多重认证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刷卡拍照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WEB配置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主动注册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读卡距离 1cm～4cm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人脸识别身高范围 0.9m～2.4m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人脸识别距离 0.3m～2m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人脸识别准确率 99.5%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人脸识别速度 0.2s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指纹传感器类型 电容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指纹验证方式 1:N</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指纹比对时间 ≤1.5s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指纹识别时间 ≤0.5s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普通卡（用户）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巡逻卡（用户）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VIP卡（用户）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来宾卡（用户）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残疾人（用户）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用户容量 100000个用户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指纹容量 10000枚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卡片容量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密码容量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二维码容量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存储记录数量 100000条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RS-485接口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RS-232接口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韦根接口 1路输入/输出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USB接口 个USB2.0接口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网络接口 1个RJ-45 100Mbps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报警输入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报警输出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报警联动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开门按钮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门状态检测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门锁控制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防反潜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防拆报警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门超时报警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非法闯入报警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非法卡超次报警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胁迫指纹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 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供电方式 DC 12V  2A</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防护等级 IP65（需要点胶，详见操作手册）</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功耗 ≤24W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产品尺寸 396.9mm×185.6mm×77.2mm（高×宽×厚）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包装尺寸 515.0mm×271.0mm×148.0mm（高×宽×厚，内箱单机包装）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 -30℃~+60℃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工作湿度 5%~95%（无凝结）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 0m～1300m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使用环境 室内 室外</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毛重 4.32kg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配件 壁装支架标配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 壁挂安装</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0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指纹采集器</w:t>
            </w:r>
          </w:p>
        </w:tc>
        <w:tc>
          <w:tcPr>
            <w:tcW w:w="33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MOS光学传感器，传感器寿命100万次以上，分别率500DPI，采集窗口L18xW15mm，指纹录入时间≤350毫秒，认假率≤0.0001%，拒真率≤0.014%，比对时间≤1.5秒，指纹验证方式1：N指纹搜索，工作温度0℃～55℃，相对湿度20%～90%（无凝霜），通讯接口USB，供电电压DC3.8～7，工作电流≤80m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0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发卡器</w:t>
            </w:r>
          </w:p>
        </w:tc>
        <w:tc>
          <w:tcPr>
            <w:tcW w:w="33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IC卡(Mifare卡)发卡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USB供电和通讯，工作电流&lt;150mA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发卡距离：3cm~8cm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免驱动安装，即插即用</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0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IC卡</w:t>
            </w:r>
          </w:p>
        </w:tc>
        <w:tc>
          <w:tcPr>
            <w:tcW w:w="33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尺寸：55*85*1mm</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张</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60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单门控制器</w:t>
            </w:r>
          </w:p>
        </w:tc>
        <w:tc>
          <w:tcPr>
            <w:tcW w:w="33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用32位高处理器，支持TCP/IP通讯方式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同时支持RS485协议和韦根协议读卡器的接入,韦根接口支持国际标准W26\W34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支持2台读卡器（可设单门双向识别）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支持4组信号输入（开门按钮*1，门磁报警*1，报警输入*2）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支持3组控制输出（电锁控制*1，警报输出*2）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FLASH存储容量为16M（可扩展32M），最大支持100,000个持卡者, 150,000条刷卡记录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具有防反潜、多门互锁、多重验证、远程验证、平台视频联动等多项专项功能，支持首卡开门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支持普通卡、VIP卡、来宾卡、巡逻卡、黑白名单、胁迫卡等类型及权限下发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支持读卡器防拆报警、非法闯入报警、开门超时报警、支持胁迫卡及胁迫码设定，支持黑白名单及巡逻卡设定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支持卡片、密码、指纹各种组合方式开门，支持分时段开门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支持128组时间表及128组假日时段表，支持常开时间段、常闭时间段、远程开门时间段、首卡开门时间段等设置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工作温度：-30℃-+60℃， 工作湿度：≤95%</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60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3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60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3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5.车牌识别系统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0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车牌抓拍摄像机</w:t>
            </w:r>
          </w:p>
        </w:tc>
        <w:tc>
          <w:tcPr>
            <w:tcW w:w="331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补光灯数量2颗（可根据客户需求自由切换为暖光灯或红外灯，暖光灯色温3000K，亮度可自动调节）；传感器类型1/3英寸CMOS；图像分辨率2304×1296（不包含OSD黑边）；镜头标配4mm定焦镜头；视频分辨率主码流：1080P（1920×1080）/720P（1280×720）辅码流：720P（1280×720）/D1（704×576）；视频压缩标准MJPEG；H.264H；H.264M；H.264B；H.265；降噪3D降噪；坏点校正支持；触发方式支持视频检测、I/O线圈、雷达三种触发方式；存储功能内置1个TF卡接口（最大支持128G，TF卡可选大华、金士顿、闪迪等）；最大补光距离8m；OSD信息叠加支持叠加时间、地点、车牌、车身颜色、防伪码、车标、触发源、车牌类型、车辆颜色、车辆类型、卡口方向、车系、置信度、车头朝向、自定义信息；断网续传支持，平台/FTP；车辆检测车辆捕获率≥99.9%；车辆识别支持车型、车标、车系、车身颜色、车牌颜色、车牌号码、车牌类型、无牌车、新能源车牌识别车牌识别率≥99.9%；智能轨迹帧支持智能帧显示，可显示车牌和车辆行驶轨迹；网络接口1个，10/100M以太网口（RJ-45）；RS-485接口2个（可用于连接配套屏、雷达、道闸和外置常亮灯）；I/O接口2路，光耦输入（5V开关量），可用于车检器等信号输入；供电方式AC220V；防护等级IP67</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0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摄像机立柱</w:t>
            </w:r>
          </w:p>
        </w:tc>
        <w:tc>
          <w:tcPr>
            <w:tcW w:w="3310"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抓拍一体机杆件（白色+1.5米)</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6.网络设备</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0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31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0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31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0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31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7.管线及网络费用</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0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室外立杆</w:t>
            </w:r>
          </w:p>
        </w:tc>
        <w:tc>
          <w:tcPr>
            <w:tcW w:w="33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3-5米杆，含基础地笼设备箱</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处</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0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3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0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3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0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3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0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42U机柜</w:t>
            </w:r>
          </w:p>
        </w:tc>
        <w:tc>
          <w:tcPr>
            <w:tcW w:w="33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2米机柜</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0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31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0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31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60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31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60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PE32管</w:t>
            </w:r>
          </w:p>
        </w:tc>
        <w:tc>
          <w:tcPr>
            <w:tcW w:w="331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60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PE50管</w:t>
            </w:r>
          </w:p>
        </w:tc>
        <w:tc>
          <w:tcPr>
            <w:tcW w:w="331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60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31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w:t>
            </w:r>
          </w:p>
        </w:tc>
        <w:tc>
          <w:tcPr>
            <w:tcW w:w="60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手孔</w:t>
            </w:r>
          </w:p>
        </w:tc>
        <w:tc>
          <w:tcPr>
            <w:tcW w:w="331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500*500*400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60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道路开挖修复、基础等费用</w:t>
            </w:r>
          </w:p>
        </w:tc>
        <w:tc>
          <w:tcPr>
            <w:tcW w:w="3310"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60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31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shd w:val="clear" w:color="auto" w:fill="auto"/>
        <w:adjustRightInd/>
        <w:spacing w:line="440" w:lineRule="exact"/>
        <w:ind w:firstLine="480" w:firstLineChars="200"/>
        <w:rPr>
          <w:rFonts w:hint="eastAsia" w:ascii="宋体" w:hAnsi="宋体" w:cs="宋体"/>
          <w:color w:val="000000"/>
          <w:sz w:val="24"/>
          <w:highlight w:val="none"/>
        </w:rPr>
      </w:pPr>
    </w:p>
    <w:tbl>
      <w:tblPr>
        <w:tblStyle w:val="62"/>
        <w:tblW w:w="5000" w:type="pct"/>
        <w:tblInd w:w="0" w:type="dxa"/>
        <w:tblLayout w:type="autofit"/>
        <w:tblCellMar>
          <w:top w:w="0" w:type="dxa"/>
          <w:left w:w="108" w:type="dxa"/>
          <w:bottom w:w="0" w:type="dxa"/>
          <w:right w:w="108" w:type="dxa"/>
        </w:tblCellMar>
      </w:tblPr>
      <w:tblGrid>
        <w:gridCol w:w="677"/>
        <w:gridCol w:w="1226"/>
        <w:gridCol w:w="6040"/>
        <w:gridCol w:w="674"/>
        <w:gridCol w:w="669"/>
      </w:tblGrid>
      <w:tr>
        <w:tblPrEx>
          <w:tblCellMar>
            <w:top w:w="0" w:type="dxa"/>
            <w:left w:w="108" w:type="dxa"/>
            <w:bottom w:w="0" w:type="dxa"/>
            <w:right w:w="108" w:type="dxa"/>
          </w:tblCellMar>
        </w:tblPrEx>
        <w:trPr>
          <w:trHeight w:val="80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25城厢街道智安小区项目设备清单（丁香公馆）</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序号</w:t>
            </w:r>
          </w:p>
        </w:tc>
        <w:tc>
          <w:tcPr>
            <w:tcW w:w="660"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名称</w:t>
            </w:r>
          </w:p>
        </w:tc>
        <w:tc>
          <w:tcPr>
            <w:tcW w:w="3252"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参数</w:t>
            </w:r>
          </w:p>
        </w:tc>
        <w:tc>
          <w:tcPr>
            <w:tcW w:w="362"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单位</w:t>
            </w:r>
          </w:p>
        </w:tc>
        <w:tc>
          <w:tcPr>
            <w:tcW w:w="359" w:type="pct"/>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1.综合管理平台</w:t>
            </w:r>
          </w:p>
        </w:tc>
        <w:tc>
          <w:tcPr>
            <w:tcW w:w="359" w:type="pct"/>
            <w:tcBorders>
              <w:top w:val="single" w:color="000000" w:sz="4"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nil"/>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60"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智安小区管理平台一体机</w:t>
            </w:r>
          </w:p>
        </w:tc>
        <w:tc>
          <w:tcPr>
            <w:tcW w:w="3252" w:type="pct"/>
            <w:tcBorders>
              <w:top w:val="nil"/>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嵌入式Linux一体机，30*24小时稳定运行； 模块组件化设计：可以随意组合成不同的产品，支持灵活扩展； 业务化首页设计：支持用户自定义配置业务数据展现，展示用户认为最重要的数据； 完整的一卡通业务： 一卡通集成停车场，门禁，考勤，消费，访客，梯控，巡更 真正实现一次发卡，各个系统都能使用； 智能化停车场： 实现不停车出入，停车预约，停车诱导，反向寻车，自助缴费，APP缴费等功能； 丰富的智能化功能：支持IVS-B/PC等智能设备接入，实现全景拼接，人脸识别，人数统计； 丰富的地图应用：支持矢量，光栅，在线/离线GIS、3维地图等多种地图应用； 支持多址模式下800M码流的接入、转发和存储； 支持绑定模式下1500M码流的接入、转发和存储； 支持ONVIF、GB/T28181标准协议的设备接入； 支持GB/T28181、DB33等标准协议的平台接入； 支持B/S、C/S客户端，以及iphone、ipad、android等移动端应用； 支持二次开发，提供平台SDK开发包、webservice、REST接口； 处理器 Intel Xeon E3 内存 DDR4内存条-8GB-VLP-ECC-UDIMM*2 配置DDR4/带ECC UDIMM 速率2400MHZ 整机最大可以支持64GB IO接口 1个DB-15 VGA接口 4个 千兆网口 1个BMC管理网口 支持后置2个USB3.0接口和前置2个USB3.0接口 存储 硬盘-ST1000NM0055-1T-128M缓存-3.5英寸-SATA3.0接口 前置4盘位, 可支持4个3.5英寸SATA硬盘，配置SAS HBA卡时， 操作系统 Centos 6.7 </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2.人像比对系统</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人脸Mac一体机</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采用高性能四百万像素1/1.8英寸CMOS图像传感器，低照度效果好，图像清晰度高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最大可输出400万(2688×1520)@60fps，满足高帧率需求</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支持ROI，SVC，SMART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支持动态检测，视频遮挡检测，虚焦侦测，场景变更检测，音频异常侦测，外部报警</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支持报警7进3出，音频2进1出，1路内置MIC，RS485，BNC，最大支持256G SD卡，2个wifi天线，1个GPS天线，1个光口（需另配光模块）</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支持DC12V供电方式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内置高效暖光灯，最大监控距离80米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支持人脸检测，人脸曝光，人脸增强，非活体过滤以及人脸属性识别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支持人脸实时抓拍，优选抓拍，质量优先三种抓拍策略，支持人脸角度过滤功能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支持人脸抠图区域可设：人脸/单寸照</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支持人脸计数及实时OSD叠加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支持垂直/倾斜人数统计，区域内人数统计功能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支持周界检测功能，包括绊线入侵，区域入侵，物品遗留，快速移动，停车检测，人员聚集，物品搬移，徘徊检测</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支持视频结构化功能，包括机动车，非机动车，人员等目标的抓拍和属性识别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支持车牌、车标、车辆子品牌、车年款、车身颜色、车辆类型等车辆属性识别</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支持MAC采集功能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支持GPS/北斗功能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支持五码流功能，三路高清视频显示</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5" w:type="pct"/>
            <w:tcBorders>
              <w:top w:val="nil"/>
              <w:left w:val="single" w:color="000000" w:sz="8"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60"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人脸摄像机</w:t>
            </w:r>
          </w:p>
        </w:tc>
        <w:tc>
          <w:tcPr>
            <w:tcW w:w="325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传感器类型1/1.8英寸CMOS；像素400万；最大分辨率2688×1520；最低照度0.001Lux(彩色模式);0.0001Lux(黑白模式);0Lux(补光灯开启)；最大补光距离40m（人脸检测距离）80m（暖光模式视频监控距离）150m（混光模式视频监控距离）；镜头类型电动变焦；镜头焦距8-32mm；通用行为分析物品遗留；物品搬移；热度图支持；周界防范绊线入侵；区域入侵；快速移动（三项均支持人车分类及精准检测）；徘徊检测；人员聚集；停车检测；人脸检测支持人脸检测；支持跟踪；支持优选；支持抓拍；支持上报最优的人脸抓图；支持人脸增强，支持人脸曝光；支持人脸属性提取，支持7种属性8种表情：性别，年龄，眼镜，表情（高兴、惊讶、 正常、 愤怒、悲伤、厌恶、困惑、害怕），口罩，肤色，胡子；支持人脸抠图区域可设：人脸，单寸照；支持实时抓拍；支持优选抓拍；支持质量优先三种抓拍策略；支持人脸角度过滤功能；支持优选时长可设；人数统计支持对进入、离开人员进行数量统计，支持4条规则配置，并可显示及输出日、月、年统计报表；支持区域内人员进行数量统计，支持4条规则配置；支持排队管理，支持4条规则配置，对限定的排队人数和排队时间进行统计并联动报警；；视频压缩标准H.265；H.264；H.264H；H.264B；MJPEG；智能编码H.264：支持H.265：支持；宽动态120dB；透雾功能支持；报警事件无SD卡；SD卡空间不足；SD卡出错；网络断开；IP冲突；非法访问；动态检测；视频遮挡；虚焦侦测；场景变更；区域入侵；绊线入侵；物品遗留；物品搬移；快速移动；停车检测；徘徊检测；人员聚集；音频异常侦测；人数统计；人脸侦测；视频结构化；接入标准ONVIF（Profile S/Profile G）；GB/T28181；CGI；乐橙；最大Micro SD卡256G；RS-485接口1个（波特率范围：1200bps~115200bps）；音频输入1路（RCA头）；音频输出1路（RCA头）；报警输入3路（湿节点，支持直流3V~5V电位，5mA电流）；报警输出2路（湿节点，支持直流最大12V电位，0.3A电流）；模拟输出接口1路（CVBS输出 BNC接口）；供电方式DC12V/AC24V/POE；防护等级IP67</w:t>
            </w:r>
          </w:p>
        </w:tc>
        <w:tc>
          <w:tcPr>
            <w:tcW w:w="362"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nil"/>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3.视频监控系统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室外枪机</w:t>
            </w:r>
          </w:p>
        </w:tc>
        <w:tc>
          <w:tcPr>
            <w:tcW w:w="325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采用高性能两百万像素1/2.7英寸CMOS图像传感器，低照度效果好，图像清晰度高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可输出200万(1920*1080)@25fps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支持H.265编码，压缩比高，超低码流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最大红外监控距离50米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支持ROI，SMART H.264/H.265，灵活编码，适用不同带宽和存储环境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支持区域入侵,绊线入侵,场景变更，支持多种触发规则联动动作;支持目标过滤</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支持DC12V/POE供电方式，方便工程安装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支持IP67防护等级</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16路网络视频录像机</w:t>
            </w:r>
          </w:p>
        </w:tc>
        <w:tc>
          <w:tcPr>
            <w:tcW w:w="325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USB接口2个，1个前置USB2.0接口、1个后置USB3.0接口；操作界面WEB方式，本地GUI操作；操作系统嵌入式Linux操作系统；多路回放最大支持16路回放；解码能力8路1080P@30fps；视频输出1路VGA输出，1路HDMI输出，其中VGA和HDMI同源输出，VGA最大输出分辨率1080P，HDMI最大输出分辨率4K；网络带宽160Mbps接入、160Mbps存储、64Mbps转发；网络接口2个RJ-45，10/100/1000Mbps自适应以太网口；网络协议HTTP、HTTPS、TCP/IP、IPv4/IPv6、UPnP、SNMP、RTSP、UDP、SMTP、NTP、DHCP、DNS、IPFilter、DDNS、FTP、AlarmServer、IPSearch(SupportDahuaIPcamera、DVR、NVS、etc.)、P2P、主动注册；硬盘接口4个，SATA3.0，单盘最大10T；主处理器工业级嵌入式微控制器；报警输出4路，其中3路继电器输出，1路12V1Actrl输出</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119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60"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显示器</w:t>
            </w:r>
          </w:p>
        </w:tc>
        <w:tc>
          <w:tcPr>
            <w:tcW w:w="3252" w:type="pct"/>
            <w:tcBorders>
              <w:top w:val="single" w:color="000000" w:sz="4" w:space="0"/>
              <w:left w:val="single" w:color="000000" w:sz="4" w:space="0"/>
              <w:bottom w:val="nil"/>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面板尺寸43英寸；亮度250cd/m²；安装方式底座、壁挂；信号输入标配VGA(D-Sub)×1、HDMI×1、Audioin×1；内置喇叭；支持的分辨率1920×1080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60"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6T硬盘</w:t>
            </w:r>
          </w:p>
        </w:tc>
        <w:tc>
          <w:tcPr>
            <w:tcW w:w="3252"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6000G；5400RPM；256M；SATA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块</w:t>
            </w:r>
          </w:p>
        </w:tc>
        <w:tc>
          <w:tcPr>
            <w:tcW w:w="359" w:type="pct"/>
            <w:tcBorders>
              <w:top w:val="single" w:color="000000" w:sz="4" w:space="0"/>
              <w:left w:val="single" w:color="000000" w:sz="4"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4.人行闸及门禁系统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室外人脸一体主机</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主处理器 高性能嵌入式处理器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网络协议 IPv4，RTSP，RTP，TCP，UDP，P2P</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OSDP协议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接入标准 CGI</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是否支持SDK和API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外观 一体机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显示屏 10.1寸TFT屏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屏幕类型 电容屏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屏幕分辩率 1280×800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摄像头 200万CMOS高清摄像头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宽动态 120dB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光照补偿 自动白光补光 自动红外补光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状态指示灯 1个，蓝色-运行状态，红色-错误状态，绿色-正确状态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语音提示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蜂鸣器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外壳材料 PC+ABS 铝合金金属边框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开门模式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读卡类型 IC卡 CPU卡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假日时段表 128组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网络更新升级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首用户开门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远程验证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黑白名单设定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Wi-Fi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外接读卡器 1路RS-485，1路韦根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多用户开门 支持刷卡/密码/二维码/指纹/人脸识别开门模式 支持组合开门模式设置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实时监控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多重认证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刷卡拍照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WEB配置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主动注册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读卡距离 1cm～4cm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人脸识别身高范围 0.9m～2.4m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人脸识别距离 0.3m～2m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人脸识别准确率 99.5%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人脸识别速度 0.2s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指纹传感器类型 电容</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指纹验证方式 1:N</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指纹比对时间 ≤1.5s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指纹识别时间 ≤0.5s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普通卡（用户）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巡逻卡（用户）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VIP卡（用户）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来宾卡（用户）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残疾人（用户）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用户容量 100000个用户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人脸容量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指纹容量 10000枚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卡片容量 100000张</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密码容量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二维码容量 100000个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存储记录数量 100000条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RS-485接口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RS-232接口 1个</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韦根接口 1路输入/输出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USB接口 个USB2.0接口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网络接口 1个RJ-45 100Mbps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报警输入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报警输出 2路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报警联动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开门按钮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门状态检测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门锁控制 1路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防反潜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防拆报警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门超时报警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非法闯入报警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非法卡超次报警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胁迫指纹 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 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供电方式 DC 12V  2A</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防护等级 IP65（需要点胶，详见操作手册）</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功耗 ≤24W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产品尺寸 396.9mm×185.6mm×77.2mm（高×宽×厚）</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包装尺寸 515.0mm×271.0mm×148.0mm（高×宽×厚，内箱单机包装）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 -30℃~+60℃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工作湿度 5%~95%（无凝结）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 0m～1300m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使用环境 室内 室外</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毛重 4.32kg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配件 壁装支架标配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 壁挂安装</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指纹采集器</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MOS光学传感器，传感器寿命100万次以上，分别率500DPI，采集窗口L18xW15mm，指纹录入时间≤350毫秒，认假率≤0.0001%，拒真率≤0.014%，比对时间≤1.5秒，指纹验证方式1：N指纹搜索，工作温度0℃～55℃，相对湿度20%～90%（无凝霜），通讯接口USB，供电电压DC3.8～7，工作电流≤80m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发卡器</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IC卡(Mifare卡)发卡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USB供电和通讯，工作电流&lt;150mA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发卡距离：3cm~8cm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免驱动安装，即插即用</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IC卡</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尺寸：55*85*1mm</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张</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3000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闭门器</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采用齿轮液压传动技术，结合机械传动的精确性和稳定性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铸特缸体，高强度整体锻钢活塞</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280KG单门防水磁力锁</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铝合金；锁体尺寸：长210x宽42x厚28.5(mm) ；吸板尺寸：长185x宽38x厚12(mm)；280kg(600Lbs)直线拉力 ；锁状态信号输出 ；断电开门；适用木门\玻璃门\金属门\防火门等；工作温度：-20℃-+60℃， 工作湿度：≤95%；2.3KG；</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广告人型摆闸</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(1242mm-1842mm)×250mm×1640mm（长×宽×高）；外壳材料冷轧钢板；驱动电机直流减速电机（24V）；电机使用寿命100万次；通道宽度1242mm-1842mm；最大定制通道宽度支持调节；通行速度15人~20人/min；开闸时间1.5s~10s，可调节；开门模式支持刷卡（另配）、遥控器、按键、人脸（另配）；功耗10W（待机）、50W（工作）；工作温度-20℃~+70℃；使用环境室内，室外</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单门控制器</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用32位高处理器，支持TCP/IP通讯方式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同时支持RS485协议和韦根协议读卡器的接入,韦根接口支持国际标准W26\W34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支持2台读卡器（可设单门双向识别）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支持4组信号输入（开门按钮*1，门磁报警*1，报警输入*2）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支持3组控制输出（电锁控制*1，警报输出*2）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FLASH存储容量为16M（可扩展32M），最大支持100,000个持卡者, 150,000条刷卡记录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具有防反潜、多门互锁、多重验证、远程验证、平台视频联动等多项专项功能，支持首卡开门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支持普通卡、VIP卡、来宾卡、巡逻卡、黑白名单、胁迫卡等类型及权限下发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支持读卡器防拆报警、非法闯入报警、开门超时报警、支持胁迫卡及胁迫码设定，支持黑白名单及巡逻卡设定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支持卡片、密码、指纹各种组合方式开门，支持分时段开门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支持128组时间表及128组假日时段表，支持常开时间段、常闭时间段、远程开门时间段、首卡开门时间段等设置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工作温度：-30℃-+60℃， 工作湿度：≤95%</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开门按钮</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塑料外壳 86*86*25mm 工作温度：-30℃-+60℃，工作湿度：≤95%； 0.1KG</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落地安装支架</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产品尺寸1460.7mm×183.6mm×180.0mm（高×宽×厚）；外壳材料铝合金材质；工作温度-30℃~+70℃；使用环境室内室外</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5.车牌识别系统</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车牌抓拍摄像机</w:t>
            </w:r>
          </w:p>
        </w:tc>
        <w:tc>
          <w:tcPr>
            <w:tcW w:w="325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补光灯数量2颗（可根据客户需求自由切换为暖光灯或红外灯，暖光灯色温3000K，亮度可自动调节）；传感器类型1/3英寸CMOS；图像分辨率2304×1296（不包含OSD黑边）；镜头标配4mm定焦镜头；视频分辨率主码流：1080P（1920×1080）/720P（1280×720）辅码流：720P（1280×720）/D1（704×576）；视频压缩标准MJPEG；H.264H；H.264M；H.264B；H.265；降噪3D降噪；坏点校正支持；触发方式支持视频检测、I/O线圈、雷达三种触发方式；存储功能内置1个TF卡接口（最大支持128G，TF卡可选大华、金士顿、闪迪等）；最大补光距离8m；OSD信息叠加支持叠加时间、地点、车牌、车身颜色、防伪码、车标、触发源、车牌类型、车辆颜色、车辆类型、卡口方向、车系、置信度、车头朝向、自定义信息；断网续传支持，平台/FTP；车辆检测车辆捕获率≥99.9%；车辆识别支持车型、车标、车系、车身颜色、车牌颜色、车牌号码、车牌类型、无牌车、新能源车牌识别车牌识别率≥99.9%；智能轨迹帧支持智能帧显示，可显示车牌和车辆行驶轨迹；网络接口1个，10/100M以太网口（RJ-45）；RS-485接口2个（可用于连接配套屏、雷达、道闸和外置常亮灯）；I/O接口2路，光耦输入（5V开关量），可用于车检器等信号输入；供电方式AC220V；防护等级IP67</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8" w:space="0"/>
              <w:bottom w:val="nil"/>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摄像机立柱</w:t>
            </w:r>
          </w:p>
        </w:tc>
        <w:tc>
          <w:tcPr>
            <w:tcW w:w="3252" w:type="pct"/>
            <w:tcBorders>
              <w:top w:val="single" w:color="000000" w:sz="4" w:space="0"/>
              <w:left w:val="single" w:color="000000" w:sz="4" w:space="0"/>
              <w:bottom w:val="single" w:color="000000" w:sz="4" w:space="0"/>
              <w:right w:val="nil"/>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抓拍一体机杆件（白色+1.5米)</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nil"/>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640" w:type="pct"/>
            <w:gridSpan w:val="4"/>
            <w:tcBorders>
              <w:top w:val="single" w:color="000000" w:sz="8" w:space="0"/>
              <w:left w:val="single" w:color="000000" w:sz="8" w:space="0"/>
              <w:bottom w:val="single" w:color="000000" w:sz="4" w:space="0"/>
              <w:right w:val="single" w:color="000000" w:sz="4" w:space="0"/>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6.网络设备</w:t>
            </w:r>
          </w:p>
        </w:tc>
        <w:tc>
          <w:tcPr>
            <w:tcW w:w="359" w:type="pct"/>
            <w:tcBorders>
              <w:top w:val="single" w:color="000000" w:sz="8" w:space="0"/>
              <w:left w:val="single" w:color="000000" w:sz="4" w:space="0"/>
              <w:bottom w:val="single" w:color="000000" w:sz="4" w:space="0"/>
              <w:right w:val="single" w:color="000000" w:sz="4" w:space="0"/>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24核心口交换机</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千兆，带12光口,12电口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24口交换机</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千兆24口，带2光口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8口交换机</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8口千兆，带2光口</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千兆模块</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10KM</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4640" w:type="pct"/>
            <w:gridSpan w:val="4"/>
            <w:tcBorders>
              <w:top w:val="single" w:color="000000" w:sz="4" w:space="0"/>
              <w:left w:val="single" w:color="000000" w:sz="8" w:space="0"/>
              <w:bottom w:val="single" w:color="000000" w:sz="4" w:space="0"/>
              <w:right w:val="nil"/>
            </w:tcBorders>
            <w:shd w:val="clear" w:color="auto" w:fill="FFFF99"/>
            <w:noWrap w:val="0"/>
            <w:vAlign w:val="center"/>
          </w:tcPr>
          <w:p>
            <w:pPr>
              <w:widowControl/>
              <w:shd w:val="clear" w:color="auto" w:fill="auto"/>
              <w:jc w:val="left"/>
              <w:textAlignment w:val="center"/>
              <w:rPr>
                <w:rFonts w:hint="eastAsia" w:ascii="宋体" w:hAnsi="宋体" w:cs="宋体"/>
                <w:b/>
                <w:bCs/>
                <w:color w:val="000000"/>
                <w:sz w:val="15"/>
                <w:szCs w:val="15"/>
                <w:highlight w:val="none"/>
              </w:rPr>
            </w:pPr>
            <w:r>
              <w:rPr>
                <w:rFonts w:hint="eastAsia" w:ascii="宋体" w:hAnsi="宋体" w:cs="宋体"/>
                <w:b/>
                <w:bCs/>
                <w:color w:val="000000"/>
                <w:kern w:val="0"/>
                <w:sz w:val="15"/>
                <w:szCs w:val="15"/>
                <w:highlight w:val="none"/>
                <w:lang w:bidi="ar"/>
              </w:rPr>
              <w:t>7.管线及网络费用</w:t>
            </w:r>
          </w:p>
        </w:tc>
        <w:tc>
          <w:tcPr>
            <w:tcW w:w="359" w:type="pct"/>
            <w:tcBorders>
              <w:top w:val="single" w:color="000000" w:sz="4" w:space="0"/>
              <w:left w:val="nil"/>
              <w:bottom w:val="single" w:color="000000" w:sz="4" w:space="0"/>
              <w:right w:val="nil"/>
            </w:tcBorders>
            <w:shd w:val="clear" w:color="auto" w:fill="FFFF99"/>
            <w:noWrap w:val="0"/>
            <w:vAlign w:val="center"/>
          </w:tcPr>
          <w:p>
            <w:pPr>
              <w:shd w:val="clear" w:color="auto" w:fill="auto"/>
              <w:jc w:val="center"/>
              <w:rPr>
                <w:rFonts w:hint="eastAsia" w:ascii="宋体" w:hAnsi="宋体" w:cs="宋体"/>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室外立杆</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3-5米杆，含基础地笼设备箱</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处</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VPN专线</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3年使用费</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路</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12V/10A</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室外箱子</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500*400*300</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42U机柜</w:t>
            </w:r>
          </w:p>
        </w:tc>
        <w:tc>
          <w:tcPr>
            <w:tcW w:w="3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2米机柜</w:t>
            </w:r>
          </w:p>
        </w:tc>
        <w:tc>
          <w:tcPr>
            <w:tcW w:w="3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3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超五类网线</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CAT5E</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RVV2*1.0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6芯光纤</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6芯单模</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PE32管</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PE32</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PE50管</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PE50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11</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PVC25管</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PVC25</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米</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200</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12</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手孔</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500*500*400</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13</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道路开挖修复、基础等费用</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left"/>
              <w:rPr>
                <w:rFonts w:hint="eastAsia" w:ascii="宋体" w:hAnsi="宋体" w:cs="宋体"/>
                <w:color w:val="000000"/>
                <w:sz w:val="15"/>
                <w:szCs w:val="15"/>
                <w:highlight w:val="none"/>
              </w:rPr>
            </w:pP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14</w:t>
            </w:r>
          </w:p>
        </w:tc>
        <w:tc>
          <w:tcPr>
            <w:tcW w:w="660"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附件</w:t>
            </w:r>
          </w:p>
        </w:tc>
        <w:tc>
          <w:tcPr>
            <w:tcW w:w="325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光纤熔接盒配件等</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批</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shd w:val="clear" w:color="auto" w:fill="auto"/>
        <w:adjustRightInd/>
        <w:spacing w:line="440" w:lineRule="exact"/>
        <w:ind w:firstLine="480" w:firstLineChars="200"/>
        <w:rPr>
          <w:rFonts w:hint="eastAsia" w:ascii="宋体" w:hAnsi="宋体" w:cs="宋体"/>
          <w:color w:val="000000"/>
          <w:sz w:val="24"/>
          <w:highlight w:val="none"/>
        </w:rPr>
      </w:pPr>
    </w:p>
    <w:p>
      <w:pPr>
        <w:shd w:val="clear" w:color="auto" w:fill="auto"/>
        <w:tabs>
          <w:tab w:val="left" w:pos="2340"/>
        </w:tabs>
        <w:spacing w:line="360" w:lineRule="auto"/>
        <w:ind w:firstLine="482" w:firstLineChars="200"/>
        <w:rPr>
          <w:rFonts w:hint="eastAsia" w:ascii="宋体" w:hAnsi="宋体" w:cs="Arial"/>
          <w:color w:val="000000"/>
          <w:kern w:val="0"/>
          <w:szCs w:val="21"/>
          <w:highlight w:val="none"/>
        </w:rPr>
      </w:pPr>
      <w:r>
        <w:rPr>
          <w:rFonts w:hint="eastAsia" w:ascii="宋体" w:hAnsi="宋体" w:cs="宋体"/>
          <w:b/>
          <w:color w:val="000000"/>
          <w:sz w:val="24"/>
          <w:highlight w:val="none"/>
        </w:rPr>
        <w:t>标项四：产品设备清单</w:t>
      </w:r>
    </w:p>
    <w:p>
      <w:pPr>
        <w:pStyle w:val="2"/>
        <w:shd w:val="clear" w:color="auto" w:fill="auto"/>
        <w:spacing w:before="120"/>
        <w:rPr>
          <w:rFonts w:hint="eastAsia"/>
          <w:color w:val="000000"/>
          <w:highlight w:val="none"/>
        </w:rPr>
      </w:pPr>
    </w:p>
    <w:p>
      <w:pPr>
        <w:pStyle w:val="2"/>
        <w:shd w:val="clear" w:color="auto" w:fill="auto"/>
        <w:spacing w:before="120"/>
        <w:rPr>
          <w:rFonts w:hint="eastAsia"/>
          <w:color w:val="000000"/>
          <w:highlight w:val="none"/>
        </w:rPr>
      </w:pPr>
    </w:p>
    <w:p>
      <w:pPr>
        <w:pStyle w:val="2"/>
        <w:shd w:val="clear" w:color="auto" w:fill="auto"/>
        <w:spacing w:before="120"/>
        <w:rPr>
          <w:rFonts w:hint="eastAsia"/>
          <w:color w:val="000000"/>
          <w:highlight w:val="none"/>
        </w:rPr>
      </w:pPr>
    </w:p>
    <w:tbl>
      <w:tblPr>
        <w:tblStyle w:val="62"/>
        <w:tblW w:w="5000" w:type="pct"/>
        <w:tblInd w:w="0" w:type="dxa"/>
        <w:tblLayout w:type="autofit"/>
        <w:tblCellMar>
          <w:top w:w="0" w:type="dxa"/>
          <w:left w:w="108" w:type="dxa"/>
          <w:bottom w:w="0" w:type="dxa"/>
          <w:right w:w="108" w:type="dxa"/>
        </w:tblCellMar>
      </w:tblPr>
      <w:tblGrid>
        <w:gridCol w:w="815"/>
        <w:gridCol w:w="2970"/>
        <w:gridCol w:w="3883"/>
        <w:gridCol w:w="810"/>
        <w:gridCol w:w="808"/>
      </w:tblGrid>
      <w:tr>
        <w:tblPrEx>
          <w:tblCellMar>
            <w:top w:w="0" w:type="dxa"/>
            <w:left w:w="108" w:type="dxa"/>
            <w:bottom w:w="0" w:type="dxa"/>
            <w:right w:w="108" w:type="dxa"/>
          </w:tblCellMar>
        </w:tblPrEx>
        <w:trPr>
          <w:trHeight w:val="80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hint="eastAsia" w:ascii="华文细黑" w:hAnsi="华文细黑" w:eastAsia="华文细黑" w:cs="华文细黑"/>
                <w:b/>
                <w:bCs/>
                <w:color w:val="000000"/>
                <w:kern w:val="0"/>
                <w:sz w:val="15"/>
                <w:szCs w:val="15"/>
                <w:highlight w:val="none"/>
                <w:lang w:bidi="ar"/>
              </w:rPr>
              <w:t>1</w:t>
            </w:r>
            <w:r>
              <w:rPr>
                <w:rFonts w:ascii="华文细黑" w:hAnsi="华文细黑" w:eastAsia="华文细黑" w:cs="华文细黑"/>
                <w:b/>
                <w:bCs/>
                <w:color w:val="000000"/>
                <w:kern w:val="0"/>
                <w:sz w:val="15"/>
                <w:szCs w:val="15"/>
                <w:highlight w:val="none"/>
                <w:lang w:bidi="ar"/>
              </w:rPr>
              <w:t>城厢街道智安小区项目设备清单（崇化住宅区（崇化路））</w:t>
            </w:r>
          </w:p>
        </w:tc>
      </w:tr>
      <w:tr>
        <w:tblPrEx>
          <w:tblCellMar>
            <w:top w:w="0" w:type="dxa"/>
            <w:left w:w="108" w:type="dxa"/>
            <w:bottom w:w="0" w:type="dxa"/>
            <w:right w:w="108" w:type="dxa"/>
          </w:tblCellMar>
        </w:tblPrEx>
        <w:trPr>
          <w:trHeight w:val="800" w:hRule="atLeast"/>
        </w:trPr>
        <w:tc>
          <w:tcPr>
            <w:tcW w:w="439" w:type="pct"/>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序号</w:t>
            </w:r>
          </w:p>
        </w:tc>
        <w:tc>
          <w:tcPr>
            <w:tcW w:w="1599" w:type="pct"/>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名称</w:t>
            </w:r>
          </w:p>
        </w:tc>
        <w:tc>
          <w:tcPr>
            <w:tcW w:w="2091" w:type="pct"/>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参数</w:t>
            </w:r>
          </w:p>
        </w:tc>
        <w:tc>
          <w:tcPr>
            <w:tcW w:w="435" w:type="pct"/>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单位</w:t>
            </w:r>
          </w:p>
        </w:tc>
        <w:tc>
          <w:tcPr>
            <w:tcW w:w="434" w:type="pct"/>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4565" w:type="pct"/>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1.综合管理平台</w:t>
            </w:r>
          </w:p>
        </w:tc>
        <w:tc>
          <w:tcPr>
            <w:tcW w:w="434"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5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智能物联设备接入服务</w:t>
            </w:r>
          </w:p>
        </w:tc>
        <w:tc>
          <w:tcPr>
            <w:tcW w:w="209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1、支持基础资源（组织、设备、人、卡、车等信息）管理，提供事件中心、数据存储、电子地图、日志记录等基础功能；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2、运维中心提供服务部署维护功能。支持模块化升级部署、系统资源使用情况监控等运维相关功能。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3、支持视频业务功能应用，包视频设备接入（编码器、解码器、报警柱、报警盒等），频预览，录像回放及存储，视频上墙，雷球联动；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4、支持主动注册设备的统一接入和管理；</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5、支持手机移动客户端进行实时视频监控，音频播放，本地截图，本地录像，云台控制，远程视频回放</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6、支持报警柱紧急求助、巡检报警、超速报警、机箱入侵报警上报及进行视频联动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7、支持报警主机设备接入，对报警主机进行单个/批量 布防、撤防、消警、旁路、隔离、正常等操作；</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CPU:2*Intel Xeon 4114 2.2G 10C</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内存：16GB 2666*8</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硬盘：2*2TB 3.5寸硬盘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电源：2个热插拔电源模块，支持1+1冗余，550W 白金电源模块</w:t>
            </w:r>
          </w:p>
        </w:tc>
        <w:tc>
          <w:tcPr>
            <w:tcW w:w="4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434" w:type="pct"/>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39" w:type="pct"/>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599" w:type="pct"/>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视频业务</w:t>
            </w:r>
          </w:p>
        </w:tc>
        <w:tc>
          <w:tcPr>
            <w:tcW w:w="2091" w:type="pct"/>
            <w:tcBorders>
              <w:top w:val="single" w:color="000000" w:sz="4" w:space="0"/>
              <w:left w:val="single" w:color="000000" w:sz="4" w:space="0"/>
              <w:bottom w:val="single" w:color="000000" w:sz="4" w:space="0"/>
              <w:right w:val="single" w:color="000000" w:sz="4" w:space="0"/>
            </w:tcBorders>
            <w:noWrap w:val="0"/>
            <w:vAlign w:val="top"/>
          </w:tcPr>
          <w:p>
            <w:pPr>
              <w:widowControl/>
              <w:shd w:val="clear" w:color="auto" w:fill="auto"/>
              <w:jc w:val="left"/>
              <w:textAlignment w:val="top"/>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1、视频应用模块：视频预览、录像回放、下载中心、电视墙、雷球联动。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2、视频管理模块：设备管理、存储管理、电视墙配置。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3、视频服务组件：视频设备接入、流媒体服务、录像管理服务、报警管理服务、电视墙服务、主动注册服务、三方设备接入服务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4、BIG：支持与车载单兵等移动设备的对接，提供车载单兵设备GPS信息接收服务。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5、MAG：支持手机移动客户端（5060）进行实时视频监控，音频播放，本地截图，本地录像，云台控制，远程视频回放</w:t>
            </w:r>
          </w:p>
        </w:tc>
        <w:tc>
          <w:tcPr>
            <w:tcW w:w="435" w:type="pct"/>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434" w:type="pct"/>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39" w:type="pct"/>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1599" w:type="pct"/>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小区业务</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支持小区、楼栋、房屋、人员、用户等基础信息登记</w:t>
            </w:r>
          </w:p>
        </w:tc>
        <w:tc>
          <w:tcPr>
            <w:tcW w:w="435" w:type="pct"/>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434" w:type="pct"/>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3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159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业务数据网关</w:t>
            </w:r>
          </w:p>
        </w:tc>
        <w:tc>
          <w:tcPr>
            <w:tcW w:w="209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支持按《部标》协议实现下级小区静态和动态数据级联汇聚，数据对象包括采集系统、采集系统状态、采集设备、采集设备状态、小区、房屋、人房关系、人员、实有单位、机动车、人脸抓拍、机动车通行等数据</w:t>
            </w:r>
          </w:p>
        </w:tc>
        <w:tc>
          <w:tcPr>
            <w:tcW w:w="4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434" w:type="pct"/>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3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159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小区业务授权</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支持小区、楼栋、房屋、人员、用户等基础信息登记</w:t>
            </w: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434" w:type="pct"/>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3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159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中心服务器</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硬盘托架</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如果扩容硬盘，服务器不带多余硬盘托架，需要单独下单硬盘托架1.1.02.08.13584；</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处理器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2*Intel Xeon 4114 2.2G 10C</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16GB 2666*8 最多支持24根DDR4内存条 支持的单根DIMM容量：8GB、16GB和32GB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硬盘:数量、尺寸、容量、扩展性、槽位数等</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2*2TB 3.5寸硬盘 8LFF 硬盘机型：最多支持前部8LFF 硬盘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硬盘:机械盘需写明转速、接口、传输速率</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7200转，SATA接口，6GB</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芯片组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Intel C622 Lewisburg芯片组</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RAID控制器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RAID-LSI-9361-8i(2G)-1-X 存储控制卡：支持RAID 0/1/5/6/10/50/60，内置2GB 缓存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嵌入式网卡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板载1个1Gb/s HDM专用网络接口 1个mLOM网卡插槽，已选配4端口千兆电X722网卡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网口特性</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mLOM网卡支持NCSI功能</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 个USB 3.0 接口（前面板1 个，后面板2 个，主板2 个） 1 个USB 2.0 接口（前面板，需要选配带USB 2.0 接口的左侧智能挂耳才能提供） 最多支持2 个VGA 接口（前面板1 个，后面板1 个） 支持1 个BIOS 串口（后面板）</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风扇</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满配6个冗余风扇</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电源</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2个热插拔电源模块，支持1+1冗余，规格如下： 550W 白金电源模块</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安装方式</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含导轨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整机功耗</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320W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工作环境温度</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5～45°C</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工作环境湿度</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8%～90%（无冷凝）</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储存环境温度</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-40°C～70°C</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储存环境湿度</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5%～90%（无冷凝）</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工作海拔</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-60～3000m（海拔高于900m 时，每升高100m，规格最 高温度降低0.33°C）</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整机尺寸</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87.5mm x 445.4mm x748mm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重量（不带包装）</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最大重量8LFF 硬盘机型：27.33kg</w:t>
            </w: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434" w:type="pct"/>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r>
      <w:tr>
        <w:tblPrEx>
          <w:tblCellMar>
            <w:top w:w="0" w:type="dxa"/>
            <w:left w:w="108" w:type="dxa"/>
            <w:bottom w:w="0" w:type="dxa"/>
            <w:right w:w="108" w:type="dxa"/>
          </w:tblCellMar>
        </w:tblPrEx>
        <w:trPr>
          <w:trHeight w:val="800" w:hRule="atLeast"/>
        </w:trPr>
        <w:tc>
          <w:tcPr>
            <w:tcW w:w="43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159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网络视频存储节点</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U高度，嵌入式LINUX系统，64位高性能多核处理器，单控制器，标配8G内存，1+1冗余电源，1个千兆管理电口，4个千兆数据电口，支持24个2.5、3.5英寸企业级硬盘，最大支持512路（1024Mbps）前端接入、存储、转发，32路（64Mbps）网络回放。</w:t>
            </w: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434" w:type="pct"/>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3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159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硬盘</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6000G；7200RPM；256M；SATA</w:t>
            </w: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块</w:t>
            </w:r>
          </w:p>
        </w:tc>
        <w:tc>
          <w:tcPr>
            <w:tcW w:w="434" w:type="pct"/>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w:t>
            </w:r>
          </w:p>
        </w:tc>
      </w:tr>
      <w:tr>
        <w:tblPrEx>
          <w:tblCellMar>
            <w:top w:w="0" w:type="dxa"/>
            <w:left w:w="108" w:type="dxa"/>
            <w:bottom w:w="0" w:type="dxa"/>
            <w:right w:w="108" w:type="dxa"/>
          </w:tblCellMar>
        </w:tblPrEx>
        <w:trPr>
          <w:trHeight w:val="800" w:hRule="atLeast"/>
        </w:trPr>
        <w:tc>
          <w:tcPr>
            <w:tcW w:w="4565" w:type="pct"/>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2.网络设备</w:t>
            </w:r>
          </w:p>
        </w:tc>
        <w:tc>
          <w:tcPr>
            <w:tcW w:w="434"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3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59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24口接入交换机</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L2以太网交换机主机,交换容量336Gbps,包转发率108Mbps,支持24个10/100/1000BASE-T电口,支持4个1G/10G BASE-X SFP+端口,支持AC</w:t>
            </w: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434" w:type="pct"/>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565" w:type="pct"/>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3.管线及网络费用</w:t>
            </w:r>
          </w:p>
        </w:tc>
        <w:tc>
          <w:tcPr>
            <w:tcW w:w="434" w:type="pct"/>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3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59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落地机箱</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定制</w:t>
            </w: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434" w:type="pct"/>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3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599"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链路费</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感知网租赁费，租期3年</w:t>
            </w: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434" w:type="pct"/>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pStyle w:val="2"/>
        <w:shd w:val="clear" w:color="auto" w:fill="auto"/>
        <w:spacing w:before="120"/>
        <w:rPr>
          <w:rFonts w:hint="eastAsia"/>
          <w:color w:val="000000"/>
          <w:highlight w:val="none"/>
        </w:rPr>
      </w:pPr>
    </w:p>
    <w:p>
      <w:pPr>
        <w:pStyle w:val="2"/>
        <w:shd w:val="clear" w:color="auto" w:fill="auto"/>
        <w:spacing w:before="120"/>
        <w:rPr>
          <w:rFonts w:hint="eastAsia"/>
          <w:color w:val="000000"/>
          <w:highlight w:val="none"/>
        </w:rPr>
      </w:pPr>
      <w:r>
        <w:rPr>
          <w:rFonts w:hint="eastAsia"/>
          <w:color w:val="000000"/>
          <w:highlight w:val="none"/>
        </w:rPr>
        <w:t>2城厢街道智安小区项目设备清单（丁家庄）</w:t>
      </w:r>
    </w:p>
    <w:tbl>
      <w:tblPr>
        <w:tblStyle w:val="62"/>
        <w:tblW w:w="9220" w:type="dxa"/>
        <w:tblInd w:w="96" w:type="dxa"/>
        <w:tblLayout w:type="fixed"/>
        <w:tblCellMar>
          <w:top w:w="0" w:type="dxa"/>
          <w:left w:w="108" w:type="dxa"/>
          <w:bottom w:w="0" w:type="dxa"/>
          <w:right w:w="108" w:type="dxa"/>
        </w:tblCellMar>
      </w:tblPr>
      <w:tblGrid>
        <w:gridCol w:w="336"/>
        <w:gridCol w:w="1086"/>
        <w:gridCol w:w="6145"/>
        <w:gridCol w:w="853"/>
        <w:gridCol w:w="800"/>
      </w:tblGrid>
      <w:tr>
        <w:tblPrEx>
          <w:tblCellMar>
            <w:top w:w="0" w:type="dxa"/>
            <w:left w:w="108" w:type="dxa"/>
            <w:bottom w:w="0" w:type="dxa"/>
            <w:right w:w="108" w:type="dxa"/>
          </w:tblCellMar>
        </w:tblPrEx>
        <w:trPr>
          <w:trHeight w:val="800" w:hRule="atLeast"/>
        </w:trPr>
        <w:tc>
          <w:tcPr>
            <w:tcW w:w="336"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序号</w:t>
            </w:r>
          </w:p>
        </w:tc>
        <w:tc>
          <w:tcPr>
            <w:tcW w:w="1086"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名称</w:t>
            </w:r>
          </w:p>
        </w:tc>
        <w:tc>
          <w:tcPr>
            <w:tcW w:w="6145"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参数</w:t>
            </w:r>
          </w:p>
        </w:tc>
        <w:tc>
          <w:tcPr>
            <w:tcW w:w="853"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单位</w:t>
            </w:r>
          </w:p>
        </w:tc>
        <w:tc>
          <w:tcPr>
            <w:tcW w:w="800"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数量</w:t>
            </w:r>
          </w:p>
        </w:tc>
      </w:tr>
      <w:tr>
        <w:tblPrEx>
          <w:tblCellMar>
            <w:top w:w="0" w:type="dxa"/>
            <w:left w:w="108" w:type="dxa"/>
            <w:bottom w:w="0" w:type="dxa"/>
            <w:right w:w="108" w:type="dxa"/>
          </w:tblCellMar>
        </w:tblPrEx>
        <w:trPr>
          <w:trHeight w:val="800" w:hRule="atLeast"/>
        </w:trPr>
        <w:tc>
          <w:tcPr>
            <w:tcW w:w="8420"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1.综合管理平台</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2"/>
                <w:szCs w:val="12"/>
                <w:highlight w:val="none"/>
              </w:rPr>
            </w:pPr>
          </w:p>
        </w:tc>
      </w:tr>
      <w:tr>
        <w:tblPrEx>
          <w:tblCellMar>
            <w:top w:w="0" w:type="dxa"/>
            <w:left w:w="108" w:type="dxa"/>
            <w:bottom w:w="0" w:type="dxa"/>
            <w:right w:w="108" w:type="dxa"/>
          </w:tblCellMar>
        </w:tblPrEx>
        <w:trPr>
          <w:trHeight w:val="800" w:hRule="atLeast"/>
        </w:trPr>
        <w:tc>
          <w:tcPr>
            <w:tcW w:w="33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1</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视频监控授权</w:t>
            </w:r>
          </w:p>
        </w:tc>
        <w:tc>
          <w:tcPr>
            <w:tcW w:w="61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1、视频应用模块：视频预览、录像回放、下载中心、电视墙、雷球联动。</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2、视频管理模块：设备管理、存储管理、电视墙配置。</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3、视频服务组件：视频设备接入、流媒体服务、录像管理服务、报警管理服务、电视墙服务、主动注册服务、三方设备接入服务</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4、BIG：支持与车载单兵等移动设备的对接，提供车载单兵设备GPS信息接收服务。</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5、MAG：支持手机移动客户端（5060）进行实时视频监控，音频播放，本地截图，本地录像，云台控制，远程视频回放</w:t>
            </w:r>
          </w:p>
        </w:tc>
        <w:tc>
          <w:tcPr>
            <w:tcW w:w="8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套</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12 </w:t>
            </w:r>
          </w:p>
        </w:tc>
      </w:tr>
      <w:tr>
        <w:tblPrEx>
          <w:tblCellMar>
            <w:top w:w="0" w:type="dxa"/>
            <w:left w:w="108" w:type="dxa"/>
            <w:bottom w:w="0" w:type="dxa"/>
            <w:right w:w="108" w:type="dxa"/>
          </w:tblCellMar>
        </w:tblPrEx>
        <w:trPr>
          <w:trHeight w:val="800" w:hRule="atLeast"/>
        </w:trPr>
        <w:tc>
          <w:tcPr>
            <w:tcW w:w="33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2</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小区业务授权</w:t>
            </w:r>
          </w:p>
        </w:tc>
        <w:tc>
          <w:tcPr>
            <w:tcW w:w="61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支持小区、楼栋、房屋、人员、用户等基础信息登记</w:t>
            </w:r>
          </w:p>
        </w:tc>
        <w:tc>
          <w:tcPr>
            <w:tcW w:w="8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套</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 </w:t>
            </w:r>
          </w:p>
        </w:tc>
      </w:tr>
      <w:tr>
        <w:tblPrEx>
          <w:tblCellMar>
            <w:top w:w="0" w:type="dxa"/>
            <w:left w:w="108" w:type="dxa"/>
            <w:bottom w:w="0" w:type="dxa"/>
            <w:right w:w="108" w:type="dxa"/>
          </w:tblCellMar>
        </w:tblPrEx>
        <w:trPr>
          <w:trHeight w:val="800" w:hRule="atLeast"/>
        </w:trPr>
        <w:tc>
          <w:tcPr>
            <w:tcW w:w="8420"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2.人脸采集设备</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2"/>
                <w:szCs w:val="12"/>
                <w:highlight w:val="none"/>
              </w:rPr>
            </w:pPr>
          </w:p>
        </w:tc>
      </w:tr>
      <w:tr>
        <w:tblPrEx>
          <w:tblCellMar>
            <w:top w:w="0" w:type="dxa"/>
            <w:left w:w="108" w:type="dxa"/>
            <w:bottom w:w="0" w:type="dxa"/>
            <w:right w:w="108" w:type="dxa"/>
          </w:tblCellMar>
        </w:tblPrEx>
        <w:trPr>
          <w:trHeight w:val="800" w:hRule="atLeast"/>
        </w:trPr>
        <w:tc>
          <w:tcPr>
            <w:tcW w:w="33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1</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人脸枪机</w:t>
            </w:r>
          </w:p>
        </w:tc>
        <w:tc>
          <w:tcPr>
            <w:tcW w:w="6145"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1）像素：不小于400万</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2）最大分辨率：不小于2688×1520</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3）传感器：不小于1/1.8英寸CMOS</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4）镜头：不小于10mm~40mm电动变焦镜头</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5）最低照度：不低于0.001Lux（彩色模式）；0.0001Lux（黑白模式）;0Lux（补光灯开启）</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6）视场角：不小于水平：43°~12° 垂直：24°~7° 对角：50°~13°</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7）人脸功能：支持人脸检测;支持跟踪;支持优选;支持抓拍;支持上报最优的人脸抓图;支持人脸增强,支持人脸曝光;支持人脸属性提取,支持6种属性8种表情:性别,年龄,眼镜,表情（愤怒,平静,高兴,悲伤,厌恶,惊讶,困惑,害怕）,口罩,胡子,支持人脸抠图区域可设:人脸, 单寸照;支持实时抓拍、优选抓拍、质量优先三种抓拍策略;支持人脸角度过滤功能;支持优选时长可设</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8）最大补光距离：人脸检测距离：不小于30m；视频监控距离：不小于60m</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9）补光灯：不少于6颗（暖光灯）</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10）防护等级：不低于IP66</w:t>
            </w:r>
          </w:p>
        </w:tc>
        <w:tc>
          <w:tcPr>
            <w:tcW w:w="8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台</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12 </w:t>
            </w:r>
          </w:p>
        </w:tc>
      </w:tr>
      <w:tr>
        <w:tblPrEx>
          <w:tblCellMar>
            <w:top w:w="0" w:type="dxa"/>
            <w:left w:w="108" w:type="dxa"/>
            <w:bottom w:w="0" w:type="dxa"/>
            <w:right w:w="108" w:type="dxa"/>
          </w:tblCellMar>
        </w:tblPrEx>
        <w:trPr>
          <w:trHeight w:val="800" w:hRule="atLeast"/>
        </w:trPr>
        <w:tc>
          <w:tcPr>
            <w:tcW w:w="33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2</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抱杆支架1</w:t>
            </w:r>
          </w:p>
        </w:tc>
        <w:tc>
          <w:tcPr>
            <w:tcW w:w="61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1米</w:t>
            </w:r>
          </w:p>
        </w:tc>
        <w:tc>
          <w:tcPr>
            <w:tcW w:w="8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根</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12 </w:t>
            </w:r>
          </w:p>
        </w:tc>
      </w:tr>
      <w:tr>
        <w:tblPrEx>
          <w:tblCellMar>
            <w:top w:w="0" w:type="dxa"/>
            <w:left w:w="108" w:type="dxa"/>
            <w:bottom w:w="0" w:type="dxa"/>
            <w:right w:w="108" w:type="dxa"/>
          </w:tblCellMar>
        </w:tblPrEx>
        <w:trPr>
          <w:trHeight w:val="800" w:hRule="atLeast"/>
        </w:trPr>
        <w:tc>
          <w:tcPr>
            <w:tcW w:w="8420"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3.网络设备</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2"/>
                <w:szCs w:val="12"/>
                <w:highlight w:val="none"/>
              </w:rPr>
            </w:pPr>
          </w:p>
        </w:tc>
      </w:tr>
      <w:tr>
        <w:tblPrEx>
          <w:tblCellMar>
            <w:top w:w="0" w:type="dxa"/>
            <w:left w:w="108" w:type="dxa"/>
            <w:bottom w:w="0" w:type="dxa"/>
            <w:right w:w="108" w:type="dxa"/>
          </w:tblCellMar>
        </w:tblPrEx>
        <w:trPr>
          <w:trHeight w:val="800" w:hRule="atLeast"/>
        </w:trPr>
        <w:tc>
          <w:tcPr>
            <w:tcW w:w="33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1</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24口接入交换机</w:t>
            </w:r>
          </w:p>
        </w:tc>
        <w:tc>
          <w:tcPr>
            <w:tcW w:w="61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L2以太网交换机主机,交换容量336Gbps,包转发率108Mbps,支持24个10/100/1000BASE-T电口,支持4个1G/10G BASE-X SFP+端口,支持AC</w:t>
            </w:r>
          </w:p>
        </w:tc>
        <w:tc>
          <w:tcPr>
            <w:tcW w:w="8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台</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 </w:t>
            </w:r>
          </w:p>
        </w:tc>
      </w:tr>
      <w:tr>
        <w:tblPrEx>
          <w:tblCellMar>
            <w:top w:w="0" w:type="dxa"/>
            <w:left w:w="108" w:type="dxa"/>
            <w:bottom w:w="0" w:type="dxa"/>
            <w:right w:w="108" w:type="dxa"/>
          </w:tblCellMar>
        </w:tblPrEx>
        <w:trPr>
          <w:trHeight w:val="800" w:hRule="atLeast"/>
        </w:trPr>
        <w:tc>
          <w:tcPr>
            <w:tcW w:w="8420"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4.管线及网络费用</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2"/>
                <w:szCs w:val="12"/>
                <w:highlight w:val="none"/>
              </w:rPr>
            </w:pPr>
          </w:p>
        </w:tc>
      </w:tr>
      <w:tr>
        <w:tblPrEx>
          <w:tblCellMar>
            <w:top w:w="0" w:type="dxa"/>
            <w:left w:w="108" w:type="dxa"/>
            <w:bottom w:w="0" w:type="dxa"/>
            <w:right w:w="108" w:type="dxa"/>
          </w:tblCellMar>
        </w:tblPrEx>
        <w:trPr>
          <w:trHeight w:val="800" w:hRule="atLeast"/>
        </w:trPr>
        <w:tc>
          <w:tcPr>
            <w:tcW w:w="33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1</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抱杆机箱</w:t>
            </w:r>
          </w:p>
        </w:tc>
        <w:tc>
          <w:tcPr>
            <w:tcW w:w="61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定制</w:t>
            </w:r>
          </w:p>
        </w:tc>
        <w:tc>
          <w:tcPr>
            <w:tcW w:w="8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个</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12 </w:t>
            </w:r>
          </w:p>
        </w:tc>
      </w:tr>
      <w:tr>
        <w:tblPrEx>
          <w:tblCellMar>
            <w:top w:w="0" w:type="dxa"/>
            <w:left w:w="108" w:type="dxa"/>
            <w:bottom w:w="0" w:type="dxa"/>
            <w:right w:w="108" w:type="dxa"/>
          </w:tblCellMar>
        </w:tblPrEx>
        <w:trPr>
          <w:trHeight w:val="800" w:hRule="atLeast"/>
        </w:trPr>
        <w:tc>
          <w:tcPr>
            <w:tcW w:w="33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2</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落地机箱</w:t>
            </w:r>
          </w:p>
        </w:tc>
        <w:tc>
          <w:tcPr>
            <w:tcW w:w="61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定制</w:t>
            </w:r>
          </w:p>
        </w:tc>
        <w:tc>
          <w:tcPr>
            <w:tcW w:w="8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个</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 </w:t>
            </w:r>
          </w:p>
        </w:tc>
      </w:tr>
      <w:tr>
        <w:tblPrEx>
          <w:tblCellMar>
            <w:top w:w="0" w:type="dxa"/>
            <w:left w:w="108" w:type="dxa"/>
            <w:bottom w:w="0" w:type="dxa"/>
            <w:right w:w="108" w:type="dxa"/>
          </w:tblCellMar>
        </w:tblPrEx>
        <w:trPr>
          <w:trHeight w:val="800" w:hRule="atLeast"/>
        </w:trPr>
        <w:tc>
          <w:tcPr>
            <w:tcW w:w="33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3</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取电线缆</w:t>
            </w:r>
          </w:p>
        </w:tc>
        <w:tc>
          <w:tcPr>
            <w:tcW w:w="61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电源线YJV3*4</w:t>
            </w:r>
          </w:p>
        </w:tc>
        <w:tc>
          <w:tcPr>
            <w:tcW w:w="8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m</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117 </w:t>
            </w:r>
          </w:p>
        </w:tc>
      </w:tr>
      <w:tr>
        <w:tblPrEx>
          <w:tblCellMar>
            <w:top w:w="0" w:type="dxa"/>
            <w:left w:w="108" w:type="dxa"/>
            <w:bottom w:w="0" w:type="dxa"/>
            <w:right w:w="108" w:type="dxa"/>
          </w:tblCellMar>
        </w:tblPrEx>
        <w:trPr>
          <w:trHeight w:val="800" w:hRule="atLeast"/>
        </w:trPr>
        <w:tc>
          <w:tcPr>
            <w:tcW w:w="33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4</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光缆</w:t>
            </w:r>
          </w:p>
        </w:tc>
        <w:tc>
          <w:tcPr>
            <w:tcW w:w="61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4芯光缆，含光缆熔接，光缆终端盒等</w:t>
            </w:r>
          </w:p>
        </w:tc>
        <w:tc>
          <w:tcPr>
            <w:tcW w:w="8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m</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146 </w:t>
            </w:r>
          </w:p>
        </w:tc>
      </w:tr>
      <w:tr>
        <w:tblPrEx>
          <w:tblCellMar>
            <w:top w:w="0" w:type="dxa"/>
            <w:left w:w="108" w:type="dxa"/>
            <w:bottom w:w="0" w:type="dxa"/>
            <w:right w:w="108" w:type="dxa"/>
          </w:tblCellMar>
        </w:tblPrEx>
        <w:trPr>
          <w:trHeight w:val="800" w:hRule="atLeast"/>
        </w:trPr>
        <w:tc>
          <w:tcPr>
            <w:tcW w:w="33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5</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防水网线</w:t>
            </w:r>
          </w:p>
        </w:tc>
        <w:tc>
          <w:tcPr>
            <w:tcW w:w="61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防水网线，六类非屏蔽双绞线</w:t>
            </w:r>
          </w:p>
        </w:tc>
        <w:tc>
          <w:tcPr>
            <w:tcW w:w="8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m</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293 </w:t>
            </w:r>
          </w:p>
        </w:tc>
      </w:tr>
      <w:tr>
        <w:tblPrEx>
          <w:tblCellMar>
            <w:top w:w="0" w:type="dxa"/>
            <w:left w:w="108" w:type="dxa"/>
            <w:bottom w:w="0" w:type="dxa"/>
            <w:right w:w="108" w:type="dxa"/>
          </w:tblCellMar>
        </w:tblPrEx>
        <w:trPr>
          <w:trHeight w:val="800" w:hRule="atLeast"/>
        </w:trPr>
        <w:tc>
          <w:tcPr>
            <w:tcW w:w="33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6</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电源线缆</w:t>
            </w:r>
          </w:p>
        </w:tc>
        <w:tc>
          <w:tcPr>
            <w:tcW w:w="61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RVV3*1</w:t>
            </w:r>
          </w:p>
        </w:tc>
        <w:tc>
          <w:tcPr>
            <w:tcW w:w="8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m</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293 </w:t>
            </w:r>
          </w:p>
        </w:tc>
      </w:tr>
      <w:tr>
        <w:tblPrEx>
          <w:tblCellMar>
            <w:top w:w="0" w:type="dxa"/>
            <w:left w:w="108" w:type="dxa"/>
            <w:bottom w:w="0" w:type="dxa"/>
            <w:right w:w="108" w:type="dxa"/>
          </w:tblCellMar>
        </w:tblPrEx>
        <w:trPr>
          <w:trHeight w:val="800" w:hRule="atLeast"/>
        </w:trPr>
        <w:tc>
          <w:tcPr>
            <w:tcW w:w="33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7</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设备安装费</w:t>
            </w:r>
          </w:p>
        </w:tc>
        <w:tc>
          <w:tcPr>
            <w:tcW w:w="6145"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设备安装及调试</w:t>
            </w: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套</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12 </w:t>
            </w:r>
          </w:p>
        </w:tc>
      </w:tr>
      <w:tr>
        <w:tblPrEx>
          <w:tblCellMar>
            <w:top w:w="0" w:type="dxa"/>
            <w:left w:w="108" w:type="dxa"/>
            <w:bottom w:w="0" w:type="dxa"/>
            <w:right w:w="108" w:type="dxa"/>
          </w:tblCellMar>
        </w:tblPrEx>
        <w:trPr>
          <w:trHeight w:val="800" w:hRule="atLeast"/>
        </w:trPr>
        <w:tc>
          <w:tcPr>
            <w:tcW w:w="33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8</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链路费</w:t>
            </w:r>
          </w:p>
        </w:tc>
        <w:tc>
          <w:tcPr>
            <w:tcW w:w="61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感知网租赁费，租期3年</w:t>
            </w:r>
          </w:p>
        </w:tc>
        <w:tc>
          <w:tcPr>
            <w:tcW w:w="8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项</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 </w:t>
            </w:r>
          </w:p>
        </w:tc>
      </w:tr>
    </w:tbl>
    <w:p>
      <w:pPr>
        <w:pStyle w:val="2"/>
        <w:shd w:val="clear" w:color="auto" w:fill="auto"/>
        <w:spacing w:before="120"/>
        <w:rPr>
          <w:rFonts w:hint="eastAsia"/>
          <w:color w:val="000000"/>
          <w:highlight w:val="none"/>
        </w:rPr>
      </w:pPr>
    </w:p>
    <w:p>
      <w:pPr>
        <w:pStyle w:val="2"/>
        <w:shd w:val="clear" w:color="auto" w:fill="auto"/>
        <w:spacing w:before="120"/>
        <w:rPr>
          <w:rFonts w:hint="eastAsia"/>
          <w:color w:val="000000"/>
          <w:highlight w:val="none"/>
        </w:rPr>
      </w:pPr>
    </w:p>
    <w:tbl>
      <w:tblPr>
        <w:tblStyle w:val="62"/>
        <w:tblW w:w="3421" w:type="dxa"/>
        <w:tblInd w:w="96" w:type="dxa"/>
        <w:tblLayout w:type="autofit"/>
        <w:tblCellMar>
          <w:top w:w="0" w:type="dxa"/>
          <w:left w:w="108" w:type="dxa"/>
          <w:bottom w:w="0" w:type="dxa"/>
          <w:right w:w="108" w:type="dxa"/>
        </w:tblCellMar>
      </w:tblPr>
      <w:tblGrid>
        <w:gridCol w:w="336"/>
        <w:gridCol w:w="1086"/>
        <w:gridCol w:w="7566"/>
        <w:gridCol w:w="336"/>
        <w:gridCol w:w="396"/>
      </w:tblGrid>
      <w:tr>
        <w:tblPrEx>
          <w:tblCellMar>
            <w:top w:w="0" w:type="dxa"/>
            <w:left w:w="108" w:type="dxa"/>
            <w:bottom w:w="0" w:type="dxa"/>
            <w:right w:w="108" w:type="dxa"/>
          </w:tblCellMar>
        </w:tblPrEx>
        <w:trPr>
          <w:trHeight w:val="800" w:hRule="atLeast"/>
        </w:trPr>
        <w:tc>
          <w:tcPr>
            <w:tcW w:w="3420"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ascii="华文细黑" w:hAnsi="华文细黑" w:eastAsia="华文细黑" w:cs="华文细黑"/>
                <w:b/>
                <w:bCs/>
                <w:color w:val="000000"/>
                <w:sz w:val="12"/>
                <w:szCs w:val="12"/>
                <w:highlight w:val="none"/>
              </w:rPr>
            </w:pPr>
            <w:r>
              <w:rPr>
                <w:rFonts w:hint="eastAsia" w:ascii="华文细黑" w:hAnsi="华文细黑" w:eastAsia="华文细黑" w:cs="华文细黑"/>
                <w:b/>
                <w:bCs/>
                <w:color w:val="000000"/>
                <w:kern w:val="0"/>
                <w:sz w:val="12"/>
                <w:szCs w:val="12"/>
                <w:highlight w:val="none"/>
                <w:lang w:bidi="ar"/>
              </w:rPr>
              <w:t>3</w:t>
            </w:r>
            <w:r>
              <w:rPr>
                <w:rFonts w:ascii="华文细黑" w:hAnsi="华文细黑" w:eastAsia="华文细黑" w:cs="华文细黑"/>
                <w:b/>
                <w:bCs/>
                <w:color w:val="000000"/>
                <w:kern w:val="0"/>
                <w:sz w:val="12"/>
                <w:szCs w:val="12"/>
                <w:highlight w:val="none"/>
                <w:lang w:bidi="ar"/>
              </w:rPr>
              <w:t>城厢街道智安小区项目设备清单（拱秀）</w:t>
            </w:r>
          </w:p>
        </w:tc>
      </w:tr>
      <w:tr>
        <w:tblPrEx>
          <w:tblCellMar>
            <w:top w:w="0" w:type="dxa"/>
            <w:left w:w="108" w:type="dxa"/>
            <w:bottom w:w="0" w:type="dxa"/>
            <w:right w:w="108" w:type="dxa"/>
          </w:tblCellMar>
        </w:tblPrEx>
        <w:trPr>
          <w:trHeight w:val="800" w:hRule="atLeast"/>
        </w:trPr>
        <w:tc>
          <w:tcPr>
            <w:tcW w:w="384"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序号</w:t>
            </w:r>
          </w:p>
        </w:tc>
        <w:tc>
          <w:tcPr>
            <w:tcW w:w="744"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名称</w:t>
            </w:r>
          </w:p>
        </w:tc>
        <w:tc>
          <w:tcPr>
            <w:tcW w:w="1476"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参数</w:t>
            </w:r>
          </w:p>
        </w:tc>
        <w:tc>
          <w:tcPr>
            <w:tcW w:w="348"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单位</w:t>
            </w:r>
          </w:p>
        </w:tc>
        <w:tc>
          <w:tcPr>
            <w:tcW w:w="468"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数量</w:t>
            </w:r>
          </w:p>
        </w:tc>
      </w:tr>
      <w:tr>
        <w:tblPrEx>
          <w:tblCellMar>
            <w:top w:w="0" w:type="dxa"/>
            <w:left w:w="108" w:type="dxa"/>
            <w:bottom w:w="0" w:type="dxa"/>
            <w:right w:w="108" w:type="dxa"/>
          </w:tblCellMar>
        </w:tblPrEx>
        <w:trPr>
          <w:trHeight w:val="800" w:hRule="atLeast"/>
        </w:trPr>
        <w:tc>
          <w:tcPr>
            <w:tcW w:w="2952"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1.综合管理平台</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2"/>
                <w:szCs w:val="12"/>
                <w:highlight w:val="none"/>
              </w:rPr>
            </w:pPr>
          </w:p>
        </w:tc>
      </w:tr>
      <w:tr>
        <w:tblPrEx>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视频监控授权</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1、视频应用模块：视频预览、录像回放、下载中心、电视墙、雷球联动。</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2、视频管理模块：设备管理、存储管理、电视墙配置。</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3、视频服务组件：视频设备接入、流媒体服务、录像管理服务、报警管理服务、电视墙服务、主动注册服务、三方设备接入服务</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4、BIG：支持与车载单兵等移动设备的对接，提供车载单兵设备GPS信息接收服务。</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5、MAG：支持手机移动客户端（5060）进行实时视频监控，音频播放，本地截图，本地录像，云台控制，远程视频回放</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12 </w:t>
            </w:r>
          </w:p>
        </w:tc>
      </w:tr>
      <w:tr>
        <w:tblPrEx>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小区业务授权</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支持小区、楼栋、房屋、人员、用户等基础信息登记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 </w:t>
            </w:r>
          </w:p>
        </w:tc>
      </w:tr>
      <w:tr>
        <w:tblPrEx>
          <w:tblCellMar>
            <w:top w:w="0" w:type="dxa"/>
            <w:left w:w="108" w:type="dxa"/>
            <w:bottom w:w="0" w:type="dxa"/>
            <w:right w:w="108" w:type="dxa"/>
          </w:tblCellMar>
        </w:tblPrEx>
        <w:trPr>
          <w:trHeight w:val="800" w:hRule="atLeast"/>
        </w:trPr>
        <w:tc>
          <w:tcPr>
            <w:tcW w:w="2952"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2.人脸采集设备</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2"/>
                <w:szCs w:val="12"/>
                <w:highlight w:val="none"/>
              </w:rPr>
            </w:pPr>
          </w:p>
        </w:tc>
      </w:tr>
      <w:tr>
        <w:tblPrEx>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人脸枪机</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1）像素：不小于400万</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2）最大分辨率：不小于2688×1520</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3）传感器：不小于1/1.8英寸CMOS</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4）镜头：不小于10mm~40mm电动变焦镜头</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5）最低照度：不低于0.001Lux（彩色模式）；0.0001Lux（黑白模式）;0Lux（补光灯开启）</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6）视场角：不小于水平：43°~12° 垂直：24°~7° 对角：50°~13°</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7）人脸功能：支持人脸检测;支持跟踪;支持优选;支持抓拍;支持上报最优的人脸抓图;支持人脸增强,支持人脸曝光;支持人脸属性提取,支持6种属性8种表情:性别,年龄,眼镜,表情（愤怒,平静,高兴,悲伤,厌恶,惊讶,困惑,害怕）,口罩,胡子,支持人脸抠图区域可设:人脸, 单寸照;支持实时抓拍、优选抓拍、质量优先三种抓拍策略;支持人脸角度过滤功能;支持优选时长可设</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8）最大补光距离：人脸检测距离：不小于30m；视频监控距离：不小于60m</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9）补光灯：不少于6颗（暖光灯）</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10）防护等级：不低于IP66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8 </w:t>
            </w:r>
          </w:p>
        </w:tc>
      </w:tr>
      <w:tr>
        <w:tblPrEx>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监控枪机</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支持绊线入侵，区域入侵，快速移动，物品遗留，物品搬移，徘徊检测，人员聚集，停车检测，热度图，人脸检测，人数统计</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采用星光级低照度400万像素1/2.7英寸CMOS图像传感器，低照度效果好，图像清晰度高</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最大可输出400万(2688x1520)@25fps</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支持H.265编码，压缩比高，实现超低码流传输</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内置红外补光灯，最大红外监控距离80米</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支持走廊模式，宽动态，3D降噪，强光抑制，背光补偿，数字水印，适用不同监控环境</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支持Smart H.265/H.264H智能编码，ROI区域增强，SVC自适应编码，适用不同带宽和存储环境</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支持报警3进2出，音频1进1出，128G Micro SD卡</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支持DC12V/POE供电方式，宽压设计</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支持IP67，IK10防护等级</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4 </w:t>
            </w:r>
          </w:p>
        </w:tc>
      </w:tr>
      <w:tr>
        <w:tblPrEx>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抱杆支架1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1米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8 </w:t>
            </w:r>
          </w:p>
        </w:tc>
      </w:tr>
      <w:tr>
        <w:tblPrEx>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抱杆支架2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1.5米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4 </w:t>
            </w:r>
          </w:p>
        </w:tc>
      </w:tr>
      <w:tr>
        <w:tblPrEx>
          <w:tblCellMar>
            <w:top w:w="0" w:type="dxa"/>
            <w:left w:w="108" w:type="dxa"/>
            <w:bottom w:w="0" w:type="dxa"/>
            <w:right w:w="108" w:type="dxa"/>
          </w:tblCellMar>
        </w:tblPrEx>
        <w:trPr>
          <w:trHeight w:val="800" w:hRule="atLeast"/>
        </w:trPr>
        <w:tc>
          <w:tcPr>
            <w:tcW w:w="2952"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3.网络设备</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2"/>
                <w:szCs w:val="12"/>
                <w:highlight w:val="none"/>
              </w:rPr>
            </w:pPr>
          </w:p>
        </w:tc>
      </w:tr>
      <w:tr>
        <w:tblPrEx>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24口接入交换机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L2以太网交换机主机,交换容量336Gbps,包转发率108Mbps,支持24个10/100/1000BASE-T电口,支持4个1G/10G BASE-X SFP+端口,支持AC</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 </w:t>
            </w:r>
          </w:p>
        </w:tc>
      </w:tr>
      <w:tr>
        <w:tblPrEx>
          <w:tblCellMar>
            <w:top w:w="0" w:type="dxa"/>
            <w:left w:w="108" w:type="dxa"/>
            <w:bottom w:w="0" w:type="dxa"/>
            <w:right w:w="108" w:type="dxa"/>
          </w:tblCellMar>
        </w:tblPrEx>
        <w:trPr>
          <w:trHeight w:val="800" w:hRule="atLeast"/>
        </w:trPr>
        <w:tc>
          <w:tcPr>
            <w:tcW w:w="2952"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4.管线及网络费用</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2"/>
                <w:szCs w:val="12"/>
                <w:highlight w:val="none"/>
              </w:rPr>
            </w:pPr>
          </w:p>
        </w:tc>
      </w:tr>
      <w:tr>
        <w:tblPrEx>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抱杆机箱</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定制</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12 </w:t>
            </w:r>
          </w:p>
        </w:tc>
      </w:tr>
      <w:tr>
        <w:tblPrEx>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落地机箱</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定制</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 </w:t>
            </w:r>
          </w:p>
        </w:tc>
      </w:tr>
      <w:tr>
        <w:tblPrEx>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取电线缆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电源线YJV3*4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117 </w:t>
            </w:r>
          </w:p>
        </w:tc>
      </w:tr>
      <w:tr>
        <w:tblPrEx>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光缆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4芯光缆，含光缆熔接，光缆终端盒等</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146 </w:t>
            </w:r>
          </w:p>
        </w:tc>
      </w:tr>
      <w:tr>
        <w:tblPrEx>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防水网线</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防水网线，六类非屏蔽双绞线</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293 </w:t>
            </w:r>
          </w:p>
        </w:tc>
      </w:tr>
      <w:tr>
        <w:tblPrEx>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电源线缆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RVV3*1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m</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293 </w:t>
            </w:r>
          </w:p>
        </w:tc>
      </w:tr>
      <w:tr>
        <w:tblPrEx>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7</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设备安装费</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设备安装及调试</w:t>
            </w:r>
          </w:p>
        </w:tc>
        <w:tc>
          <w:tcPr>
            <w:tcW w:w="348"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12 </w:t>
            </w:r>
          </w:p>
        </w:tc>
      </w:tr>
      <w:tr>
        <w:tblPrEx>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链路费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感知网租赁费，租期3年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 </w:t>
            </w:r>
          </w:p>
        </w:tc>
      </w:tr>
    </w:tbl>
    <w:p>
      <w:pPr>
        <w:pStyle w:val="2"/>
        <w:shd w:val="clear" w:color="auto" w:fill="auto"/>
        <w:spacing w:before="120"/>
        <w:ind w:firstLine="0" w:firstLineChars="0"/>
        <w:rPr>
          <w:rFonts w:hint="eastAsia"/>
          <w:color w:val="000000"/>
          <w:highlight w:val="none"/>
        </w:rPr>
      </w:pPr>
    </w:p>
    <w:tbl>
      <w:tblPr>
        <w:tblStyle w:val="62"/>
        <w:tblW w:w="9622" w:type="dxa"/>
        <w:tblInd w:w="96" w:type="dxa"/>
        <w:tblLayout w:type="fixed"/>
        <w:tblCellMar>
          <w:top w:w="0" w:type="dxa"/>
          <w:left w:w="108" w:type="dxa"/>
          <w:bottom w:w="0" w:type="dxa"/>
          <w:right w:w="108" w:type="dxa"/>
        </w:tblCellMar>
      </w:tblPr>
      <w:tblGrid>
        <w:gridCol w:w="328"/>
        <w:gridCol w:w="1031"/>
        <w:gridCol w:w="6303"/>
        <w:gridCol w:w="947"/>
        <w:gridCol w:w="1013"/>
      </w:tblGrid>
      <w:tr>
        <w:tblPrEx>
          <w:tblCellMar>
            <w:top w:w="0" w:type="dxa"/>
            <w:left w:w="108" w:type="dxa"/>
            <w:bottom w:w="0" w:type="dxa"/>
            <w:right w:w="108" w:type="dxa"/>
          </w:tblCellMar>
        </w:tblPrEx>
        <w:trPr>
          <w:trHeight w:val="873" w:hRule="atLeast"/>
        </w:trPr>
        <w:tc>
          <w:tcPr>
            <w:tcW w:w="9622"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ascii="华文细黑" w:hAnsi="华文细黑" w:eastAsia="华文细黑" w:cs="华文细黑"/>
                <w:b/>
                <w:bCs/>
                <w:color w:val="000000"/>
                <w:sz w:val="12"/>
                <w:szCs w:val="12"/>
                <w:highlight w:val="none"/>
              </w:rPr>
            </w:pPr>
            <w:r>
              <w:rPr>
                <w:rFonts w:hint="eastAsia" w:ascii="华文细黑" w:hAnsi="华文细黑" w:eastAsia="华文细黑" w:cs="华文细黑"/>
                <w:b/>
                <w:bCs/>
                <w:color w:val="000000"/>
                <w:kern w:val="0"/>
                <w:sz w:val="12"/>
                <w:szCs w:val="12"/>
                <w:highlight w:val="none"/>
                <w:lang w:bidi="ar"/>
              </w:rPr>
              <w:t>4</w:t>
            </w:r>
            <w:r>
              <w:rPr>
                <w:rFonts w:ascii="华文细黑" w:hAnsi="华文细黑" w:eastAsia="华文细黑" w:cs="华文细黑"/>
                <w:b/>
                <w:bCs/>
                <w:color w:val="000000"/>
                <w:kern w:val="0"/>
                <w:sz w:val="12"/>
                <w:szCs w:val="12"/>
                <w:highlight w:val="none"/>
                <w:lang w:bidi="ar"/>
              </w:rPr>
              <w:t>城厢街道智安小区项目设备清单（里横河）</w:t>
            </w:r>
          </w:p>
        </w:tc>
      </w:tr>
      <w:tr>
        <w:tblPrEx>
          <w:tblCellMar>
            <w:top w:w="0" w:type="dxa"/>
            <w:left w:w="108" w:type="dxa"/>
            <w:bottom w:w="0" w:type="dxa"/>
            <w:right w:w="108" w:type="dxa"/>
          </w:tblCellMar>
        </w:tblPrEx>
        <w:trPr>
          <w:trHeight w:val="873" w:hRule="atLeast"/>
        </w:trPr>
        <w:tc>
          <w:tcPr>
            <w:tcW w:w="328"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序号</w:t>
            </w:r>
          </w:p>
        </w:tc>
        <w:tc>
          <w:tcPr>
            <w:tcW w:w="1031"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名称</w:t>
            </w:r>
          </w:p>
        </w:tc>
        <w:tc>
          <w:tcPr>
            <w:tcW w:w="6303"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参数</w:t>
            </w:r>
          </w:p>
        </w:tc>
        <w:tc>
          <w:tcPr>
            <w:tcW w:w="947"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单位</w:t>
            </w:r>
          </w:p>
        </w:tc>
        <w:tc>
          <w:tcPr>
            <w:tcW w:w="1013"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数量</w:t>
            </w:r>
          </w:p>
        </w:tc>
      </w:tr>
      <w:tr>
        <w:tblPrEx>
          <w:tblCellMar>
            <w:top w:w="0" w:type="dxa"/>
            <w:left w:w="108" w:type="dxa"/>
            <w:bottom w:w="0" w:type="dxa"/>
            <w:right w:w="108" w:type="dxa"/>
          </w:tblCellMar>
        </w:tblPrEx>
        <w:trPr>
          <w:trHeight w:val="873" w:hRule="atLeast"/>
        </w:trPr>
        <w:tc>
          <w:tcPr>
            <w:tcW w:w="8609"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1.综合管理平台</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2"/>
                <w:szCs w:val="12"/>
                <w:highlight w:val="none"/>
              </w:rPr>
            </w:pPr>
          </w:p>
        </w:tc>
      </w:tr>
      <w:tr>
        <w:tblPrEx>
          <w:tblCellMar>
            <w:top w:w="0" w:type="dxa"/>
            <w:left w:w="108" w:type="dxa"/>
            <w:bottom w:w="0" w:type="dxa"/>
            <w:right w:w="108" w:type="dxa"/>
          </w:tblCellMar>
        </w:tblPrEx>
        <w:trPr>
          <w:trHeight w:val="1693" w:hRule="atLeast"/>
        </w:trPr>
        <w:tc>
          <w:tcPr>
            <w:tcW w:w="32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1</w:t>
            </w:r>
          </w:p>
        </w:tc>
        <w:tc>
          <w:tcPr>
            <w:tcW w:w="103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视频监控授权</w:t>
            </w:r>
          </w:p>
        </w:tc>
        <w:tc>
          <w:tcPr>
            <w:tcW w:w="6303"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1、视频应用模块：视频预览、录像回放、下载中心、电视墙、雷球联动。</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2、视频管理模块：设备管理、存储管理、电视墙配置。</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3、视频服务组件：视频设备接入、流媒体服务、录像管理服务、报警管理服务、电视墙服务、主动注册服务、三方设备接入服务</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4、BIG：支持与车载单兵等移动设备的对接，提供车载单兵设备GPS信息接收服务。</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5、MAG：支持手机移动客户端（5060）进行实时视频监控，音频播放，本地截图，本地录像，云台控制，远程视频回放</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套</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14 </w:t>
            </w:r>
          </w:p>
        </w:tc>
      </w:tr>
      <w:tr>
        <w:tblPrEx>
          <w:tblCellMar>
            <w:top w:w="0" w:type="dxa"/>
            <w:left w:w="108" w:type="dxa"/>
            <w:bottom w:w="0" w:type="dxa"/>
            <w:right w:w="108" w:type="dxa"/>
          </w:tblCellMar>
        </w:tblPrEx>
        <w:trPr>
          <w:trHeight w:val="873" w:hRule="atLeast"/>
        </w:trPr>
        <w:tc>
          <w:tcPr>
            <w:tcW w:w="32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2</w:t>
            </w:r>
          </w:p>
        </w:tc>
        <w:tc>
          <w:tcPr>
            <w:tcW w:w="103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小区业务授权</w:t>
            </w:r>
          </w:p>
        </w:tc>
        <w:tc>
          <w:tcPr>
            <w:tcW w:w="6303"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支持小区、楼栋、房屋、人员、用户等基础信息登记</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套</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 </w:t>
            </w:r>
          </w:p>
        </w:tc>
      </w:tr>
      <w:tr>
        <w:tblPrEx>
          <w:tblCellMar>
            <w:top w:w="0" w:type="dxa"/>
            <w:left w:w="108" w:type="dxa"/>
            <w:bottom w:w="0" w:type="dxa"/>
            <w:right w:w="108" w:type="dxa"/>
          </w:tblCellMar>
        </w:tblPrEx>
        <w:trPr>
          <w:trHeight w:val="873" w:hRule="atLeast"/>
        </w:trPr>
        <w:tc>
          <w:tcPr>
            <w:tcW w:w="8609"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2.人脸采集设备</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2"/>
                <w:szCs w:val="12"/>
                <w:highlight w:val="none"/>
              </w:rPr>
            </w:pPr>
          </w:p>
        </w:tc>
      </w:tr>
      <w:tr>
        <w:tblPrEx>
          <w:tblCellMar>
            <w:top w:w="0" w:type="dxa"/>
            <w:left w:w="108" w:type="dxa"/>
            <w:bottom w:w="0" w:type="dxa"/>
            <w:right w:w="108" w:type="dxa"/>
          </w:tblCellMar>
        </w:tblPrEx>
        <w:trPr>
          <w:trHeight w:val="2703" w:hRule="atLeast"/>
        </w:trPr>
        <w:tc>
          <w:tcPr>
            <w:tcW w:w="32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1</w:t>
            </w:r>
          </w:p>
        </w:tc>
        <w:tc>
          <w:tcPr>
            <w:tcW w:w="103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人脸枪机</w:t>
            </w:r>
          </w:p>
        </w:tc>
        <w:tc>
          <w:tcPr>
            <w:tcW w:w="630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1）像素：不小于400万</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2）最大分辨率：不小于2688×1520</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3）传感器：不小于1/1.8英寸CMOS</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4）镜头：不小于10mm~40mm电动变焦镜头</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5）最低照度：不低于0.001Lux（彩色模式）；0.0001Lux（黑白模式）;0Lux（补光灯开启）</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6）视场角：不小于水平：43°~12° 垂直：24°~7° 对角：50°~13°</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7）人脸功能：支持人脸检测;支持跟踪;支持优选;支持抓拍;支持上报最优的人脸抓图;支持人脸增强,支持人脸曝光;支持人脸属性提取,支持6种属性8种表情:性别,年龄,眼镜,表情（愤怒,平静,高兴,悲伤,厌恶,惊讶,困惑,害怕）,口罩,胡子,支持人脸抠图区域可设:人脸, 单寸照;支持实时抓拍、优选抓拍、质量优先三种抓拍策略;支持人脸角度过滤功能;支持优选时长可设</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8）最大补光距离：人脸检测距离：不小于30m；视频监控距离：不小于60m</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9）补光灯：不少于6颗（暖光灯）</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10）防护等级：不低于IP66</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台</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5 </w:t>
            </w:r>
          </w:p>
        </w:tc>
      </w:tr>
      <w:tr>
        <w:tblPrEx>
          <w:tblCellMar>
            <w:top w:w="0" w:type="dxa"/>
            <w:left w:w="108" w:type="dxa"/>
            <w:bottom w:w="0" w:type="dxa"/>
            <w:right w:w="108" w:type="dxa"/>
          </w:tblCellMar>
        </w:tblPrEx>
        <w:trPr>
          <w:trHeight w:val="3376" w:hRule="atLeast"/>
        </w:trPr>
        <w:tc>
          <w:tcPr>
            <w:tcW w:w="32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2</w:t>
            </w:r>
          </w:p>
        </w:tc>
        <w:tc>
          <w:tcPr>
            <w:tcW w:w="103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监控枪机</w:t>
            </w:r>
          </w:p>
        </w:tc>
        <w:tc>
          <w:tcPr>
            <w:tcW w:w="6303"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支持绊线入侵，区域入侵，快速移动，物品遗留，物品搬移，徘徊检测，人员聚集，停车检测，热度图，人脸检测，人数统计</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采用星光级低照度400万像素1/2.7英寸CMOS图像传感器，低照度效果好，图像清晰度高</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最大可输出400万(2688x1520)@25fps</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支持H.265编码，压缩比高，实现超低码流传输</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内置红外补光灯，最大红外监控距离80米</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支持走廊模式，宽动态，3D降噪，强光抑制，背光补偿，数字水印，适用不同监控环境</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支持Smart H.265/H.264H智能编码，ROI区域增强，SVC自适应编码，适用不同带宽和存储环境</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支持报警3进2出，音频1进1出，128G Micro SD卡</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支持DC12V/POE供电方式，宽压设计</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支持IP67，IK10防护等级</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台</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8 </w:t>
            </w:r>
          </w:p>
        </w:tc>
      </w:tr>
      <w:tr>
        <w:tblPrEx>
          <w:tblCellMar>
            <w:top w:w="0" w:type="dxa"/>
            <w:left w:w="108" w:type="dxa"/>
            <w:bottom w:w="0" w:type="dxa"/>
            <w:right w:w="108" w:type="dxa"/>
          </w:tblCellMar>
        </w:tblPrEx>
        <w:trPr>
          <w:trHeight w:val="4385" w:hRule="atLeast"/>
        </w:trPr>
        <w:tc>
          <w:tcPr>
            <w:tcW w:w="32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3</w:t>
            </w:r>
          </w:p>
        </w:tc>
        <w:tc>
          <w:tcPr>
            <w:tcW w:w="103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结构化球机</w:t>
            </w:r>
          </w:p>
        </w:tc>
        <w:tc>
          <w:tcPr>
            <w:tcW w:w="630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1) 像素: 全景不小于400万 细节不小于400万</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2) 最大分辨率: 全景2688×1520细节2688×1520</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3) 传感器类型: 全景1/1.8英寸CMOS；细节1/1.8英寸CMOS</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4) 补光灯数量: 全景4颗（白光灯）细节4颗（红外灯）</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5) 镜头焦距: 全景8~32mm</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6) 细节5.4mm~135mm</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7) 镜头光圈: 全景F1.6 细节F1.6-F4.0</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8) 网络接口: 1个（内置RJ-45网口，支持10M/100M网络数据）</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9) 网络适应功能检验:在丢包率设置为30%的网络环境下，可显示监视画面，画面不卡顿</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10) 人脸识别屏蔽区域功能检验:可通过IE浏览器设置人脸识别屏蔽区域，屏蔽区域位置可设</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11) 重量检测:样机小于等于9kg</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12) 双云台功能检验:样机具备全景、细节两个摄像机云台，且都可通过IE浏览器设置云台转动位置</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13) 抓拍距离检验：样机可看清150米处人体轮廓，并进行抓拍生成人体小图。</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14) 目标抓拍速度检验:在自动跟踪模式下，样机每分钟可对不少于100个框选跟踪目标进行特写抓拍</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15) 细节摄像机水平旋转范围：水平角度0～250°</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16) 传输能力检验:样机与客户端之间用400m 五类非屏蔽网线直接连接，预览正常不卡顿</w:t>
            </w:r>
            <w:r>
              <w:rPr>
                <w:rFonts w:hint="eastAsia" w:ascii="宋体" w:hAnsi="宋体" w:cs="宋体"/>
                <w:color w:val="000000"/>
                <w:kern w:val="0"/>
                <w:sz w:val="12"/>
                <w:szCs w:val="12"/>
                <w:highlight w:val="none"/>
                <w:lang w:bidi="ar"/>
              </w:rPr>
              <w:br w:type="textWrapping"/>
            </w:r>
            <w:r>
              <w:rPr>
                <w:rFonts w:hint="eastAsia" w:ascii="宋体" w:hAnsi="宋体" w:cs="宋体"/>
                <w:color w:val="000000"/>
                <w:kern w:val="0"/>
                <w:sz w:val="12"/>
                <w:szCs w:val="12"/>
                <w:highlight w:val="none"/>
                <w:lang w:bidi="ar"/>
              </w:rPr>
              <w:t>17) 断网续传功能检验:当网络断开后，样机可将录像文件存储至内置SD卡中，当网络恢复后，再将这些录像文件上传至ＮAS中或服务器中</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台</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 </w:t>
            </w:r>
          </w:p>
        </w:tc>
      </w:tr>
      <w:tr>
        <w:tblPrEx>
          <w:tblCellMar>
            <w:top w:w="0" w:type="dxa"/>
            <w:left w:w="108" w:type="dxa"/>
            <w:bottom w:w="0" w:type="dxa"/>
            <w:right w:w="108" w:type="dxa"/>
          </w:tblCellMar>
        </w:tblPrEx>
        <w:trPr>
          <w:trHeight w:val="873" w:hRule="atLeast"/>
        </w:trPr>
        <w:tc>
          <w:tcPr>
            <w:tcW w:w="32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4</w:t>
            </w:r>
          </w:p>
        </w:tc>
        <w:tc>
          <w:tcPr>
            <w:tcW w:w="103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抱杆支架1</w:t>
            </w:r>
          </w:p>
        </w:tc>
        <w:tc>
          <w:tcPr>
            <w:tcW w:w="630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1米</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根</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5 </w:t>
            </w:r>
          </w:p>
        </w:tc>
      </w:tr>
      <w:tr>
        <w:tblPrEx>
          <w:tblCellMar>
            <w:top w:w="0" w:type="dxa"/>
            <w:left w:w="108" w:type="dxa"/>
            <w:bottom w:w="0" w:type="dxa"/>
            <w:right w:w="108" w:type="dxa"/>
          </w:tblCellMar>
        </w:tblPrEx>
        <w:trPr>
          <w:trHeight w:val="873" w:hRule="atLeast"/>
        </w:trPr>
        <w:tc>
          <w:tcPr>
            <w:tcW w:w="32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5</w:t>
            </w:r>
          </w:p>
        </w:tc>
        <w:tc>
          <w:tcPr>
            <w:tcW w:w="103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抱杆支架2</w:t>
            </w:r>
          </w:p>
        </w:tc>
        <w:tc>
          <w:tcPr>
            <w:tcW w:w="630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1.5米</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根</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8 </w:t>
            </w:r>
          </w:p>
        </w:tc>
      </w:tr>
      <w:tr>
        <w:tblPrEx>
          <w:tblCellMar>
            <w:top w:w="0" w:type="dxa"/>
            <w:left w:w="108" w:type="dxa"/>
            <w:bottom w:w="0" w:type="dxa"/>
            <w:right w:w="108" w:type="dxa"/>
          </w:tblCellMar>
        </w:tblPrEx>
        <w:trPr>
          <w:trHeight w:val="873" w:hRule="atLeast"/>
        </w:trPr>
        <w:tc>
          <w:tcPr>
            <w:tcW w:w="32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6</w:t>
            </w:r>
          </w:p>
        </w:tc>
        <w:tc>
          <w:tcPr>
            <w:tcW w:w="103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6米L杆件1</w:t>
            </w:r>
          </w:p>
        </w:tc>
        <w:tc>
          <w:tcPr>
            <w:tcW w:w="630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高6米，挑5米</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套</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 </w:t>
            </w:r>
          </w:p>
        </w:tc>
      </w:tr>
      <w:tr>
        <w:tblPrEx>
          <w:tblCellMar>
            <w:top w:w="0" w:type="dxa"/>
            <w:left w:w="108" w:type="dxa"/>
            <w:bottom w:w="0" w:type="dxa"/>
            <w:right w:w="108" w:type="dxa"/>
          </w:tblCellMar>
        </w:tblPrEx>
        <w:trPr>
          <w:trHeight w:val="873" w:hRule="atLeast"/>
        </w:trPr>
        <w:tc>
          <w:tcPr>
            <w:tcW w:w="8609"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3.网络设备</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2"/>
                <w:szCs w:val="12"/>
                <w:highlight w:val="none"/>
              </w:rPr>
            </w:pPr>
          </w:p>
        </w:tc>
      </w:tr>
      <w:tr>
        <w:tblPrEx>
          <w:tblCellMar>
            <w:top w:w="0" w:type="dxa"/>
            <w:left w:w="108" w:type="dxa"/>
            <w:bottom w:w="0" w:type="dxa"/>
            <w:right w:w="108" w:type="dxa"/>
          </w:tblCellMar>
        </w:tblPrEx>
        <w:trPr>
          <w:trHeight w:val="873" w:hRule="atLeast"/>
        </w:trPr>
        <w:tc>
          <w:tcPr>
            <w:tcW w:w="32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1</w:t>
            </w:r>
          </w:p>
        </w:tc>
        <w:tc>
          <w:tcPr>
            <w:tcW w:w="103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24口接入交换机</w:t>
            </w:r>
          </w:p>
        </w:tc>
        <w:tc>
          <w:tcPr>
            <w:tcW w:w="630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L2以太网交换机主机,交换容量336Gbps,包转发率108Mbps,支持24个10/100/1000BASE-T电口,支持4个1G/10G BASE-X SFP+端口,支持AC</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台</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 </w:t>
            </w:r>
          </w:p>
        </w:tc>
      </w:tr>
      <w:tr>
        <w:tblPrEx>
          <w:tblCellMar>
            <w:top w:w="0" w:type="dxa"/>
            <w:left w:w="108" w:type="dxa"/>
            <w:bottom w:w="0" w:type="dxa"/>
            <w:right w:w="108" w:type="dxa"/>
          </w:tblCellMar>
        </w:tblPrEx>
        <w:trPr>
          <w:trHeight w:val="873" w:hRule="atLeast"/>
        </w:trPr>
        <w:tc>
          <w:tcPr>
            <w:tcW w:w="8609"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2"/>
                <w:szCs w:val="12"/>
                <w:highlight w:val="none"/>
              </w:rPr>
            </w:pPr>
            <w:r>
              <w:rPr>
                <w:rFonts w:ascii="华文细黑" w:hAnsi="华文细黑" w:eastAsia="华文细黑" w:cs="华文细黑"/>
                <w:b/>
                <w:bCs/>
                <w:color w:val="000000"/>
                <w:kern w:val="0"/>
                <w:sz w:val="12"/>
                <w:szCs w:val="12"/>
                <w:highlight w:val="none"/>
                <w:lang w:bidi="ar"/>
              </w:rPr>
              <w:t>4.管线及网络费用</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2"/>
                <w:szCs w:val="12"/>
                <w:highlight w:val="none"/>
              </w:rPr>
            </w:pPr>
          </w:p>
        </w:tc>
      </w:tr>
      <w:tr>
        <w:tblPrEx>
          <w:tblCellMar>
            <w:top w:w="0" w:type="dxa"/>
            <w:left w:w="108" w:type="dxa"/>
            <w:bottom w:w="0" w:type="dxa"/>
            <w:right w:w="108" w:type="dxa"/>
          </w:tblCellMar>
        </w:tblPrEx>
        <w:trPr>
          <w:trHeight w:val="873" w:hRule="atLeast"/>
        </w:trPr>
        <w:tc>
          <w:tcPr>
            <w:tcW w:w="32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1</w:t>
            </w:r>
          </w:p>
        </w:tc>
        <w:tc>
          <w:tcPr>
            <w:tcW w:w="103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抱杆机箱</w:t>
            </w:r>
          </w:p>
        </w:tc>
        <w:tc>
          <w:tcPr>
            <w:tcW w:w="630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定制</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个</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14 </w:t>
            </w:r>
          </w:p>
        </w:tc>
      </w:tr>
      <w:tr>
        <w:tblPrEx>
          <w:tblCellMar>
            <w:top w:w="0" w:type="dxa"/>
            <w:left w:w="108" w:type="dxa"/>
            <w:bottom w:w="0" w:type="dxa"/>
            <w:right w:w="108" w:type="dxa"/>
          </w:tblCellMar>
        </w:tblPrEx>
        <w:trPr>
          <w:trHeight w:val="873" w:hRule="atLeast"/>
        </w:trPr>
        <w:tc>
          <w:tcPr>
            <w:tcW w:w="32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2</w:t>
            </w:r>
          </w:p>
        </w:tc>
        <w:tc>
          <w:tcPr>
            <w:tcW w:w="103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落地机箱</w:t>
            </w:r>
          </w:p>
        </w:tc>
        <w:tc>
          <w:tcPr>
            <w:tcW w:w="630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定制</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个</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 </w:t>
            </w:r>
          </w:p>
        </w:tc>
      </w:tr>
      <w:tr>
        <w:tblPrEx>
          <w:tblCellMar>
            <w:top w:w="0" w:type="dxa"/>
            <w:left w:w="108" w:type="dxa"/>
            <w:bottom w:w="0" w:type="dxa"/>
            <w:right w:w="108" w:type="dxa"/>
          </w:tblCellMar>
        </w:tblPrEx>
        <w:trPr>
          <w:trHeight w:val="1020" w:hRule="atLeast"/>
        </w:trPr>
        <w:tc>
          <w:tcPr>
            <w:tcW w:w="32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3</w:t>
            </w:r>
          </w:p>
        </w:tc>
        <w:tc>
          <w:tcPr>
            <w:tcW w:w="103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取电线缆</w:t>
            </w:r>
          </w:p>
        </w:tc>
        <w:tc>
          <w:tcPr>
            <w:tcW w:w="630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电源线YJV3*4</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m</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137 </w:t>
            </w:r>
          </w:p>
        </w:tc>
      </w:tr>
      <w:tr>
        <w:tblPrEx>
          <w:tblCellMar>
            <w:top w:w="0" w:type="dxa"/>
            <w:left w:w="108" w:type="dxa"/>
            <w:bottom w:w="0" w:type="dxa"/>
            <w:right w:w="108" w:type="dxa"/>
          </w:tblCellMar>
        </w:tblPrEx>
        <w:trPr>
          <w:trHeight w:val="1020" w:hRule="atLeast"/>
        </w:trPr>
        <w:tc>
          <w:tcPr>
            <w:tcW w:w="32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4</w:t>
            </w:r>
          </w:p>
        </w:tc>
        <w:tc>
          <w:tcPr>
            <w:tcW w:w="103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光缆</w:t>
            </w:r>
          </w:p>
        </w:tc>
        <w:tc>
          <w:tcPr>
            <w:tcW w:w="630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4芯光缆，含光缆熔接，光缆终端盒等</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m</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171 </w:t>
            </w:r>
          </w:p>
        </w:tc>
      </w:tr>
      <w:tr>
        <w:tblPrEx>
          <w:tblCellMar>
            <w:top w:w="0" w:type="dxa"/>
            <w:left w:w="108" w:type="dxa"/>
            <w:bottom w:w="0" w:type="dxa"/>
            <w:right w:w="108" w:type="dxa"/>
          </w:tblCellMar>
        </w:tblPrEx>
        <w:trPr>
          <w:trHeight w:val="1020" w:hRule="atLeast"/>
        </w:trPr>
        <w:tc>
          <w:tcPr>
            <w:tcW w:w="32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5</w:t>
            </w:r>
          </w:p>
        </w:tc>
        <w:tc>
          <w:tcPr>
            <w:tcW w:w="103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防水网线</w:t>
            </w:r>
          </w:p>
        </w:tc>
        <w:tc>
          <w:tcPr>
            <w:tcW w:w="630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防水网线，六类非屏蔽双绞线</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m</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341 </w:t>
            </w:r>
          </w:p>
        </w:tc>
      </w:tr>
      <w:tr>
        <w:tblPrEx>
          <w:tblCellMar>
            <w:top w:w="0" w:type="dxa"/>
            <w:left w:w="108" w:type="dxa"/>
            <w:bottom w:w="0" w:type="dxa"/>
            <w:right w:w="108" w:type="dxa"/>
          </w:tblCellMar>
        </w:tblPrEx>
        <w:trPr>
          <w:trHeight w:val="1020" w:hRule="atLeast"/>
        </w:trPr>
        <w:tc>
          <w:tcPr>
            <w:tcW w:w="32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6</w:t>
            </w:r>
          </w:p>
        </w:tc>
        <w:tc>
          <w:tcPr>
            <w:tcW w:w="103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电源线缆</w:t>
            </w:r>
          </w:p>
        </w:tc>
        <w:tc>
          <w:tcPr>
            <w:tcW w:w="630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RVV3*1</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m</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341 </w:t>
            </w:r>
          </w:p>
        </w:tc>
      </w:tr>
      <w:tr>
        <w:tblPrEx>
          <w:tblCellMar>
            <w:top w:w="0" w:type="dxa"/>
            <w:left w:w="108" w:type="dxa"/>
            <w:bottom w:w="0" w:type="dxa"/>
            <w:right w:w="108" w:type="dxa"/>
          </w:tblCellMar>
        </w:tblPrEx>
        <w:trPr>
          <w:trHeight w:val="873" w:hRule="atLeast"/>
        </w:trPr>
        <w:tc>
          <w:tcPr>
            <w:tcW w:w="32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7</w:t>
            </w:r>
          </w:p>
        </w:tc>
        <w:tc>
          <w:tcPr>
            <w:tcW w:w="1031"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设备安装费</w:t>
            </w:r>
          </w:p>
        </w:tc>
        <w:tc>
          <w:tcPr>
            <w:tcW w:w="6303"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设备安装及调试</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套</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14 </w:t>
            </w:r>
          </w:p>
        </w:tc>
      </w:tr>
      <w:tr>
        <w:tblPrEx>
          <w:tblCellMar>
            <w:top w:w="0" w:type="dxa"/>
            <w:left w:w="108" w:type="dxa"/>
            <w:bottom w:w="0" w:type="dxa"/>
            <w:right w:w="108" w:type="dxa"/>
          </w:tblCellMar>
        </w:tblPrEx>
        <w:trPr>
          <w:trHeight w:val="884" w:hRule="atLeast"/>
        </w:trPr>
        <w:tc>
          <w:tcPr>
            <w:tcW w:w="32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8</w:t>
            </w:r>
          </w:p>
        </w:tc>
        <w:tc>
          <w:tcPr>
            <w:tcW w:w="103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链路费</w:t>
            </w:r>
          </w:p>
        </w:tc>
        <w:tc>
          <w:tcPr>
            <w:tcW w:w="630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感知网租赁费，租期3年</w:t>
            </w:r>
          </w:p>
        </w:tc>
        <w:tc>
          <w:tcPr>
            <w:tcW w:w="9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项</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2"/>
                <w:szCs w:val="12"/>
                <w:highlight w:val="none"/>
              </w:rPr>
            </w:pPr>
            <w:r>
              <w:rPr>
                <w:rFonts w:hint="eastAsia" w:ascii="宋体" w:hAnsi="宋体" w:cs="宋体"/>
                <w:color w:val="000000"/>
                <w:kern w:val="0"/>
                <w:sz w:val="12"/>
                <w:szCs w:val="12"/>
                <w:highlight w:val="none"/>
                <w:lang w:bidi="ar"/>
              </w:rPr>
              <w:t xml:space="preserve">1 </w:t>
            </w:r>
          </w:p>
        </w:tc>
      </w:tr>
    </w:tbl>
    <w:p>
      <w:pPr>
        <w:pStyle w:val="2"/>
        <w:shd w:val="clear" w:color="auto" w:fill="auto"/>
        <w:spacing w:before="120"/>
        <w:rPr>
          <w:rFonts w:hint="eastAsia"/>
          <w:color w:val="000000"/>
          <w:highlight w:val="none"/>
        </w:rPr>
      </w:pPr>
    </w:p>
    <w:tbl>
      <w:tblPr>
        <w:tblStyle w:val="62"/>
        <w:tblW w:w="8691" w:type="dxa"/>
        <w:tblInd w:w="96" w:type="dxa"/>
        <w:tblLayout w:type="fixed"/>
        <w:tblCellMar>
          <w:top w:w="0" w:type="dxa"/>
          <w:left w:w="108" w:type="dxa"/>
          <w:bottom w:w="0" w:type="dxa"/>
          <w:right w:w="108" w:type="dxa"/>
        </w:tblCellMar>
      </w:tblPr>
      <w:tblGrid>
        <w:gridCol w:w="355"/>
        <w:gridCol w:w="1471"/>
        <w:gridCol w:w="5119"/>
        <w:gridCol w:w="946"/>
        <w:gridCol w:w="800"/>
      </w:tblGrid>
      <w:tr>
        <w:tblPrEx>
          <w:tblCellMar>
            <w:top w:w="0" w:type="dxa"/>
            <w:left w:w="108" w:type="dxa"/>
            <w:bottom w:w="0" w:type="dxa"/>
            <w:right w:w="108" w:type="dxa"/>
          </w:tblCellMar>
        </w:tblPrEx>
        <w:trPr>
          <w:trHeight w:val="800" w:hRule="atLeast"/>
        </w:trPr>
        <w:tc>
          <w:tcPr>
            <w:tcW w:w="8691"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hint="eastAsia" w:ascii="华文细黑" w:hAnsi="华文细黑" w:eastAsia="华文细黑" w:cs="华文细黑"/>
                <w:b/>
                <w:bCs/>
                <w:color w:val="000000"/>
                <w:kern w:val="0"/>
                <w:sz w:val="15"/>
                <w:szCs w:val="15"/>
                <w:highlight w:val="none"/>
                <w:lang w:bidi="ar"/>
              </w:rPr>
              <w:t>5</w:t>
            </w:r>
            <w:r>
              <w:rPr>
                <w:rFonts w:ascii="华文细黑" w:hAnsi="华文细黑" w:eastAsia="华文细黑" w:cs="华文细黑"/>
                <w:b/>
                <w:bCs/>
                <w:color w:val="000000"/>
                <w:kern w:val="0"/>
                <w:sz w:val="15"/>
                <w:szCs w:val="15"/>
                <w:highlight w:val="none"/>
                <w:lang w:bidi="ar"/>
              </w:rPr>
              <w:t>城厢街道智安小区项目设备清单（南峰公寓）</w:t>
            </w:r>
          </w:p>
        </w:tc>
      </w:tr>
      <w:tr>
        <w:tblPrEx>
          <w:tblCellMar>
            <w:top w:w="0" w:type="dxa"/>
            <w:left w:w="108" w:type="dxa"/>
            <w:bottom w:w="0" w:type="dxa"/>
            <w:right w:w="108" w:type="dxa"/>
          </w:tblCellMar>
        </w:tblPrEx>
        <w:trPr>
          <w:trHeight w:val="800" w:hRule="atLeast"/>
        </w:trPr>
        <w:tc>
          <w:tcPr>
            <w:tcW w:w="355"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序号</w:t>
            </w:r>
          </w:p>
        </w:tc>
        <w:tc>
          <w:tcPr>
            <w:tcW w:w="1471"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名称</w:t>
            </w:r>
          </w:p>
        </w:tc>
        <w:tc>
          <w:tcPr>
            <w:tcW w:w="5119"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参数</w:t>
            </w:r>
          </w:p>
        </w:tc>
        <w:tc>
          <w:tcPr>
            <w:tcW w:w="946"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单位</w:t>
            </w:r>
          </w:p>
        </w:tc>
        <w:tc>
          <w:tcPr>
            <w:tcW w:w="800"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78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1.综合管理平台</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5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47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视频监控授权</w:t>
            </w:r>
          </w:p>
        </w:tc>
        <w:tc>
          <w:tcPr>
            <w:tcW w:w="5119"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1、视频应用模块：视频预览、录像回放、下载中心、电视墙、雷球联动。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2、视频管理模块：设备管理、存储管理、电视墙配置。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3、视频服务组件：视频设备接入、流媒体服务、录像管理服务、报警管理服务、电视墙服务、主动注册服务、三方设备接入服务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4、BIG：支持与车载单兵等移动设备的对接，提供车载单兵设备GPS信息接收服务。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5、MAG：支持手机移动客户端（5060）进行实时视频监控，音频播放，本地截图，本地录像，云台控制，远程视频回放</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12 </w:t>
            </w:r>
          </w:p>
        </w:tc>
      </w:tr>
      <w:tr>
        <w:tblPrEx>
          <w:tblCellMar>
            <w:top w:w="0" w:type="dxa"/>
            <w:left w:w="108" w:type="dxa"/>
            <w:bottom w:w="0" w:type="dxa"/>
            <w:right w:w="108" w:type="dxa"/>
          </w:tblCellMar>
        </w:tblPrEx>
        <w:trPr>
          <w:trHeight w:val="800" w:hRule="atLeast"/>
        </w:trPr>
        <w:tc>
          <w:tcPr>
            <w:tcW w:w="35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47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小区业务授权</w:t>
            </w:r>
          </w:p>
        </w:tc>
        <w:tc>
          <w:tcPr>
            <w:tcW w:w="5119"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支持小区、楼栋、房屋、人员、用户等基础信息登记</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78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2.人脸采集设备</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5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47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人脸枪机</w:t>
            </w:r>
          </w:p>
        </w:tc>
        <w:tc>
          <w:tcPr>
            <w:tcW w:w="5119"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1）像素：不小于400万</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2）最大分辨率：不小于2688×1520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3）传感器：不小于1/1.8英寸CMOS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4）镜头：不小于10mm~40mm电动变焦镜头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5）最低照度：不低于0.001Lux（彩色模式）；0.0001Lux（黑白模式）;0Lux（补光灯开启）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6）视场角：不小于水平：43°~12° 垂直：24°~7° 对角：50°~13°</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7）人脸功能：支持人脸检测;支持跟踪;支持优选;支持抓拍;支持上报最优的人脸抓图;支持人脸增强,支持人脸曝光;支持人脸属性提取,支持6种属性8种表情:性别,年龄,眼镜,表情（愤怒,平静,高兴,悲伤,厌恶,惊讶,困惑,害怕）,口罩,胡子,支持人脸抠图区域可设:人脸, 单寸照;支持实时抓拍、优选抓拍、质量优先三种抓拍策略;支持人脸角度过滤功能;支持优选时长可设</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8）最大补光距离：人脸检测距离：不小于30m；视频监控距离：不小于60m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9）补光灯：不少于6颗（暖光灯）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10）防护等级：不低于IP66</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 </w:t>
            </w:r>
          </w:p>
        </w:tc>
      </w:tr>
      <w:tr>
        <w:tblPrEx>
          <w:tblCellMar>
            <w:top w:w="0" w:type="dxa"/>
            <w:left w:w="108" w:type="dxa"/>
            <w:bottom w:w="0" w:type="dxa"/>
            <w:right w:w="108" w:type="dxa"/>
          </w:tblCellMar>
        </w:tblPrEx>
        <w:trPr>
          <w:trHeight w:val="800" w:hRule="atLeast"/>
        </w:trPr>
        <w:tc>
          <w:tcPr>
            <w:tcW w:w="35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47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监控枪机</w:t>
            </w:r>
          </w:p>
        </w:tc>
        <w:tc>
          <w:tcPr>
            <w:tcW w:w="5119"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支持绊线入侵，区域入侵，快速移动，物品遗留，物品搬移，徘徊检测，人员聚集，停车检测，热度图，人脸检测，人数统计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采用星光级低照度400万像素1/2.7英寸CMOS图像传感器，低照度效果好，图像清晰度高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最大可输出400万(2688x1520)@25fps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支持H.265编码，压缩比高，实现超低码流传输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内置红外补光灯，最大红外监控距离80米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支持Smart H.265/H.264H智能编码，ROI区域增强，SVC自适应编码，适用不同带宽和存储环境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支持报警3进2出，音频1进1出，128G Micro SD卡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支持DC12V/POE供电方式，宽压设计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支持IP67，IK10防护等级</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5 </w:t>
            </w:r>
          </w:p>
        </w:tc>
      </w:tr>
      <w:tr>
        <w:tblPrEx>
          <w:tblCellMar>
            <w:top w:w="0" w:type="dxa"/>
            <w:left w:w="108" w:type="dxa"/>
            <w:bottom w:w="0" w:type="dxa"/>
            <w:right w:w="108" w:type="dxa"/>
          </w:tblCellMar>
        </w:tblPrEx>
        <w:trPr>
          <w:trHeight w:val="800" w:hRule="atLeast"/>
        </w:trPr>
        <w:tc>
          <w:tcPr>
            <w:tcW w:w="35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147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结构化球机</w:t>
            </w:r>
          </w:p>
        </w:tc>
        <w:tc>
          <w:tcPr>
            <w:tcW w:w="5119"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 像素: 全景不小于400万 细节不小于400万</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 最大分辨率: 全景2688×1520细节2688×1520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3) 传感器类型: 全景1/1.8英寸CMOS；细节1/1.8英寸CMOS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4) 补光灯数量: 全景4颗（白光灯）细节4颗（红外灯）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 镜头焦距: 全景8~32mm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6) 细节5.4mm~135mm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7) 镜头光圈: 全景F1.6 细节F1.6-F4.0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8) 网络接口: 1个（内置RJ-45网口，支持10M/100M网络数据）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9) 网络适应功能检验:在丢包率设置为30%的网络环境下，可显示监视画面，画面不卡顿</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10) 人脸识别屏蔽区域功能检验:可通过IE浏览器设置人脸识别屏蔽区域，屏蔽区域位置可设</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11) 重量检测:样机小于等于9kg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12) 双云台功能检验:样机具备全景、细节两个摄像机云台，且都可通过IE浏览器设置云台转动位置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13) 抓拍距离检验：样机可看清150米处人体轮廓，并进行抓拍生成人体小图。</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14) 目标抓拍速度检验:在自动跟踪模式下，样机每分钟可对不少于100个框选跟踪目标进行特写抓拍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15) 细节摄像机水平旋转范围：水平角度0～250°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16) 传输能力检验:样机与客户端之间用400m 五类非屏蔽网线直接连接，预览正常不卡顿</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17) 断网续传功能检验:当网络断开后，样机可将录像文件存储至内置SD卡中，当网络恢复后，再将这些录像文件上传至ＮAS中或服务器中</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35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147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抱杆支架1</w:t>
            </w:r>
          </w:p>
        </w:tc>
        <w:tc>
          <w:tcPr>
            <w:tcW w:w="5119"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1米</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根</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 </w:t>
            </w:r>
          </w:p>
        </w:tc>
      </w:tr>
      <w:tr>
        <w:tblPrEx>
          <w:tblCellMar>
            <w:top w:w="0" w:type="dxa"/>
            <w:left w:w="108" w:type="dxa"/>
            <w:bottom w:w="0" w:type="dxa"/>
            <w:right w:w="108" w:type="dxa"/>
          </w:tblCellMar>
        </w:tblPrEx>
        <w:trPr>
          <w:trHeight w:val="800" w:hRule="atLeast"/>
        </w:trPr>
        <w:tc>
          <w:tcPr>
            <w:tcW w:w="35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147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抱杆支架2</w:t>
            </w:r>
          </w:p>
        </w:tc>
        <w:tc>
          <w:tcPr>
            <w:tcW w:w="5119"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1.5米</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根</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5 </w:t>
            </w:r>
          </w:p>
        </w:tc>
      </w:tr>
      <w:tr>
        <w:tblPrEx>
          <w:tblCellMar>
            <w:top w:w="0" w:type="dxa"/>
            <w:left w:w="108" w:type="dxa"/>
            <w:bottom w:w="0" w:type="dxa"/>
            <w:right w:w="108" w:type="dxa"/>
          </w:tblCellMar>
        </w:tblPrEx>
        <w:trPr>
          <w:trHeight w:val="800" w:hRule="atLeast"/>
        </w:trPr>
        <w:tc>
          <w:tcPr>
            <w:tcW w:w="35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147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6米L杆件1</w:t>
            </w:r>
          </w:p>
        </w:tc>
        <w:tc>
          <w:tcPr>
            <w:tcW w:w="5119"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高6米，挑5米</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78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3.车牌识别系统</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5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47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一体化卡口抓拍单元</w:t>
            </w:r>
          </w:p>
        </w:tc>
        <w:tc>
          <w:tcPr>
            <w:tcW w:w="5119"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像素：900W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分辨率：最大支持4096*2160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帧率：25fps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图像传感器：采用1" 英寸全局曝光CMOS（GMOS）传感器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镜头：16mm镜头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照度：彩色:0.01Lux  黑色:0.008Lux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视频压缩标准：H.265/H.264/MJPEG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图像输出格式：JPEG 输出：电平量信号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通讯接口：2个RJ45 100M/1000M自适应网口，3个RS485接口，1个RS232接口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外部接口：4路外部触发输入，6路(5V TTL电平量)输出，可作为闪光灯同步输出控制，SYNC信号灯电源同步输入</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存储支持：最大支持128G TF卡 自动光圈镜头：支持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工作电压：220VAC±20%；频率：50HZ±2%；功耗：＜20W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目标检测：机动车抓拍，车辆捕获率≥95%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违章检测：闯红灯、不按规定车道行驶、压线、逆行等违法行为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车辆特征检测：车牌识别、车型识别、车身颜色识别(环境光有要求)、违章检测、车辆品牌等特征检测</w:t>
            </w:r>
            <w:r>
              <w:rPr>
                <w:rStyle w:val="134"/>
                <w:rFonts w:hint="default"/>
                <w:color w:val="000000"/>
                <w:sz w:val="15"/>
                <w:szCs w:val="15"/>
                <w:highlight w:val="none"/>
                <w:lang w:bidi="ar"/>
              </w:rPr>
              <w:t xml:space="preserve"> </w:t>
            </w:r>
            <w:r>
              <w:rPr>
                <w:rStyle w:val="627"/>
                <w:rFonts w:hint="default"/>
                <w:color w:val="000000"/>
                <w:sz w:val="15"/>
                <w:szCs w:val="15"/>
                <w:highlight w:val="none"/>
                <w:lang w:bidi="ar"/>
              </w:rPr>
              <w:t xml:space="preserve">                 </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4 </w:t>
            </w:r>
          </w:p>
        </w:tc>
      </w:tr>
      <w:tr>
        <w:tblPrEx>
          <w:tblCellMar>
            <w:top w:w="0" w:type="dxa"/>
            <w:left w:w="108" w:type="dxa"/>
            <w:bottom w:w="0" w:type="dxa"/>
            <w:right w:w="108" w:type="dxa"/>
          </w:tblCellMar>
        </w:tblPrEx>
        <w:trPr>
          <w:trHeight w:val="800" w:hRule="atLeast"/>
        </w:trPr>
        <w:tc>
          <w:tcPr>
            <w:tcW w:w="35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47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6米L杆件2</w:t>
            </w:r>
          </w:p>
        </w:tc>
        <w:tc>
          <w:tcPr>
            <w:tcW w:w="5119"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高6米，挑3米</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 </w:t>
            </w:r>
          </w:p>
        </w:tc>
      </w:tr>
      <w:tr>
        <w:tblPrEx>
          <w:tblCellMar>
            <w:top w:w="0" w:type="dxa"/>
            <w:left w:w="108" w:type="dxa"/>
            <w:bottom w:w="0" w:type="dxa"/>
            <w:right w:w="108" w:type="dxa"/>
          </w:tblCellMar>
        </w:tblPrEx>
        <w:trPr>
          <w:trHeight w:val="800" w:hRule="atLeast"/>
        </w:trPr>
        <w:tc>
          <w:tcPr>
            <w:tcW w:w="78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4.网络设备</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5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47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24口接入交换机</w:t>
            </w:r>
          </w:p>
        </w:tc>
        <w:tc>
          <w:tcPr>
            <w:tcW w:w="5119"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L2以太网交换机主机,交换容量336Gbps,包转发率108Mbps,支持24个10/100/1000BASE-T电口,支持4个1G/10G BASE-X SFP+端口,支持AC</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7891"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5.管线及网络费用</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35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47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抱杆机箱</w:t>
            </w:r>
          </w:p>
        </w:tc>
        <w:tc>
          <w:tcPr>
            <w:tcW w:w="5119"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定制</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10 </w:t>
            </w:r>
          </w:p>
        </w:tc>
      </w:tr>
      <w:tr>
        <w:tblPrEx>
          <w:tblCellMar>
            <w:top w:w="0" w:type="dxa"/>
            <w:left w:w="108" w:type="dxa"/>
            <w:bottom w:w="0" w:type="dxa"/>
            <w:right w:w="108" w:type="dxa"/>
          </w:tblCellMar>
        </w:tblPrEx>
        <w:trPr>
          <w:trHeight w:val="800" w:hRule="atLeast"/>
        </w:trPr>
        <w:tc>
          <w:tcPr>
            <w:tcW w:w="35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47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落地机箱</w:t>
            </w:r>
          </w:p>
        </w:tc>
        <w:tc>
          <w:tcPr>
            <w:tcW w:w="5119"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定制</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35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147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取电线缆</w:t>
            </w:r>
          </w:p>
        </w:tc>
        <w:tc>
          <w:tcPr>
            <w:tcW w:w="5119"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电源线YJV3*4</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117 </w:t>
            </w:r>
          </w:p>
        </w:tc>
      </w:tr>
      <w:tr>
        <w:tblPrEx>
          <w:tblCellMar>
            <w:top w:w="0" w:type="dxa"/>
            <w:left w:w="108" w:type="dxa"/>
            <w:bottom w:w="0" w:type="dxa"/>
            <w:right w:w="108" w:type="dxa"/>
          </w:tblCellMar>
        </w:tblPrEx>
        <w:trPr>
          <w:trHeight w:val="800" w:hRule="atLeast"/>
        </w:trPr>
        <w:tc>
          <w:tcPr>
            <w:tcW w:w="35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147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光缆</w:t>
            </w:r>
          </w:p>
        </w:tc>
        <w:tc>
          <w:tcPr>
            <w:tcW w:w="5119"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4芯光缆，含光缆熔接，光缆终端盒等</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146 </w:t>
            </w:r>
          </w:p>
        </w:tc>
      </w:tr>
      <w:tr>
        <w:tblPrEx>
          <w:tblCellMar>
            <w:top w:w="0" w:type="dxa"/>
            <w:left w:w="108" w:type="dxa"/>
            <w:bottom w:w="0" w:type="dxa"/>
            <w:right w:w="108" w:type="dxa"/>
          </w:tblCellMar>
        </w:tblPrEx>
        <w:trPr>
          <w:trHeight w:val="800" w:hRule="atLeast"/>
        </w:trPr>
        <w:tc>
          <w:tcPr>
            <w:tcW w:w="35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147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防水网线</w:t>
            </w:r>
          </w:p>
        </w:tc>
        <w:tc>
          <w:tcPr>
            <w:tcW w:w="5119"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防水网线，六类非屏蔽双绞线</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293 </w:t>
            </w:r>
          </w:p>
        </w:tc>
      </w:tr>
      <w:tr>
        <w:tblPrEx>
          <w:tblCellMar>
            <w:top w:w="0" w:type="dxa"/>
            <w:left w:w="108" w:type="dxa"/>
            <w:bottom w:w="0" w:type="dxa"/>
            <w:right w:w="108" w:type="dxa"/>
          </w:tblCellMar>
        </w:tblPrEx>
        <w:trPr>
          <w:trHeight w:val="800" w:hRule="atLeast"/>
        </w:trPr>
        <w:tc>
          <w:tcPr>
            <w:tcW w:w="35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147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电源线缆</w:t>
            </w:r>
          </w:p>
        </w:tc>
        <w:tc>
          <w:tcPr>
            <w:tcW w:w="5119"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RVV3*1</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293 </w:t>
            </w:r>
          </w:p>
        </w:tc>
      </w:tr>
      <w:tr>
        <w:tblPrEx>
          <w:tblCellMar>
            <w:top w:w="0" w:type="dxa"/>
            <w:left w:w="108" w:type="dxa"/>
            <w:bottom w:w="0" w:type="dxa"/>
            <w:right w:w="108" w:type="dxa"/>
          </w:tblCellMar>
        </w:tblPrEx>
        <w:trPr>
          <w:trHeight w:val="800" w:hRule="atLeast"/>
        </w:trPr>
        <w:tc>
          <w:tcPr>
            <w:tcW w:w="35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设备安装费</w:t>
            </w:r>
          </w:p>
        </w:tc>
        <w:tc>
          <w:tcPr>
            <w:tcW w:w="5119"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设备安装及调试</w:t>
            </w:r>
          </w:p>
        </w:tc>
        <w:tc>
          <w:tcPr>
            <w:tcW w:w="946"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12 </w:t>
            </w:r>
          </w:p>
        </w:tc>
      </w:tr>
      <w:tr>
        <w:tblPrEx>
          <w:tblCellMar>
            <w:top w:w="0" w:type="dxa"/>
            <w:left w:w="108" w:type="dxa"/>
            <w:bottom w:w="0" w:type="dxa"/>
            <w:right w:w="108" w:type="dxa"/>
          </w:tblCellMar>
        </w:tblPrEx>
        <w:trPr>
          <w:trHeight w:val="800" w:hRule="atLeast"/>
        </w:trPr>
        <w:tc>
          <w:tcPr>
            <w:tcW w:w="35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147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链路费</w:t>
            </w:r>
          </w:p>
        </w:tc>
        <w:tc>
          <w:tcPr>
            <w:tcW w:w="5119"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感知网租赁费，租期3年</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8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bl>
    <w:p>
      <w:pPr>
        <w:pStyle w:val="2"/>
        <w:shd w:val="clear" w:color="auto" w:fill="auto"/>
        <w:spacing w:before="120"/>
        <w:rPr>
          <w:rFonts w:hint="eastAsia"/>
          <w:color w:val="000000"/>
          <w:highlight w:val="none"/>
        </w:rPr>
      </w:pPr>
    </w:p>
    <w:tbl>
      <w:tblPr>
        <w:tblStyle w:val="62"/>
        <w:tblW w:w="8673" w:type="dxa"/>
        <w:tblInd w:w="96" w:type="dxa"/>
        <w:tblLayout w:type="fixed"/>
        <w:tblCellMar>
          <w:top w:w="0" w:type="dxa"/>
          <w:left w:w="108" w:type="dxa"/>
          <w:bottom w:w="0" w:type="dxa"/>
          <w:right w:w="108" w:type="dxa"/>
        </w:tblCellMar>
      </w:tblPr>
      <w:tblGrid>
        <w:gridCol w:w="453"/>
        <w:gridCol w:w="1440"/>
        <w:gridCol w:w="5167"/>
        <w:gridCol w:w="907"/>
        <w:gridCol w:w="706"/>
      </w:tblGrid>
      <w:tr>
        <w:tblPrEx>
          <w:tblCellMar>
            <w:top w:w="0" w:type="dxa"/>
            <w:left w:w="108" w:type="dxa"/>
            <w:bottom w:w="0" w:type="dxa"/>
            <w:right w:w="108" w:type="dxa"/>
          </w:tblCellMar>
        </w:tblPrEx>
        <w:trPr>
          <w:trHeight w:val="800" w:hRule="atLeast"/>
        </w:trPr>
        <w:tc>
          <w:tcPr>
            <w:tcW w:w="8673"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hint="eastAsia" w:ascii="华文细黑" w:hAnsi="华文细黑" w:eastAsia="华文细黑" w:cs="华文细黑"/>
                <w:b/>
                <w:bCs/>
                <w:color w:val="000000"/>
                <w:kern w:val="0"/>
                <w:sz w:val="15"/>
                <w:szCs w:val="15"/>
                <w:highlight w:val="none"/>
                <w:lang w:bidi="ar"/>
              </w:rPr>
              <w:t>6</w:t>
            </w:r>
            <w:r>
              <w:rPr>
                <w:rFonts w:ascii="华文细黑" w:hAnsi="华文细黑" w:eastAsia="华文细黑" w:cs="华文细黑"/>
                <w:b/>
                <w:bCs/>
                <w:color w:val="000000"/>
                <w:kern w:val="0"/>
                <w:sz w:val="15"/>
                <w:szCs w:val="15"/>
                <w:highlight w:val="none"/>
                <w:lang w:bidi="ar"/>
              </w:rPr>
              <w:t>城厢街道智安小区项目设备清单（南欣公寓）</w:t>
            </w:r>
          </w:p>
        </w:tc>
      </w:tr>
      <w:tr>
        <w:tblPrEx>
          <w:tblCellMar>
            <w:top w:w="0" w:type="dxa"/>
            <w:left w:w="108" w:type="dxa"/>
            <w:bottom w:w="0" w:type="dxa"/>
            <w:right w:w="108" w:type="dxa"/>
          </w:tblCellMar>
        </w:tblPrEx>
        <w:trPr>
          <w:trHeight w:val="800" w:hRule="atLeast"/>
        </w:trPr>
        <w:tc>
          <w:tcPr>
            <w:tcW w:w="453"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序号</w:t>
            </w:r>
          </w:p>
        </w:tc>
        <w:tc>
          <w:tcPr>
            <w:tcW w:w="1440"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名称</w:t>
            </w:r>
          </w:p>
        </w:tc>
        <w:tc>
          <w:tcPr>
            <w:tcW w:w="5167"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参数</w:t>
            </w:r>
          </w:p>
        </w:tc>
        <w:tc>
          <w:tcPr>
            <w:tcW w:w="907"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单位</w:t>
            </w:r>
          </w:p>
        </w:tc>
        <w:tc>
          <w:tcPr>
            <w:tcW w:w="706"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7967"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1.综合管理平台</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视频监控授权</w:t>
            </w:r>
          </w:p>
        </w:tc>
        <w:tc>
          <w:tcPr>
            <w:tcW w:w="5167"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1、视频应用模块：视频预览、录像回放、下载中心、电视墙、雷球联动。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2、视频管理模块：设备管理、存储管理、电视墙配置。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3、视频服务组件：视频设备接入、流媒体服务、录像管理服务、报警管理服务、电视墙服务、主动注册服务、三方设备接入服务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4、BIG：支持与车载单兵等移动设备的对接，提供车载单兵设备GPS信息接收服务。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5、MAG：支持手机移动客户端（5060）进行实时视频监控，音频播放，本地截图，本地录像，云台控制，远程视频回放</w:t>
            </w:r>
          </w:p>
        </w:tc>
        <w:tc>
          <w:tcPr>
            <w:tcW w:w="90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70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 </w:t>
            </w:r>
          </w:p>
        </w:tc>
      </w:tr>
      <w:tr>
        <w:tblPrEx>
          <w:tblCellMar>
            <w:top w:w="0" w:type="dxa"/>
            <w:left w:w="108" w:type="dxa"/>
            <w:bottom w:w="0" w:type="dxa"/>
            <w:right w:w="108" w:type="dxa"/>
          </w:tblCellMar>
        </w:tblPrEx>
        <w:trPr>
          <w:trHeight w:val="800"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小区业务授权</w:t>
            </w:r>
          </w:p>
        </w:tc>
        <w:tc>
          <w:tcPr>
            <w:tcW w:w="5167"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支持小区、楼栋、房屋、人员、用户等基础信息登记</w:t>
            </w:r>
          </w:p>
        </w:tc>
        <w:tc>
          <w:tcPr>
            <w:tcW w:w="90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70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rPr>
          <w:trHeight w:val="800" w:hRule="atLeast"/>
        </w:trPr>
        <w:tc>
          <w:tcPr>
            <w:tcW w:w="7967"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2.人脸采集设备</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人脸枪机</w:t>
            </w:r>
          </w:p>
        </w:tc>
        <w:tc>
          <w:tcPr>
            <w:tcW w:w="51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1）像素：不小于400万</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2）最大分辨率：不小于2688×1520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3）传感器：不小于1/1.8英寸CMOS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4）镜头：不小于10mm~40mm电动变焦镜头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5）最低照度：不低于0.001Lux（彩色模式）；0.0001Lux（黑白模式）;0Lux（补光灯开启）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6）视场角：不小于水平：43°~12° 垂直：24°~7° 对角：50°~13°</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7）人脸功能：支持人脸检测;支持跟踪;支持优选;支持抓拍;支持上报最优的人脸抓图;支持人脸增强,支持人脸曝光;支持人脸属性提取,支持6种属性8种表情:性别,年龄,眼镜,表情（愤怒,平静,高兴,悲伤,厌恶,惊讶,困惑,害怕）,口罩,胡子,支持人脸抠图区域可设:人脸, 单寸照;支持实时抓拍、优选抓拍、质量优先三种抓拍策略;支持人脸角度过滤功能;支持优选时长可设</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8）最大补光距离：人脸检测距离：不小于30m；视频监控距离：不小于60m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9）补光灯：不少于6颗（暖光灯）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10）防护等级：不低于IP66</w:t>
            </w:r>
          </w:p>
        </w:tc>
        <w:tc>
          <w:tcPr>
            <w:tcW w:w="90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70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监控枪机</w:t>
            </w:r>
          </w:p>
        </w:tc>
        <w:tc>
          <w:tcPr>
            <w:tcW w:w="5167"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支持绊线入侵，区域入侵，快速移动，物品遗留，物品搬移，徘徊检测，人员聚集，停车检测，热度图，人脸检测，人数统计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采用星光级低照度400万像素1/2.7英寸CMOS图像传感器，低照度效果好，图像清晰度高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最大可输出400万(2688x1520)@25fps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支持H.265编码，压缩比高，实现超低码流传输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内置红外补光灯，最大红外监控距离80米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支持Smart H.265/H.264H智能编码，ROI区域增强，SVC自适应编码，适用不同带宽和存储环境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支持报警3进2出，音频1进1出，128G Micro SD卡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支持DC12V/POE供电方式，宽压设计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支持IP67，IK10防护等级</w:t>
            </w:r>
          </w:p>
        </w:tc>
        <w:tc>
          <w:tcPr>
            <w:tcW w:w="90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70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抱杆支架1</w:t>
            </w:r>
          </w:p>
        </w:tc>
        <w:tc>
          <w:tcPr>
            <w:tcW w:w="51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1米</w:t>
            </w:r>
          </w:p>
        </w:tc>
        <w:tc>
          <w:tcPr>
            <w:tcW w:w="90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根</w:t>
            </w:r>
          </w:p>
        </w:tc>
        <w:tc>
          <w:tcPr>
            <w:tcW w:w="70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rPr>
          <w:trHeight w:val="800"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抱杆支架2</w:t>
            </w:r>
          </w:p>
        </w:tc>
        <w:tc>
          <w:tcPr>
            <w:tcW w:w="51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1.5米</w:t>
            </w:r>
          </w:p>
        </w:tc>
        <w:tc>
          <w:tcPr>
            <w:tcW w:w="90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根</w:t>
            </w:r>
          </w:p>
        </w:tc>
        <w:tc>
          <w:tcPr>
            <w:tcW w:w="70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7967"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3.网络设备</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24口接入交换机</w:t>
            </w:r>
          </w:p>
        </w:tc>
        <w:tc>
          <w:tcPr>
            <w:tcW w:w="51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L2以太网交换机主机,交换容量336Gbps,包转发率108Mbps,支持24个10/100/1000BASE-T电口,支持4个1G/10G BASE-X SFP+端口,支持AC</w:t>
            </w:r>
          </w:p>
        </w:tc>
        <w:tc>
          <w:tcPr>
            <w:tcW w:w="90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70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rPr>
          <w:trHeight w:val="800" w:hRule="atLeast"/>
        </w:trPr>
        <w:tc>
          <w:tcPr>
            <w:tcW w:w="7967"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4.管线及网络费用</w:t>
            </w:r>
          </w:p>
        </w:tc>
        <w:tc>
          <w:tcPr>
            <w:tcW w:w="706"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抱杆机箱</w:t>
            </w:r>
          </w:p>
        </w:tc>
        <w:tc>
          <w:tcPr>
            <w:tcW w:w="51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定制</w:t>
            </w:r>
          </w:p>
        </w:tc>
        <w:tc>
          <w:tcPr>
            <w:tcW w:w="90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70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 </w:t>
            </w:r>
          </w:p>
        </w:tc>
      </w:tr>
      <w:tr>
        <w:tblPrEx>
          <w:tblCellMar>
            <w:top w:w="0" w:type="dxa"/>
            <w:left w:w="108" w:type="dxa"/>
            <w:bottom w:w="0" w:type="dxa"/>
            <w:right w:w="108" w:type="dxa"/>
          </w:tblCellMar>
        </w:tblPrEx>
        <w:trPr>
          <w:trHeight w:val="800"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落地机箱</w:t>
            </w:r>
          </w:p>
        </w:tc>
        <w:tc>
          <w:tcPr>
            <w:tcW w:w="51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定制</w:t>
            </w:r>
          </w:p>
        </w:tc>
        <w:tc>
          <w:tcPr>
            <w:tcW w:w="90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70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取电线缆</w:t>
            </w:r>
          </w:p>
        </w:tc>
        <w:tc>
          <w:tcPr>
            <w:tcW w:w="51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电源线YJV3*4</w:t>
            </w:r>
          </w:p>
        </w:tc>
        <w:tc>
          <w:tcPr>
            <w:tcW w:w="90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70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20 </w:t>
            </w:r>
          </w:p>
        </w:tc>
      </w:tr>
      <w:tr>
        <w:tblPrEx>
          <w:tblCellMar>
            <w:top w:w="0" w:type="dxa"/>
            <w:left w:w="108" w:type="dxa"/>
            <w:bottom w:w="0" w:type="dxa"/>
            <w:right w:w="108" w:type="dxa"/>
          </w:tblCellMar>
        </w:tblPrEx>
        <w:trPr>
          <w:trHeight w:val="800"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光缆</w:t>
            </w:r>
          </w:p>
        </w:tc>
        <w:tc>
          <w:tcPr>
            <w:tcW w:w="51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4芯光缆，含光缆熔接，光缆终端盒等</w:t>
            </w:r>
          </w:p>
        </w:tc>
        <w:tc>
          <w:tcPr>
            <w:tcW w:w="90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70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24 </w:t>
            </w:r>
          </w:p>
        </w:tc>
      </w:tr>
      <w:tr>
        <w:trPr>
          <w:trHeight w:val="800"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防水网线</w:t>
            </w:r>
          </w:p>
        </w:tc>
        <w:tc>
          <w:tcPr>
            <w:tcW w:w="51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防水网线，六类非屏蔽双绞线</w:t>
            </w:r>
          </w:p>
        </w:tc>
        <w:tc>
          <w:tcPr>
            <w:tcW w:w="90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70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49 </w:t>
            </w:r>
          </w:p>
        </w:tc>
      </w:tr>
      <w:tr>
        <w:tblPrEx>
          <w:tblCellMar>
            <w:top w:w="0" w:type="dxa"/>
            <w:left w:w="108" w:type="dxa"/>
            <w:bottom w:w="0" w:type="dxa"/>
            <w:right w:w="108" w:type="dxa"/>
          </w:tblCellMar>
        </w:tblPrEx>
        <w:trPr>
          <w:trHeight w:val="800"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电源线缆</w:t>
            </w:r>
          </w:p>
        </w:tc>
        <w:tc>
          <w:tcPr>
            <w:tcW w:w="51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RVV3*1</w:t>
            </w:r>
          </w:p>
        </w:tc>
        <w:tc>
          <w:tcPr>
            <w:tcW w:w="90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70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49 </w:t>
            </w:r>
          </w:p>
        </w:tc>
      </w:tr>
      <w:tr>
        <w:tblPrEx>
          <w:tblCellMar>
            <w:top w:w="0" w:type="dxa"/>
            <w:left w:w="108" w:type="dxa"/>
            <w:bottom w:w="0" w:type="dxa"/>
            <w:right w:w="108" w:type="dxa"/>
          </w:tblCellMar>
        </w:tblPrEx>
        <w:trPr>
          <w:trHeight w:val="800"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设备安装费</w:t>
            </w:r>
          </w:p>
        </w:tc>
        <w:tc>
          <w:tcPr>
            <w:tcW w:w="5167"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设备安装及调试</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70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 </w:t>
            </w:r>
          </w:p>
        </w:tc>
      </w:tr>
      <w:tr>
        <w:tblPrEx>
          <w:tblCellMar>
            <w:top w:w="0" w:type="dxa"/>
            <w:left w:w="108" w:type="dxa"/>
            <w:bottom w:w="0" w:type="dxa"/>
            <w:right w:w="108" w:type="dxa"/>
          </w:tblCellMar>
        </w:tblPrEx>
        <w:trPr>
          <w:trHeight w:val="800" w:hRule="atLeast"/>
        </w:trPr>
        <w:tc>
          <w:tcPr>
            <w:tcW w:w="45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链路费</w:t>
            </w:r>
          </w:p>
        </w:tc>
        <w:tc>
          <w:tcPr>
            <w:tcW w:w="51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感知网租赁费，租期3年</w:t>
            </w:r>
          </w:p>
        </w:tc>
        <w:tc>
          <w:tcPr>
            <w:tcW w:w="90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70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bl>
    <w:p>
      <w:pPr>
        <w:pStyle w:val="2"/>
        <w:shd w:val="clear" w:color="auto" w:fill="auto"/>
        <w:spacing w:before="120"/>
        <w:rPr>
          <w:rFonts w:hint="eastAsia"/>
          <w:color w:val="000000"/>
          <w:highlight w:val="none"/>
        </w:rPr>
      </w:pPr>
    </w:p>
    <w:tbl>
      <w:tblPr>
        <w:tblStyle w:val="62"/>
        <w:tblW w:w="8993" w:type="dxa"/>
        <w:tblInd w:w="96" w:type="dxa"/>
        <w:tblLayout w:type="fixed"/>
        <w:tblCellMar>
          <w:top w:w="0" w:type="dxa"/>
          <w:left w:w="108" w:type="dxa"/>
          <w:bottom w:w="0" w:type="dxa"/>
          <w:right w:w="108" w:type="dxa"/>
        </w:tblCellMar>
      </w:tblPr>
      <w:tblGrid>
        <w:gridCol w:w="445"/>
        <w:gridCol w:w="1693"/>
        <w:gridCol w:w="5215"/>
        <w:gridCol w:w="600"/>
        <w:gridCol w:w="1040"/>
      </w:tblGrid>
      <w:tr>
        <w:tblPrEx>
          <w:tblCellMar>
            <w:top w:w="0" w:type="dxa"/>
            <w:left w:w="108" w:type="dxa"/>
            <w:bottom w:w="0" w:type="dxa"/>
            <w:right w:w="108" w:type="dxa"/>
          </w:tblCellMar>
        </w:tblPrEx>
        <w:trPr>
          <w:trHeight w:val="800" w:hRule="atLeast"/>
        </w:trPr>
        <w:tc>
          <w:tcPr>
            <w:tcW w:w="8993"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hint="eastAsia" w:ascii="华文细黑" w:hAnsi="华文细黑" w:eastAsia="华文细黑" w:cs="华文细黑"/>
                <w:b/>
                <w:bCs/>
                <w:color w:val="000000"/>
                <w:kern w:val="0"/>
                <w:sz w:val="15"/>
                <w:szCs w:val="15"/>
                <w:highlight w:val="none"/>
                <w:lang w:bidi="ar"/>
              </w:rPr>
              <w:t>7</w:t>
            </w:r>
            <w:r>
              <w:rPr>
                <w:rFonts w:ascii="华文细黑" w:hAnsi="华文细黑" w:eastAsia="华文细黑" w:cs="华文细黑"/>
                <w:b/>
                <w:bCs/>
                <w:color w:val="000000"/>
                <w:kern w:val="0"/>
                <w:sz w:val="15"/>
                <w:szCs w:val="15"/>
                <w:highlight w:val="none"/>
                <w:lang w:bidi="ar"/>
              </w:rPr>
              <w:t>城厢街道智安小区项目设备清单（牛角湾）</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序号</w:t>
            </w:r>
          </w:p>
        </w:tc>
        <w:tc>
          <w:tcPr>
            <w:tcW w:w="1693"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名称</w:t>
            </w:r>
          </w:p>
        </w:tc>
        <w:tc>
          <w:tcPr>
            <w:tcW w:w="5215"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参数</w:t>
            </w:r>
          </w:p>
        </w:tc>
        <w:tc>
          <w:tcPr>
            <w:tcW w:w="600"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单位</w:t>
            </w:r>
          </w:p>
        </w:tc>
        <w:tc>
          <w:tcPr>
            <w:tcW w:w="1040"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数量</w:t>
            </w:r>
          </w:p>
        </w:tc>
      </w:tr>
      <w:tr>
        <w:tblPrEx>
          <w:tblCellMar>
            <w:top w:w="0" w:type="dxa"/>
            <w:left w:w="108" w:type="dxa"/>
            <w:bottom w:w="0" w:type="dxa"/>
            <w:right w:w="108" w:type="dxa"/>
          </w:tblCellMar>
        </w:tblPrEx>
        <w:trPr>
          <w:trHeight w:val="472" w:hRule="atLeast"/>
        </w:trPr>
        <w:tc>
          <w:tcPr>
            <w:tcW w:w="7953"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1.综合管理平台</w:t>
            </w:r>
          </w:p>
        </w:tc>
        <w:tc>
          <w:tcPr>
            <w:tcW w:w="1040"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视频监控授权</w:t>
            </w:r>
          </w:p>
        </w:tc>
        <w:tc>
          <w:tcPr>
            <w:tcW w:w="5215"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1、视频应用模块：视频预览、录像回放、下载中心、电视墙、雷球联动。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2、视频管理模块：设备管理、存储管理、电视墙配置。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3、视频服务组件：视频设备接入、流媒体服务、录像管理服务、报警管理服务、电视墙服务、主动注册服务、三方设备接入服务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4、BIG：支持与车载单兵等移动设备的对接，提供车载单兵设备GPS信息接收服务。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5、MAG：支持手机移动客户端（5060）进行实时视频监控，音频播放，本地截图，本地录像，云台控制，远程视频回放</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7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小区业务授权</w:t>
            </w:r>
          </w:p>
        </w:tc>
        <w:tc>
          <w:tcPr>
            <w:tcW w:w="5215"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支持小区、楼栋、房屋、人员、用户等基础信息登记</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489" w:hRule="atLeast"/>
        </w:trPr>
        <w:tc>
          <w:tcPr>
            <w:tcW w:w="7953"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2.人脸采集设备</w:t>
            </w:r>
          </w:p>
        </w:tc>
        <w:tc>
          <w:tcPr>
            <w:tcW w:w="1040"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人脸枪机</w:t>
            </w:r>
          </w:p>
        </w:tc>
        <w:tc>
          <w:tcPr>
            <w:tcW w:w="521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1）像素：不小于400万</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2）最大分辨率：不小于2688×1520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3）传感器：不小于1/1.8英寸CMOS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4）镜头：不小于10mm~40mm电动变焦镜头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5）最低照度：不低于0.001Lux（彩色模式）；0.0001Lux（黑白模式）;0Lux（补光灯开启）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6）视场角：不小于水平：43°~12° 垂直：24°~7° 对角：50°~13°</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7）人脸功能：支持人脸检测;支持跟踪;支持优选;支持抓拍;支持上报最优的人脸抓图;支持人脸增强,支持人脸曝光;支持人脸属性提取,支持6种属性8种表情:性别,年龄,眼镜,表情（愤怒,平静,高兴,悲伤,厌恶,惊讶,困惑,害怕）,口罩,胡子,支持人脸抠图区域可设:人脸, 单寸照;支持实时抓拍、优选抓拍、质量优先三种抓拍策略;支持人脸角度过滤功能;支持优选时长可设</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8）最大补光距离：人脸检测距离：不小于30m；视频监控距离：不小于60m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9）补光灯：不少于6颗（暖光灯）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10）防护等级：不低于IP66</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监控枪机</w:t>
            </w:r>
          </w:p>
        </w:tc>
        <w:tc>
          <w:tcPr>
            <w:tcW w:w="5215"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支持绊线入侵，区域入侵，快速移动，物品遗留，物品搬移，徘徊检测，人员聚集，停车检测，热度图，人脸检测，人数统计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采用星光级低照度400万像素1/2.7英寸CMOS图像传感器，低照度效果好，图像清晰度高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最大可输出400万(2688x1520)@25fps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支持H.265编码，压缩比高，实现超低码流传输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内置红外补光灯，最大红外监控距离80米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支持Smart H.265/H.264H智能编码，ROI区域增强，SVC自适应编码，适用不同带宽和存储环境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支持报警3进2出，音频1进1出，128G Micro SD卡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支持DC12V/POE供电方式，宽压设计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支持IP67，IK10防护等级</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结构化球机</w:t>
            </w:r>
          </w:p>
        </w:tc>
        <w:tc>
          <w:tcPr>
            <w:tcW w:w="521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 像素: 全景不小于400万 细节不小于400万</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 最大分辨率: 全景2688×1520细节2688×1520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3) 传感器类型: 全景1/1.8英寸CMOS；细节1/1.8英寸CMOS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4) 补光灯数量: 全景4颗（白光灯）细节4颗（红外灯）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 镜头焦距: 全景8~32mm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6) 细节5.4mm~135mm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7) 镜头光圈: 全景F1.6 细节F1.6-F4.0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8) 网络接口: 1个（内置RJ-45网口，支持10M/100M网络数据）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9) 网络适应功能检验:在丢包率设置为30%的网络环境下，可显示监视画面，画面不卡顿</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10) 人脸识别屏蔽区域功能检验:可通过IE浏览器设置人脸识别屏蔽区域，屏蔽区域位置可设</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11) 重量检测:样机小于等于9kg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12) 双云台功能检验:样机具备全景、细节两个摄像机云台，且都可通过IE浏览器设置云台转动位置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13) 抓拍距离检验：样机可看清150米处人体轮廓，并进行抓拍生成人体小图。</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14) 目标抓拍速度检验:在自动跟踪模式下，样机每分钟可对不少于100个框选跟踪目标进行特写抓拍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15) 细节摄像机水平旋转范围：水平角度0～250°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16) 传输能力检验:样机与客户端之间用400m 五类非屏蔽网线直接连接，预览正常不卡顿</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17) 断网续传功能检验:当网络断开后，样机可将录像文件存储至内置SD卡中，当网络恢复后，再将这些录像文件上传至ＮAS中或服务器中</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抱杆支架1</w:t>
            </w:r>
          </w:p>
        </w:tc>
        <w:tc>
          <w:tcPr>
            <w:tcW w:w="521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1米</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根</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抱杆支架2</w:t>
            </w:r>
          </w:p>
        </w:tc>
        <w:tc>
          <w:tcPr>
            <w:tcW w:w="521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1.5米</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根</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6米L杆件1</w:t>
            </w:r>
          </w:p>
        </w:tc>
        <w:tc>
          <w:tcPr>
            <w:tcW w:w="521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高6米，挑5米</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7953"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3.车牌识别系统</w:t>
            </w:r>
          </w:p>
        </w:tc>
        <w:tc>
          <w:tcPr>
            <w:tcW w:w="1040"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一体化卡口抓拍单元</w:t>
            </w:r>
          </w:p>
        </w:tc>
        <w:tc>
          <w:tcPr>
            <w:tcW w:w="521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像素：900W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分辨率：最大支持4096*2160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帧率：25fps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图像传感器：采用1" 英寸全局曝光CMOS（GMOS）传感器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镜头：16mm镜头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照度：彩色:0.01Lux  黑色:0.008Lux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视频压缩标准：H.265/H.264/MJPEG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图像输出格式：JPEG 输出：电平量信号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通讯接口：2个RJ45 100M/1000M自适应网口，3个RS485接口，1个RS232接口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外部接口：4路外部触发输入，6路(5V TTL电平量)输出，可作为闪光灯同步输出控制，SYNC信号灯电源同步输入</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存储支持：最大支持128G TF卡 自动光圈镜头：支持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工作电压：220VAC±20%；频率：50HZ±2%；功耗：＜20W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目标检测：机动车抓拍，车辆捕获率≥95%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违章检测：闯红灯、不按规定车道行驶、压线、逆行等违法行为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车辆特征检测：车牌识别、车型识别、车身颜色识别(环境光有要求)、违章检测、车辆品牌等特征检测</w:t>
            </w:r>
            <w:r>
              <w:rPr>
                <w:rStyle w:val="628"/>
                <w:rFonts w:hint="default"/>
                <w:color w:val="000000"/>
                <w:sz w:val="15"/>
                <w:szCs w:val="15"/>
                <w:highlight w:val="none"/>
                <w:lang w:bidi="ar"/>
              </w:rPr>
              <w:t xml:space="preserve"> </w:t>
            </w:r>
            <w:r>
              <w:rPr>
                <w:rFonts w:hint="eastAsia" w:ascii="宋体" w:hAnsi="宋体" w:cs="宋体"/>
                <w:color w:val="000000"/>
                <w:kern w:val="0"/>
                <w:sz w:val="15"/>
                <w:szCs w:val="15"/>
                <w:highlight w:val="none"/>
                <w:lang w:bidi="ar"/>
              </w:rPr>
              <w:t xml:space="preserve">                 </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6米L杆件2</w:t>
            </w:r>
          </w:p>
        </w:tc>
        <w:tc>
          <w:tcPr>
            <w:tcW w:w="521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高6米，挑3米</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7953"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4.网络设备</w:t>
            </w:r>
          </w:p>
        </w:tc>
        <w:tc>
          <w:tcPr>
            <w:tcW w:w="1040"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24口接入交换机</w:t>
            </w:r>
          </w:p>
        </w:tc>
        <w:tc>
          <w:tcPr>
            <w:tcW w:w="521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L2以太网交换机主机,交换容量336Gbps,包转发率108Mbps,支持24个10/100/1000BASE-T电口,支持4个1G/10G BASE-X SFP+端口,支持AC</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7953"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5.管线及网络费用</w:t>
            </w:r>
          </w:p>
        </w:tc>
        <w:tc>
          <w:tcPr>
            <w:tcW w:w="1040"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抱杆机箱</w:t>
            </w:r>
          </w:p>
        </w:tc>
        <w:tc>
          <w:tcPr>
            <w:tcW w:w="521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定制</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6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落地机箱</w:t>
            </w:r>
          </w:p>
        </w:tc>
        <w:tc>
          <w:tcPr>
            <w:tcW w:w="521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定制</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取电线缆</w:t>
            </w:r>
          </w:p>
        </w:tc>
        <w:tc>
          <w:tcPr>
            <w:tcW w:w="521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电源线YJV3*4</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68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光缆</w:t>
            </w:r>
          </w:p>
        </w:tc>
        <w:tc>
          <w:tcPr>
            <w:tcW w:w="521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4芯光缆，含光缆熔接，光缆终端盒等</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85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防水网线</w:t>
            </w:r>
          </w:p>
        </w:tc>
        <w:tc>
          <w:tcPr>
            <w:tcW w:w="521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防水网线，六类非屏蔽双绞线</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171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电源线缆</w:t>
            </w:r>
          </w:p>
        </w:tc>
        <w:tc>
          <w:tcPr>
            <w:tcW w:w="521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RVV3*1</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171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设备安装费</w:t>
            </w:r>
          </w:p>
        </w:tc>
        <w:tc>
          <w:tcPr>
            <w:tcW w:w="5215"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设备安装及调试</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7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链路费</w:t>
            </w:r>
          </w:p>
        </w:tc>
        <w:tc>
          <w:tcPr>
            <w:tcW w:w="521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感知网租赁费，租期3年</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10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bl>
    <w:p>
      <w:pPr>
        <w:pStyle w:val="2"/>
        <w:shd w:val="clear" w:color="auto" w:fill="auto"/>
        <w:spacing w:before="120"/>
        <w:rPr>
          <w:rFonts w:hint="eastAsia"/>
          <w:color w:val="000000"/>
          <w:highlight w:val="none"/>
        </w:rPr>
      </w:pPr>
    </w:p>
    <w:p>
      <w:pPr>
        <w:pStyle w:val="2"/>
        <w:shd w:val="clear" w:color="auto" w:fill="auto"/>
        <w:spacing w:before="120"/>
        <w:rPr>
          <w:rFonts w:hint="eastAsia"/>
          <w:color w:val="000000"/>
          <w:highlight w:val="none"/>
        </w:rPr>
      </w:pPr>
    </w:p>
    <w:tbl>
      <w:tblPr>
        <w:tblStyle w:val="62"/>
        <w:tblW w:w="8967" w:type="dxa"/>
        <w:tblInd w:w="96" w:type="dxa"/>
        <w:tblLayout w:type="fixed"/>
        <w:tblCellMar>
          <w:top w:w="0" w:type="dxa"/>
          <w:left w:w="108" w:type="dxa"/>
          <w:bottom w:w="0" w:type="dxa"/>
          <w:right w:w="108" w:type="dxa"/>
        </w:tblCellMar>
      </w:tblPr>
      <w:tblGrid>
        <w:gridCol w:w="445"/>
        <w:gridCol w:w="1693"/>
        <w:gridCol w:w="5282"/>
        <w:gridCol w:w="547"/>
        <w:gridCol w:w="1000"/>
      </w:tblGrid>
      <w:tr>
        <w:tblPrEx>
          <w:tblCellMar>
            <w:top w:w="0" w:type="dxa"/>
            <w:left w:w="108" w:type="dxa"/>
            <w:bottom w:w="0" w:type="dxa"/>
            <w:right w:w="108" w:type="dxa"/>
          </w:tblCellMar>
        </w:tblPrEx>
        <w:trPr>
          <w:trHeight w:val="523" w:hRule="atLeast"/>
        </w:trPr>
        <w:tc>
          <w:tcPr>
            <w:tcW w:w="8967"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hint="eastAsia" w:ascii="华文细黑" w:hAnsi="华文细黑" w:eastAsia="华文细黑" w:cs="华文细黑"/>
                <w:b/>
                <w:bCs/>
                <w:color w:val="000000"/>
                <w:kern w:val="0"/>
                <w:sz w:val="15"/>
                <w:szCs w:val="15"/>
                <w:highlight w:val="none"/>
                <w:lang w:bidi="ar"/>
              </w:rPr>
              <w:t>8</w:t>
            </w:r>
            <w:r>
              <w:rPr>
                <w:rFonts w:ascii="华文细黑" w:hAnsi="华文细黑" w:eastAsia="华文细黑" w:cs="华文细黑"/>
                <w:b/>
                <w:bCs/>
                <w:color w:val="000000"/>
                <w:kern w:val="0"/>
                <w:sz w:val="15"/>
                <w:szCs w:val="15"/>
                <w:highlight w:val="none"/>
                <w:lang w:bidi="ar"/>
              </w:rPr>
              <w:t>城厢街道智安小区项目设备清单（桥下达）</w:t>
            </w:r>
          </w:p>
        </w:tc>
      </w:tr>
      <w:tr>
        <w:tblPrEx>
          <w:tblCellMar>
            <w:top w:w="0" w:type="dxa"/>
            <w:left w:w="108" w:type="dxa"/>
            <w:bottom w:w="0" w:type="dxa"/>
            <w:right w:w="108" w:type="dxa"/>
          </w:tblCellMar>
        </w:tblPrEx>
        <w:trPr>
          <w:trHeight w:val="480" w:hRule="atLeast"/>
        </w:trPr>
        <w:tc>
          <w:tcPr>
            <w:tcW w:w="445"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序号</w:t>
            </w:r>
          </w:p>
        </w:tc>
        <w:tc>
          <w:tcPr>
            <w:tcW w:w="1693"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名称</w:t>
            </w:r>
          </w:p>
        </w:tc>
        <w:tc>
          <w:tcPr>
            <w:tcW w:w="5282"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参数</w:t>
            </w:r>
          </w:p>
        </w:tc>
        <w:tc>
          <w:tcPr>
            <w:tcW w:w="547"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单位</w:t>
            </w:r>
          </w:p>
        </w:tc>
        <w:tc>
          <w:tcPr>
            <w:tcW w:w="1000"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7967"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1.综合管理平台</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视频监控授权</w:t>
            </w:r>
          </w:p>
        </w:tc>
        <w:tc>
          <w:tcPr>
            <w:tcW w:w="5282"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1、视频应用模块：视频预览、录像回放、下载中心、电视墙、雷球联动。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2、视频管理模块：设备管理、存储管理、电视墙配置。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3、视频服务组件：视频设备接入、流媒体服务、录像管理服务、报警管理服务、电视墙服务、主动注册服务、三方设备接入服务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4、BIG：支持与车载单兵等移动设备的对接，提供车载单兵设备GPS信息接收服务。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5、MAG：支持手机移动客户端（5060）进行实时视频监控，音频播放，本地截图，本地录像，云台控制，远程视频回放</w:t>
            </w:r>
          </w:p>
        </w:tc>
        <w:tc>
          <w:tcPr>
            <w:tcW w:w="5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10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8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小区业务授权</w:t>
            </w:r>
          </w:p>
        </w:tc>
        <w:tc>
          <w:tcPr>
            <w:tcW w:w="5282"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支持小区、楼栋、房屋、人员、用户等基础信息登记</w:t>
            </w:r>
          </w:p>
        </w:tc>
        <w:tc>
          <w:tcPr>
            <w:tcW w:w="5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10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7967"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2.人脸采集设备</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人脸枪机</w:t>
            </w:r>
          </w:p>
        </w:tc>
        <w:tc>
          <w:tcPr>
            <w:tcW w:w="528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1）像素：不小于400万</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2）最大分辨率：不小于2688×1520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3）传感器：不小于1/1.8英寸CMOS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4）镜头：不小于10mm~40mm电动变焦镜头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5）最低照度：不低于0.001Lux（彩色模式）；0.0001Lux（黑白模式）;0Lux（补光灯开启）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6）视场角：不小于水平：43°~12° 垂直：24°~7° 对角：50°~13°</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7）人脸功能：支持人脸检测;支持跟踪;支持优选;支持抓拍;支持上报最优的人脸抓图;支持人脸增强,支持人脸曝光;支持人脸属性提取,支持6种属性8种表情:性别,年龄,眼镜,表情（愤怒,平静,高兴,悲伤,厌恶,惊讶,困惑,害怕）,口罩,胡子,支持人脸抠图区域可设:人脸, 单寸照;支持实时抓拍、优选抓拍、质量优先三种抓拍策略;支持人脸角度过滤功能;支持优选时长可设</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8）最大补光距离：人脸检测距离：不小于30m；视频监控距离：不小于60m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9）补光灯：不少于6颗（暖光灯）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10）防护等级：不低于IP66</w:t>
            </w:r>
          </w:p>
        </w:tc>
        <w:tc>
          <w:tcPr>
            <w:tcW w:w="5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10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5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监控枪机</w:t>
            </w:r>
          </w:p>
        </w:tc>
        <w:tc>
          <w:tcPr>
            <w:tcW w:w="5282"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支持绊线入侵，区域入侵，快速移动，物品遗留，物品搬移，徘徊检测，人员聚集，停车检测，热度图，人脸检测，人数统计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采用星光级低照度400万像素1/2.7英寸CMOS图像传感器，低照度效果好，图像清晰度高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最大可输出400万(2688x1520)@25fps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支持H.265编码，压缩比高，实现超低码流传输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内置红外补光灯，最大红外监控距离80米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支持Smart H.265/H.264H智能编码，ROI区域增强，SVC自适应编码，适用不同带宽和存储环境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支持报警3进2出，音频1进1出，128G Micro SD卡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支持DC12V/POE供电方式，宽压设计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支持IP67，IK10防护等级</w:t>
            </w:r>
          </w:p>
        </w:tc>
        <w:tc>
          <w:tcPr>
            <w:tcW w:w="5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10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抱杆支架1</w:t>
            </w:r>
          </w:p>
        </w:tc>
        <w:tc>
          <w:tcPr>
            <w:tcW w:w="528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1米</w:t>
            </w:r>
          </w:p>
        </w:tc>
        <w:tc>
          <w:tcPr>
            <w:tcW w:w="5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根</w:t>
            </w:r>
          </w:p>
        </w:tc>
        <w:tc>
          <w:tcPr>
            <w:tcW w:w="10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5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抱杆支架2</w:t>
            </w:r>
          </w:p>
        </w:tc>
        <w:tc>
          <w:tcPr>
            <w:tcW w:w="528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1.5米</w:t>
            </w:r>
          </w:p>
        </w:tc>
        <w:tc>
          <w:tcPr>
            <w:tcW w:w="5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根</w:t>
            </w:r>
          </w:p>
        </w:tc>
        <w:tc>
          <w:tcPr>
            <w:tcW w:w="10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7967"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3.车牌识别系统</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一体化卡口抓拍单元</w:t>
            </w:r>
          </w:p>
        </w:tc>
        <w:tc>
          <w:tcPr>
            <w:tcW w:w="528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Style w:val="629"/>
                <w:rFonts w:hint="default"/>
                <w:color w:val="000000"/>
                <w:sz w:val="15"/>
                <w:szCs w:val="15"/>
                <w:highlight w:val="none"/>
                <w:lang w:bidi="ar"/>
              </w:rPr>
              <w:t xml:space="preserve">像素：900W </w:t>
            </w:r>
            <w:r>
              <w:rPr>
                <w:rStyle w:val="629"/>
                <w:rFonts w:hint="default"/>
                <w:color w:val="000000"/>
                <w:sz w:val="15"/>
                <w:szCs w:val="15"/>
                <w:highlight w:val="none"/>
                <w:lang w:bidi="ar"/>
              </w:rPr>
              <w:br w:type="textWrapping"/>
            </w:r>
            <w:r>
              <w:rPr>
                <w:rStyle w:val="629"/>
                <w:rFonts w:hint="default"/>
                <w:color w:val="000000"/>
                <w:sz w:val="15"/>
                <w:szCs w:val="15"/>
                <w:highlight w:val="none"/>
                <w:lang w:bidi="ar"/>
              </w:rPr>
              <w:t xml:space="preserve">分辨率：最大支持4096*2160 </w:t>
            </w:r>
            <w:r>
              <w:rPr>
                <w:rStyle w:val="629"/>
                <w:rFonts w:hint="default"/>
                <w:color w:val="000000"/>
                <w:sz w:val="15"/>
                <w:szCs w:val="15"/>
                <w:highlight w:val="none"/>
                <w:lang w:bidi="ar"/>
              </w:rPr>
              <w:br w:type="textWrapping"/>
            </w:r>
            <w:r>
              <w:rPr>
                <w:rStyle w:val="629"/>
                <w:rFonts w:hint="default"/>
                <w:color w:val="000000"/>
                <w:sz w:val="15"/>
                <w:szCs w:val="15"/>
                <w:highlight w:val="none"/>
                <w:lang w:bidi="ar"/>
              </w:rPr>
              <w:t>帧率：25fps</w:t>
            </w:r>
            <w:r>
              <w:rPr>
                <w:rStyle w:val="629"/>
                <w:rFonts w:hint="default"/>
                <w:color w:val="000000"/>
                <w:sz w:val="15"/>
                <w:szCs w:val="15"/>
                <w:highlight w:val="none"/>
                <w:lang w:bidi="ar"/>
              </w:rPr>
              <w:br w:type="textWrapping"/>
            </w:r>
            <w:r>
              <w:rPr>
                <w:rStyle w:val="629"/>
                <w:rFonts w:hint="default"/>
                <w:color w:val="000000"/>
                <w:sz w:val="15"/>
                <w:szCs w:val="15"/>
                <w:highlight w:val="none"/>
                <w:lang w:bidi="ar"/>
              </w:rPr>
              <w:t xml:space="preserve">图像传感器：采用1" 英寸全局曝光CMOS（GMOS）传感器 </w:t>
            </w:r>
            <w:r>
              <w:rPr>
                <w:rStyle w:val="629"/>
                <w:rFonts w:hint="default"/>
                <w:color w:val="000000"/>
                <w:sz w:val="15"/>
                <w:szCs w:val="15"/>
                <w:highlight w:val="none"/>
                <w:lang w:bidi="ar"/>
              </w:rPr>
              <w:br w:type="textWrapping"/>
            </w:r>
            <w:r>
              <w:rPr>
                <w:rStyle w:val="629"/>
                <w:rFonts w:hint="default"/>
                <w:color w:val="000000"/>
                <w:sz w:val="15"/>
                <w:szCs w:val="15"/>
                <w:highlight w:val="none"/>
                <w:lang w:bidi="ar"/>
              </w:rPr>
              <w:t xml:space="preserve">镜头：16mm镜头 </w:t>
            </w:r>
            <w:r>
              <w:rPr>
                <w:rStyle w:val="629"/>
                <w:rFonts w:hint="default"/>
                <w:color w:val="000000"/>
                <w:sz w:val="15"/>
                <w:szCs w:val="15"/>
                <w:highlight w:val="none"/>
                <w:lang w:bidi="ar"/>
              </w:rPr>
              <w:br w:type="textWrapping"/>
            </w:r>
            <w:r>
              <w:rPr>
                <w:rStyle w:val="629"/>
                <w:rFonts w:hint="default"/>
                <w:color w:val="000000"/>
                <w:sz w:val="15"/>
                <w:szCs w:val="15"/>
                <w:highlight w:val="none"/>
                <w:lang w:bidi="ar"/>
              </w:rPr>
              <w:t xml:space="preserve">照度：彩色:0.01Lux  黑色:0.008Lux  </w:t>
            </w:r>
            <w:r>
              <w:rPr>
                <w:rStyle w:val="629"/>
                <w:rFonts w:hint="default"/>
                <w:color w:val="000000"/>
                <w:sz w:val="15"/>
                <w:szCs w:val="15"/>
                <w:highlight w:val="none"/>
                <w:lang w:bidi="ar"/>
              </w:rPr>
              <w:br w:type="textWrapping"/>
            </w:r>
            <w:r>
              <w:rPr>
                <w:rStyle w:val="629"/>
                <w:rFonts w:hint="default"/>
                <w:color w:val="000000"/>
                <w:sz w:val="15"/>
                <w:szCs w:val="15"/>
                <w:highlight w:val="none"/>
                <w:lang w:bidi="ar"/>
              </w:rPr>
              <w:t xml:space="preserve">视频压缩标准：H.265/H.264/MJPEG </w:t>
            </w:r>
            <w:r>
              <w:rPr>
                <w:rStyle w:val="629"/>
                <w:rFonts w:hint="default"/>
                <w:color w:val="000000"/>
                <w:sz w:val="15"/>
                <w:szCs w:val="15"/>
                <w:highlight w:val="none"/>
                <w:lang w:bidi="ar"/>
              </w:rPr>
              <w:br w:type="textWrapping"/>
            </w:r>
            <w:r>
              <w:rPr>
                <w:rStyle w:val="629"/>
                <w:rFonts w:hint="default"/>
                <w:color w:val="000000"/>
                <w:sz w:val="15"/>
                <w:szCs w:val="15"/>
                <w:highlight w:val="none"/>
                <w:lang w:bidi="ar"/>
              </w:rPr>
              <w:t>图像输出格式：JPEG 输出：电平量信号</w:t>
            </w:r>
            <w:r>
              <w:rPr>
                <w:rStyle w:val="629"/>
                <w:rFonts w:hint="default"/>
                <w:color w:val="000000"/>
                <w:sz w:val="15"/>
                <w:szCs w:val="15"/>
                <w:highlight w:val="none"/>
                <w:lang w:bidi="ar"/>
              </w:rPr>
              <w:br w:type="textWrapping"/>
            </w:r>
            <w:r>
              <w:rPr>
                <w:rStyle w:val="629"/>
                <w:rFonts w:hint="default"/>
                <w:color w:val="000000"/>
                <w:sz w:val="15"/>
                <w:szCs w:val="15"/>
                <w:highlight w:val="none"/>
                <w:lang w:bidi="ar"/>
              </w:rPr>
              <w:t>通讯接口：2个RJ45 100M/1000M自适应网口，3个RS485接口，1个RS232接口</w:t>
            </w:r>
            <w:r>
              <w:rPr>
                <w:rStyle w:val="629"/>
                <w:rFonts w:hint="default"/>
                <w:color w:val="000000"/>
                <w:sz w:val="15"/>
                <w:szCs w:val="15"/>
                <w:highlight w:val="none"/>
                <w:lang w:bidi="ar"/>
              </w:rPr>
              <w:br w:type="textWrapping"/>
            </w:r>
            <w:r>
              <w:rPr>
                <w:rStyle w:val="629"/>
                <w:rFonts w:hint="default"/>
                <w:color w:val="000000"/>
                <w:sz w:val="15"/>
                <w:szCs w:val="15"/>
                <w:highlight w:val="none"/>
                <w:lang w:bidi="ar"/>
              </w:rPr>
              <w:t>外部接口：4路外部触发输入，6路(5V TTL电平量)输出，可作为闪光灯同步输出控制，SYNC信号灯电源同步输入</w:t>
            </w:r>
            <w:r>
              <w:rPr>
                <w:rStyle w:val="629"/>
                <w:rFonts w:hint="default"/>
                <w:color w:val="000000"/>
                <w:sz w:val="15"/>
                <w:szCs w:val="15"/>
                <w:highlight w:val="none"/>
                <w:lang w:bidi="ar"/>
              </w:rPr>
              <w:br w:type="textWrapping"/>
            </w:r>
            <w:r>
              <w:rPr>
                <w:rStyle w:val="629"/>
                <w:rFonts w:hint="default"/>
                <w:color w:val="000000"/>
                <w:sz w:val="15"/>
                <w:szCs w:val="15"/>
                <w:highlight w:val="none"/>
                <w:lang w:bidi="ar"/>
              </w:rPr>
              <w:t>存储支持：最大支持128G TF卡 自动光圈镜头：支持</w:t>
            </w:r>
            <w:r>
              <w:rPr>
                <w:rStyle w:val="629"/>
                <w:rFonts w:hint="default"/>
                <w:color w:val="000000"/>
                <w:sz w:val="15"/>
                <w:szCs w:val="15"/>
                <w:highlight w:val="none"/>
                <w:lang w:bidi="ar"/>
              </w:rPr>
              <w:br w:type="textWrapping"/>
            </w:r>
            <w:r>
              <w:rPr>
                <w:rStyle w:val="629"/>
                <w:rFonts w:hint="default"/>
                <w:color w:val="000000"/>
                <w:sz w:val="15"/>
                <w:szCs w:val="15"/>
                <w:highlight w:val="none"/>
                <w:lang w:bidi="ar"/>
              </w:rPr>
              <w:t>工作电压：220VAC±20%；频率：50HZ±2%；功耗：＜20W</w:t>
            </w:r>
            <w:r>
              <w:rPr>
                <w:rStyle w:val="629"/>
                <w:rFonts w:hint="default"/>
                <w:color w:val="000000"/>
                <w:sz w:val="15"/>
                <w:szCs w:val="15"/>
                <w:highlight w:val="none"/>
                <w:lang w:bidi="ar"/>
              </w:rPr>
              <w:br w:type="textWrapping"/>
            </w:r>
            <w:r>
              <w:rPr>
                <w:rStyle w:val="629"/>
                <w:rFonts w:hint="default"/>
                <w:color w:val="000000"/>
                <w:sz w:val="15"/>
                <w:szCs w:val="15"/>
                <w:highlight w:val="none"/>
                <w:lang w:bidi="ar"/>
              </w:rPr>
              <w:t>目标检测：机动车抓拍，车辆捕获率≥95%</w:t>
            </w:r>
            <w:r>
              <w:rPr>
                <w:rStyle w:val="629"/>
                <w:rFonts w:hint="default"/>
                <w:color w:val="000000"/>
                <w:sz w:val="15"/>
                <w:szCs w:val="15"/>
                <w:highlight w:val="none"/>
                <w:lang w:bidi="ar"/>
              </w:rPr>
              <w:br w:type="textWrapping"/>
            </w:r>
            <w:r>
              <w:rPr>
                <w:rStyle w:val="629"/>
                <w:rFonts w:hint="default"/>
                <w:color w:val="000000"/>
                <w:sz w:val="15"/>
                <w:szCs w:val="15"/>
                <w:highlight w:val="none"/>
                <w:lang w:bidi="ar"/>
              </w:rPr>
              <w:t>违章检测：闯红灯、不按规定车道行驶、压线、逆行等违法行为</w:t>
            </w:r>
            <w:r>
              <w:rPr>
                <w:rStyle w:val="629"/>
                <w:rFonts w:hint="default"/>
                <w:color w:val="000000"/>
                <w:sz w:val="15"/>
                <w:szCs w:val="15"/>
                <w:highlight w:val="none"/>
                <w:lang w:bidi="ar"/>
              </w:rPr>
              <w:br w:type="textWrapping"/>
            </w:r>
            <w:r>
              <w:rPr>
                <w:rStyle w:val="629"/>
                <w:rFonts w:hint="default"/>
                <w:color w:val="000000"/>
                <w:sz w:val="15"/>
                <w:szCs w:val="15"/>
                <w:highlight w:val="none"/>
                <w:lang w:bidi="ar"/>
              </w:rPr>
              <w:t>车辆特征检测：车牌识别、车型识别、车身颜色识别(环境光有要求)、违章检测、车辆品牌等特征检测</w:t>
            </w:r>
            <w:r>
              <w:rPr>
                <w:rStyle w:val="630"/>
                <w:rFonts w:hint="default"/>
                <w:color w:val="000000"/>
                <w:sz w:val="15"/>
                <w:szCs w:val="15"/>
                <w:highlight w:val="none"/>
                <w:lang w:bidi="ar"/>
              </w:rPr>
              <w:t xml:space="preserve"> </w:t>
            </w:r>
            <w:r>
              <w:rPr>
                <w:rStyle w:val="629"/>
                <w:rFonts w:hint="default"/>
                <w:color w:val="000000"/>
                <w:sz w:val="15"/>
                <w:szCs w:val="15"/>
                <w:highlight w:val="none"/>
                <w:lang w:bidi="ar"/>
              </w:rPr>
              <w:t xml:space="preserve">                 </w:t>
            </w:r>
          </w:p>
        </w:tc>
        <w:tc>
          <w:tcPr>
            <w:tcW w:w="5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10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6米L杆件2</w:t>
            </w:r>
          </w:p>
        </w:tc>
        <w:tc>
          <w:tcPr>
            <w:tcW w:w="528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高6米，挑3米</w:t>
            </w:r>
          </w:p>
        </w:tc>
        <w:tc>
          <w:tcPr>
            <w:tcW w:w="5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10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7967"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4.网络设备</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24口接入交换机</w:t>
            </w:r>
          </w:p>
        </w:tc>
        <w:tc>
          <w:tcPr>
            <w:tcW w:w="528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L2以太网交换机主机,交换容量336Gbps,包转发率108Mbps,支持24个10/100/1000BASE-T电口,支持4个1G/10G BASE-X SFP+端口,支持AC</w:t>
            </w:r>
          </w:p>
        </w:tc>
        <w:tc>
          <w:tcPr>
            <w:tcW w:w="5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10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7967"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5.管线及网络费用</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抱杆机箱</w:t>
            </w:r>
          </w:p>
        </w:tc>
        <w:tc>
          <w:tcPr>
            <w:tcW w:w="528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定制</w:t>
            </w:r>
          </w:p>
        </w:tc>
        <w:tc>
          <w:tcPr>
            <w:tcW w:w="5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10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7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落地机箱</w:t>
            </w:r>
          </w:p>
        </w:tc>
        <w:tc>
          <w:tcPr>
            <w:tcW w:w="528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定制</w:t>
            </w:r>
          </w:p>
        </w:tc>
        <w:tc>
          <w:tcPr>
            <w:tcW w:w="5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10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取电线缆</w:t>
            </w:r>
          </w:p>
        </w:tc>
        <w:tc>
          <w:tcPr>
            <w:tcW w:w="528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电源线YJV3*4</w:t>
            </w:r>
          </w:p>
        </w:tc>
        <w:tc>
          <w:tcPr>
            <w:tcW w:w="5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10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78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光缆</w:t>
            </w:r>
          </w:p>
        </w:tc>
        <w:tc>
          <w:tcPr>
            <w:tcW w:w="528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4芯光缆，含光缆熔接，光缆终端盒等</w:t>
            </w:r>
          </w:p>
        </w:tc>
        <w:tc>
          <w:tcPr>
            <w:tcW w:w="5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10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98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防水网线</w:t>
            </w:r>
          </w:p>
        </w:tc>
        <w:tc>
          <w:tcPr>
            <w:tcW w:w="528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防水网线，六类非屏蔽双绞线</w:t>
            </w:r>
          </w:p>
        </w:tc>
        <w:tc>
          <w:tcPr>
            <w:tcW w:w="5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10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195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电源线缆</w:t>
            </w:r>
          </w:p>
        </w:tc>
        <w:tc>
          <w:tcPr>
            <w:tcW w:w="528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RVV3*1</w:t>
            </w:r>
          </w:p>
        </w:tc>
        <w:tc>
          <w:tcPr>
            <w:tcW w:w="5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10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195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设备安装费</w:t>
            </w:r>
          </w:p>
        </w:tc>
        <w:tc>
          <w:tcPr>
            <w:tcW w:w="5282"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设备安装及调试</w:t>
            </w:r>
          </w:p>
        </w:tc>
        <w:tc>
          <w:tcPr>
            <w:tcW w:w="547"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10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8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链路费</w:t>
            </w:r>
          </w:p>
        </w:tc>
        <w:tc>
          <w:tcPr>
            <w:tcW w:w="528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感知网租赁费，租期3年</w:t>
            </w:r>
          </w:p>
        </w:tc>
        <w:tc>
          <w:tcPr>
            <w:tcW w:w="54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10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bl>
    <w:p>
      <w:pPr>
        <w:pStyle w:val="2"/>
        <w:shd w:val="clear" w:color="auto" w:fill="auto"/>
        <w:spacing w:before="120"/>
        <w:ind w:firstLine="0" w:firstLineChars="0"/>
        <w:rPr>
          <w:rFonts w:hint="eastAsia"/>
          <w:color w:val="000000"/>
          <w:sz w:val="15"/>
          <w:szCs w:val="15"/>
          <w:highlight w:val="none"/>
        </w:rPr>
      </w:pPr>
    </w:p>
    <w:tbl>
      <w:tblPr>
        <w:tblStyle w:val="62"/>
        <w:tblW w:w="8967" w:type="dxa"/>
        <w:tblInd w:w="96" w:type="dxa"/>
        <w:tblLayout w:type="fixed"/>
        <w:tblCellMar>
          <w:top w:w="0" w:type="dxa"/>
          <w:left w:w="108" w:type="dxa"/>
          <w:bottom w:w="0" w:type="dxa"/>
          <w:right w:w="108" w:type="dxa"/>
        </w:tblCellMar>
      </w:tblPr>
      <w:tblGrid>
        <w:gridCol w:w="452"/>
        <w:gridCol w:w="1438"/>
        <w:gridCol w:w="5623"/>
        <w:gridCol w:w="600"/>
        <w:gridCol w:w="854"/>
      </w:tblGrid>
      <w:tr>
        <w:tblPrEx>
          <w:tblCellMar>
            <w:top w:w="0" w:type="dxa"/>
            <w:left w:w="108" w:type="dxa"/>
            <w:bottom w:w="0" w:type="dxa"/>
            <w:right w:w="108" w:type="dxa"/>
          </w:tblCellMar>
        </w:tblPrEx>
        <w:trPr>
          <w:trHeight w:val="800" w:hRule="atLeast"/>
        </w:trPr>
        <w:tc>
          <w:tcPr>
            <w:tcW w:w="8967"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hint="eastAsia" w:ascii="华文细黑" w:hAnsi="华文细黑" w:eastAsia="华文细黑" w:cs="华文细黑"/>
                <w:b/>
                <w:bCs/>
                <w:color w:val="000000"/>
                <w:kern w:val="0"/>
                <w:sz w:val="15"/>
                <w:szCs w:val="15"/>
                <w:highlight w:val="none"/>
                <w:lang w:bidi="ar"/>
              </w:rPr>
              <w:t>9</w:t>
            </w:r>
            <w:r>
              <w:rPr>
                <w:rFonts w:ascii="华文细黑" w:hAnsi="华文细黑" w:eastAsia="华文细黑" w:cs="华文细黑"/>
                <w:b/>
                <w:bCs/>
                <w:color w:val="000000"/>
                <w:kern w:val="0"/>
                <w:sz w:val="15"/>
                <w:szCs w:val="15"/>
                <w:highlight w:val="none"/>
                <w:lang w:bidi="ar"/>
              </w:rPr>
              <w:t>城厢街道智安小区项目设备清单（苏家潭）</w:t>
            </w: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序号</w:t>
            </w:r>
          </w:p>
        </w:tc>
        <w:tc>
          <w:tcPr>
            <w:tcW w:w="1438"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名称</w:t>
            </w:r>
          </w:p>
        </w:tc>
        <w:tc>
          <w:tcPr>
            <w:tcW w:w="5623"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参数</w:t>
            </w:r>
          </w:p>
        </w:tc>
        <w:tc>
          <w:tcPr>
            <w:tcW w:w="600"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单位</w:t>
            </w:r>
          </w:p>
        </w:tc>
        <w:tc>
          <w:tcPr>
            <w:tcW w:w="854"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8113"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1.综合管理平台</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43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视频监控授权</w:t>
            </w:r>
          </w:p>
        </w:tc>
        <w:tc>
          <w:tcPr>
            <w:tcW w:w="5623"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1、视频应用模块：视频预览、录像回放、下载中心、电视墙、雷球联动。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2、视频管理模块：设备管理、存储管理、电视墙配置。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3、视频服务组件：视频设备接入、流媒体服务、录像管理服务、报警管理服务、电视墙服务、主动注册服务、三方设备接入服务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4、BIG：支持与车载单兵等移动设备的对接，提供车载单兵设备GPS信息接收服务。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5、MAG：支持手机移动客户端（5060）进行实时视频监控，音频播放，本地截图，本地录像，云台控制，远程视频回放</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6 </w:t>
            </w: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43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小区业务授权</w:t>
            </w:r>
          </w:p>
        </w:tc>
        <w:tc>
          <w:tcPr>
            <w:tcW w:w="5623"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支持小区、楼栋、房屋、人员、用户等基础信息登记</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8113"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2.人脸采集设备</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43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人脸枪机</w:t>
            </w:r>
          </w:p>
        </w:tc>
        <w:tc>
          <w:tcPr>
            <w:tcW w:w="562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1）像素：不小于400万</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2）最大分辨率：不小于2688×1520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3）传感器：不小于1/1.8英寸CMOS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4）镜头：不小于10mm~40mm电动变焦镜头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5）最低照度：不低于0.001Lux（彩色模式）；0.0001Lux（黑白模式）;0Lux（补光灯开启）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6）视场角：不小于水平：43°~12° 垂直：24°~7° 对角：50°~13°</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7）人脸功能：支持人脸检测;支持跟踪;支持优选;支持抓拍;支持上报最优的人脸抓图;支持人脸增强,支持人脸曝光;支持人脸属性提取,支持6种属性8种表情:性别,年龄,眼镜,表情（愤怒,平静,高兴,悲伤,厌恶,惊讶,困惑,害怕）,口罩,胡子,支持人脸抠图区域可设:人脸, 单寸照;支持实时抓拍、优选抓拍、质量优先三种抓拍策略;支持人脸角度过滤功能;支持优选时长可设</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8）最大补光距离：人脸检测距离：不小于30m；视频监控距离：不小于60m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9）补光灯：不少于6颗（暖光灯）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10）防护等级：不低于IP66</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5 </w:t>
            </w: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43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监控枪机</w:t>
            </w:r>
          </w:p>
        </w:tc>
        <w:tc>
          <w:tcPr>
            <w:tcW w:w="5623"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支持绊线入侵，区域入侵，快速移动，物品遗留，物品搬移，徘徊检测，人员聚集，停车检测，热度图，人脸检测，人数统计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采用星光级低照度400万像素1/2.7英寸CMOS图像传感器，低照度效果好，图像清晰度高</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最大可输出400万(2688x1520)@25fps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支持H.265编码，压缩比高，实现超低码流传输</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内置红外补光灯，最大红外监控距离80米</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支持走廊模式，宽动态，3D降噪，强光抑制，背光补偿，数字水印，适用不同监控环境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支持Smart H.265/H.264H智能编码，ROI区域增强，SVC自适应编码，适用不同带宽和存储环境</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支持报警3进2出，音频1进1出，128G Micro SD卡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支持DC12V/POE供电方式，宽压设计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支持IP67，IK10防护等级</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143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抱杆支架1</w:t>
            </w:r>
          </w:p>
        </w:tc>
        <w:tc>
          <w:tcPr>
            <w:tcW w:w="562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1米</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根</w:t>
            </w:r>
          </w:p>
        </w:tc>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5 </w:t>
            </w: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143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抱杆支架2</w:t>
            </w:r>
          </w:p>
        </w:tc>
        <w:tc>
          <w:tcPr>
            <w:tcW w:w="562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1.5米</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根</w:t>
            </w:r>
          </w:p>
        </w:tc>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8113"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3.网络设备</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43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24口接入交换机</w:t>
            </w:r>
          </w:p>
        </w:tc>
        <w:tc>
          <w:tcPr>
            <w:tcW w:w="562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L2以太网交换机主机,交换容量336Gbps,包转发率108Mbps,支持24个10/100/1000BASE-T电口,支持4个1G/10G BASE-X SFP+端口,支持AC</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8113"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4.管线及网络费用</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43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抱杆机箱</w:t>
            </w:r>
          </w:p>
        </w:tc>
        <w:tc>
          <w:tcPr>
            <w:tcW w:w="562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定制</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6 </w:t>
            </w: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43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落地机箱</w:t>
            </w:r>
          </w:p>
        </w:tc>
        <w:tc>
          <w:tcPr>
            <w:tcW w:w="562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定制</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143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取电线缆</w:t>
            </w:r>
          </w:p>
        </w:tc>
        <w:tc>
          <w:tcPr>
            <w:tcW w:w="562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电源线YJV3*4</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59 </w:t>
            </w: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143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光缆</w:t>
            </w:r>
          </w:p>
        </w:tc>
        <w:tc>
          <w:tcPr>
            <w:tcW w:w="562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4芯光缆，含光缆熔接，光缆终端盒等</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73 </w:t>
            </w: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143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防水网线</w:t>
            </w:r>
          </w:p>
        </w:tc>
        <w:tc>
          <w:tcPr>
            <w:tcW w:w="562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防水网线，六类非屏蔽双绞线</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146 </w:t>
            </w: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143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电源线缆</w:t>
            </w:r>
          </w:p>
        </w:tc>
        <w:tc>
          <w:tcPr>
            <w:tcW w:w="562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RVV3*1</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146 </w:t>
            </w: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设备安装费</w:t>
            </w:r>
          </w:p>
        </w:tc>
        <w:tc>
          <w:tcPr>
            <w:tcW w:w="5623"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设备安装及调试</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6 </w:t>
            </w: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1438"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链路费</w:t>
            </w:r>
          </w:p>
        </w:tc>
        <w:tc>
          <w:tcPr>
            <w:tcW w:w="562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感知网租赁费，租期3年</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bl>
    <w:p>
      <w:pPr>
        <w:pStyle w:val="2"/>
        <w:shd w:val="clear" w:color="auto" w:fill="auto"/>
        <w:spacing w:before="120"/>
        <w:ind w:firstLine="0" w:firstLineChars="0"/>
        <w:rPr>
          <w:rFonts w:hint="eastAsia"/>
          <w:color w:val="000000"/>
          <w:highlight w:val="none"/>
        </w:rPr>
      </w:pPr>
    </w:p>
    <w:tbl>
      <w:tblPr>
        <w:tblStyle w:val="62"/>
        <w:tblW w:w="8967" w:type="dxa"/>
        <w:tblInd w:w="96" w:type="dxa"/>
        <w:tblLayout w:type="fixed"/>
        <w:tblCellMar>
          <w:top w:w="0" w:type="dxa"/>
          <w:left w:w="108" w:type="dxa"/>
          <w:bottom w:w="0" w:type="dxa"/>
          <w:right w:w="108" w:type="dxa"/>
        </w:tblCellMar>
      </w:tblPr>
      <w:tblGrid>
        <w:gridCol w:w="446"/>
        <w:gridCol w:w="1695"/>
        <w:gridCol w:w="5372"/>
        <w:gridCol w:w="587"/>
        <w:gridCol w:w="867"/>
      </w:tblGrid>
      <w:tr>
        <w:tblPrEx>
          <w:tblCellMar>
            <w:top w:w="0" w:type="dxa"/>
            <w:left w:w="108" w:type="dxa"/>
            <w:bottom w:w="0" w:type="dxa"/>
            <w:right w:w="108" w:type="dxa"/>
          </w:tblCellMar>
        </w:tblPrEx>
        <w:trPr>
          <w:trHeight w:val="800" w:hRule="atLeast"/>
        </w:trPr>
        <w:tc>
          <w:tcPr>
            <w:tcW w:w="8967"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hint="eastAsia" w:ascii="华文细黑" w:hAnsi="华文细黑" w:eastAsia="华文细黑" w:cs="华文细黑"/>
                <w:b/>
                <w:bCs/>
                <w:color w:val="000000"/>
                <w:kern w:val="0"/>
                <w:sz w:val="15"/>
                <w:szCs w:val="15"/>
                <w:highlight w:val="none"/>
                <w:lang w:bidi="ar"/>
              </w:rPr>
              <w:t>10</w:t>
            </w:r>
            <w:r>
              <w:rPr>
                <w:rFonts w:ascii="华文细黑" w:hAnsi="华文细黑" w:eastAsia="华文细黑" w:cs="华文细黑"/>
                <w:b/>
                <w:bCs/>
                <w:color w:val="000000"/>
                <w:kern w:val="0"/>
                <w:sz w:val="15"/>
                <w:szCs w:val="15"/>
                <w:highlight w:val="none"/>
                <w:lang w:bidi="ar"/>
              </w:rPr>
              <w:t>城厢街道智安小区项目设备清单（万丰楼）</w:t>
            </w:r>
          </w:p>
        </w:tc>
      </w:tr>
      <w:tr>
        <w:tblPrEx>
          <w:tblCellMar>
            <w:top w:w="0" w:type="dxa"/>
            <w:left w:w="108" w:type="dxa"/>
            <w:bottom w:w="0" w:type="dxa"/>
            <w:right w:w="108" w:type="dxa"/>
          </w:tblCellMar>
        </w:tblPrEx>
        <w:trPr>
          <w:trHeight w:val="800" w:hRule="atLeast"/>
        </w:trPr>
        <w:tc>
          <w:tcPr>
            <w:tcW w:w="446"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序号</w:t>
            </w:r>
          </w:p>
        </w:tc>
        <w:tc>
          <w:tcPr>
            <w:tcW w:w="1695"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名称</w:t>
            </w:r>
          </w:p>
        </w:tc>
        <w:tc>
          <w:tcPr>
            <w:tcW w:w="5372"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参数</w:t>
            </w:r>
          </w:p>
        </w:tc>
        <w:tc>
          <w:tcPr>
            <w:tcW w:w="587"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单位</w:t>
            </w:r>
          </w:p>
        </w:tc>
        <w:tc>
          <w:tcPr>
            <w:tcW w:w="867"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8100"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1.综合管理平台</w:t>
            </w:r>
          </w:p>
        </w:tc>
        <w:tc>
          <w:tcPr>
            <w:tcW w:w="867"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视频监控授权</w:t>
            </w:r>
          </w:p>
        </w:tc>
        <w:tc>
          <w:tcPr>
            <w:tcW w:w="5372"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1、视频应用模块：视频预览、录像回放、下载中心、电视墙、雷球联动。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2、视频管理模块：设备管理、存储管理、电视墙配置。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3、视频服务组件：视频设备接入、流媒体服务、录像管理服务、报警管理服务、电视墙服务、主动注册服务、三方设备接入服务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4、BIG：支持与车载单兵等移动设备的对接，提供车载单兵设备GPS信息接收服务。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5、MAG：支持手机移动客户端（5060）进行实时视频监控，音频播放，本地截图，本地录像，云台控制，远程视频回放</w:t>
            </w:r>
          </w:p>
        </w:tc>
        <w:tc>
          <w:tcPr>
            <w:tcW w:w="58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8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4 </w:t>
            </w:r>
          </w:p>
        </w:tc>
      </w:tr>
      <w:tr>
        <w:tblPrEx>
          <w:tblCellMar>
            <w:top w:w="0" w:type="dxa"/>
            <w:left w:w="108" w:type="dxa"/>
            <w:bottom w:w="0" w:type="dxa"/>
            <w:right w:w="108" w:type="dxa"/>
          </w:tblCellMar>
        </w:tblPrEx>
        <w:trPr>
          <w:trHeight w:val="800"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小区业务授权</w:t>
            </w:r>
          </w:p>
        </w:tc>
        <w:tc>
          <w:tcPr>
            <w:tcW w:w="5372"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支持小区、楼栋、房屋、人员、用户等基础信息登记</w:t>
            </w:r>
          </w:p>
        </w:tc>
        <w:tc>
          <w:tcPr>
            <w:tcW w:w="58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8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8100"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2.人脸采集设备</w:t>
            </w:r>
          </w:p>
        </w:tc>
        <w:tc>
          <w:tcPr>
            <w:tcW w:w="867"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人脸枪机</w:t>
            </w:r>
          </w:p>
        </w:tc>
        <w:tc>
          <w:tcPr>
            <w:tcW w:w="537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1）像素：不小于400万</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2）最大分辨率：不小于2688×1520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3）传感器：不小于1/1.8英寸CMOS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4）镜头：不小于10mm~40mm电动变焦镜头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5）最低照度：不低于0.001Lux（彩色模式）；0.0001Lux（黑白模式）;0Lux（补光灯开启）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6）视场角：不小于水平：43°~12° 垂直：24°~7° 对角：50°~13°</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7）人脸功能：支持人脸检测;支持跟踪;支持优选;支持抓拍;支持上报最优的人脸抓图;支持人脸增强,支持人脸曝光;支持人脸属性提取,支持6种属性8种表情:性别,年龄,眼镜,表情（愤怒,平静,高兴,悲伤,厌恶,惊讶,困惑,害怕）,口罩,胡子,支持人脸抠图区域可设:人脸, 单寸照;支持实时抓拍、优选抓拍、质量优先三种抓拍策略;支持人脸角度过滤功能;支持优选时长可设</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8）最大补光距离：人脸检测距离：不小于30m；视频监控距离：不小于60m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9）补光灯：不少于6颗（暖光灯）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10）防护等级：不低于IP66</w:t>
            </w:r>
          </w:p>
        </w:tc>
        <w:tc>
          <w:tcPr>
            <w:tcW w:w="58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8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抱杆支架1</w:t>
            </w:r>
          </w:p>
        </w:tc>
        <w:tc>
          <w:tcPr>
            <w:tcW w:w="537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1米</w:t>
            </w:r>
          </w:p>
        </w:tc>
        <w:tc>
          <w:tcPr>
            <w:tcW w:w="58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根</w:t>
            </w:r>
          </w:p>
        </w:tc>
        <w:tc>
          <w:tcPr>
            <w:tcW w:w="8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结构化球机</w:t>
            </w:r>
          </w:p>
        </w:tc>
        <w:tc>
          <w:tcPr>
            <w:tcW w:w="537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 像素: 全景不小于400万 细节不小于400万</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 最大分辨率: 全景2688×1520细节2688×1520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3) 传感器类型: 全景1/1.8英寸CMOS；细节1/1.8英寸CMOS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4) 补光灯数量: 全景4颗（白光灯）细节4颗（红外灯）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 镜头焦距: 全景8~32mm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6) 细节5.4mm~135mm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7) 镜头光圈: 全景F1.6 细节F1.6-F4.0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8) 网络接口: 1个（内置RJ-45网口，支持10M/100M网络数据）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9) 网络适应功能检验:在丢包率设置为30%的网络环境下，可显示监视画面，画面不卡顿</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10) 人脸识别屏蔽区域功能检验:可通过IE浏览器设置人脸识别屏蔽区域，屏蔽区域位置可设</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11) 重量检测:样机小于等于9kg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12) 双云台功能检验:样机具备全景、细节两个摄像机云台，且都可通过IE浏览器设置云台转动位置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13) 抓拍距离检验：样机可看清150米处人体轮廓，并进行抓拍生成人体小图。</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14) 目标抓拍速度检验:在自动跟踪模式下，样机每分钟可对不少于100个框选跟踪目标进行特写抓拍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15) 细节摄像机水平旋转范围：水平角度0～250°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16) 传输能力检验:样机与客户端之间用400m 五类非屏蔽网线直接连接，预览正常不卡顿</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17) 断网续传功能检验:当网络断开后，样机可将录像文件存储至内置SD卡中，当网络恢复后，再将这些录像文件上传至ＮAS中或服务器中</w:t>
            </w:r>
          </w:p>
        </w:tc>
        <w:tc>
          <w:tcPr>
            <w:tcW w:w="58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8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6米L杆件1</w:t>
            </w:r>
          </w:p>
        </w:tc>
        <w:tc>
          <w:tcPr>
            <w:tcW w:w="537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高6米，挑5米</w:t>
            </w:r>
          </w:p>
        </w:tc>
        <w:tc>
          <w:tcPr>
            <w:tcW w:w="58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8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8100"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3.车牌识别系统</w:t>
            </w:r>
          </w:p>
        </w:tc>
        <w:tc>
          <w:tcPr>
            <w:tcW w:w="867"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一体化卡口抓拍单元</w:t>
            </w:r>
          </w:p>
        </w:tc>
        <w:tc>
          <w:tcPr>
            <w:tcW w:w="537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Style w:val="631"/>
                <w:rFonts w:hint="default"/>
                <w:color w:val="000000"/>
                <w:sz w:val="15"/>
                <w:szCs w:val="15"/>
                <w:highlight w:val="none"/>
                <w:lang w:bidi="ar"/>
              </w:rPr>
              <w:t xml:space="preserve">像素：900W </w:t>
            </w:r>
            <w:r>
              <w:rPr>
                <w:rStyle w:val="631"/>
                <w:rFonts w:hint="default"/>
                <w:color w:val="000000"/>
                <w:sz w:val="15"/>
                <w:szCs w:val="15"/>
                <w:highlight w:val="none"/>
                <w:lang w:bidi="ar"/>
              </w:rPr>
              <w:br w:type="textWrapping"/>
            </w:r>
            <w:r>
              <w:rPr>
                <w:rStyle w:val="631"/>
                <w:rFonts w:hint="default"/>
                <w:color w:val="000000"/>
                <w:sz w:val="15"/>
                <w:szCs w:val="15"/>
                <w:highlight w:val="none"/>
                <w:lang w:bidi="ar"/>
              </w:rPr>
              <w:t xml:space="preserve">分辨率：最大支持4096*2160 </w:t>
            </w:r>
            <w:r>
              <w:rPr>
                <w:rStyle w:val="631"/>
                <w:rFonts w:hint="default"/>
                <w:color w:val="000000"/>
                <w:sz w:val="15"/>
                <w:szCs w:val="15"/>
                <w:highlight w:val="none"/>
                <w:lang w:bidi="ar"/>
              </w:rPr>
              <w:br w:type="textWrapping"/>
            </w:r>
            <w:r>
              <w:rPr>
                <w:rStyle w:val="631"/>
                <w:rFonts w:hint="default"/>
                <w:color w:val="000000"/>
                <w:sz w:val="15"/>
                <w:szCs w:val="15"/>
                <w:highlight w:val="none"/>
                <w:lang w:bidi="ar"/>
              </w:rPr>
              <w:t>帧率：25fps</w:t>
            </w:r>
            <w:r>
              <w:rPr>
                <w:rStyle w:val="631"/>
                <w:rFonts w:hint="default"/>
                <w:color w:val="000000"/>
                <w:sz w:val="15"/>
                <w:szCs w:val="15"/>
                <w:highlight w:val="none"/>
                <w:lang w:bidi="ar"/>
              </w:rPr>
              <w:br w:type="textWrapping"/>
            </w:r>
            <w:r>
              <w:rPr>
                <w:rStyle w:val="631"/>
                <w:rFonts w:hint="default"/>
                <w:color w:val="000000"/>
                <w:sz w:val="15"/>
                <w:szCs w:val="15"/>
                <w:highlight w:val="none"/>
                <w:lang w:bidi="ar"/>
              </w:rPr>
              <w:t xml:space="preserve">图像传感器：采用1" 英寸全局曝光CMOS（GMOS）传感器 </w:t>
            </w:r>
            <w:r>
              <w:rPr>
                <w:rStyle w:val="631"/>
                <w:rFonts w:hint="default"/>
                <w:color w:val="000000"/>
                <w:sz w:val="15"/>
                <w:szCs w:val="15"/>
                <w:highlight w:val="none"/>
                <w:lang w:bidi="ar"/>
              </w:rPr>
              <w:br w:type="textWrapping"/>
            </w:r>
            <w:r>
              <w:rPr>
                <w:rStyle w:val="631"/>
                <w:rFonts w:hint="default"/>
                <w:color w:val="000000"/>
                <w:sz w:val="15"/>
                <w:szCs w:val="15"/>
                <w:highlight w:val="none"/>
                <w:lang w:bidi="ar"/>
              </w:rPr>
              <w:t xml:space="preserve">镜头：16mm镜头 </w:t>
            </w:r>
            <w:r>
              <w:rPr>
                <w:rStyle w:val="631"/>
                <w:rFonts w:hint="default"/>
                <w:color w:val="000000"/>
                <w:sz w:val="15"/>
                <w:szCs w:val="15"/>
                <w:highlight w:val="none"/>
                <w:lang w:bidi="ar"/>
              </w:rPr>
              <w:br w:type="textWrapping"/>
            </w:r>
            <w:r>
              <w:rPr>
                <w:rStyle w:val="631"/>
                <w:rFonts w:hint="default"/>
                <w:color w:val="000000"/>
                <w:sz w:val="15"/>
                <w:szCs w:val="15"/>
                <w:highlight w:val="none"/>
                <w:lang w:bidi="ar"/>
              </w:rPr>
              <w:t xml:space="preserve">照度：彩色:0.01Lux  黑色:0.008Lux  </w:t>
            </w:r>
            <w:r>
              <w:rPr>
                <w:rStyle w:val="631"/>
                <w:rFonts w:hint="default"/>
                <w:color w:val="000000"/>
                <w:sz w:val="15"/>
                <w:szCs w:val="15"/>
                <w:highlight w:val="none"/>
                <w:lang w:bidi="ar"/>
              </w:rPr>
              <w:br w:type="textWrapping"/>
            </w:r>
            <w:r>
              <w:rPr>
                <w:rStyle w:val="631"/>
                <w:rFonts w:hint="default"/>
                <w:color w:val="000000"/>
                <w:sz w:val="15"/>
                <w:szCs w:val="15"/>
                <w:highlight w:val="none"/>
                <w:lang w:bidi="ar"/>
              </w:rPr>
              <w:t xml:space="preserve">视频压缩标准：H.265/H.264/MJPEG </w:t>
            </w:r>
            <w:r>
              <w:rPr>
                <w:rStyle w:val="631"/>
                <w:rFonts w:hint="default"/>
                <w:color w:val="000000"/>
                <w:sz w:val="15"/>
                <w:szCs w:val="15"/>
                <w:highlight w:val="none"/>
                <w:lang w:bidi="ar"/>
              </w:rPr>
              <w:br w:type="textWrapping"/>
            </w:r>
            <w:r>
              <w:rPr>
                <w:rStyle w:val="631"/>
                <w:rFonts w:hint="default"/>
                <w:color w:val="000000"/>
                <w:sz w:val="15"/>
                <w:szCs w:val="15"/>
                <w:highlight w:val="none"/>
                <w:lang w:bidi="ar"/>
              </w:rPr>
              <w:t>图像输出格式：JPEG 输出：电平量信号</w:t>
            </w:r>
            <w:r>
              <w:rPr>
                <w:rStyle w:val="631"/>
                <w:rFonts w:hint="default"/>
                <w:color w:val="000000"/>
                <w:sz w:val="15"/>
                <w:szCs w:val="15"/>
                <w:highlight w:val="none"/>
                <w:lang w:bidi="ar"/>
              </w:rPr>
              <w:br w:type="textWrapping"/>
            </w:r>
            <w:r>
              <w:rPr>
                <w:rStyle w:val="631"/>
                <w:rFonts w:hint="default"/>
                <w:color w:val="000000"/>
                <w:sz w:val="15"/>
                <w:szCs w:val="15"/>
                <w:highlight w:val="none"/>
                <w:lang w:bidi="ar"/>
              </w:rPr>
              <w:t>通讯接口：2个RJ45 100M/1000M自适应网口，3个RS485接口，1个RS232接口</w:t>
            </w:r>
            <w:r>
              <w:rPr>
                <w:rStyle w:val="631"/>
                <w:rFonts w:hint="default"/>
                <w:color w:val="000000"/>
                <w:sz w:val="15"/>
                <w:szCs w:val="15"/>
                <w:highlight w:val="none"/>
                <w:lang w:bidi="ar"/>
              </w:rPr>
              <w:br w:type="textWrapping"/>
            </w:r>
            <w:r>
              <w:rPr>
                <w:rStyle w:val="631"/>
                <w:rFonts w:hint="default"/>
                <w:color w:val="000000"/>
                <w:sz w:val="15"/>
                <w:szCs w:val="15"/>
                <w:highlight w:val="none"/>
                <w:lang w:bidi="ar"/>
              </w:rPr>
              <w:t>外部接口：4路外部触发输入，6路(5V TTL电平量)输出，可作为闪光灯同步输出控制，SYNC信号灯电源同步输入</w:t>
            </w:r>
            <w:r>
              <w:rPr>
                <w:rStyle w:val="631"/>
                <w:rFonts w:hint="default"/>
                <w:color w:val="000000"/>
                <w:sz w:val="15"/>
                <w:szCs w:val="15"/>
                <w:highlight w:val="none"/>
                <w:lang w:bidi="ar"/>
              </w:rPr>
              <w:br w:type="textWrapping"/>
            </w:r>
            <w:r>
              <w:rPr>
                <w:rStyle w:val="631"/>
                <w:rFonts w:hint="default"/>
                <w:color w:val="000000"/>
                <w:sz w:val="15"/>
                <w:szCs w:val="15"/>
                <w:highlight w:val="none"/>
                <w:lang w:bidi="ar"/>
              </w:rPr>
              <w:t>存储支持：最大支持128G TF卡 自动光圈镜头：支持</w:t>
            </w:r>
            <w:r>
              <w:rPr>
                <w:rStyle w:val="631"/>
                <w:rFonts w:hint="default"/>
                <w:color w:val="000000"/>
                <w:sz w:val="15"/>
                <w:szCs w:val="15"/>
                <w:highlight w:val="none"/>
                <w:lang w:bidi="ar"/>
              </w:rPr>
              <w:br w:type="textWrapping"/>
            </w:r>
            <w:r>
              <w:rPr>
                <w:rStyle w:val="631"/>
                <w:rFonts w:hint="default"/>
                <w:color w:val="000000"/>
                <w:sz w:val="15"/>
                <w:szCs w:val="15"/>
                <w:highlight w:val="none"/>
                <w:lang w:bidi="ar"/>
              </w:rPr>
              <w:t>工作电压：220VAC±20%；频率：50HZ±2%；功耗：＜20W</w:t>
            </w:r>
            <w:r>
              <w:rPr>
                <w:rStyle w:val="631"/>
                <w:rFonts w:hint="default"/>
                <w:color w:val="000000"/>
                <w:sz w:val="15"/>
                <w:szCs w:val="15"/>
                <w:highlight w:val="none"/>
                <w:lang w:bidi="ar"/>
              </w:rPr>
              <w:br w:type="textWrapping"/>
            </w:r>
            <w:r>
              <w:rPr>
                <w:rStyle w:val="631"/>
                <w:rFonts w:hint="default"/>
                <w:color w:val="000000"/>
                <w:sz w:val="15"/>
                <w:szCs w:val="15"/>
                <w:highlight w:val="none"/>
                <w:lang w:bidi="ar"/>
              </w:rPr>
              <w:t>目标检测：机动车抓拍，车辆捕获率≥95%</w:t>
            </w:r>
            <w:r>
              <w:rPr>
                <w:rStyle w:val="631"/>
                <w:rFonts w:hint="default"/>
                <w:color w:val="000000"/>
                <w:sz w:val="15"/>
                <w:szCs w:val="15"/>
                <w:highlight w:val="none"/>
                <w:lang w:bidi="ar"/>
              </w:rPr>
              <w:br w:type="textWrapping"/>
            </w:r>
            <w:r>
              <w:rPr>
                <w:rStyle w:val="631"/>
                <w:rFonts w:hint="default"/>
                <w:color w:val="000000"/>
                <w:sz w:val="15"/>
                <w:szCs w:val="15"/>
                <w:highlight w:val="none"/>
                <w:lang w:bidi="ar"/>
              </w:rPr>
              <w:t>违章检测：闯红灯、不按规定车道行驶、压线、逆行等违法行为</w:t>
            </w:r>
            <w:r>
              <w:rPr>
                <w:rStyle w:val="631"/>
                <w:rFonts w:hint="default"/>
                <w:color w:val="000000"/>
                <w:sz w:val="15"/>
                <w:szCs w:val="15"/>
                <w:highlight w:val="none"/>
                <w:lang w:bidi="ar"/>
              </w:rPr>
              <w:br w:type="textWrapping"/>
            </w:r>
            <w:r>
              <w:rPr>
                <w:rStyle w:val="631"/>
                <w:rFonts w:hint="default"/>
                <w:color w:val="000000"/>
                <w:sz w:val="15"/>
                <w:szCs w:val="15"/>
                <w:highlight w:val="none"/>
                <w:lang w:bidi="ar"/>
              </w:rPr>
              <w:t>车辆特征检测：车牌识别、车型识别、车身颜色识别(环境光有要求)、违章检测、车辆品牌等特征检测</w:t>
            </w:r>
            <w:r>
              <w:rPr>
                <w:rFonts w:hint="eastAsia" w:ascii="宋体" w:hAnsi="宋体" w:cs="宋体"/>
                <w:b/>
                <w:bCs/>
                <w:color w:val="000000"/>
                <w:kern w:val="0"/>
                <w:sz w:val="15"/>
                <w:szCs w:val="15"/>
                <w:highlight w:val="none"/>
                <w:lang w:bidi="ar"/>
              </w:rPr>
              <w:t xml:space="preserve"> </w:t>
            </w:r>
            <w:r>
              <w:rPr>
                <w:rStyle w:val="631"/>
                <w:rFonts w:hint="default"/>
                <w:color w:val="000000"/>
                <w:sz w:val="15"/>
                <w:szCs w:val="15"/>
                <w:highlight w:val="none"/>
                <w:lang w:bidi="ar"/>
              </w:rPr>
              <w:t xml:space="preserve">                 </w:t>
            </w:r>
          </w:p>
        </w:tc>
        <w:tc>
          <w:tcPr>
            <w:tcW w:w="58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8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 </w:t>
            </w:r>
          </w:p>
        </w:tc>
      </w:tr>
      <w:tr>
        <w:tblPrEx>
          <w:tblCellMar>
            <w:top w:w="0" w:type="dxa"/>
            <w:left w:w="108" w:type="dxa"/>
            <w:bottom w:w="0" w:type="dxa"/>
            <w:right w:w="108" w:type="dxa"/>
          </w:tblCellMar>
        </w:tblPrEx>
        <w:trPr>
          <w:trHeight w:val="800"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6米L杆件2</w:t>
            </w:r>
          </w:p>
        </w:tc>
        <w:tc>
          <w:tcPr>
            <w:tcW w:w="537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高6米，挑3米</w:t>
            </w:r>
          </w:p>
        </w:tc>
        <w:tc>
          <w:tcPr>
            <w:tcW w:w="58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8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8100"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4.网络设备</w:t>
            </w:r>
          </w:p>
        </w:tc>
        <w:tc>
          <w:tcPr>
            <w:tcW w:w="867"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24口接入交换机</w:t>
            </w:r>
          </w:p>
        </w:tc>
        <w:tc>
          <w:tcPr>
            <w:tcW w:w="537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L2以太网交换机主机,交换容量336Gbps,包转发率108Mbps,支持24个10/100/1000BASE-T电口,支持4个1G/10G BASE-X SFP+端口,支持AC</w:t>
            </w:r>
          </w:p>
        </w:tc>
        <w:tc>
          <w:tcPr>
            <w:tcW w:w="58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8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8100"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5.管线及网络费用</w:t>
            </w:r>
          </w:p>
        </w:tc>
        <w:tc>
          <w:tcPr>
            <w:tcW w:w="867"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抱杆机箱</w:t>
            </w:r>
          </w:p>
        </w:tc>
        <w:tc>
          <w:tcPr>
            <w:tcW w:w="537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定制</w:t>
            </w:r>
          </w:p>
        </w:tc>
        <w:tc>
          <w:tcPr>
            <w:tcW w:w="58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8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3 </w:t>
            </w:r>
          </w:p>
        </w:tc>
      </w:tr>
      <w:tr>
        <w:tblPrEx>
          <w:tblCellMar>
            <w:top w:w="0" w:type="dxa"/>
            <w:left w:w="108" w:type="dxa"/>
            <w:bottom w:w="0" w:type="dxa"/>
            <w:right w:w="108" w:type="dxa"/>
          </w:tblCellMar>
        </w:tblPrEx>
        <w:trPr>
          <w:trHeight w:val="800"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落地机箱</w:t>
            </w:r>
          </w:p>
        </w:tc>
        <w:tc>
          <w:tcPr>
            <w:tcW w:w="537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定制</w:t>
            </w:r>
          </w:p>
        </w:tc>
        <w:tc>
          <w:tcPr>
            <w:tcW w:w="58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8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取电线缆</w:t>
            </w:r>
          </w:p>
        </w:tc>
        <w:tc>
          <w:tcPr>
            <w:tcW w:w="537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电源线YJV3*4</w:t>
            </w:r>
          </w:p>
        </w:tc>
        <w:tc>
          <w:tcPr>
            <w:tcW w:w="58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8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39 </w:t>
            </w:r>
          </w:p>
        </w:tc>
      </w:tr>
      <w:tr>
        <w:tblPrEx>
          <w:tblCellMar>
            <w:top w:w="0" w:type="dxa"/>
            <w:left w:w="108" w:type="dxa"/>
            <w:bottom w:w="0" w:type="dxa"/>
            <w:right w:w="108" w:type="dxa"/>
          </w:tblCellMar>
        </w:tblPrEx>
        <w:trPr>
          <w:trHeight w:val="800"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光缆</w:t>
            </w:r>
          </w:p>
        </w:tc>
        <w:tc>
          <w:tcPr>
            <w:tcW w:w="537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4芯光缆，含光缆熔接，光缆终端盒等</w:t>
            </w:r>
          </w:p>
        </w:tc>
        <w:tc>
          <w:tcPr>
            <w:tcW w:w="58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8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49 </w:t>
            </w:r>
          </w:p>
        </w:tc>
      </w:tr>
      <w:tr>
        <w:tblPrEx>
          <w:tblCellMar>
            <w:top w:w="0" w:type="dxa"/>
            <w:left w:w="108" w:type="dxa"/>
            <w:bottom w:w="0" w:type="dxa"/>
            <w:right w:w="108" w:type="dxa"/>
          </w:tblCellMar>
        </w:tblPrEx>
        <w:trPr>
          <w:trHeight w:val="800"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防水网线</w:t>
            </w:r>
          </w:p>
        </w:tc>
        <w:tc>
          <w:tcPr>
            <w:tcW w:w="537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防水网线，六类非屏蔽双绞线</w:t>
            </w:r>
          </w:p>
        </w:tc>
        <w:tc>
          <w:tcPr>
            <w:tcW w:w="58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8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98 </w:t>
            </w:r>
          </w:p>
        </w:tc>
      </w:tr>
      <w:tr>
        <w:tblPrEx>
          <w:tblCellMar>
            <w:top w:w="0" w:type="dxa"/>
            <w:left w:w="108" w:type="dxa"/>
            <w:bottom w:w="0" w:type="dxa"/>
            <w:right w:w="108" w:type="dxa"/>
          </w:tblCellMar>
        </w:tblPrEx>
        <w:trPr>
          <w:trHeight w:val="800"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电源线缆</w:t>
            </w:r>
          </w:p>
        </w:tc>
        <w:tc>
          <w:tcPr>
            <w:tcW w:w="537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RVV3*1</w:t>
            </w:r>
          </w:p>
        </w:tc>
        <w:tc>
          <w:tcPr>
            <w:tcW w:w="58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8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98 </w:t>
            </w:r>
          </w:p>
        </w:tc>
      </w:tr>
      <w:tr>
        <w:tblPrEx>
          <w:tblCellMar>
            <w:top w:w="0" w:type="dxa"/>
            <w:left w:w="108" w:type="dxa"/>
            <w:bottom w:w="0" w:type="dxa"/>
            <w:right w:w="108" w:type="dxa"/>
          </w:tblCellMar>
        </w:tblPrEx>
        <w:trPr>
          <w:trHeight w:val="800"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设备安装费</w:t>
            </w:r>
          </w:p>
        </w:tc>
        <w:tc>
          <w:tcPr>
            <w:tcW w:w="5372"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设备安装及调试</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8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4 </w:t>
            </w:r>
          </w:p>
        </w:tc>
      </w:tr>
      <w:tr>
        <w:tblPrEx>
          <w:tblCellMar>
            <w:top w:w="0" w:type="dxa"/>
            <w:left w:w="108" w:type="dxa"/>
            <w:bottom w:w="0" w:type="dxa"/>
            <w:right w:w="108" w:type="dxa"/>
          </w:tblCellMar>
        </w:tblPrEx>
        <w:trPr>
          <w:trHeight w:val="800"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链路费</w:t>
            </w:r>
          </w:p>
        </w:tc>
        <w:tc>
          <w:tcPr>
            <w:tcW w:w="537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6000元/年感知网租赁费，总计14个小区，租期3年</w:t>
            </w:r>
          </w:p>
        </w:tc>
        <w:tc>
          <w:tcPr>
            <w:tcW w:w="58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86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bl>
    <w:p>
      <w:pPr>
        <w:pStyle w:val="2"/>
        <w:shd w:val="clear" w:color="auto" w:fill="auto"/>
        <w:spacing w:before="120"/>
        <w:ind w:firstLine="0" w:firstLineChars="0"/>
        <w:rPr>
          <w:rFonts w:hint="eastAsia"/>
          <w:color w:val="000000"/>
          <w:sz w:val="15"/>
          <w:szCs w:val="15"/>
          <w:highlight w:val="none"/>
        </w:rPr>
      </w:pPr>
    </w:p>
    <w:tbl>
      <w:tblPr>
        <w:tblStyle w:val="62"/>
        <w:tblW w:w="8953" w:type="dxa"/>
        <w:tblInd w:w="96" w:type="dxa"/>
        <w:tblLayout w:type="fixed"/>
        <w:tblCellMar>
          <w:top w:w="0" w:type="dxa"/>
          <w:left w:w="108" w:type="dxa"/>
          <w:bottom w:w="0" w:type="dxa"/>
          <w:right w:w="108" w:type="dxa"/>
        </w:tblCellMar>
      </w:tblPr>
      <w:tblGrid>
        <w:gridCol w:w="452"/>
        <w:gridCol w:w="1440"/>
        <w:gridCol w:w="5621"/>
        <w:gridCol w:w="627"/>
        <w:gridCol w:w="813"/>
      </w:tblGrid>
      <w:tr>
        <w:tblPrEx>
          <w:tblCellMar>
            <w:top w:w="0" w:type="dxa"/>
            <w:left w:w="108" w:type="dxa"/>
            <w:bottom w:w="0" w:type="dxa"/>
            <w:right w:w="108" w:type="dxa"/>
          </w:tblCellMar>
        </w:tblPrEx>
        <w:trPr>
          <w:trHeight w:val="800" w:hRule="atLeast"/>
        </w:trPr>
        <w:tc>
          <w:tcPr>
            <w:tcW w:w="8953"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hint="eastAsia" w:ascii="华文细黑" w:hAnsi="华文细黑" w:eastAsia="华文细黑" w:cs="华文细黑"/>
                <w:b/>
                <w:bCs/>
                <w:color w:val="000000"/>
                <w:kern w:val="0"/>
                <w:sz w:val="15"/>
                <w:szCs w:val="15"/>
                <w:highlight w:val="none"/>
                <w:lang w:bidi="ar"/>
              </w:rPr>
              <w:t>11</w:t>
            </w:r>
            <w:r>
              <w:rPr>
                <w:rFonts w:ascii="华文细黑" w:hAnsi="华文细黑" w:eastAsia="华文细黑" w:cs="华文细黑"/>
                <w:b/>
                <w:bCs/>
                <w:color w:val="000000"/>
                <w:kern w:val="0"/>
                <w:sz w:val="15"/>
                <w:szCs w:val="15"/>
                <w:highlight w:val="none"/>
                <w:lang w:bidi="ar"/>
              </w:rPr>
              <w:t>城厢街道智安小区项目设备清单（萧然西路585号）</w:t>
            </w: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序号</w:t>
            </w:r>
          </w:p>
        </w:tc>
        <w:tc>
          <w:tcPr>
            <w:tcW w:w="1440"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名称</w:t>
            </w:r>
          </w:p>
        </w:tc>
        <w:tc>
          <w:tcPr>
            <w:tcW w:w="5621"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参数</w:t>
            </w:r>
          </w:p>
        </w:tc>
        <w:tc>
          <w:tcPr>
            <w:tcW w:w="627"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单位</w:t>
            </w:r>
          </w:p>
        </w:tc>
        <w:tc>
          <w:tcPr>
            <w:tcW w:w="813"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数量</w:t>
            </w:r>
          </w:p>
        </w:tc>
      </w:tr>
      <w:tr>
        <w:tblPrEx>
          <w:tblCellMar>
            <w:top w:w="0" w:type="dxa"/>
            <w:left w:w="108" w:type="dxa"/>
            <w:bottom w:w="0" w:type="dxa"/>
            <w:right w:w="108" w:type="dxa"/>
          </w:tblCellMar>
        </w:tblPrEx>
        <w:trPr>
          <w:trHeight w:val="523" w:hRule="atLeast"/>
        </w:trPr>
        <w:tc>
          <w:tcPr>
            <w:tcW w:w="8140"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1.综合管理平台</w:t>
            </w:r>
          </w:p>
        </w:tc>
        <w:tc>
          <w:tcPr>
            <w:tcW w:w="813"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视频监控授权</w:t>
            </w:r>
          </w:p>
        </w:tc>
        <w:tc>
          <w:tcPr>
            <w:tcW w:w="5621"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1、视频应用模块：视频预览、录像回放、下载中心、电视墙、雷球联动。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2、视频管理模块：设备管理、存储管理、电视墙配置。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3、视频服务组件：视频设备接入、流媒体服务、录像管理服务、报警管理服务、电视墙服务、主动注册服务、三方设备接入服务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4、BIG：支持与车载单兵等移动设备的对接，提供车载单兵设备GPS信息接收服务。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5、MAG：支持手机移动客户端（5060）进行实时视频监控，音频播放，本地截图，本地录像，云台控制，远程视频回放</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8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 </w:t>
            </w: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小区业务授权</w:t>
            </w:r>
          </w:p>
        </w:tc>
        <w:tc>
          <w:tcPr>
            <w:tcW w:w="5621"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支持小区、楼栋、房屋、人员、用户等基础信息登记</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8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515" w:hRule="atLeast"/>
        </w:trPr>
        <w:tc>
          <w:tcPr>
            <w:tcW w:w="8140"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2.人脸采集设备</w:t>
            </w:r>
          </w:p>
        </w:tc>
        <w:tc>
          <w:tcPr>
            <w:tcW w:w="813"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人脸枪机</w:t>
            </w:r>
          </w:p>
        </w:tc>
        <w:tc>
          <w:tcPr>
            <w:tcW w:w="562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1）像素：不小于400万</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2）最大分辨率：不小于2688×1520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3）传感器：不小于1/1.8英寸CMOS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4）镜头：不小于10mm~40mm电动变焦镜头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5）最低照度：不低于0.001Lux（彩色模式）；0.0001Lux（黑白模式）;0Lux（补光灯开启）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6）视场角：不小于水平：43°~12° 垂直：24°~7° 对角：50°~13°</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7）人脸功能：支持人脸检测;支持跟踪;支持优选;支持抓拍;支持上报最优的人脸抓图;支持人脸增强,支持人脸曝光;支持人脸属性提取,支持6种属性8种表情:性别,年龄,眼镜,表情（愤怒,平静,高兴,悲伤,厌恶,惊讶,困惑,害怕）,口罩,胡子,支持人脸抠图区域可设:人脸, 单寸照;支持实时抓拍、优选抓拍、质量优先三种抓拍策略;支持人脸角度过滤功能;支持优选时长可设</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8）最大补光距离：人脸检测距离：不小于30m；视频监控距离：不小于60m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9）补光灯：不少于6颗（暖光灯）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10）防护等级：不低于IP66</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8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结构化球机</w:t>
            </w:r>
          </w:p>
        </w:tc>
        <w:tc>
          <w:tcPr>
            <w:tcW w:w="562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 像素: 全景不小于400万 细节不小于400万</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 最大分辨率: 全景2688×1520细节2688×1520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3) 传感器类型: 全景1/1.8英寸CMOS；细节1/1.8英寸CMOS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4) 补光灯数量: 全景4颗（白光灯）细节4颗（红外灯）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 镜头焦距: 全景8~32mm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6) 细节5.4mm~135mm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7) 镜头光圈: 全景F1.6 细节F1.6-F4.0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8) 网络接口: 1个（内置RJ-45网口，支持10M/100M网络数据）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9) 网络适应功能检验:在丢包率设置为30%的网络环境下，可显示监视画面，画面不卡顿</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10) 人脸识别屏蔽区域功能检验:可通过IE浏览器设置人脸识别屏蔽区域，屏蔽区域位置可设</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11) 重量检测:样机小于等于9kg</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12) 双云台功能检验:样机具备全景、细节两个摄像机云台，且都可通过IE浏览器设置云台转动位置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13) 抓拍距离检验：样机可看清150米处人体轮廓，并进行抓拍生成人体小图。</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14) 目标抓拍速度检验:在自动跟踪模式下，样机每分钟可对不少于100个框选跟踪目标进行特写抓拍</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15) 细节摄像机水平旋转范围：水平角度0～250°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16) 传输能力检验:样机与客户端之间用400m 五类非屏蔽网线直接连接，预览正常不卡顿</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17) 断网续传功能检验:当网络断开后，样机可将录像文件存储至内置SD卡中，当网络恢复后，再将这些录像文件上传至ＮAS中或服务器中</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8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抱杆支架1</w:t>
            </w:r>
          </w:p>
        </w:tc>
        <w:tc>
          <w:tcPr>
            <w:tcW w:w="562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1米</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根</w:t>
            </w:r>
          </w:p>
        </w:tc>
        <w:tc>
          <w:tcPr>
            <w:tcW w:w="8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6米L杆件1</w:t>
            </w:r>
          </w:p>
        </w:tc>
        <w:tc>
          <w:tcPr>
            <w:tcW w:w="562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高6米，挑5米</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8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515" w:hRule="atLeast"/>
        </w:trPr>
        <w:tc>
          <w:tcPr>
            <w:tcW w:w="8140"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3.网络设备</w:t>
            </w:r>
          </w:p>
        </w:tc>
        <w:tc>
          <w:tcPr>
            <w:tcW w:w="813"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24口接入交换机</w:t>
            </w:r>
          </w:p>
        </w:tc>
        <w:tc>
          <w:tcPr>
            <w:tcW w:w="562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L2以太网交换机主机,交换容量336Gbps,包转发率108Mbps,支持24个10/100/1000BASE-T电口,支持4个1G/10G BASE-X SFP+端口,支持AC</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8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472" w:hRule="atLeast"/>
        </w:trPr>
        <w:tc>
          <w:tcPr>
            <w:tcW w:w="8140"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4.管线及网络费用</w:t>
            </w:r>
          </w:p>
        </w:tc>
        <w:tc>
          <w:tcPr>
            <w:tcW w:w="813"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抱杆机箱</w:t>
            </w:r>
          </w:p>
        </w:tc>
        <w:tc>
          <w:tcPr>
            <w:tcW w:w="562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定制</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8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 </w:t>
            </w: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落地机箱</w:t>
            </w:r>
          </w:p>
        </w:tc>
        <w:tc>
          <w:tcPr>
            <w:tcW w:w="562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定制</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8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取电线缆</w:t>
            </w:r>
          </w:p>
        </w:tc>
        <w:tc>
          <w:tcPr>
            <w:tcW w:w="562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电源线YJV3*4</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8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20 </w:t>
            </w: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光缆</w:t>
            </w:r>
          </w:p>
        </w:tc>
        <w:tc>
          <w:tcPr>
            <w:tcW w:w="562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4芯光缆，含光缆熔接，光缆终端盒等</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8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24 </w:t>
            </w: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防水网线</w:t>
            </w:r>
          </w:p>
        </w:tc>
        <w:tc>
          <w:tcPr>
            <w:tcW w:w="562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防水网线，六类非屏蔽双绞线</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8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49 </w:t>
            </w: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电源线缆</w:t>
            </w:r>
          </w:p>
        </w:tc>
        <w:tc>
          <w:tcPr>
            <w:tcW w:w="562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RVV3*1</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8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49 </w:t>
            </w: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设备安装费</w:t>
            </w:r>
          </w:p>
        </w:tc>
        <w:tc>
          <w:tcPr>
            <w:tcW w:w="5621"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设备安装及调试</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8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 </w:t>
            </w:r>
          </w:p>
        </w:tc>
      </w:tr>
      <w:tr>
        <w:tblPrEx>
          <w:tblCellMar>
            <w:top w:w="0" w:type="dxa"/>
            <w:left w:w="108" w:type="dxa"/>
            <w:bottom w:w="0" w:type="dxa"/>
            <w:right w:w="108" w:type="dxa"/>
          </w:tblCellMar>
        </w:tblPrEx>
        <w:trPr>
          <w:trHeight w:val="800" w:hRule="atLeast"/>
        </w:trPr>
        <w:tc>
          <w:tcPr>
            <w:tcW w:w="452"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链路费</w:t>
            </w:r>
          </w:p>
        </w:tc>
        <w:tc>
          <w:tcPr>
            <w:tcW w:w="5621"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感知网租赁费，租期3年</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81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bl>
    <w:p>
      <w:pPr>
        <w:pStyle w:val="2"/>
        <w:shd w:val="clear" w:color="auto" w:fill="auto"/>
        <w:spacing w:before="120"/>
        <w:ind w:firstLine="0" w:firstLineChars="0"/>
        <w:rPr>
          <w:rFonts w:hint="eastAsia"/>
          <w:color w:val="000000"/>
          <w:highlight w:val="none"/>
        </w:rPr>
      </w:pPr>
    </w:p>
    <w:tbl>
      <w:tblPr>
        <w:tblStyle w:val="62"/>
        <w:tblW w:w="8767" w:type="dxa"/>
        <w:tblInd w:w="96" w:type="dxa"/>
        <w:tblLayout w:type="fixed"/>
        <w:tblCellMar>
          <w:top w:w="0" w:type="dxa"/>
          <w:left w:w="108" w:type="dxa"/>
          <w:bottom w:w="0" w:type="dxa"/>
          <w:right w:w="108" w:type="dxa"/>
        </w:tblCellMar>
      </w:tblPr>
      <w:tblGrid>
        <w:gridCol w:w="445"/>
        <w:gridCol w:w="1695"/>
        <w:gridCol w:w="5333"/>
        <w:gridCol w:w="600"/>
        <w:gridCol w:w="694"/>
      </w:tblGrid>
      <w:tr>
        <w:tblPrEx>
          <w:tblCellMar>
            <w:top w:w="0" w:type="dxa"/>
            <w:left w:w="108" w:type="dxa"/>
            <w:bottom w:w="0" w:type="dxa"/>
            <w:right w:w="108" w:type="dxa"/>
          </w:tblCellMar>
        </w:tblPrEx>
        <w:trPr>
          <w:trHeight w:val="800" w:hRule="atLeast"/>
        </w:trPr>
        <w:tc>
          <w:tcPr>
            <w:tcW w:w="8767"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hint="eastAsia" w:ascii="华文细黑" w:hAnsi="华文细黑" w:eastAsia="华文细黑" w:cs="华文细黑"/>
                <w:b/>
                <w:bCs/>
                <w:color w:val="000000"/>
                <w:kern w:val="0"/>
                <w:sz w:val="15"/>
                <w:szCs w:val="15"/>
                <w:highlight w:val="none"/>
                <w:lang w:bidi="ar"/>
              </w:rPr>
              <w:t>12</w:t>
            </w:r>
            <w:r>
              <w:rPr>
                <w:rFonts w:ascii="华文细黑" w:hAnsi="华文细黑" w:eastAsia="华文细黑" w:cs="华文细黑"/>
                <w:b/>
                <w:bCs/>
                <w:color w:val="000000"/>
                <w:kern w:val="0"/>
                <w:sz w:val="15"/>
                <w:szCs w:val="15"/>
                <w:highlight w:val="none"/>
                <w:lang w:bidi="ar"/>
              </w:rPr>
              <w:t>城厢街道智安小区项目设备清单（育才西苑）</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序号</w:t>
            </w:r>
          </w:p>
        </w:tc>
        <w:tc>
          <w:tcPr>
            <w:tcW w:w="1695"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名称</w:t>
            </w:r>
          </w:p>
        </w:tc>
        <w:tc>
          <w:tcPr>
            <w:tcW w:w="5333"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参数</w:t>
            </w:r>
          </w:p>
        </w:tc>
        <w:tc>
          <w:tcPr>
            <w:tcW w:w="600"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单位</w:t>
            </w:r>
          </w:p>
        </w:tc>
        <w:tc>
          <w:tcPr>
            <w:tcW w:w="694" w:type="dxa"/>
            <w:tcBorders>
              <w:top w:val="single" w:color="000000" w:sz="4" w:space="0"/>
              <w:left w:val="single" w:color="000000" w:sz="4" w:space="0"/>
              <w:bottom w:val="nil"/>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8073"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1.综合管理平台</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视频监控授权</w:t>
            </w:r>
          </w:p>
        </w:tc>
        <w:tc>
          <w:tcPr>
            <w:tcW w:w="5333"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1、视频应用模块：视频预览、录像回放、下载中心、电视墙、雷球联动。</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2、视频管理模块：设备管理、存储管理、电视墙配置。</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3、视频服务组件：视频设备接入、流媒体服务、录像管理服务、报警管理服务、电视墙服务、主动注册服务、三方设备接入服务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4、BIG：支持与车载单兵等移动设备的对接，提供车载单兵设备GPS信息接收服务。</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5、MAG：支持手机移动客户端（5060）进行实时视频监控，音频播放，本地截图，本地录像，云台控制，远程视频回放</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69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3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小区业务授权</w:t>
            </w:r>
          </w:p>
        </w:tc>
        <w:tc>
          <w:tcPr>
            <w:tcW w:w="5333"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支持小区、楼栋、房屋、人员、用户等基础信息登记</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69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8073"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2.人脸采集设备</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人脸枪机</w:t>
            </w:r>
          </w:p>
        </w:tc>
        <w:tc>
          <w:tcPr>
            <w:tcW w:w="533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1）像素：不小于400万</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2）最大分辨率：不小于2688×1520</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3）传感器：不小于1/1.8英寸CMOS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4）镜头：不小于10mm~40mm电动变焦镜头</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5）最低照度：不低于0.001Lux（彩色模式）；0.0001Lux（黑白模式）;0Lux（补光灯开启）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6）视场角：不小于水平：43°~12° 垂直：24°~7° 对角：50°~13°</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7）人脸功能：支持人脸检测;支持跟踪;支持优选;支持抓拍;支持上报最优的人脸抓图;支持人脸增强,支持人脸曝光;支持人脸属性提取,支持6种属性8种表情:性别,年龄,眼镜,表情（愤怒,平静,高兴,悲伤,厌恶,惊讶,困惑,害怕）,口罩,胡子,支持人脸抠图区域可设:人脸, 单寸照;支持实时抓拍、优选抓拍、质量优先三种抓拍策略;支持人脸角度过滤功能;支持优选时长可设</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8）最大补光距离：人脸检测距离：不小于30m；视频监控距离：不小于60m</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9）补光灯：不少于6颗（暖光灯）</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10）防护等级：不低于IP66</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69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抱杆支架1</w:t>
            </w:r>
          </w:p>
        </w:tc>
        <w:tc>
          <w:tcPr>
            <w:tcW w:w="533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1米</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根</w:t>
            </w:r>
          </w:p>
        </w:tc>
        <w:tc>
          <w:tcPr>
            <w:tcW w:w="69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8073"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3.车牌识别系统</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一体化卡口抓拍单元</w:t>
            </w:r>
          </w:p>
        </w:tc>
        <w:tc>
          <w:tcPr>
            <w:tcW w:w="533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像素：900W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分辨率：最大支持4096*2160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帧率：25fps</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图像传感器：采用1" 英寸全局曝光CMOS（GMOS）传感器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镜头：16mm镜头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照度：彩色:0.01Lux  黑色:0.008Lux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 xml:space="preserve">视频压缩标准：H.265/H.264/MJPEG </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图像输出格式：JPEG 输出：电平量信号</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通讯接口：2个RJ45 100M/1000M自适应网口，3个RS485接口，1个RS232接口</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外部接口：4路外部触发输入，6路(5V TTL电平量)输出，可作为闪光灯同步输出控制，SYNC信号灯电源同步输入</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存储支持：最大支持128G TF卡 自动光圈镜头：支持</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工作电压：220VAC±20%；频率：50HZ±2%；功耗：＜20W</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目标检测：机动车抓拍，车辆捕获率≥95%</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违章检测：闯红灯、不按规定车道行驶、压线、逆行等违法行为</w:t>
            </w:r>
            <w:r>
              <w:rPr>
                <w:rFonts w:hint="eastAsia" w:ascii="宋体" w:hAnsi="宋体" w:cs="宋体"/>
                <w:color w:val="000000"/>
                <w:kern w:val="0"/>
                <w:sz w:val="15"/>
                <w:szCs w:val="15"/>
                <w:highlight w:val="none"/>
                <w:lang w:bidi="ar"/>
              </w:rPr>
              <w:br w:type="textWrapping"/>
            </w:r>
            <w:r>
              <w:rPr>
                <w:rFonts w:hint="eastAsia" w:ascii="宋体" w:hAnsi="宋体" w:cs="宋体"/>
                <w:color w:val="000000"/>
                <w:kern w:val="0"/>
                <w:sz w:val="15"/>
                <w:szCs w:val="15"/>
                <w:highlight w:val="none"/>
                <w:lang w:bidi="ar"/>
              </w:rPr>
              <w:t>车辆特征检测：车牌识别、车型识别、车身颜色识别(环境光有要求)、违章检测、车辆品牌等特征检测</w:t>
            </w:r>
            <w:r>
              <w:rPr>
                <w:rFonts w:hint="eastAsia" w:ascii="宋体" w:hAnsi="宋体" w:cs="宋体"/>
                <w:b/>
                <w:bCs/>
                <w:color w:val="000000"/>
                <w:kern w:val="0"/>
                <w:sz w:val="15"/>
                <w:szCs w:val="15"/>
                <w:highlight w:val="none"/>
                <w:lang w:bidi="ar"/>
              </w:rPr>
              <w:t xml:space="preserve"> </w:t>
            </w:r>
            <w:r>
              <w:rPr>
                <w:rFonts w:hint="eastAsia" w:ascii="宋体" w:hAnsi="宋体" w:cs="宋体"/>
                <w:color w:val="000000"/>
                <w:kern w:val="0"/>
                <w:sz w:val="15"/>
                <w:szCs w:val="15"/>
                <w:highlight w:val="none"/>
                <w:lang w:bidi="ar"/>
              </w:rPr>
              <w:t xml:space="preserve">                 </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69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6米L杆件2</w:t>
            </w:r>
          </w:p>
        </w:tc>
        <w:tc>
          <w:tcPr>
            <w:tcW w:w="533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高6米，挑3米</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69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8073"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4.网络设备</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24口接入交换机</w:t>
            </w:r>
          </w:p>
        </w:tc>
        <w:tc>
          <w:tcPr>
            <w:tcW w:w="533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L2以太网交换机主机,交换容量336Gbps,包转发率108Mbps,支持24个10/100/1000BASE-T电口,支持4个1G/10G BASE-X SFP+端口,支持AC</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69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8073"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5.管线及网络费用</w:t>
            </w:r>
          </w:p>
        </w:tc>
        <w:tc>
          <w:tcPr>
            <w:tcW w:w="694"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抱杆机箱</w:t>
            </w:r>
          </w:p>
        </w:tc>
        <w:tc>
          <w:tcPr>
            <w:tcW w:w="533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定制</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69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落地机箱</w:t>
            </w:r>
          </w:p>
        </w:tc>
        <w:tc>
          <w:tcPr>
            <w:tcW w:w="533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定制</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69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3</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取电线缆</w:t>
            </w:r>
          </w:p>
        </w:tc>
        <w:tc>
          <w:tcPr>
            <w:tcW w:w="533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电源线YJV3*4</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69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29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光缆</w:t>
            </w:r>
          </w:p>
        </w:tc>
        <w:tc>
          <w:tcPr>
            <w:tcW w:w="533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4芯光缆，含光缆熔接，光缆终端盒等</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69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37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防水网线</w:t>
            </w:r>
          </w:p>
        </w:tc>
        <w:tc>
          <w:tcPr>
            <w:tcW w:w="533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防水网线，六类非屏蔽双绞线</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69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73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电源线缆</w:t>
            </w:r>
          </w:p>
        </w:tc>
        <w:tc>
          <w:tcPr>
            <w:tcW w:w="533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RVV3*1</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m</w:t>
            </w:r>
          </w:p>
        </w:tc>
        <w:tc>
          <w:tcPr>
            <w:tcW w:w="69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73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设备安装费</w:t>
            </w:r>
          </w:p>
        </w:tc>
        <w:tc>
          <w:tcPr>
            <w:tcW w:w="5333"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设备安装及调试</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69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3 </w:t>
            </w:r>
          </w:p>
        </w:tc>
      </w:tr>
      <w:tr>
        <w:tblPrEx>
          <w:tblCellMar>
            <w:top w:w="0" w:type="dxa"/>
            <w:left w:w="108" w:type="dxa"/>
            <w:bottom w:w="0" w:type="dxa"/>
            <w:right w:w="108" w:type="dxa"/>
          </w:tblCellMar>
        </w:tblPrEx>
        <w:trPr>
          <w:trHeight w:val="80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链路费</w:t>
            </w:r>
          </w:p>
        </w:tc>
        <w:tc>
          <w:tcPr>
            <w:tcW w:w="533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感知网租赁费，租期3年</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694"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 xml:space="preserve">1 </w:t>
            </w:r>
          </w:p>
        </w:tc>
      </w:tr>
    </w:tbl>
    <w:p>
      <w:pPr>
        <w:pStyle w:val="2"/>
        <w:shd w:val="clear" w:color="auto" w:fill="auto"/>
        <w:spacing w:before="120"/>
        <w:ind w:firstLine="0" w:firstLineChars="0"/>
        <w:rPr>
          <w:rFonts w:hint="eastAsia"/>
          <w:color w:val="000000"/>
          <w:highlight w:val="none"/>
        </w:rPr>
      </w:pPr>
    </w:p>
    <w:tbl>
      <w:tblPr>
        <w:tblStyle w:val="62"/>
        <w:tblW w:w="8796" w:type="dxa"/>
        <w:tblInd w:w="96" w:type="dxa"/>
        <w:tblLayout w:type="fixed"/>
        <w:tblCellMar>
          <w:top w:w="0" w:type="dxa"/>
          <w:left w:w="108" w:type="dxa"/>
          <w:bottom w:w="0" w:type="dxa"/>
          <w:right w:w="108" w:type="dxa"/>
        </w:tblCellMar>
      </w:tblPr>
      <w:tblGrid>
        <w:gridCol w:w="487"/>
        <w:gridCol w:w="1623"/>
        <w:gridCol w:w="5379"/>
        <w:gridCol w:w="600"/>
        <w:gridCol w:w="707"/>
      </w:tblGrid>
      <w:tr>
        <w:tblPrEx>
          <w:tblCellMar>
            <w:top w:w="0" w:type="dxa"/>
            <w:left w:w="108" w:type="dxa"/>
            <w:bottom w:w="0" w:type="dxa"/>
            <w:right w:w="108" w:type="dxa"/>
          </w:tblCellMar>
        </w:tblPrEx>
        <w:trPr>
          <w:trHeight w:val="800" w:hRule="atLeast"/>
        </w:trPr>
        <w:tc>
          <w:tcPr>
            <w:tcW w:w="8796"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hint="eastAsia" w:ascii="华文细黑" w:hAnsi="华文细黑" w:eastAsia="华文细黑" w:cs="华文细黑"/>
                <w:b/>
                <w:bCs/>
                <w:color w:val="000000"/>
                <w:kern w:val="0"/>
                <w:sz w:val="15"/>
                <w:szCs w:val="15"/>
                <w:highlight w:val="none"/>
                <w:lang w:bidi="ar"/>
              </w:rPr>
              <w:t>13</w:t>
            </w:r>
            <w:r>
              <w:rPr>
                <w:rFonts w:ascii="华文细黑" w:hAnsi="华文细黑" w:eastAsia="华文细黑" w:cs="华文细黑"/>
                <w:b/>
                <w:bCs/>
                <w:color w:val="000000"/>
                <w:kern w:val="0"/>
                <w:sz w:val="15"/>
                <w:szCs w:val="15"/>
                <w:highlight w:val="none"/>
                <w:lang w:bidi="ar"/>
              </w:rPr>
              <w:t>城厢街道智安小区项目设备清单（萧然大厦）</w:t>
            </w:r>
          </w:p>
        </w:tc>
      </w:tr>
      <w:tr>
        <w:tblPrEx>
          <w:tblCellMar>
            <w:top w:w="0" w:type="dxa"/>
            <w:left w:w="108" w:type="dxa"/>
            <w:bottom w:w="0" w:type="dxa"/>
            <w:right w:w="108" w:type="dxa"/>
          </w:tblCellMar>
        </w:tblPrEx>
        <w:trPr>
          <w:trHeight w:val="652" w:hRule="atLeast"/>
        </w:trPr>
        <w:tc>
          <w:tcPr>
            <w:tcW w:w="487"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序号</w:t>
            </w:r>
          </w:p>
        </w:tc>
        <w:tc>
          <w:tcPr>
            <w:tcW w:w="1623"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名称</w:t>
            </w:r>
          </w:p>
        </w:tc>
        <w:tc>
          <w:tcPr>
            <w:tcW w:w="5379"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参数</w:t>
            </w:r>
          </w:p>
        </w:tc>
        <w:tc>
          <w:tcPr>
            <w:tcW w:w="600"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单位</w:t>
            </w:r>
          </w:p>
        </w:tc>
        <w:tc>
          <w:tcPr>
            <w:tcW w:w="707"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8089"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1.综合管理平台</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8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2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小区业务授权</w:t>
            </w:r>
          </w:p>
        </w:tc>
        <w:tc>
          <w:tcPr>
            <w:tcW w:w="5379"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支持小区、楼栋、房屋、人员、用户等基础信息登记</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70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8089"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2.网络设备</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8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2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24口接入交换机</w:t>
            </w:r>
          </w:p>
        </w:tc>
        <w:tc>
          <w:tcPr>
            <w:tcW w:w="5379"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L2以太网交换机主机,交换容量336Gbps,包转发率108Mbps,支持24个10/100/1000BASE-T电口,支持4个1G/10G BASE-X SFP+端口,支持AC</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8089"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3.管线及网络费用</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8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2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落地机箱</w:t>
            </w:r>
          </w:p>
        </w:tc>
        <w:tc>
          <w:tcPr>
            <w:tcW w:w="5379"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定制</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70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8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62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链路费</w:t>
            </w:r>
          </w:p>
        </w:tc>
        <w:tc>
          <w:tcPr>
            <w:tcW w:w="5379"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感知网租赁费，租期3年</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70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pStyle w:val="2"/>
        <w:shd w:val="clear" w:color="auto" w:fill="auto"/>
        <w:spacing w:before="120"/>
        <w:ind w:firstLine="0" w:firstLineChars="0"/>
        <w:rPr>
          <w:rFonts w:hint="eastAsia"/>
          <w:color w:val="000000"/>
          <w:highlight w:val="none"/>
        </w:rPr>
      </w:pPr>
    </w:p>
    <w:tbl>
      <w:tblPr>
        <w:tblStyle w:val="62"/>
        <w:tblW w:w="8767" w:type="dxa"/>
        <w:tblInd w:w="96" w:type="dxa"/>
        <w:tblLayout w:type="fixed"/>
        <w:tblCellMar>
          <w:top w:w="0" w:type="dxa"/>
          <w:left w:w="108" w:type="dxa"/>
          <w:bottom w:w="0" w:type="dxa"/>
          <w:right w:w="108" w:type="dxa"/>
        </w:tblCellMar>
      </w:tblPr>
      <w:tblGrid>
        <w:gridCol w:w="487"/>
        <w:gridCol w:w="1623"/>
        <w:gridCol w:w="5377"/>
        <w:gridCol w:w="600"/>
        <w:gridCol w:w="680"/>
      </w:tblGrid>
      <w:tr>
        <w:tblPrEx>
          <w:tblCellMar>
            <w:top w:w="0" w:type="dxa"/>
            <w:left w:w="108" w:type="dxa"/>
            <w:bottom w:w="0" w:type="dxa"/>
            <w:right w:w="108" w:type="dxa"/>
          </w:tblCellMar>
        </w:tblPrEx>
        <w:trPr>
          <w:trHeight w:val="549" w:hRule="atLeast"/>
        </w:trPr>
        <w:tc>
          <w:tcPr>
            <w:tcW w:w="8767"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hint="eastAsia" w:ascii="华文细黑" w:hAnsi="华文细黑" w:eastAsia="华文细黑" w:cs="华文细黑"/>
                <w:b/>
                <w:bCs/>
                <w:color w:val="000000"/>
                <w:kern w:val="0"/>
                <w:sz w:val="15"/>
                <w:szCs w:val="15"/>
                <w:highlight w:val="none"/>
                <w:lang w:bidi="ar"/>
              </w:rPr>
              <w:t>14</w:t>
            </w:r>
            <w:r>
              <w:rPr>
                <w:rFonts w:ascii="华文细黑" w:hAnsi="华文细黑" w:eastAsia="华文细黑" w:cs="华文细黑"/>
                <w:b/>
                <w:bCs/>
                <w:color w:val="000000"/>
                <w:kern w:val="0"/>
                <w:sz w:val="15"/>
                <w:szCs w:val="15"/>
                <w:highlight w:val="none"/>
                <w:lang w:bidi="ar"/>
              </w:rPr>
              <w:t>城厢街道智安小区项目设备清单（新世纪广场B座）</w:t>
            </w:r>
          </w:p>
        </w:tc>
      </w:tr>
      <w:tr>
        <w:tblPrEx>
          <w:tblCellMar>
            <w:top w:w="0" w:type="dxa"/>
            <w:left w:w="108" w:type="dxa"/>
            <w:bottom w:w="0" w:type="dxa"/>
            <w:right w:w="108" w:type="dxa"/>
          </w:tblCellMar>
        </w:tblPrEx>
        <w:trPr>
          <w:trHeight w:val="800" w:hRule="atLeast"/>
        </w:trPr>
        <w:tc>
          <w:tcPr>
            <w:tcW w:w="487"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序号</w:t>
            </w:r>
          </w:p>
        </w:tc>
        <w:tc>
          <w:tcPr>
            <w:tcW w:w="1623"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名称</w:t>
            </w:r>
          </w:p>
        </w:tc>
        <w:tc>
          <w:tcPr>
            <w:tcW w:w="5377"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参数</w:t>
            </w:r>
          </w:p>
        </w:tc>
        <w:tc>
          <w:tcPr>
            <w:tcW w:w="600"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单位</w:t>
            </w:r>
          </w:p>
        </w:tc>
        <w:tc>
          <w:tcPr>
            <w:tcW w:w="680" w:type="dxa"/>
            <w:tcBorders>
              <w:top w:val="single" w:color="000000" w:sz="4" w:space="0"/>
              <w:left w:val="single" w:color="000000" w:sz="4" w:space="0"/>
              <w:bottom w:val="single" w:color="000000" w:sz="4" w:space="0"/>
              <w:right w:val="single" w:color="000000" w:sz="4" w:space="0"/>
            </w:tcBorders>
            <w:shd w:val="clear" w:color="auto" w:fill="969696"/>
            <w:noWrap w:val="0"/>
            <w:vAlign w:val="center"/>
          </w:tcPr>
          <w:p>
            <w:pPr>
              <w:widowControl/>
              <w:shd w:val="clear" w:color="auto" w:fill="auto"/>
              <w:jc w:val="center"/>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数量</w:t>
            </w:r>
          </w:p>
        </w:tc>
      </w:tr>
      <w:tr>
        <w:tblPrEx>
          <w:tblCellMar>
            <w:top w:w="0" w:type="dxa"/>
            <w:left w:w="108" w:type="dxa"/>
            <w:bottom w:w="0" w:type="dxa"/>
            <w:right w:w="108" w:type="dxa"/>
          </w:tblCellMar>
        </w:tblPrEx>
        <w:trPr>
          <w:trHeight w:val="800" w:hRule="atLeast"/>
        </w:trPr>
        <w:tc>
          <w:tcPr>
            <w:tcW w:w="8087"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1.综合管理平台</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8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2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小区业务授权</w:t>
            </w:r>
          </w:p>
        </w:tc>
        <w:tc>
          <w:tcPr>
            <w:tcW w:w="5377" w:type="dxa"/>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支持小区、楼栋、房屋、人员、用户等基础信息登记</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套</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8087"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2.网络设备</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8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2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24口接入交换机</w:t>
            </w:r>
          </w:p>
        </w:tc>
        <w:tc>
          <w:tcPr>
            <w:tcW w:w="537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L2以太网交换机主机,交换容量336Gbps,包转发率108Mbps,支持24个10/100/1000BASE-T电口,支持4个1G/10G BASE-X SFP+端口,支持AC</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台</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8087"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hd w:val="clear" w:color="auto" w:fill="auto"/>
              <w:jc w:val="left"/>
              <w:textAlignment w:val="center"/>
              <w:rPr>
                <w:rFonts w:ascii="华文细黑" w:hAnsi="华文细黑" w:eastAsia="华文细黑" w:cs="华文细黑"/>
                <w:b/>
                <w:bCs/>
                <w:color w:val="000000"/>
                <w:sz w:val="15"/>
                <w:szCs w:val="15"/>
                <w:highlight w:val="none"/>
              </w:rPr>
            </w:pPr>
            <w:r>
              <w:rPr>
                <w:rFonts w:ascii="华文细黑" w:hAnsi="华文细黑" w:eastAsia="华文细黑" w:cs="华文细黑"/>
                <w:b/>
                <w:bCs/>
                <w:color w:val="000000"/>
                <w:kern w:val="0"/>
                <w:sz w:val="15"/>
                <w:szCs w:val="15"/>
                <w:highlight w:val="none"/>
                <w:lang w:bidi="ar"/>
              </w:rPr>
              <w:t>3.管线及网络费用</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shd w:val="clear" w:color="auto" w:fill="auto"/>
              <w:jc w:val="center"/>
              <w:rPr>
                <w:rFonts w:ascii="华文细黑" w:hAnsi="华文细黑" w:eastAsia="华文细黑" w:cs="华文细黑"/>
                <w:b/>
                <w:bCs/>
                <w:color w:val="000000"/>
                <w:sz w:val="15"/>
                <w:szCs w:val="15"/>
                <w:highlight w:val="none"/>
              </w:rPr>
            </w:pPr>
          </w:p>
        </w:tc>
      </w:tr>
      <w:tr>
        <w:tblPrEx>
          <w:tblCellMar>
            <w:top w:w="0" w:type="dxa"/>
            <w:left w:w="108" w:type="dxa"/>
            <w:bottom w:w="0" w:type="dxa"/>
            <w:right w:w="108" w:type="dxa"/>
          </w:tblCellMar>
        </w:tblPrEx>
        <w:trPr>
          <w:trHeight w:val="800" w:hRule="atLeast"/>
        </w:trPr>
        <w:tc>
          <w:tcPr>
            <w:tcW w:w="48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c>
          <w:tcPr>
            <w:tcW w:w="162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落地机箱</w:t>
            </w:r>
          </w:p>
        </w:tc>
        <w:tc>
          <w:tcPr>
            <w:tcW w:w="537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定制</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个</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r>
        <w:tblPrEx>
          <w:tblCellMar>
            <w:top w:w="0" w:type="dxa"/>
            <w:left w:w="108" w:type="dxa"/>
            <w:bottom w:w="0" w:type="dxa"/>
            <w:right w:w="108" w:type="dxa"/>
          </w:tblCellMar>
        </w:tblPrEx>
        <w:trPr>
          <w:trHeight w:val="800" w:hRule="atLeast"/>
        </w:trPr>
        <w:tc>
          <w:tcPr>
            <w:tcW w:w="48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2</w:t>
            </w:r>
          </w:p>
        </w:tc>
        <w:tc>
          <w:tcPr>
            <w:tcW w:w="1623"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链路费</w:t>
            </w:r>
          </w:p>
        </w:tc>
        <w:tc>
          <w:tcPr>
            <w:tcW w:w="5377"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left"/>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感知网租赁费，租期3年</w:t>
            </w:r>
          </w:p>
        </w:tc>
        <w:tc>
          <w:tcPr>
            <w:tcW w:w="60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项</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widowControl/>
              <w:shd w:val="clear" w:color="auto" w:fill="auto"/>
              <w:jc w:val="center"/>
              <w:textAlignment w:val="center"/>
              <w:rPr>
                <w:rFonts w:hint="eastAsia" w:ascii="宋体" w:hAnsi="宋体" w:cs="宋体"/>
                <w:color w:val="000000"/>
                <w:sz w:val="15"/>
                <w:szCs w:val="15"/>
                <w:highlight w:val="none"/>
              </w:rPr>
            </w:pPr>
            <w:r>
              <w:rPr>
                <w:rFonts w:hint="eastAsia" w:ascii="宋体" w:hAnsi="宋体" w:cs="宋体"/>
                <w:color w:val="000000"/>
                <w:kern w:val="0"/>
                <w:sz w:val="15"/>
                <w:szCs w:val="15"/>
                <w:highlight w:val="none"/>
                <w:lang w:bidi="ar"/>
              </w:rPr>
              <w:t>1</w:t>
            </w:r>
          </w:p>
        </w:tc>
      </w:tr>
    </w:tbl>
    <w:p>
      <w:pPr>
        <w:pStyle w:val="2"/>
        <w:shd w:val="clear" w:color="auto" w:fill="auto"/>
        <w:spacing w:before="120"/>
        <w:ind w:firstLine="0" w:firstLineChars="0"/>
        <w:rPr>
          <w:rFonts w:hint="eastAsia"/>
          <w:color w:val="000000"/>
          <w:highlight w:val="none"/>
        </w:rPr>
      </w:pPr>
    </w:p>
    <w:p>
      <w:pPr>
        <w:pStyle w:val="2"/>
        <w:shd w:val="clear" w:color="auto" w:fill="auto"/>
        <w:spacing w:before="120"/>
        <w:ind w:firstLine="0" w:firstLineChars="0"/>
        <w:rPr>
          <w:rFonts w:hint="eastAsia" w:ascii="宋体" w:hAnsi="宋体" w:eastAsia="宋体" w:cs="宋体"/>
          <w:b/>
          <w:color w:val="000000"/>
          <w:sz w:val="24"/>
          <w:highlight w:val="none"/>
          <w:lang w:val="en-US" w:eastAsia="zh-CN"/>
        </w:rPr>
      </w:pPr>
      <w:r>
        <w:rPr>
          <w:rFonts w:hint="eastAsia" w:ascii="宋体" w:hAnsi="宋体" w:eastAsia="宋体" w:cs="宋体"/>
          <w:b/>
          <w:color w:val="000000"/>
          <w:sz w:val="24"/>
          <w:highlight w:val="none"/>
          <w:lang w:val="en-US" w:eastAsia="zh-CN"/>
        </w:rPr>
        <w:t>下表为主要设备推荐品牌，</w:t>
      </w:r>
      <w:r>
        <w:rPr>
          <w:rFonts w:hint="eastAsia" w:ascii="宋体" w:hAnsi="宋体" w:eastAsia="宋体" w:cs="宋体"/>
          <w:b/>
          <w:color w:val="000000"/>
          <w:sz w:val="24"/>
          <w:highlight w:val="none"/>
        </w:rPr>
        <w:t>除采购文件标注的参考品牌外，欢迎其它能满足本项目技术需求且性能与所注品牌相当的产品参与。</w:t>
      </w:r>
    </w:p>
    <w:tbl>
      <w:tblPr>
        <w:tblStyle w:val="62"/>
        <w:tblW w:w="915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0"/>
        <w:gridCol w:w="5911"/>
        <w:gridCol w:w="24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8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5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智安小区管理平台一体机</w:t>
            </w:r>
          </w:p>
        </w:tc>
        <w:tc>
          <w:tcPr>
            <w:tcW w:w="24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8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人脸摄像机</w:t>
            </w:r>
          </w:p>
        </w:tc>
        <w:tc>
          <w:tcPr>
            <w:tcW w:w="24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8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5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枪机壁装支架（通用）</w:t>
            </w:r>
          </w:p>
        </w:tc>
        <w:tc>
          <w:tcPr>
            <w:tcW w:w="24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8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5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万向节</w:t>
            </w:r>
          </w:p>
        </w:tc>
        <w:tc>
          <w:tcPr>
            <w:tcW w:w="24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8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5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室外枪机</w:t>
            </w:r>
          </w:p>
        </w:tc>
        <w:tc>
          <w:tcPr>
            <w:tcW w:w="24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8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5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高空抛物枪机</w:t>
            </w:r>
          </w:p>
        </w:tc>
        <w:tc>
          <w:tcPr>
            <w:tcW w:w="24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8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5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16路网络视频录像机</w:t>
            </w:r>
          </w:p>
        </w:tc>
        <w:tc>
          <w:tcPr>
            <w:tcW w:w="24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8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5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显示器</w:t>
            </w:r>
          </w:p>
        </w:tc>
        <w:tc>
          <w:tcPr>
            <w:tcW w:w="24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8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5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6T硬盘</w:t>
            </w:r>
          </w:p>
        </w:tc>
        <w:tc>
          <w:tcPr>
            <w:tcW w:w="24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希捷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8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10</w:t>
            </w:r>
          </w:p>
        </w:tc>
        <w:tc>
          <w:tcPr>
            <w:tcW w:w="5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室外人脸一体主机</w:t>
            </w:r>
          </w:p>
        </w:tc>
        <w:tc>
          <w:tcPr>
            <w:tcW w:w="24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8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11</w:t>
            </w:r>
          </w:p>
        </w:tc>
        <w:tc>
          <w:tcPr>
            <w:tcW w:w="5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指纹采集器</w:t>
            </w:r>
          </w:p>
        </w:tc>
        <w:tc>
          <w:tcPr>
            <w:tcW w:w="24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8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12</w:t>
            </w:r>
          </w:p>
        </w:tc>
        <w:tc>
          <w:tcPr>
            <w:tcW w:w="5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发卡器</w:t>
            </w:r>
          </w:p>
        </w:tc>
        <w:tc>
          <w:tcPr>
            <w:tcW w:w="24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8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13</w:t>
            </w:r>
          </w:p>
        </w:tc>
        <w:tc>
          <w:tcPr>
            <w:tcW w:w="5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闭门器</w:t>
            </w:r>
          </w:p>
        </w:tc>
        <w:tc>
          <w:tcPr>
            <w:tcW w:w="24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8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14</w:t>
            </w:r>
          </w:p>
        </w:tc>
        <w:tc>
          <w:tcPr>
            <w:tcW w:w="5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280KG单门防水磁力锁</w:t>
            </w:r>
          </w:p>
        </w:tc>
        <w:tc>
          <w:tcPr>
            <w:tcW w:w="24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8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15</w:t>
            </w:r>
          </w:p>
        </w:tc>
        <w:tc>
          <w:tcPr>
            <w:tcW w:w="5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广告人型摆闸</w:t>
            </w:r>
          </w:p>
        </w:tc>
        <w:tc>
          <w:tcPr>
            <w:tcW w:w="24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8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16</w:t>
            </w:r>
          </w:p>
        </w:tc>
        <w:tc>
          <w:tcPr>
            <w:tcW w:w="5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单门控制器</w:t>
            </w:r>
          </w:p>
        </w:tc>
        <w:tc>
          <w:tcPr>
            <w:tcW w:w="24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8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17</w:t>
            </w:r>
          </w:p>
        </w:tc>
        <w:tc>
          <w:tcPr>
            <w:tcW w:w="5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落地安装支架</w:t>
            </w:r>
          </w:p>
        </w:tc>
        <w:tc>
          <w:tcPr>
            <w:tcW w:w="24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8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18</w:t>
            </w:r>
          </w:p>
        </w:tc>
        <w:tc>
          <w:tcPr>
            <w:tcW w:w="5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车牌抓拍摄像机</w:t>
            </w:r>
          </w:p>
        </w:tc>
        <w:tc>
          <w:tcPr>
            <w:tcW w:w="24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8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19</w:t>
            </w:r>
          </w:p>
        </w:tc>
        <w:tc>
          <w:tcPr>
            <w:tcW w:w="5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摄像机立柱</w:t>
            </w:r>
          </w:p>
        </w:tc>
        <w:tc>
          <w:tcPr>
            <w:tcW w:w="24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20</w:t>
            </w:r>
          </w:p>
        </w:tc>
        <w:tc>
          <w:tcPr>
            <w:tcW w:w="59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24核心口交换机</w:t>
            </w:r>
          </w:p>
        </w:tc>
        <w:tc>
          <w:tcPr>
            <w:tcW w:w="24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H3C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21</w:t>
            </w:r>
          </w:p>
        </w:tc>
        <w:tc>
          <w:tcPr>
            <w:tcW w:w="59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24口交换机</w:t>
            </w:r>
          </w:p>
        </w:tc>
        <w:tc>
          <w:tcPr>
            <w:tcW w:w="24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H3C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22</w:t>
            </w:r>
          </w:p>
        </w:tc>
        <w:tc>
          <w:tcPr>
            <w:tcW w:w="59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8口交换机</w:t>
            </w:r>
          </w:p>
        </w:tc>
        <w:tc>
          <w:tcPr>
            <w:tcW w:w="24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H3C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23</w:t>
            </w:r>
          </w:p>
        </w:tc>
        <w:tc>
          <w:tcPr>
            <w:tcW w:w="59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千兆模块</w:t>
            </w:r>
          </w:p>
        </w:tc>
        <w:tc>
          <w:tcPr>
            <w:tcW w:w="24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H3C</w:t>
            </w:r>
          </w:p>
        </w:tc>
      </w:tr>
    </w:tbl>
    <w:p>
      <w:pPr>
        <w:pStyle w:val="2"/>
        <w:shd w:val="clear" w:color="auto" w:fill="auto"/>
        <w:spacing w:before="120"/>
        <w:ind w:firstLine="0" w:firstLineChars="0"/>
        <w:rPr>
          <w:rFonts w:hint="default"/>
          <w:color w:val="000000"/>
          <w:highlight w:val="none"/>
          <w:lang w:val="en-US" w:eastAsia="zh-CN"/>
        </w:rPr>
      </w:pPr>
    </w:p>
    <w:p>
      <w:pPr>
        <w:numPr>
          <w:ilvl w:val="0"/>
          <w:numId w:val="10"/>
        </w:numPr>
        <w:shd w:val="clear" w:color="auto" w:fill="auto"/>
        <w:tabs>
          <w:tab w:val="left" w:pos="2340"/>
        </w:tabs>
        <w:spacing w:line="360" w:lineRule="auto"/>
        <w:rPr>
          <w:rFonts w:hint="eastAsia" w:ascii="宋体" w:hAnsi="宋体" w:cs="宋体"/>
          <w:b/>
          <w:color w:val="000000"/>
          <w:sz w:val="20"/>
          <w:szCs w:val="20"/>
          <w:highlight w:val="none"/>
        </w:rPr>
      </w:pPr>
      <w:r>
        <w:rPr>
          <w:rFonts w:hint="eastAsia" w:ascii="宋体" w:hAnsi="宋体" w:cs="宋体"/>
          <w:b/>
          <w:color w:val="000000"/>
          <w:sz w:val="20"/>
          <w:szCs w:val="20"/>
          <w:highlight w:val="none"/>
        </w:rPr>
        <w:t>服务要求</w:t>
      </w:r>
    </w:p>
    <w:p>
      <w:pPr>
        <w:shd w:val="clear" w:color="auto" w:fill="auto"/>
        <w:tabs>
          <w:tab w:val="left" w:pos="2340"/>
        </w:tabs>
        <w:spacing w:line="360" w:lineRule="auto"/>
        <w:rPr>
          <w:rFonts w:hint="eastAsia" w:ascii="宋体" w:hAnsi="宋体" w:cs="宋体"/>
          <w:b/>
          <w:color w:val="000000"/>
          <w:sz w:val="20"/>
          <w:szCs w:val="20"/>
          <w:highlight w:val="none"/>
        </w:rPr>
      </w:pPr>
      <w:r>
        <w:rPr>
          <w:rFonts w:hint="eastAsia" w:ascii="宋体" w:hAnsi="宋体" w:cs="宋体"/>
          <w:b/>
          <w:color w:val="000000"/>
          <w:sz w:val="20"/>
          <w:szCs w:val="20"/>
          <w:highlight w:val="none"/>
        </w:rPr>
        <w:t>2.1具体要求</w:t>
      </w:r>
    </w:p>
    <w:p>
      <w:pPr>
        <w:shd w:val="clear" w:color="auto" w:fill="auto"/>
        <w:spacing w:line="360" w:lineRule="auto"/>
        <w:ind w:firstLine="440" w:firstLineChars="200"/>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合同签订后100个日历天内完成项目全部设备安装、调试等一切工作。项目通过验收后进入为期3年的服务期，服务期内运行维护包括前端设备维护、光纤线路维护、系统维护。中标单位确保正个系统的正常运行和维护工作。</w:t>
      </w:r>
    </w:p>
    <w:p>
      <w:pPr>
        <w:shd w:val="clear" w:color="auto" w:fill="auto"/>
        <w:spacing w:line="360" w:lineRule="auto"/>
        <w:ind w:firstLine="440" w:firstLineChars="200"/>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（2）维护单位提供充足的备品备件，满足日常维护需求。</w:t>
      </w:r>
    </w:p>
    <w:p>
      <w:pPr>
        <w:shd w:val="clear" w:color="auto" w:fill="auto"/>
        <w:spacing w:line="360" w:lineRule="auto"/>
        <w:ind w:firstLine="440" w:firstLineChars="200"/>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（3）维护单位建立详实可行运维方案、制度以及应急措施。</w:t>
      </w:r>
    </w:p>
    <w:p>
      <w:pPr>
        <w:shd w:val="clear" w:color="auto" w:fill="auto"/>
        <w:spacing w:line="360" w:lineRule="auto"/>
        <w:ind w:firstLine="440" w:firstLineChars="200"/>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（4）维护单位建立专业运维团队，配备不少于2组的日常巡检和维护队伍。</w:t>
      </w:r>
    </w:p>
    <w:p>
      <w:pPr>
        <w:shd w:val="clear" w:color="auto" w:fill="auto"/>
        <w:spacing w:line="360" w:lineRule="auto"/>
        <w:ind w:firstLine="440" w:firstLineChars="200"/>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（5）定期针对各系统设备巡检，配合上级主管部门调整参数及数据优化。</w:t>
      </w:r>
    </w:p>
    <w:p>
      <w:pPr>
        <w:shd w:val="clear" w:color="auto" w:fill="auto"/>
        <w:spacing w:line="360" w:lineRule="auto"/>
        <w:ind w:firstLine="440" w:firstLineChars="200"/>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（6）要求服务期内项目整体质保期为3年。（包含项目内所建设的主要设备、配套设备、基础管线、数据平台、数据维护及上级要求的配套功能）</w:t>
      </w:r>
    </w:p>
    <w:p>
      <w:pPr>
        <w:shd w:val="clear" w:color="auto" w:fill="auto"/>
        <w:tabs>
          <w:tab w:val="left" w:pos="2340"/>
        </w:tabs>
        <w:spacing w:line="360" w:lineRule="auto"/>
        <w:rPr>
          <w:rFonts w:hint="eastAsia" w:ascii="宋体" w:hAnsi="宋体" w:cs="宋体"/>
          <w:b/>
          <w:color w:val="000000"/>
          <w:sz w:val="20"/>
          <w:szCs w:val="20"/>
          <w:highlight w:val="none"/>
        </w:rPr>
      </w:pPr>
      <w:r>
        <w:rPr>
          <w:rFonts w:hint="eastAsia" w:ascii="宋体" w:hAnsi="宋体" w:cs="宋体"/>
          <w:b/>
          <w:color w:val="000000"/>
          <w:sz w:val="20"/>
          <w:szCs w:val="20"/>
          <w:highlight w:val="none"/>
        </w:rPr>
        <w:t>2.2项目服务要求</w:t>
      </w:r>
    </w:p>
    <w:p>
      <w:pPr>
        <w:shd w:val="clear" w:color="auto" w:fill="auto"/>
        <w:spacing w:line="360" w:lineRule="auto"/>
        <w:ind w:firstLine="220" w:firstLineChars="100"/>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1、建立完善的维护机制，使之具有调度、协调、监督、培训等管理功能，具体包括：</w:t>
      </w:r>
    </w:p>
    <w:p>
      <w:pPr>
        <w:shd w:val="clear" w:color="auto" w:fill="auto"/>
        <w:spacing w:line="360" w:lineRule="auto"/>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a.委派不少于一个会管理、有经验的人员担任调度员；</w:t>
      </w:r>
    </w:p>
    <w:p>
      <w:pPr>
        <w:shd w:val="clear" w:color="auto" w:fill="auto"/>
        <w:spacing w:line="360" w:lineRule="auto"/>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b.制定维修维护操作规程及工作要求；</w:t>
      </w:r>
    </w:p>
    <w:p>
      <w:pPr>
        <w:shd w:val="clear" w:color="auto" w:fill="auto"/>
        <w:spacing w:line="360" w:lineRule="auto"/>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c.做好详细维修记录台帐，定期汇总向业主书面汇报；</w:t>
      </w:r>
    </w:p>
    <w:p>
      <w:pPr>
        <w:shd w:val="clear" w:color="auto" w:fill="auto"/>
        <w:spacing w:line="360" w:lineRule="auto"/>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d.调度人员实时了解维修维护情况，进行指导、协调，督察维护进展。</w:t>
      </w:r>
    </w:p>
    <w:p>
      <w:pPr>
        <w:shd w:val="clear" w:color="auto" w:fill="auto"/>
        <w:spacing w:line="360" w:lineRule="auto"/>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e.确保维护范围内维护点7×24小时正常运行，数据的安全存储、备份。</w:t>
      </w:r>
    </w:p>
    <w:p>
      <w:pPr>
        <w:shd w:val="clear" w:color="auto" w:fill="auto"/>
        <w:spacing w:line="360" w:lineRule="auto"/>
        <w:ind w:firstLine="220" w:firstLineChars="100"/>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2、各前端点位每月至少巡检一次，巡检内容为：</w:t>
      </w:r>
    </w:p>
    <w:p>
      <w:pPr>
        <w:shd w:val="clear" w:color="auto" w:fill="auto"/>
        <w:spacing w:line="360" w:lineRule="auto"/>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a.清洁工作，保证内外场设备及机房的安全、整洁、干净。</w:t>
      </w:r>
    </w:p>
    <w:p>
      <w:pPr>
        <w:shd w:val="clear" w:color="auto" w:fill="auto"/>
        <w:spacing w:line="360" w:lineRule="auto"/>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b.统计遮挡物，如树枝等遮挡设备的情况，并每周统计上报，协助清理。</w:t>
      </w:r>
    </w:p>
    <w:p>
      <w:pPr>
        <w:shd w:val="clear" w:color="auto" w:fill="auto"/>
        <w:spacing w:line="360" w:lineRule="auto"/>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c.安全检查，保证外场设备用电、防雷、防水等设施安全。</w:t>
      </w:r>
    </w:p>
    <w:p>
      <w:pPr>
        <w:shd w:val="clear" w:color="auto" w:fill="auto"/>
        <w:spacing w:line="360" w:lineRule="auto"/>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d.调整光圈、焦距、白平衡等参数，保证图像清晰。</w:t>
      </w:r>
    </w:p>
    <w:p>
      <w:pPr>
        <w:shd w:val="clear" w:color="auto" w:fill="auto"/>
        <w:spacing w:line="360" w:lineRule="auto"/>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e.检查外场设备的完整性和牢固性，消除人为或自然原因影响安全和功能使用的隐患。</w:t>
      </w:r>
    </w:p>
    <w:p>
      <w:pPr>
        <w:shd w:val="clear" w:color="auto" w:fill="auto"/>
        <w:tabs>
          <w:tab w:val="left" w:pos="2340"/>
        </w:tabs>
        <w:spacing w:line="360" w:lineRule="auto"/>
        <w:rPr>
          <w:rFonts w:hint="eastAsia" w:ascii="宋体" w:hAnsi="宋体" w:cs="宋体"/>
          <w:b/>
          <w:color w:val="000000"/>
          <w:sz w:val="20"/>
          <w:szCs w:val="20"/>
          <w:highlight w:val="none"/>
        </w:rPr>
      </w:pPr>
      <w:r>
        <w:rPr>
          <w:rFonts w:hint="eastAsia" w:ascii="宋体" w:hAnsi="宋体" w:cs="宋体"/>
          <w:b/>
          <w:color w:val="000000"/>
          <w:sz w:val="20"/>
          <w:szCs w:val="20"/>
          <w:highlight w:val="none"/>
        </w:rPr>
        <w:t>2.3培训要求</w:t>
      </w:r>
    </w:p>
    <w:p>
      <w:pPr>
        <w:shd w:val="clear" w:color="auto" w:fill="auto"/>
        <w:spacing w:line="360" w:lineRule="auto"/>
        <w:ind w:firstLine="440" w:firstLineChars="200"/>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项目试运行期间，需对用户进行集中培训，如有必要维护期内可根据实际情况组织多次培训，并做好培训记录。</w:t>
      </w:r>
    </w:p>
    <w:p>
      <w:pPr>
        <w:shd w:val="clear" w:color="auto" w:fill="auto"/>
        <w:tabs>
          <w:tab w:val="left" w:pos="2340"/>
        </w:tabs>
        <w:spacing w:line="360" w:lineRule="auto"/>
        <w:rPr>
          <w:rFonts w:hint="eastAsia" w:ascii="宋体" w:hAnsi="宋体" w:cs="宋体"/>
          <w:b/>
          <w:color w:val="000000"/>
          <w:sz w:val="20"/>
          <w:szCs w:val="20"/>
          <w:highlight w:val="none"/>
        </w:rPr>
      </w:pPr>
      <w:r>
        <w:rPr>
          <w:rFonts w:hint="eastAsia" w:ascii="宋体" w:hAnsi="宋体" w:cs="宋体"/>
          <w:b/>
          <w:color w:val="000000"/>
          <w:sz w:val="20"/>
          <w:szCs w:val="20"/>
          <w:highlight w:val="none"/>
        </w:rPr>
        <w:t>2.4施工安装和调试要求</w:t>
      </w:r>
    </w:p>
    <w:p>
      <w:pPr>
        <w:shd w:val="clear" w:color="auto" w:fill="auto"/>
        <w:spacing w:line="360" w:lineRule="auto"/>
        <w:ind w:firstLine="440" w:firstLineChars="200"/>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需要提供详细的调试部署方案，项目进行中，严格按照方案进行调试，并做好记录。</w:t>
      </w:r>
    </w:p>
    <w:p>
      <w:pPr>
        <w:shd w:val="clear" w:color="auto" w:fill="auto"/>
        <w:rPr>
          <w:rFonts w:hint="eastAsia" w:ascii="宋体" w:hAnsi="宋体" w:cs="宋体"/>
          <w:b/>
          <w:color w:val="000000"/>
          <w:sz w:val="28"/>
          <w:szCs w:val="28"/>
          <w:highlight w:val="none"/>
        </w:rPr>
      </w:pPr>
      <w:r>
        <w:rPr>
          <w:rFonts w:hint="eastAsia" w:ascii="宋体" w:hAnsi="宋体" w:cs="宋体"/>
          <w:b/>
          <w:color w:val="000000"/>
          <w:sz w:val="28"/>
          <w:szCs w:val="28"/>
          <w:highlight w:val="none"/>
        </w:rPr>
        <w:t>2. 商务需求</w:t>
      </w:r>
    </w:p>
    <w:p>
      <w:pPr>
        <w:shd w:val="clear" w:color="auto" w:fill="auto"/>
        <w:spacing w:line="360" w:lineRule="auto"/>
        <w:rPr>
          <w:rFonts w:hint="eastAsia" w:ascii="宋体" w:hAnsi="宋体" w:cs="宋体"/>
          <w:b/>
          <w:bCs/>
          <w:color w:val="000000"/>
          <w:sz w:val="24"/>
          <w:highlight w:val="none"/>
        </w:rPr>
      </w:pPr>
      <w:r>
        <w:rPr>
          <w:rFonts w:hint="eastAsia" w:ascii="宋体" w:hAnsi="宋体" w:cs="宋体"/>
          <w:b/>
          <w:bCs/>
          <w:color w:val="000000"/>
          <w:sz w:val="24"/>
          <w:highlight w:val="none"/>
        </w:rPr>
        <w:t xml:space="preserve">    2.1服务质量承诺</w:t>
      </w:r>
    </w:p>
    <w:p>
      <w:pPr>
        <w:shd w:val="clear" w:color="auto" w:fill="auto"/>
        <w:spacing w:line="360" w:lineRule="auto"/>
        <w:rPr>
          <w:rFonts w:hint="eastAsia" w:ascii="宋体" w:hAnsi="宋体" w:cs="宋体"/>
          <w:color w:val="000000"/>
          <w:sz w:val="24"/>
          <w:highlight w:val="none"/>
        </w:rPr>
      </w:pPr>
      <w:r>
        <w:rPr>
          <w:rFonts w:hint="eastAsia" w:ascii="宋体" w:hAnsi="宋体" w:cs="宋体"/>
          <w:bCs/>
          <w:color w:val="000000"/>
          <w:sz w:val="24"/>
          <w:highlight w:val="none"/>
        </w:rPr>
        <w:t xml:space="preserve">    （1）</w:t>
      </w:r>
      <w:r>
        <w:rPr>
          <w:rFonts w:hint="eastAsia" w:ascii="宋体" w:hAnsi="宋体" w:cs="宋体"/>
          <w:color w:val="000000"/>
          <w:sz w:val="24"/>
          <w:highlight w:val="none"/>
        </w:rPr>
        <w:t>为确保服务质量以及与采购方沟通联络，中标单位须设置专职主管，负责对承包项目、范围、服务质量的检查监督以及与采购方日常业务联系；</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bCs/>
          <w:color w:val="000000"/>
          <w:sz w:val="24"/>
          <w:highlight w:val="none"/>
        </w:rPr>
        <w:t>（2）</w:t>
      </w:r>
      <w:r>
        <w:rPr>
          <w:rFonts w:hint="eastAsia" w:ascii="宋体" w:hAnsi="宋体" w:cs="宋体"/>
          <w:color w:val="000000"/>
          <w:sz w:val="24"/>
          <w:highlight w:val="none"/>
        </w:rPr>
        <w:t>中标单位需提供员工管理服务规范要求及确保服务质量达标的具体措施；</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bCs/>
          <w:color w:val="000000"/>
          <w:sz w:val="24"/>
          <w:highlight w:val="none"/>
        </w:rPr>
        <w:t>（3）</w:t>
      </w:r>
      <w:r>
        <w:rPr>
          <w:rFonts w:hint="eastAsia" w:ascii="宋体" w:hAnsi="宋体" w:cs="宋体"/>
          <w:color w:val="000000"/>
          <w:sz w:val="24"/>
          <w:highlight w:val="none"/>
        </w:rPr>
        <w:t>中标单位需向采购方提供服务承诺；</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bCs/>
          <w:color w:val="000000"/>
          <w:sz w:val="24"/>
          <w:highlight w:val="none"/>
        </w:rPr>
        <w:t>（4）</w:t>
      </w:r>
      <w:r>
        <w:rPr>
          <w:rFonts w:hint="eastAsia" w:ascii="宋体" w:hAnsi="宋体" w:cs="宋体"/>
          <w:color w:val="000000"/>
          <w:sz w:val="24"/>
          <w:highlight w:val="none"/>
        </w:rPr>
        <w:t>中标单位须主动接受采购方的指导、检查、监督及协调；</w:t>
      </w:r>
    </w:p>
    <w:p>
      <w:pPr>
        <w:shd w:val="clear" w:color="auto" w:fill="auto"/>
        <w:spacing w:line="360" w:lineRule="auto"/>
        <w:ind w:firstLine="480" w:firstLineChars="200"/>
        <w:rPr>
          <w:rFonts w:hint="eastAsia" w:ascii="宋体" w:hAnsi="宋体" w:cs="宋体"/>
          <w:b/>
          <w:color w:val="000000"/>
          <w:sz w:val="24"/>
          <w:highlight w:val="none"/>
        </w:rPr>
      </w:pPr>
      <w:r>
        <w:rPr>
          <w:rFonts w:hint="eastAsia" w:ascii="宋体" w:hAnsi="宋体" w:cs="宋体"/>
          <w:bCs/>
          <w:color w:val="000000"/>
          <w:sz w:val="24"/>
          <w:highlight w:val="none"/>
        </w:rPr>
        <w:t>（5）</w:t>
      </w:r>
      <w:r>
        <w:rPr>
          <w:rFonts w:hint="eastAsia" w:ascii="宋体" w:hAnsi="宋体" w:cs="宋体"/>
          <w:color w:val="000000"/>
          <w:sz w:val="24"/>
          <w:highlight w:val="none"/>
        </w:rPr>
        <w:t>现有服务范围内，由于调整而增加的工作量，不再增加费用。</w:t>
      </w:r>
    </w:p>
    <w:p>
      <w:pPr>
        <w:shd w:val="clear" w:color="auto" w:fill="auto"/>
        <w:spacing w:line="360" w:lineRule="auto"/>
        <w:ind w:firstLine="482" w:firstLineChars="200"/>
        <w:rPr>
          <w:rFonts w:hint="eastAsia" w:ascii="宋体" w:hAnsi="宋体" w:cs="宋体"/>
          <w:color w:val="000000"/>
          <w:sz w:val="24"/>
          <w:highlight w:val="none"/>
        </w:rPr>
      </w:pPr>
      <w:r>
        <w:rPr>
          <w:rFonts w:hint="eastAsia" w:ascii="宋体" w:hAnsi="宋体" w:cs="宋体"/>
          <w:b/>
          <w:bCs/>
          <w:color w:val="000000"/>
          <w:sz w:val="24"/>
          <w:highlight w:val="none"/>
        </w:rPr>
        <w:t>2.2 服务期限：</w:t>
      </w:r>
      <w:r>
        <w:rPr>
          <w:rFonts w:hint="eastAsia" w:ascii="宋体" w:hAnsi="宋体" w:cs="宋体"/>
          <w:color w:val="000000"/>
          <w:sz w:val="24"/>
          <w:highlight w:val="none"/>
        </w:rPr>
        <w:t>3年</w:t>
      </w:r>
    </w:p>
    <w:p>
      <w:pPr>
        <w:shd w:val="clear" w:color="auto" w:fill="auto"/>
        <w:spacing w:line="360" w:lineRule="auto"/>
        <w:ind w:firstLine="482" w:firstLineChars="200"/>
        <w:rPr>
          <w:rFonts w:hint="eastAsia" w:ascii="宋体" w:hAnsi="宋体" w:cs="宋体"/>
          <w:bCs/>
          <w:color w:val="000000"/>
          <w:sz w:val="24"/>
          <w:highlight w:val="none"/>
        </w:rPr>
      </w:pPr>
      <w:r>
        <w:rPr>
          <w:rFonts w:hint="eastAsia" w:ascii="宋体" w:hAnsi="宋体" w:cs="宋体"/>
          <w:b/>
          <w:color w:val="000000"/>
          <w:sz w:val="24"/>
          <w:highlight w:val="none"/>
        </w:rPr>
        <w:t>2.3 服务地点：</w:t>
      </w:r>
      <w:r>
        <w:rPr>
          <w:rFonts w:hint="eastAsia" w:ascii="宋体" w:hAnsi="宋体" w:cs="宋体"/>
          <w:bCs/>
          <w:color w:val="000000"/>
          <w:sz w:val="24"/>
          <w:highlight w:val="none"/>
        </w:rPr>
        <w:t xml:space="preserve">采购人指定地点。  </w:t>
      </w:r>
    </w:p>
    <w:p>
      <w:pPr>
        <w:shd w:val="clear" w:color="auto" w:fill="auto"/>
        <w:snapToGrid w:val="0"/>
        <w:spacing w:line="360" w:lineRule="auto"/>
        <w:ind w:firstLine="482" w:firstLineChars="200"/>
        <w:jc w:val="left"/>
        <w:rPr>
          <w:rFonts w:hint="eastAsia" w:ascii="宋体" w:hAnsi="宋体" w:cs="宋体"/>
          <w:b/>
          <w:color w:val="000000"/>
          <w:sz w:val="24"/>
          <w:highlight w:val="none"/>
        </w:rPr>
      </w:pPr>
      <w:r>
        <w:rPr>
          <w:rFonts w:hint="eastAsia" w:ascii="宋体" w:hAnsi="宋体" w:cs="宋体"/>
          <w:b/>
          <w:color w:val="000000"/>
          <w:sz w:val="24"/>
          <w:highlight w:val="none"/>
        </w:rPr>
        <w:t>2.4 项目实施计划</w:t>
      </w:r>
    </w:p>
    <w:p>
      <w:pPr>
        <w:shd w:val="clear" w:color="auto" w:fill="auto"/>
        <w:snapToGrid w:val="0"/>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项目实施的组织工作方案：工作时间进度表、工作程序或步骤、管理和协调方法、送货方案等。</w:t>
      </w:r>
    </w:p>
    <w:p>
      <w:pPr>
        <w:shd w:val="clear" w:color="auto" w:fill="auto"/>
        <w:snapToGrid w:val="0"/>
        <w:spacing w:line="360" w:lineRule="auto"/>
        <w:ind w:firstLine="482" w:firstLineChars="200"/>
        <w:jc w:val="left"/>
        <w:rPr>
          <w:rFonts w:hint="eastAsia" w:ascii="宋体" w:hAnsi="宋体" w:cs="宋体"/>
          <w:b/>
          <w:bCs/>
          <w:color w:val="000000"/>
          <w:sz w:val="24"/>
          <w:highlight w:val="none"/>
        </w:rPr>
      </w:pPr>
      <w:r>
        <w:rPr>
          <w:rFonts w:hint="eastAsia" w:ascii="宋体" w:hAnsi="宋体" w:cs="宋体"/>
          <w:b/>
          <w:bCs/>
          <w:color w:val="000000"/>
          <w:sz w:val="24"/>
          <w:highlight w:val="none"/>
        </w:rPr>
        <w:t>2.5付款方式：以实际合同签订为准</w:t>
      </w:r>
    </w:p>
    <w:p>
      <w:pPr>
        <w:shd w:val="clear" w:color="auto" w:fill="auto"/>
        <w:adjustRightInd/>
        <w:spacing w:line="440" w:lineRule="exact"/>
        <w:ind w:firstLine="480" w:firstLineChars="200"/>
        <w:rPr>
          <w:rFonts w:hint="eastAsia" w:ascii="宋体" w:hAnsi="宋体" w:cs="宋体"/>
          <w:bCs/>
          <w:color w:val="000000"/>
          <w:sz w:val="24"/>
          <w:highlight w:val="none"/>
        </w:rPr>
      </w:pPr>
      <w:r>
        <w:rPr>
          <w:rFonts w:hint="eastAsia" w:ascii="宋体" w:hAnsi="宋体" w:cs="宋体"/>
          <w:bCs/>
          <w:color w:val="000000"/>
          <w:sz w:val="24"/>
          <w:highlight w:val="none"/>
        </w:rPr>
        <w:t xml:space="preserve"> </w:t>
      </w:r>
    </w:p>
    <w:p>
      <w:pPr>
        <w:shd w:val="clear" w:color="auto" w:fill="auto"/>
        <w:adjustRightInd/>
        <w:spacing w:line="440" w:lineRule="exact"/>
        <w:ind w:firstLine="480" w:firstLineChars="200"/>
        <w:rPr>
          <w:rFonts w:hint="eastAsia" w:ascii="宋体" w:hAnsi="宋体" w:cs="宋体"/>
          <w:b/>
          <w:color w:val="000000"/>
          <w:sz w:val="24"/>
          <w:highlight w:val="none"/>
        </w:rPr>
      </w:pPr>
      <w:r>
        <w:rPr>
          <w:rFonts w:hint="eastAsia" w:ascii="宋体" w:hAnsi="宋体" w:cs="宋体"/>
          <w:color w:val="000000"/>
          <w:sz w:val="24"/>
          <w:highlight w:val="none"/>
        </w:rPr>
        <w:t>注：</w:t>
      </w:r>
    </w:p>
    <w:p>
      <w:pPr>
        <w:shd w:val="clear" w:color="auto" w:fill="auto"/>
        <w:adjustRightInd/>
        <w:spacing w:line="440" w:lineRule="exact"/>
        <w:ind w:firstLine="480" w:firstLineChars="200"/>
        <w:rPr>
          <w:rFonts w:hint="eastAsia" w:ascii="宋体" w:hAnsi="宋体" w:cs="宋体"/>
          <w:color w:val="000000"/>
          <w:sz w:val="24"/>
          <w:highlight w:val="none"/>
        </w:rPr>
      </w:pPr>
      <w:r>
        <w:rPr>
          <w:rFonts w:hint="eastAsia" w:ascii="宋体" w:hAnsi="宋体" w:cs="宋体"/>
          <w:color w:val="000000"/>
          <w:sz w:val="24"/>
          <w:highlight w:val="none"/>
          <w:lang w:val="en-US" w:eastAsia="zh-CN"/>
        </w:rPr>
        <w:t>1</w:t>
      </w:r>
      <w:r>
        <w:rPr>
          <w:rFonts w:hint="eastAsia" w:ascii="宋体" w:hAnsi="宋体" w:cs="宋体"/>
          <w:color w:val="000000"/>
          <w:sz w:val="24"/>
          <w:highlight w:val="none"/>
        </w:rPr>
        <w:t>.招标文件中打▲内容为实质性要求，不允许有负偏离，否则将以涉及无效投标条款作无效投标。</w:t>
      </w:r>
    </w:p>
    <w:p>
      <w:pPr>
        <w:shd w:val="clear" w:color="auto" w:fill="auto"/>
        <w:adjustRightInd/>
        <w:spacing w:line="440" w:lineRule="exact"/>
        <w:ind w:firstLine="480" w:firstLineChars="200"/>
        <w:rPr>
          <w:rFonts w:hint="eastAsia" w:ascii="宋体" w:hAnsi="宋体" w:cs="宋体"/>
          <w:color w:val="000000"/>
          <w:sz w:val="24"/>
          <w:highlight w:val="none"/>
        </w:rPr>
      </w:pPr>
      <w:r>
        <w:rPr>
          <w:rFonts w:hint="eastAsia" w:ascii="宋体" w:hAnsi="宋体" w:cs="宋体"/>
          <w:color w:val="000000"/>
          <w:sz w:val="24"/>
          <w:highlight w:val="none"/>
          <w:lang w:val="en-US" w:eastAsia="zh-CN"/>
        </w:rPr>
        <w:t>2</w:t>
      </w:r>
      <w:r>
        <w:rPr>
          <w:rFonts w:hint="eastAsia" w:ascii="宋体" w:hAnsi="宋体" w:cs="宋体"/>
          <w:color w:val="000000"/>
          <w:sz w:val="24"/>
          <w:highlight w:val="none"/>
        </w:rPr>
        <w:t>.中标供应商所提供的货物、服务须与投标承诺一致，不得以次充好、偷工减料，若在项目验收中发现有上述情况，将向有关部门举报，根据相关规定进行处理。</w:t>
      </w:r>
    </w:p>
    <w:p>
      <w:pPr>
        <w:pStyle w:val="6"/>
        <w:numPr>
          <w:ilvl w:val="0"/>
          <w:numId w:val="0"/>
        </w:numPr>
        <w:shd w:val="clear" w:color="auto" w:fill="auto"/>
        <w:rPr>
          <w:rFonts w:hint="eastAsia" w:ascii="宋体" w:hAnsi="宋体" w:eastAsia="宋体" w:cs="宋体"/>
          <w:color w:val="000000"/>
          <w:highlight w:val="none"/>
        </w:rPr>
      </w:pPr>
      <w:r>
        <w:rPr>
          <w:rFonts w:hint="eastAsia" w:ascii="宋体" w:hAnsi="宋体" w:eastAsia="宋体" w:cs="宋体"/>
          <w:color w:val="000000"/>
          <w:sz w:val="24"/>
          <w:highlight w:val="none"/>
          <w:lang w:val="en-US"/>
        </w:rPr>
        <w:t xml:space="preserve"> </w:t>
      </w:r>
    </w:p>
    <w:p>
      <w:pPr>
        <w:widowControl/>
        <w:shd w:val="clear" w:color="auto" w:fill="auto"/>
        <w:spacing w:before="100" w:beforeAutospacing="1" w:after="240" w:line="360" w:lineRule="auto"/>
        <w:jc w:val="left"/>
        <w:rPr>
          <w:rFonts w:hint="eastAsia" w:ascii="宋体" w:hAnsi="宋体" w:cs="宋体"/>
          <w:b/>
          <w:i/>
          <w:color w:val="000000"/>
          <w:sz w:val="22"/>
          <w:szCs w:val="36"/>
          <w:highlight w:val="none"/>
        </w:rPr>
      </w:pPr>
    </w:p>
    <w:p>
      <w:pPr>
        <w:shd w:val="clear" w:color="auto" w:fill="auto"/>
        <w:adjustRightInd/>
        <w:spacing w:line="360" w:lineRule="auto"/>
        <w:jc w:val="center"/>
        <w:rPr>
          <w:rFonts w:hint="eastAsia" w:ascii="宋体" w:hAnsi="宋体" w:cs="宋体"/>
          <w:b/>
          <w:color w:val="000000"/>
          <w:sz w:val="36"/>
          <w:szCs w:val="36"/>
          <w:highlight w:val="none"/>
        </w:rPr>
      </w:pPr>
      <w:r>
        <w:rPr>
          <w:rFonts w:hint="eastAsia" w:ascii="宋体" w:hAnsi="宋体" w:cs="宋体"/>
          <w:b/>
          <w:color w:val="000000"/>
          <w:sz w:val="36"/>
          <w:szCs w:val="36"/>
          <w:highlight w:val="none"/>
        </w:rPr>
        <w:br w:type="page"/>
      </w:r>
      <w:r>
        <w:rPr>
          <w:rFonts w:hint="eastAsia" w:ascii="宋体" w:hAnsi="宋体" w:cs="宋体"/>
          <w:b/>
          <w:color w:val="000000"/>
          <w:sz w:val="36"/>
          <w:szCs w:val="36"/>
          <w:highlight w:val="none"/>
        </w:rPr>
        <w:t xml:space="preserve">第四部分   </w:t>
      </w:r>
      <w:bookmarkStart w:id="87" w:name="_Toc184308091"/>
      <w:bookmarkEnd w:id="87"/>
      <w:bookmarkStart w:id="88" w:name="_Toc184310326"/>
      <w:bookmarkEnd w:id="88"/>
      <w:bookmarkStart w:id="89" w:name="_Toc184314465"/>
      <w:bookmarkEnd w:id="89"/>
      <w:bookmarkStart w:id="90" w:name="_Toc184308098"/>
      <w:bookmarkEnd w:id="90"/>
      <w:bookmarkStart w:id="91" w:name="_Toc184314470"/>
      <w:bookmarkEnd w:id="91"/>
      <w:bookmarkStart w:id="92" w:name="_Toc184313304"/>
      <w:bookmarkEnd w:id="92"/>
      <w:bookmarkStart w:id="93" w:name="_Toc184312127"/>
      <w:bookmarkEnd w:id="93"/>
      <w:bookmarkStart w:id="94" w:name="_Toc184312092"/>
      <w:bookmarkEnd w:id="94"/>
      <w:bookmarkStart w:id="95" w:name="_Toc184312125"/>
      <w:bookmarkEnd w:id="95"/>
      <w:bookmarkStart w:id="96" w:name="_Toc184313308"/>
      <w:bookmarkEnd w:id="96"/>
      <w:bookmarkStart w:id="97" w:name="_Toc184313299"/>
      <w:bookmarkEnd w:id="97"/>
      <w:bookmarkStart w:id="98" w:name="_Toc184314468"/>
      <w:bookmarkEnd w:id="98"/>
      <w:bookmarkStart w:id="99" w:name="_Toc184310319"/>
      <w:bookmarkEnd w:id="99"/>
      <w:bookmarkStart w:id="100" w:name="_Toc184308090"/>
      <w:bookmarkEnd w:id="100"/>
      <w:bookmarkStart w:id="101" w:name="_Toc184310276"/>
      <w:bookmarkEnd w:id="101"/>
      <w:bookmarkStart w:id="102" w:name="_Toc184308042"/>
      <w:bookmarkEnd w:id="102"/>
      <w:bookmarkStart w:id="103" w:name="_Toc184308095"/>
      <w:bookmarkEnd w:id="103"/>
      <w:bookmarkStart w:id="104" w:name="_Toc184313298"/>
      <w:bookmarkEnd w:id="104"/>
      <w:bookmarkStart w:id="105" w:name="_Toc184314437"/>
      <w:bookmarkEnd w:id="105"/>
      <w:bookmarkStart w:id="106" w:name="_Toc184312091"/>
      <w:bookmarkEnd w:id="106"/>
      <w:bookmarkStart w:id="107" w:name="_Toc184314469"/>
      <w:bookmarkEnd w:id="107"/>
      <w:bookmarkStart w:id="108" w:name="_Toc184312108"/>
      <w:bookmarkEnd w:id="108"/>
      <w:bookmarkStart w:id="109" w:name="_Toc184314464"/>
      <w:bookmarkEnd w:id="109"/>
      <w:bookmarkStart w:id="110" w:name="_Toc184308077"/>
      <w:bookmarkEnd w:id="110"/>
      <w:bookmarkStart w:id="111" w:name="_Toc184314477"/>
      <w:bookmarkEnd w:id="111"/>
      <w:bookmarkStart w:id="112" w:name="_Toc184312111"/>
      <w:bookmarkEnd w:id="112"/>
      <w:bookmarkStart w:id="113" w:name="_Toc184312132"/>
      <w:bookmarkEnd w:id="113"/>
      <w:bookmarkStart w:id="114" w:name="_Toc184308094"/>
      <w:bookmarkEnd w:id="114"/>
      <w:bookmarkStart w:id="115" w:name="_Toc184313296"/>
      <w:bookmarkEnd w:id="115"/>
      <w:bookmarkStart w:id="116" w:name="_Toc184314419"/>
      <w:bookmarkEnd w:id="116"/>
      <w:bookmarkStart w:id="117" w:name="_Toc184310325"/>
      <w:bookmarkEnd w:id="117"/>
      <w:bookmarkStart w:id="118" w:name="_Toc184312124"/>
      <w:bookmarkEnd w:id="118"/>
      <w:bookmarkStart w:id="119" w:name="_Toc184314479"/>
      <w:bookmarkEnd w:id="119"/>
      <w:bookmarkStart w:id="120" w:name="_Toc184308089"/>
      <w:bookmarkEnd w:id="120"/>
      <w:bookmarkStart w:id="121" w:name="_Toc184308060"/>
      <w:bookmarkEnd w:id="121"/>
      <w:bookmarkStart w:id="122" w:name="_Toc184313309"/>
      <w:bookmarkEnd w:id="122"/>
      <w:bookmarkStart w:id="123" w:name="_Toc184310318"/>
      <w:bookmarkEnd w:id="123"/>
      <w:bookmarkStart w:id="124" w:name="_Toc184314435"/>
      <w:bookmarkEnd w:id="124"/>
      <w:bookmarkStart w:id="125" w:name="_Toc184312090"/>
      <w:bookmarkEnd w:id="125"/>
      <w:bookmarkStart w:id="126" w:name="_Toc184310337"/>
      <w:bookmarkEnd w:id="126"/>
      <w:bookmarkStart w:id="127" w:name="_Toc184313282"/>
      <w:bookmarkEnd w:id="127"/>
      <w:bookmarkStart w:id="128" w:name="_Toc184314421"/>
      <w:bookmarkEnd w:id="128"/>
      <w:bookmarkStart w:id="129" w:name="_Toc184314466"/>
      <w:bookmarkEnd w:id="129"/>
      <w:bookmarkStart w:id="130" w:name="_Toc184308080"/>
      <w:bookmarkEnd w:id="130"/>
      <w:bookmarkStart w:id="131" w:name="_Toc184308097"/>
      <w:bookmarkEnd w:id="131"/>
      <w:bookmarkStart w:id="132" w:name="_Toc184313289"/>
      <w:bookmarkEnd w:id="132"/>
      <w:bookmarkStart w:id="133" w:name="_Toc184314442"/>
      <w:bookmarkEnd w:id="133"/>
      <w:bookmarkStart w:id="134" w:name="_Toc184312120"/>
      <w:bookmarkEnd w:id="134"/>
      <w:bookmarkStart w:id="135" w:name="_Toc184314452"/>
      <w:bookmarkEnd w:id="135"/>
      <w:bookmarkStart w:id="136" w:name="_Toc184314427"/>
      <w:bookmarkEnd w:id="136"/>
      <w:bookmarkStart w:id="137" w:name="_Toc184308093"/>
      <w:bookmarkEnd w:id="137"/>
      <w:bookmarkStart w:id="138" w:name="_Toc184310327"/>
      <w:bookmarkEnd w:id="138"/>
      <w:bookmarkStart w:id="139" w:name="_Toc184310340"/>
      <w:bookmarkEnd w:id="139"/>
      <w:bookmarkStart w:id="140" w:name="_Toc184308036"/>
      <w:bookmarkEnd w:id="140"/>
      <w:bookmarkStart w:id="141" w:name="_Toc184312077"/>
      <w:bookmarkEnd w:id="141"/>
      <w:bookmarkStart w:id="142" w:name="_Toc184312076"/>
      <w:bookmarkEnd w:id="142"/>
      <w:bookmarkStart w:id="143" w:name="_Toc184313290"/>
      <w:bookmarkEnd w:id="143"/>
      <w:bookmarkStart w:id="144" w:name="_Toc184310339"/>
      <w:bookmarkEnd w:id="144"/>
      <w:bookmarkStart w:id="145" w:name="_Toc184314424"/>
      <w:bookmarkEnd w:id="145"/>
      <w:bookmarkStart w:id="146" w:name="_Toc184313291"/>
      <w:bookmarkEnd w:id="146"/>
      <w:bookmarkStart w:id="147" w:name="_Toc184310334"/>
      <w:bookmarkEnd w:id="147"/>
      <w:bookmarkStart w:id="148" w:name="_Toc184312107"/>
      <w:bookmarkEnd w:id="148"/>
      <w:bookmarkStart w:id="149" w:name="_Toc184308106"/>
      <w:bookmarkEnd w:id="149"/>
      <w:bookmarkStart w:id="150" w:name="_Toc184313297"/>
      <w:bookmarkEnd w:id="150"/>
      <w:bookmarkStart w:id="151" w:name="_Toc184313300"/>
      <w:bookmarkEnd w:id="151"/>
      <w:bookmarkStart w:id="152" w:name="_Toc184308075"/>
      <w:bookmarkEnd w:id="152"/>
      <w:bookmarkStart w:id="153" w:name="_Toc184310328"/>
      <w:bookmarkEnd w:id="153"/>
      <w:bookmarkStart w:id="154" w:name="_Toc184313302"/>
      <w:bookmarkEnd w:id="154"/>
      <w:bookmarkStart w:id="155" w:name="_Toc184310343"/>
      <w:bookmarkEnd w:id="155"/>
      <w:bookmarkStart w:id="156" w:name="_Toc184312110"/>
      <w:bookmarkEnd w:id="156"/>
      <w:bookmarkStart w:id="157" w:name="_Toc184313278"/>
      <w:bookmarkEnd w:id="157"/>
      <w:bookmarkStart w:id="158" w:name="_Toc184312133"/>
      <w:bookmarkEnd w:id="158"/>
      <w:bookmarkStart w:id="159" w:name="_Toc184308096"/>
      <w:bookmarkEnd w:id="159"/>
      <w:bookmarkStart w:id="160" w:name="_Toc184310330"/>
      <w:bookmarkEnd w:id="160"/>
      <w:bookmarkStart w:id="161" w:name="_Toc184312082"/>
      <w:bookmarkEnd w:id="161"/>
      <w:bookmarkStart w:id="162" w:name="_Toc184312134"/>
      <w:bookmarkEnd w:id="162"/>
      <w:bookmarkStart w:id="163" w:name="_Toc184314472"/>
      <w:bookmarkEnd w:id="163"/>
      <w:bookmarkStart w:id="164" w:name="_Toc184310332"/>
      <w:bookmarkEnd w:id="164"/>
      <w:bookmarkStart w:id="165" w:name="_Toc184308088"/>
      <w:bookmarkEnd w:id="165"/>
      <w:bookmarkStart w:id="166" w:name="_Toc184314471"/>
      <w:bookmarkEnd w:id="166"/>
      <w:bookmarkStart w:id="167" w:name="_Toc184313253"/>
      <w:bookmarkEnd w:id="167"/>
      <w:bookmarkStart w:id="168" w:name="_Toc184312129"/>
      <w:bookmarkEnd w:id="168"/>
      <w:bookmarkStart w:id="169" w:name="_Toc184313276"/>
      <w:bookmarkEnd w:id="169"/>
      <w:bookmarkStart w:id="170" w:name="_Toc184312128"/>
      <w:bookmarkEnd w:id="170"/>
      <w:bookmarkStart w:id="171" w:name="_Toc184314462"/>
      <w:bookmarkEnd w:id="171"/>
      <w:bookmarkStart w:id="172" w:name="_Toc184314478"/>
      <w:bookmarkEnd w:id="172"/>
      <w:bookmarkStart w:id="173" w:name="_Toc184310316"/>
      <w:bookmarkEnd w:id="173"/>
      <w:bookmarkStart w:id="174" w:name="_Toc184313287"/>
      <w:bookmarkEnd w:id="174"/>
      <w:bookmarkStart w:id="175" w:name="_Toc184313284"/>
      <w:bookmarkEnd w:id="175"/>
      <w:bookmarkStart w:id="176" w:name="_Toc184312123"/>
      <w:bookmarkEnd w:id="176"/>
      <w:bookmarkStart w:id="177" w:name="_Toc184310287"/>
      <w:bookmarkEnd w:id="177"/>
      <w:bookmarkStart w:id="178" w:name="_Toc184312121"/>
      <w:bookmarkEnd w:id="178"/>
      <w:bookmarkStart w:id="179" w:name="_Toc184314418"/>
      <w:bookmarkEnd w:id="179"/>
      <w:bookmarkStart w:id="180" w:name="_Toc184310333"/>
      <w:bookmarkEnd w:id="180"/>
      <w:bookmarkStart w:id="181" w:name="_Toc184313265"/>
      <w:bookmarkEnd w:id="181"/>
      <w:bookmarkStart w:id="182" w:name="_Toc184308076"/>
      <w:bookmarkEnd w:id="182"/>
      <w:bookmarkStart w:id="183" w:name="_Toc184314431"/>
      <w:bookmarkEnd w:id="183"/>
      <w:bookmarkStart w:id="184" w:name="_Toc184314476"/>
      <w:bookmarkEnd w:id="184"/>
      <w:bookmarkStart w:id="185" w:name="_Toc184310329"/>
      <w:bookmarkEnd w:id="185"/>
      <w:bookmarkStart w:id="186" w:name="_Toc184310272"/>
      <w:bookmarkEnd w:id="186"/>
      <w:bookmarkStart w:id="187" w:name="_Toc184314412"/>
      <w:bookmarkEnd w:id="187"/>
      <w:bookmarkStart w:id="188" w:name="_Toc184308104"/>
      <w:bookmarkEnd w:id="188"/>
      <w:bookmarkStart w:id="189" w:name="_Toc184314463"/>
      <w:bookmarkEnd w:id="189"/>
      <w:bookmarkStart w:id="190" w:name="_Toc184308061"/>
      <w:bookmarkEnd w:id="190"/>
      <w:bookmarkStart w:id="191" w:name="_Toc184308099"/>
      <w:bookmarkEnd w:id="191"/>
      <w:bookmarkStart w:id="192" w:name="_Toc184314467"/>
      <w:bookmarkEnd w:id="192"/>
      <w:bookmarkStart w:id="193" w:name="_Toc184308062"/>
      <w:bookmarkEnd w:id="193"/>
      <w:bookmarkStart w:id="194" w:name="_Toc184314425"/>
      <w:bookmarkEnd w:id="194"/>
      <w:bookmarkStart w:id="195" w:name="_Toc184308059"/>
      <w:bookmarkEnd w:id="195"/>
      <w:bookmarkStart w:id="196" w:name="_Toc184310279"/>
      <w:bookmarkEnd w:id="196"/>
      <w:bookmarkStart w:id="197" w:name="_Toc184310288"/>
      <w:bookmarkEnd w:id="197"/>
      <w:bookmarkStart w:id="198" w:name="_Toc184313305"/>
      <w:bookmarkEnd w:id="198"/>
      <w:bookmarkStart w:id="199" w:name="_Toc184314417"/>
      <w:bookmarkEnd w:id="199"/>
      <w:bookmarkStart w:id="200" w:name="_Toc184310344"/>
      <w:bookmarkEnd w:id="200"/>
      <w:bookmarkStart w:id="201" w:name="_Toc184308044"/>
      <w:bookmarkEnd w:id="201"/>
      <w:bookmarkStart w:id="202" w:name="_Toc184313255"/>
      <w:bookmarkEnd w:id="202"/>
      <w:bookmarkStart w:id="203" w:name="_Toc184313243"/>
      <w:bookmarkEnd w:id="203"/>
      <w:bookmarkStart w:id="204" w:name="_Toc184312074"/>
      <w:bookmarkEnd w:id="204"/>
      <w:bookmarkStart w:id="205" w:name="_Toc184314426"/>
      <w:bookmarkEnd w:id="205"/>
      <w:bookmarkStart w:id="206" w:name="_Toc184312067"/>
      <w:bookmarkEnd w:id="206"/>
      <w:bookmarkStart w:id="207" w:name="_Toc184313245"/>
      <w:bookmarkEnd w:id="207"/>
      <w:bookmarkStart w:id="208" w:name="_Toc184312115"/>
      <w:bookmarkEnd w:id="208"/>
      <w:bookmarkStart w:id="209" w:name="_Toc184314415"/>
      <w:bookmarkEnd w:id="209"/>
      <w:bookmarkStart w:id="210" w:name="_Toc184314448"/>
      <w:bookmarkEnd w:id="210"/>
      <w:bookmarkStart w:id="211" w:name="_Toc184313263"/>
      <w:bookmarkEnd w:id="211"/>
      <w:bookmarkStart w:id="212" w:name="_Toc184310280"/>
      <w:bookmarkEnd w:id="212"/>
      <w:bookmarkStart w:id="213" w:name="_Toc184308045"/>
      <w:bookmarkEnd w:id="213"/>
      <w:bookmarkStart w:id="214" w:name="_Toc184312116"/>
      <w:bookmarkEnd w:id="214"/>
      <w:bookmarkStart w:id="215" w:name="_Toc184310290"/>
      <w:bookmarkEnd w:id="215"/>
      <w:bookmarkStart w:id="216" w:name="_Toc184313301"/>
      <w:bookmarkEnd w:id="216"/>
      <w:bookmarkStart w:id="217" w:name="_Toc184310321"/>
      <w:bookmarkEnd w:id="217"/>
      <w:bookmarkStart w:id="218" w:name="_Toc184313286"/>
      <w:bookmarkEnd w:id="218"/>
      <w:bookmarkStart w:id="219" w:name="_Toc184308073"/>
      <w:bookmarkEnd w:id="219"/>
      <w:bookmarkStart w:id="220" w:name="_Toc184308041"/>
      <w:bookmarkEnd w:id="220"/>
      <w:bookmarkStart w:id="221" w:name="_Toc184310304"/>
      <w:bookmarkEnd w:id="221"/>
      <w:bookmarkStart w:id="222" w:name="_Toc184312135"/>
      <w:bookmarkEnd w:id="222"/>
      <w:bookmarkStart w:id="223" w:name="_Toc184308050"/>
      <w:bookmarkEnd w:id="223"/>
      <w:bookmarkStart w:id="224" w:name="_Toc184313238"/>
      <w:bookmarkEnd w:id="224"/>
      <w:bookmarkStart w:id="225" w:name="_Toc184313292"/>
      <w:bookmarkEnd w:id="225"/>
      <w:bookmarkStart w:id="226" w:name="_Toc184310322"/>
      <w:bookmarkEnd w:id="226"/>
      <w:bookmarkStart w:id="227" w:name="_Toc184308103"/>
      <w:bookmarkEnd w:id="227"/>
      <w:bookmarkStart w:id="228" w:name="_Toc184314433"/>
      <w:bookmarkEnd w:id="228"/>
      <w:bookmarkStart w:id="229" w:name="_Toc184313285"/>
      <w:bookmarkEnd w:id="229"/>
      <w:bookmarkStart w:id="230" w:name="_Toc184310335"/>
      <w:bookmarkEnd w:id="230"/>
      <w:bookmarkStart w:id="231" w:name="_Toc184314459"/>
      <w:bookmarkEnd w:id="231"/>
      <w:bookmarkStart w:id="232" w:name="_Toc184310320"/>
      <w:bookmarkEnd w:id="232"/>
      <w:bookmarkStart w:id="233" w:name="_Toc184308038"/>
      <w:bookmarkEnd w:id="233"/>
      <w:bookmarkStart w:id="234" w:name="_Toc184308043"/>
      <w:bookmarkEnd w:id="234"/>
      <w:bookmarkStart w:id="235" w:name="_Toc184312087"/>
      <w:bookmarkEnd w:id="235"/>
      <w:bookmarkStart w:id="236" w:name="_Toc184314430"/>
      <w:bookmarkEnd w:id="236"/>
      <w:bookmarkStart w:id="237" w:name="_Toc184308084"/>
      <w:bookmarkEnd w:id="237"/>
      <w:bookmarkStart w:id="238" w:name="_Toc184312085"/>
      <w:bookmarkEnd w:id="238"/>
      <w:bookmarkStart w:id="239" w:name="_Toc184313244"/>
      <w:bookmarkEnd w:id="239"/>
      <w:bookmarkStart w:id="240" w:name="_Toc184314416"/>
      <w:bookmarkEnd w:id="240"/>
      <w:bookmarkStart w:id="241" w:name="_Toc184310278"/>
      <w:bookmarkEnd w:id="241"/>
      <w:bookmarkStart w:id="242" w:name="_Toc184308055"/>
      <w:bookmarkEnd w:id="242"/>
      <w:bookmarkStart w:id="243" w:name="_Toc184310274"/>
      <w:bookmarkEnd w:id="243"/>
      <w:bookmarkStart w:id="244" w:name="_Toc184314449"/>
      <w:bookmarkEnd w:id="244"/>
      <w:bookmarkStart w:id="245" w:name="_Toc184313261"/>
      <w:bookmarkEnd w:id="245"/>
      <w:bookmarkStart w:id="246" w:name="_Toc184314457"/>
      <w:bookmarkEnd w:id="246"/>
      <w:bookmarkStart w:id="247" w:name="_Toc184312089"/>
      <w:bookmarkEnd w:id="247"/>
      <w:bookmarkStart w:id="248" w:name="_Toc184314411"/>
      <w:bookmarkEnd w:id="248"/>
      <w:bookmarkStart w:id="249" w:name="_Toc184308105"/>
      <w:bookmarkEnd w:id="249"/>
      <w:bookmarkStart w:id="250" w:name="_Toc184310342"/>
      <w:bookmarkEnd w:id="250"/>
      <w:bookmarkStart w:id="251" w:name="_Toc184314473"/>
      <w:bookmarkEnd w:id="251"/>
      <w:bookmarkStart w:id="252" w:name="_Toc184313246"/>
      <w:bookmarkEnd w:id="252"/>
      <w:bookmarkStart w:id="253" w:name="_Toc184308067"/>
      <w:bookmarkEnd w:id="253"/>
      <w:bookmarkStart w:id="254" w:name="_Toc184314414"/>
      <w:bookmarkEnd w:id="254"/>
      <w:bookmarkStart w:id="255" w:name="_Toc184313306"/>
      <w:bookmarkEnd w:id="255"/>
      <w:bookmarkStart w:id="256" w:name="_Toc184313260"/>
      <w:bookmarkEnd w:id="256"/>
      <w:bookmarkStart w:id="257" w:name="_Toc184310296"/>
      <w:bookmarkEnd w:id="257"/>
      <w:bookmarkStart w:id="258" w:name="_Toc184314428"/>
      <w:bookmarkEnd w:id="258"/>
      <w:bookmarkStart w:id="259" w:name="_Toc184310295"/>
      <w:bookmarkEnd w:id="259"/>
      <w:bookmarkStart w:id="260" w:name="_Toc184314458"/>
      <w:bookmarkEnd w:id="260"/>
      <w:bookmarkStart w:id="261" w:name="_Toc184313251"/>
      <w:bookmarkEnd w:id="261"/>
      <w:bookmarkStart w:id="262" w:name="_Toc184310314"/>
      <w:bookmarkEnd w:id="262"/>
      <w:bookmarkStart w:id="263" w:name="_Toc184312139"/>
      <w:bookmarkEnd w:id="263"/>
      <w:bookmarkStart w:id="264" w:name="_Toc184312094"/>
      <w:bookmarkEnd w:id="264"/>
      <w:bookmarkStart w:id="265" w:name="_Toc184312075"/>
      <w:bookmarkEnd w:id="265"/>
      <w:bookmarkStart w:id="266" w:name="_Toc184314474"/>
      <w:bookmarkEnd w:id="266"/>
      <w:bookmarkStart w:id="267" w:name="_Toc184308037"/>
      <w:bookmarkEnd w:id="267"/>
      <w:bookmarkStart w:id="268" w:name="_Toc184310300"/>
      <w:bookmarkEnd w:id="268"/>
      <w:bookmarkStart w:id="269" w:name="_Toc184314413"/>
      <w:bookmarkEnd w:id="269"/>
      <w:bookmarkStart w:id="270" w:name="_Toc184312073"/>
      <w:bookmarkEnd w:id="270"/>
      <w:bookmarkStart w:id="271" w:name="_Toc184314432"/>
      <w:bookmarkEnd w:id="271"/>
      <w:bookmarkStart w:id="272" w:name="_Toc184310275"/>
      <w:bookmarkEnd w:id="272"/>
      <w:bookmarkStart w:id="273" w:name="_Toc184312113"/>
      <w:bookmarkEnd w:id="273"/>
      <w:bookmarkStart w:id="274" w:name="_Toc184313277"/>
      <w:bookmarkEnd w:id="274"/>
      <w:bookmarkStart w:id="275" w:name="_Toc184308039"/>
      <w:bookmarkEnd w:id="275"/>
      <w:bookmarkStart w:id="276" w:name="_Toc184312083"/>
      <w:bookmarkEnd w:id="276"/>
      <w:bookmarkStart w:id="277" w:name="_Toc184313275"/>
      <w:bookmarkEnd w:id="277"/>
      <w:bookmarkStart w:id="278" w:name="_Toc184310277"/>
      <w:bookmarkEnd w:id="278"/>
      <w:bookmarkStart w:id="279" w:name="_Toc184312106"/>
      <w:bookmarkEnd w:id="279"/>
      <w:bookmarkStart w:id="280" w:name="_Toc184308054"/>
      <w:bookmarkEnd w:id="280"/>
      <w:bookmarkStart w:id="281" w:name="_Toc184308053"/>
      <w:bookmarkEnd w:id="281"/>
      <w:bookmarkStart w:id="282" w:name="_Toc184312112"/>
      <w:bookmarkEnd w:id="282"/>
      <w:bookmarkStart w:id="283" w:name="_Toc184312086"/>
      <w:bookmarkEnd w:id="283"/>
      <w:bookmarkStart w:id="284" w:name="_Toc184313262"/>
      <w:bookmarkEnd w:id="284"/>
      <w:bookmarkStart w:id="285" w:name="_Toc184308101"/>
      <w:bookmarkEnd w:id="285"/>
      <w:bookmarkStart w:id="286" w:name="_Toc184312072"/>
      <w:bookmarkEnd w:id="286"/>
      <w:bookmarkStart w:id="287" w:name="_Toc184313249"/>
      <w:bookmarkEnd w:id="287"/>
      <w:bookmarkStart w:id="288" w:name="_Toc184313256"/>
      <w:bookmarkEnd w:id="288"/>
      <w:bookmarkStart w:id="289" w:name="_Toc184313280"/>
      <w:bookmarkEnd w:id="289"/>
      <w:bookmarkStart w:id="290" w:name="_Toc184312117"/>
      <w:bookmarkEnd w:id="290"/>
      <w:bookmarkStart w:id="291" w:name="_Toc184312088"/>
      <w:bookmarkEnd w:id="291"/>
      <w:bookmarkStart w:id="292" w:name="_Toc184308065"/>
      <w:bookmarkEnd w:id="292"/>
      <w:bookmarkStart w:id="293" w:name="_Toc184310294"/>
      <w:bookmarkEnd w:id="293"/>
      <w:bookmarkStart w:id="294" w:name="_Toc184312084"/>
      <w:bookmarkEnd w:id="294"/>
      <w:bookmarkStart w:id="295" w:name="_Toc184310336"/>
      <w:bookmarkEnd w:id="295"/>
      <w:bookmarkStart w:id="296" w:name="_Toc184314450"/>
      <w:bookmarkEnd w:id="296"/>
      <w:bookmarkStart w:id="297" w:name="_Toc184313252"/>
      <w:bookmarkEnd w:id="297"/>
      <w:bookmarkStart w:id="298" w:name="_Toc184313303"/>
      <w:bookmarkEnd w:id="298"/>
      <w:bookmarkStart w:id="299" w:name="_Toc184314443"/>
      <w:bookmarkEnd w:id="299"/>
      <w:bookmarkStart w:id="300" w:name="_Toc184310298"/>
      <w:bookmarkEnd w:id="300"/>
      <w:bookmarkStart w:id="301" w:name="_Toc184313247"/>
      <w:bookmarkEnd w:id="301"/>
      <w:bookmarkStart w:id="302" w:name="_Toc184308056"/>
      <w:bookmarkEnd w:id="302"/>
      <w:bookmarkStart w:id="303" w:name="_Toc184314480"/>
      <w:bookmarkEnd w:id="303"/>
      <w:bookmarkStart w:id="304" w:name="_Toc184308081"/>
      <w:bookmarkEnd w:id="304"/>
      <w:bookmarkStart w:id="305" w:name="_Toc184308058"/>
      <w:bookmarkEnd w:id="305"/>
      <w:bookmarkStart w:id="306" w:name="_Toc184312069"/>
      <w:bookmarkEnd w:id="306"/>
      <w:bookmarkStart w:id="307" w:name="_Toc184308049"/>
      <w:bookmarkEnd w:id="307"/>
      <w:bookmarkStart w:id="308" w:name="_Toc184310317"/>
      <w:bookmarkEnd w:id="308"/>
      <w:bookmarkStart w:id="309" w:name="_Toc184314460"/>
      <w:bookmarkEnd w:id="309"/>
      <w:bookmarkStart w:id="310" w:name="_Toc184314446"/>
      <w:bookmarkEnd w:id="310"/>
      <w:bookmarkStart w:id="311" w:name="_Toc184313257"/>
      <w:bookmarkEnd w:id="311"/>
      <w:bookmarkStart w:id="312" w:name="_Toc184313240"/>
      <w:bookmarkEnd w:id="312"/>
      <w:bookmarkStart w:id="313" w:name="_Toc184313254"/>
      <w:bookmarkEnd w:id="313"/>
      <w:bookmarkStart w:id="314" w:name="_Toc184313281"/>
      <w:bookmarkEnd w:id="314"/>
      <w:bookmarkStart w:id="315" w:name="_Toc184310284"/>
      <w:bookmarkEnd w:id="315"/>
      <w:bookmarkStart w:id="316" w:name="_Toc184313274"/>
      <w:bookmarkEnd w:id="316"/>
      <w:bookmarkStart w:id="317" w:name="_Toc184314434"/>
      <w:bookmarkEnd w:id="317"/>
      <w:bookmarkStart w:id="318" w:name="_Toc184308052"/>
      <w:bookmarkEnd w:id="318"/>
      <w:bookmarkStart w:id="319" w:name="_Toc184314429"/>
      <w:bookmarkEnd w:id="319"/>
      <w:bookmarkStart w:id="320" w:name="_Toc184308102"/>
      <w:bookmarkEnd w:id="320"/>
      <w:bookmarkStart w:id="321" w:name="_Toc184313259"/>
      <w:bookmarkEnd w:id="321"/>
      <w:bookmarkStart w:id="322" w:name="_Toc184313268"/>
      <w:bookmarkEnd w:id="322"/>
      <w:bookmarkStart w:id="323" w:name="_Toc184314455"/>
      <w:bookmarkEnd w:id="323"/>
      <w:bookmarkStart w:id="324" w:name="_Toc184312078"/>
      <w:bookmarkEnd w:id="324"/>
      <w:bookmarkStart w:id="325" w:name="_Toc184310293"/>
      <w:bookmarkEnd w:id="325"/>
      <w:bookmarkStart w:id="326" w:name="_Toc184310299"/>
      <w:bookmarkEnd w:id="326"/>
      <w:bookmarkStart w:id="327" w:name="_Toc184314438"/>
      <w:bookmarkEnd w:id="327"/>
      <w:bookmarkStart w:id="328" w:name="_Toc184310297"/>
      <w:bookmarkEnd w:id="328"/>
      <w:bookmarkStart w:id="329" w:name="_Toc184314456"/>
      <w:bookmarkEnd w:id="329"/>
      <w:bookmarkStart w:id="330" w:name="_Toc184313307"/>
      <w:bookmarkEnd w:id="330"/>
      <w:bookmarkStart w:id="331" w:name="_Toc184312096"/>
      <w:bookmarkEnd w:id="331"/>
      <w:bookmarkStart w:id="332" w:name="_Toc184312081"/>
      <w:bookmarkEnd w:id="332"/>
      <w:bookmarkStart w:id="333" w:name="_Toc184308086"/>
      <w:bookmarkEnd w:id="333"/>
      <w:bookmarkStart w:id="334" w:name="_Toc184308082"/>
      <w:bookmarkEnd w:id="334"/>
      <w:bookmarkStart w:id="335" w:name="_Toc184313279"/>
      <w:bookmarkEnd w:id="335"/>
      <w:bookmarkStart w:id="336" w:name="_Toc184314475"/>
      <w:bookmarkEnd w:id="336"/>
      <w:bookmarkStart w:id="337" w:name="_Toc184310303"/>
      <w:bookmarkEnd w:id="337"/>
      <w:bookmarkStart w:id="338" w:name="_Toc184310341"/>
      <w:bookmarkEnd w:id="338"/>
      <w:bookmarkStart w:id="339" w:name="_Toc184314454"/>
      <w:bookmarkEnd w:id="339"/>
      <w:bookmarkStart w:id="340" w:name="_Toc184314451"/>
      <w:bookmarkEnd w:id="340"/>
      <w:bookmarkStart w:id="341" w:name="_Toc184313288"/>
      <w:bookmarkEnd w:id="341"/>
      <w:bookmarkStart w:id="342" w:name="_Toc184308083"/>
      <w:bookmarkEnd w:id="342"/>
      <w:bookmarkStart w:id="343" w:name="_Toc184312070"/>
      <w:bookmarkEnd w:id="343"/>
      <w:bookmarkStart w:id="344" w:name="_Toc184314482"/>
      <w:bookmarkEnd w:id="344"/>
      <w:bookmarkStart w:id="345" w:name="_Toc184308070"/>
      <w:bookmarkEnd w:id="345"/>
      <w:bookmarkStart w:id="346" w:name="_Toc184310273"/>
      <w:bookmarkEnd w:id="346"/>
      <w:bookmarkStart w:id="347" w:name="_Toc184312104"/>
      <w:bookmarkEnd w:id="347"/>
      <w:bookmarkStart w:id="348" w:name="_Toc184310302"/>
      <w:bookmarkEnd w:id="348"/>
      <w:bookmarkStart w:id="349" w:name="_Toc184308066"/>
      <w:bookmarkEnd w:id="349"/>
      <w:bookmarkStart w:id="350" w:name="_Toc184314440"/>
      <w:bookmarkEnd w:id="350"/>
      <w:bookmarkStart w:id="351" w:name="_Toc184310310"/>
      <w:bookmarkEnd w:id="351"/>
      <w:bookmarkStart w:id="352" w:name="_Toc184308048"/>
      <w:bookmarkEnd w:id="352"/>
      <w:bookmarkStart w:id="353" w:name="_Toc184312068"/>
      <w:bookmarkEnd w:id="353"/>
      <w:bookmarkStart w:id="354" w:name="_Toc184310289"/>
      <w:bookmarkEnd w:id="354"/>
      <w:bookmarkStart w:id="355" w:name="_Toc184313264"/>
      <w:bookmarkEnd w:id="355"/>
      <w:bookmarkStart w:id="356" w:name="_Toc184312079"/>
      <w:bookmarkEnd w:id="356"/>
      <w:bookmarkStart w:id="357" w:name="_Toc184310291"/>
      <w:bookmarkEnd w:id="357"/>
      <w:bookmarkStart w:id="358" w:name="_Toc184314422"/>
      <w:bookmarkEnd w:id="358"/>
      <w:bookmarkStart w:id="359" w:name="_Toc184310282"/>
      <w:bookmarkEnd w:id="359"/>
      <w:bookmarkStart w:id="360" w:name="_Toc184308047"/>
      <w:bookmarkEnd w:id="360"/>
      <w:bookmarkStart w:id="361" w:name="_Toc184310324"/>
      <w:bookmarkEnd w:id="361"/>
      <w:bookmarkStart w:id="362" w:name="_Toc184312138"/>
      <w:bookmarkEnd w:id="362"/>
      <w:bookmarkStart w:id="363" w:name="_Toc184308063"/>
      <w:bookmarkEnd w:id="363"/>
      <w:bookmarkStart w:id="364" w:name="_Toc184314444"/>
      <w:bookmarkEnd w:id="364"/>
      <w:bookmarkStart w:id="365" w:name="_Toc184314453"/>
      <w:bookmarkEnd w:id="365"/>
      <w:bookmarkStart w:id="366" w:name="_Toc184310292"/>
      <w:bookmarkEnd w:id="366"/>
      <w:bookmarkStart w:id="367" w:name="_Toc184314447"/>
      <w:bookmarkEnd w:id="367"/>
      <w:bookmarkStart w:id="368" w:name="_Toc184310285"/>
      <w:bookmarkEnd w:id="368"/>
      <w:bookmarkStart w:id="369" w:name="_Toc184310306"/>
      <w:bookmarkEnd w:id="369"/>
      <w:bookmarkStart w:id="370" w:name="_Toc184308051"/>
      <w:bookmarkEnd w:id="370"/>
      <w:bookmarkStart w:id="371" w:name="_Toc184314461"/>
      <w:bookmarkEnd w:id="371"/>
      <w:bookmarkStart w:id="372" w:name="_Toc184308040"/>
      <w:bookmarkEnd w:id="372"/>
      <w:bookmarkStart w:id="373" w:name="_Toc184313250"/>
      <w:bookmarkEnd w:id="373"/>
      <w:bookmarkStart w:id="374" w:name="_Toc184308087"/>
      <w:bookmarkEnd w:id="374"/>
      <w:bookmarkStart w:id="375" w:name="_Toc184308057"/>
      <w:bookmarkEnd w:id="375"/>
      <w:bookmarkStart w:id="376" w:name="_Toc184310305"/>
      <w:bookmarkEnd w:id="376"/>
      <w:bookmarkStart w:id="377" w:name="_Toc184310281"/>
      <w:bookmarkEnd w:id="377"/>
      <w:bookmarkStart w:id="378" w:name="_Toc184314436"/>
      <w:bookmarkEnd w:id="378"/>
      <w:bookmarkStart w:id="379" w:name="_Toc184310315"/>
      <w:bookmarkEnd w:id="379"/>
      <w:bookmarkStart w:id="380" w:name="_Toc184313270"/>
      <w:bookmarkEnd w:id="380"/>
      <w:bookmarkStart w:id="381" w:name="_Toc184314481"/>
      <w:bookmarkEnd w:id="381"/>
      <w:bookmarkStart w:id="382" w:name="_Toc184312093"/>
      <w:bookmarkEnd w:id="382"/>
      <w:bookmarkStart w:id="383" w:name="_Toc184312098"/>
      <w:bookmarkEnd w:id="383"/>
      <w:bookmarkStart w:id="384" w:name="_Toc184313258"/>
      <w:bookmarkEnd w:id="384"/>
      <w:bookmarkStart w:id="385" w:name="_Toc184308085"/>
      <w:bookmarkEnd w:id="385"/>
      <w:bookmarkStart w:id="386" w:name="_Toc184313283"/>
      <w:bookmarkEnd w:id="386"/>
      <w:bookmarkStart w:id="387" w:name="_Toc184314410"/>
      <w:bookmarkEnd w:id="387"/>
      <w:bookmarkStart w:id="388" w:name="_Toc184308064"/>
      <w:bookmarkEnd w:id="388"/>
      <w:bookmarkStart w:id="389" w:name="_Toc184314439"/>
      <w:bookmarkEnd w:id="389"/>
      <w:bookmarkStart w:id="390" w:name="_Toc184312131"/>
      <w:bookmarkEnd w:id="390"/>
      <w:bookmarkStart w:id="391" w:name="_Toc184308072"/>
      <w:bookmarkEnd w:id="391"/>
      <w:bookmarkStart w:id="392" w:name="_Toc184312114"/>
      <w:bookmarkEnd w:id="392"/>
      <w:bookmarkStart w:id="393" w:name="_Toc184313310"/>
      <w:bookmarkEnd w:id="393"/>
      <w:bookmarkStart w:id="394" w:name="_Toc184310301"/>
      <w:bookmarkEnd w:id="394"/>
      <w:bookmarkStart w:id="395" w:name="_Toc184312102"/>
      <w:bookmarkEnd w:id="395"/>
      <w:bookmarkStart w:id="396" w:name="_Toc184312126"/>
      <w:bookmarkEnd w:id="396"/>
      <w:bookmarkStart w:id="397" w:name="_Toc184312103"/>
      <w:bookmarkEnd w:id="397"/>
      <w:bookmarkStart w:id="398" w:name="_Toc184313295"/>
      <w:bookmarkEnd w:id="398"/>
      <w:bookmarkStart w:id="399" w:name="_Toc184308068"/>
      <w:bookmarkEnd w:id="399"/>
      <w:bookmarkStart w:id="400" w:name="_Toc184308078"/>
      <w:bookmarkEnd w:id="400"/>
      <w:bookmarkStart w:id="401" w:name="_Toc184313271"/>
      <w:bookmarkEnd w:id="401"/>
      <w:bookmarkStart w:id="402" w:name="_Toc184313294"/>
      <w:bookmarkEnd w:id="402"/>
      <w:bookmarkStart w:id="403" w:name="_Toc184313267"/>
      <w:bookmarkEnd w:id="403"/>
      <w:bookmarkStart w:id="404" w:name="_Toc184314423"/>
      <w:bookmarkEnd w:id="404"/>
      <w:bookmarkStart w:id="405" w:name="_Toc184310331"/>
      <w:bookmarkEnd w:id="405"/>
      <w:bookmarkStart w:id="406" w:name="_Toc184308074"/>
      <w:bookmarkEnd w:id="406"/>
      <w:bookmarkStart w:id="407" w:name="_Toc184312097"/>
      <w:bookmarkEnd w:id="407"/>
      <w:bookmarkStart w:id="408" w:name="_Toc184313273"/>
      <w:bookmarkEnd w:id="408"/>
      <w:bookmarkStart w:id="409" w:name="_Toc184310313"/>
      <w:bookmarkEnd w:id="409"/>
      <w:bookmarkStart w:id="410" w:name="_Toc184310307"/>
      <w:bookmarkEnd w:id="410"/>
      <w:bookmarkStart w:id="411" w:name="_Toc184308069"/>
      <w:bookmarkEnd w:id="411"/>
      <w:bookmarkStart w:id="412" w:name="_Toc184310323"/>
      <w:bookmarkEnd w:id="412"/>
      <w:bookmarkStart w:id="413" w:name="_Toc184308107"/>
      <w:bookmarkEnd w:id="413"/>
      <w:bookmarkStart w:id="414" w:name="_Toc184312105"/>
      <w:bookmarkEnd w:id="414"/>
      <w:bookmarkStart w:id="415" w:name="_Toc184313266"/>
      <w:bookmarkEnd w:id="415"/>
      <w:bookmarkStart w:id="416" w:name="_Toc184312095"/>
      <w:bookmarkEnd w:id="416"/>
      <w:bookmarkStart w:id="417" w:name="_Toc184313248"/>
      <w:bookmarkEnd w:id="417"/>
      <w:bookmarkStart w:id="418" w:name="_Toc184312136"/>
      <w:bookmarkEnd w:id="418"/>
      <w:bookmarkStart w:id="419" w:name="_Toc184310286"/>
      <w:bookmarkEnd w:id="419"/>
      <w:bookmarkStart w:id="420" w:name="_Toc184312100"/>
      <w:bookmarkEnd w:id="420"/>
      <w:bookmarkStart w:id="421" w:name="_Toc184308071"/>
      <w:bookmarkEnd w:id="421"/>
      <w:bookmarkStart w:id="422" w:name="_Toc184312101"/>
      <w:bookmarkEnd w:id="422"/>
      <w:bookmarkStart w:id="423" w:name="_Toc184312099"/>
      <w:bookmarkEnd w:id="423"/>
      <w:bookmarkStart w:id="424" w:name="_Toc184308079"/>
      <w:bookmarkEnd w:id="424"/>
      <w:bookmarkStart w:id="425" w:name="_Toc184312118"/>
      <w:bookmarkEnd w:id="425"/>
      <w:bookmarkStart w:id="426" w:name="_Toc184313242"/>
      <w:bookmarkEnd w:id="426"/>
      <w:bookmarkStart w:id="427" w:name="_Toc184312122"/>
      <w:bookmarkEnd w:id="427"/>
      <w:bookmarkStart w:id="428" w:name="_Toc184308092"/>
      <w:bookmarkEnd w:id="428"/>
      <w:bookmarkStart w:id="429" w:name="_Toc184313272"/>
      <w:bookmarkEnd w:id="429"/>
      <w:bookmarkStart w:id="430" w:name="_Toc184313269"/>
      <w:bookmarkEnd w:id="430"/>
      <w:bookmarkStart w:id="431" w:name="_Toc184308108"/>
      <w:bookmarkEnd w:id="431"/>
      <w:bookmarkStart w:id="432" w:name="_Toc184308046"/>
      <w:bookmarkEnd w:id="432"/>
      <w:bookmarkStart w:id="433" w:name="_Toc184310311"/>
      <w:bookmarkEnd w:id="433"/>
      <w:bookmarkStart w:id="434" w:name="_Toc184310308"/>
      <w:bookmarkEnd w:id="434"/>
      <w:bookmarkStart w:id="435" w:name="_Toc184314420"/>
      <w:bookmarkEnd w:id="435"/>
      <w:bookmarkStart w:id="436" w:name="_Toc184313293"/>
      <w:bookmarkEnd w:id="436"/>
      <w:bookmarkStart w:id="437" w:name="_Toc184312071"/>
      <w:bookmarkEnd w:id="437"/>
      <w:bookmarkStart w:id="438" w:name="_Toc184312137"/>
      <w:bookmarkEnd w:id="438"/>
      <w:bookmarkStart w:id="439" w:name="_Toc184310338"/>
      <w:bookmarkEnd w:id="439"/>
      <w:bookmarkStart w:id="440" w:name="_Toc184310312"/>
      <w:bookmarkEnd w:id="440"/>
      <w:bookmarkStart w:id="441" w:name="_Toc184312119"/>
      <w:bookmarkEnd w:id="441"/>
      <w:bookmarkStart w:id="442" w:name="_Toc184310283"/>
      <w:bookmarkEnd w:id="442"/>
      <w:bookmarkStart w:id="443" w:name="_Toc184313241"/>
      <w:bookmarkEnd w:id="443"/>
      <w:bookmarkStart w:id="444" w:name="_Toc184312109"/>
      <w:bookmarkEnd w:id="444"/>
      <w:bookmarkStart w:id="445" w:name="_Toc184312130"/>
      <w:bookmarkEnd w:id="445"/>
      <w:bookmarkStart w:id="446" w:name="_Toc184314441"/>
      <w:bookmarkEnd w:id="446"/>
      <w:bookmarkStart w:id="447" w:name="_Toc184308100"/>
      <w:bookmarkEnd w:id="447"/>
      <w:bookmarkStart w:id="448" w:name="_Toc184314445"/>
      <w:bookmarkEnd w:id="448"/>
      <w:bookmarkStart w:id="449" w:name="_Toc184312080"/>
      <w:bookmarkEnd w:id="449"/>
      <w:bookmarkStart w:id="450" w:name="_Toc184310309"/>
      <w:bookmarkEnd w:id="450"/>
      <w:bookmarkStart w:id="451" w:name="_Toc184313239"/>
      <w:bookmarkEnd w:id="451"/>
      <w:r>
        <w:rPr>
          <w:rFonts w:hint="eastAsia" w:ascii="宋体" w:hAnsi="宋体" w:cs="宋体"/>
          <w:b/>
          <w:color w:val="000000"/>
          <w:sz w:val="36"/>
          <w:szCs w:val="36"/>
          <w:highlight w:val="none"/>
        </w:rPr>
        <w:t>评标方法及评分标准</w:t>
      </w:r>
    </w:p>
    <w:p>
      <w:pPr>
        <w:shd w:val="clear" w:color="auto" w:fill="auto"/>
        <w:snapToGrid w:val="0"/>
        <w:spacing w:line="360" w:lineRule="auto"/>
        <w:ind w:firstLine="3052" w:firstLineChars="950"/>
        <w:rPr>
          <w:rFonts w:hint="eastAsia" w:ascii="宋体" w:hAnsi="宋体" w:cs="宋体"/>
          <w:b/>
          <w:color w:val="000000"/>
          <w:sz w:val="28"/>
          <w:szCs w:val="28"/>
          <w:highlight w:val="none"/>
        </w:rPr>
      </w:pPr>
      <w:r>
        <w:rPr>
          <w:rFonts w:hint="eastAsia" w:ascii="宋体" w:hAnsi="宋体" w:cs="宋体"/>
          <w:b/>
          <w:color w:val="000000"/>
          <w:sz w:val="32"/>
          <w:highlight w:val="none"/>
        </w:rPr>
        <w:t>一、评标方法</w:t>
      </w:r>
    </w:p>
    <w:p>
      <w:pPr>
        <w:shd w:val="clear" w:color="auto" w:fill="auto"/>
        <w:adjustRightInd/>
        <w:spacing w:line="360" w:lineRule="auto"/>
        <w:rPr>
          <w:rFonts w:hint="eastAsia" w:ascii="宋体" w:hAnsi="宋体" w:cs="宋体"/>
          <w:color w:val="000000"/>
          <w:kern w:val="0"/>
          <w:sz w:val="24"/>
          <w:highlight w:val="none"/>
        </w:rPr>
      </w:pPr>
      <w:r>
        <w:rPr>
          <w:rFonts w:hint="eastAsia" w:ascii="宋体" w:hAnsi="宋体" w:cs="宋体"/>
          <w:b/>
          <w:color w:val="000000"/>
          <w:kern w:val="0"/>
          <w:sz w:val="24"/>
          <w:highlight w:val="none"/>
        </w:rPr>
        <w:t>1.综合评分法。</w:t>
      </w:r>
      <w:r>
        <w:rPr>
          <w:rFonts w:hint="eastAsia" w:ascii="宋体" w:hAnsi="宋体" w:cs="宋体"/>
          <w:b/>
          <w:bCs/>
          <w:color w:val="000000"/>
          <w:kern w:val="0"/>
          <w:sz w:val="24"/>
          <w:highlight w:val="none"/>
        </w:rPr>
        <w:t>综合评分法，是指投标文件满足招标文件全部实质性要求，且按照评审因素的量化指标评审得分最高的投标人为排名第一的中标候选人的评标方法。</w:t>
      </w:r>
    </w:p>
    <w:p>
      <w:pPr>
        <w:shd w:val="clear" w:color="auto" w:fill="auto"/>
        <w:adjustRightInd/>
        <w:spacing w:line="360" w:lineRule="auto"/>
        <w:rPr>
          <w:rFonts w:hint="eastAsia" w:ascii="宋体" w:hAnsi="宋体" w:cs="宋体"/>
          <w:color w:val="000000"/>
          <w:kern w:val="0"/>
          <w:sz w:val="24"/>
          <w:highlight w:val="none"/>
        </w:rPr>
      </w:pPr>
    </w:p>
    <w:p>
      <w:pPr>
        <w:shd w:val="clear" w:color="auto" w:fill="auto"/>
        <w:snapToGrid w:val="0"/>
        <w:spacing w:line="360" w:lineRule="auto"/>
        <w:ind w:left="120" w:leftChars="57" w:firstLine="422" w:firstLineChars="150"/>
        <w:jc w:val="center"/>
        <w:rPr>
          <w:rFonts w:hint="eastAsia" w:ascii="宋体" w:hAnsi="宋体" w:cs="宋体"/>
          <w:b/>
          <w:color w:val="000000"/>
          <w:sz w:val="32"/>
          <w:highlight w:val="none"/>
        </w:rPr>
      </w:pPr>
      <w:r>
        <w:rPr>
          <w:rFonts w:hint="eastAsia" w:ascii="宋体" w:hAnsi="宋体" w:cs="宋体"/>
          <w:b/>
          <w:color w:val="000000"/>
          <w:sz w:val="28"/>
          <w:szCs w:val="28"/>
          <w:highlight w:val="none"/>
        </w:rPr>
        <w:t xml:space="preserve">   </w:t>
      </w:r>
      <w:r>
        <w:rPr>
          <w:rFonts w:hint="eastAsia" w:ascii="宋体" w:hAnsi="宋体" w:cs="宋体"/>
          <w:b/>
          <w:color w:val="000000"/>
          <w:sz w:val="32"/>
          <w:highlight w:val="none"/>
        </w:rPr>
        <w:t>二、评标委员会的组成</w:t>
      </w:r>
    </w:p>
    <w:p>
      <w:pPr>
        <w:shd w:val="clear" w:color="auto" w:fill="auto"/>
        <w:snapToGrid w:val="0"/>
        <w:spacing w:line="360" w:lineRule="auto"/>
        <w:rPr>
          <w:rFonts w:hint="eastAsia" w:ascii="宋体" w:hAnsi="宋体" w:cs="宋体"/>
          <w:color w:val="000000"/>
          <w:kern w:val="0"/>
          <w:sz w:val="24"/>
          <w:highlight w:val="none"/>
        </w:rPr>
      </w:pPr>
      <w:r>
        <w:rPr>
          <w:rFonts w:hint="eastAsia" w:ascii="宋体" w:hAnsi="宋体" w:cs="宋体"/>
          <w:b/>
          <w:color w:val="000000"/>
          <w:kern w:val="0"/>
          <w:sz w:val="24"/>
          <w:highlight w:val="none"/>
        </w:rPr>
        <w:t>2.评标委员会的组成。</w:t>
      </w:r>
      <w:r>
        <w:rPr>
          <w:rFonts w:hint="eastAsia" w:ascii="宋体" w:hAnsi="宋体" w:cs="宋体"/>
          <w:color w:val="000000"/>
          <w:kern w:val="0"/>
          <w:sz w:val="24"/>
          <w:highlight w:val="none"/>
        </w:rPr>
        <w:t>评标委员会由采购人代表和评审专家组成，成员人数为5人以上单数，其中评审专家不少于成员总数的三分之二。</w:t>
      </w:r>
    </w:p>
    <w:p>
      <w:pPr>
        <w:pStyle w:val="196"/>
        <w:shd w:val="clear" w:color="auto" w:fill="auto"/>
        <w:spacing w:before="0"/>
        <w:ind w:firstLine="0" w:firstLineChars="0"/>
        <w:rPr>
          <w:rFonts w:hint="eastAsia" w:ascii="宋体" w:hAnsi="宋体" w:cs="宋体"/>
          <w:color w:val="000000"/>
          <w:kern w:val="0"/>
          <w:highlight w:val="none"/>
        </w:rPr>
      </w:pPr>
      <w:r>
        <w:rPr>
          <w:rFonts w:hint="eastAsia" w:ascii="宋体" w:hAnsi="宋体" w:cs="宋体"/>
          <w:b/>
          <w:color w:val="000000"/>
          <w:kern w:val="0"/>
          <w:highlight w:val="none"/>
        </w:rPr>
        <w:t>3.评</w:t>
      </w:r>
      <w:r>
        <w:rPr>
          <w:rFonts w:hint="eastAsia" w:ascii="宋体" w:hAnsi="宋体" w:cs="宋体"/>
          <w:b/>
          <w:color w:val="000000"/>
          <w:kern w:val="0"/>
          <w:szCs w:val="24"/>
          <w:highlight w:val="none"/>
        </w:rPr>
        <w:t>标委员会的组成人员的回避。</w:t>
      </w:r>
      <w:r>
        <w:rPr>
          <w:rFonts w:hint="eastAsia" w:ascii="宋体" w:hAnsi="宋体" w:cs="宋体"/>
          <w:color w:val="000000"/>
          <w:kern w:val="0"/>
          <w:highlight w:val="none"/>
        </w:rPr>
        <w:t>在政府采购活动中，评标委员会的组成人员与供应商有下列利害关系之一的，应当回避：</w:t>
      </w:r>
    </w:p>
    <w:p>
      <w:pPr>
        <w:pStyle w:val="196"/>
        <w:shd w:val="clear" w:color="auto" w:fill="auto"/>
        <w:spacing w:before="0"/>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　　3.1参加采购活动前3年内与供应商存在劳动关系；</w:t>
      </w:r>
    </w:p>
    <w:p>
      <w:pPr>
        <w:pStyle w:val="196"/>
        <w:shd w:val="clear" w:color="auto" w:fill="auto"/>
        <w:spacing w:before="0"/>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　　3.2参加采购活动前3年内担任供应商的董事、监事；</w:t>
      </w:r>
    </w:p>
    <w:p>
      <w:pPr>
        <w:pStyle w:val="196"/>
        <w:shd w:val="clear" w:color="auto" w:fill="auto"/>
        <w:spacing w:before="0"/>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　　3.3参加采购活动前3年内是供应商的控股股东或者实际控制人；</w:t>
      </w:r>
    </w:p>
    <w:p>
      <w:pPr>
        <w:pStyle w:val="196"/>
        <w:shd w:val="clear" w:color="auto" w:fill="auto"/>
        <w:spacing w:before="0"/>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　　3.4与供应商的法定代表人或者负责人有夫妻、直系血亲、三代以内旁系血亲或者近姻亲关系；</w:t>
      </w:r>
    </w:p>
    <w:p>
      <w:pPr>
        <w:pStyle w:val="196"/>
        <w:shd w:val="clear" w:color="auto" w:fill="auto"/>
        <w:spacing w:before="0"/>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　 3.5与供应商有其他可能影响政府采购活动公平、公正进行的关系。</w:t>
      </w:r>
    </w:p>
    <w:p>
      <w:pPr>
        <w:shd w:val="clear" w:color="auto" w:fill="auto"/>
        <w:snapToGrid w:val="0"/>
        <w:spacing w:line="360" w:lineRule="auto"/>
        <w:ind w:left="120" w:leftChars="57" w:firstLine="482" w:firstLineChars="150"/>
        <w:jc w:val="center"/>
        <w:rPr>
          <w:rFonts w:hint="eastAsia" w:ascii="宋体" w:hAnsi="宋体" w:cs="宋体"/>
          <w:b/>
          <w:color w:val="000000"/>
          <w:sz w:val="32"/>
          <w:szCs w:val="32"/>
          <w:highlight w:val="none"/>
        </w:rPr>
      </w:pPr>
    </w:p>
    <w:p>
      <w:pPr>
        <w:shd w:val="clear" w:color="auto" w:fill="auto"/>
        <w:snapToGrid w:val="0"/>
        <w:spacing w:line="360" w:lineRule="auto"/>
        <w:ind w:left="120" w:leftChars="57" w:firstLine="482" w:firstLineChars="150"/>
        <w:jc w:val="center"/>
        <w:rPr>
          <w:rFonts w:hint="eastAsia" w:ascii="宋体" w:hAnsi="宋体" w:cs="宋体"/>
          <w:b/>
          <w:color w:val="000000"/>
          <w:sz w:val="32"/>
          <w:szCs w:val="32"/>
          <w:highlight w:val="none"/>
        </w:rPr>
      </w:pPr>
      <w:r>
        <w:rPr>
          <w:rFonts w:hint="eastAsia" w:ascii="宋体" w:hAnsi="宋体" w:cs="宋体"/>
          <w:b/>
          <w:color w:val="000000"/>
          <w:sz w:val="32"/>
          <w:szCs w:val="32"/>
          <w:highlight w:val="none"/>
        </w:rPr>
        <w:t>　</w:t>
      </w:r>
      <w:r>
        <w:rPr>
          <w:rFonts w:hint="eastAsia" w:ascii="宋体" w:hAnsi="宋体" w:cs="宋体"/>
          <w:b/>
          <w:color w:val="000000"/>
          <w:sz w:val="32"/>
          <w:highlight w:val="none"/>
        </w:rPr>
        <w:t>　三、评标委员会的职责</w:t>
      </w:r>
    </w:p>
    <w:p>
      <w:pPr>
        <w:pStyle w:val="196"/>
        <w:shd w:val="clear" w:color="auto" w:fill="auto"/>
        <w:spacing w:before="0"/>
        <w:ind w:firstLine="0" w:firstLineChars="0"/>
        <w:rPr>
          <w:rFonts w:hint="eastAsia" w:ascii="宋体" w:hAnsi="宋体" w:cs="宋体"/>
          <w:b/>
          <w:color w:val="000000"/>
          <w:kern w:val="0"/>
          <w:szCs w:val="24"/>
          <w:highlight w:val="none"/>
        </w:rPr>
      </w:pPr>
      <w:r>
        <w:rPr>
          <w:rFonts w:hint="eastAsia" w:ascii="宋体" w:hAnsi="宋体" w:cs="宋体"/>
          <w:b/>
          <w:color w:val="000000"/>
          <w:kern w:val="0"/>
          <w:szCs w:val="24"/>
          <w:highlight w:val="none"/>
        </w:rPr>
        <w:t>4.评标委员会负责具体评标事务，并独立履行下列职责：</w:t>
      </w:r>
    </w:p>
    <w:p>
      <w:pPr>
        <w:pStyle w:val="196"/>
        <w:shd w:val="clear" w:color="auto" w:fill="auto"/>
        <w:spacing w:before="0"/>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4.1审查、评价投标文件是否符合招标文件的商务、技术等实质性要求；</w:t>
      </w:r>
    </w:p>
    <w:p>
      <w:pPr>
        <w:pStyle w:val="196"/>
        <w:shd w:val="clear" w:color="auto" w:fill="auto"/>
        <w:spacing w:before="0"/>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4.2要求投标人对投标文件有关事项作出澄清或者说明；</w:t>
      </w:r>
    </w:p>
    <w:p>
      <w:pPr>
        <w:pStyle w:val="196"/>
        <w:shd w:val="clear" w:color="auto" w:fill="auto"/>
        <w:spacing w:before="0"/>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4.3对投标文件进行比较和评价；</w:t>
      </w:r>
    </w:p>
    <w:p>
      <w:pPr>
        <w:pStyle w:val="196"/>
        <w:shd w:val="clear" w:color="auto" w:fill="auto"/>
        <w:spacing w:before="0"/>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4.4确定中标候选人名单，以及根据采购人委托直接确定中标人；</w:t>
      </w:r>
    </w:p>
    <w:p>
      <w:pPr>
        <w:pStyle w:val="196"/>
        <w:shd w:val="clear" w:color="auto" w:fill="auto"/>
        <w:spacing w:before="0"/>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4.5向采购人、采购机构或者有关部门报告评标中发现的违法行为；</w:t>
      </w:r>
    </w:p>
    <w:p>
      <w:pPr>
        <w:pStyle w:val="196"/>
        <w:shd w:val="clear" w:color="auto" w:fill="auto"/>
        <w:spacing w:before="0"/>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4.6法律、法规、规章、招标文件等规定的其它事项。</w:t>
      </w:r>
    </w:p>
    <w:p>
      <w:pPr>
        <w:pStyle w:val="196"/>
        <w:shd w:val="clear" w:color="auto" w:fill="auto"/>
        <w:spacing w:before="0"/>
        <w:ind w:firstLine="0" w:firstLineChars="0"/>
        <w:rPr>
          <w:rFonts w:hint="eastAsia" w:ascii="宋体" w:hAnsi="宋体" w:cs="宋体"/>
          <w:b/>
          <w:color w:val="000000"/>
          <w:kern w:val="0"/>
          <w:szCs w:val="24"/>
          <w:highlight w:val="none"/>
        </w:rPr>
      </w:pPr>
      <w:r>
        <w:rPr>
          <w:rFonts w:hint="eastAsia" w:ascii="宋体" w:hAnsi="宋体" w:cs="宋体"/>
          <w:b/>
          <w:color w:val="000000"/>
          <w:kern w:val="0"/>
          <w:szCs w:val="24"/>
          <w:highlight w:val="none"/>
        </w:rPr>
        <w:t>5.评标委员会及其成员不得有下列行为：</w:t>
      </w:r>
    </w:p>
    <w:p>
      <w:pPr>
        <w:pStyle w:val="196"/>
        <w:shd w:val="clear" w:color="auto" w:fill="auto"/>
        <w:spacing w:before="0"/>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　5.1确定参与评标至评标结束前私自接触投标人；</w:t>
      </w:r>
    </w:p>
    <w:p>
      <w:pPr>
        <w:pStyle w:val="196"/>
        <w:shd w:val="clear" w:color="auto" w:fill="auto"/>
        <w:spacing w:before="0"/>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　5.2接受投标人提出的与投标文件不一致的澄清或者说明，本办法第五十一条规定的情形除外；</w:t>
      </w:r>
    </w:p>
    <w:p>
      <w:pPr>
        <w:pStyle w:val="196"/>
        <w:shd w:val="clear" w:color="auto" w:fill="auto"/>
        <w:spacing w:before="0"/>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　5.3违反评标纪律发表倾向性意见或者征询采购人的倾向性意见；</w:t>
      </w:r>
    </w:p>
    <w:p>
      <w:pPr>
        <w:pStyle w:val="196"/>
        <w:shd w:val="clear" w:color="auto" w:fill="auto"/>
        <w:spacing w:before="0"/>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　5.4对需要专业判断的主观评审因素协商评分；</w:t>
      </w:r>
    </w:p>
    <w:p>
      <w:pPr>
        <w:pStyle w:val="196"/>
        <w:shd w:val="clear" w:color="auto" w:fill="auto"/>
        <w:spacing w:before="0"/>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　5.5在评标过程中擅离职守，影响评标程序正常进行的；</w:t>
      </w:r>
    </w:p>
    <w:p>
      <w:pPr>
        <w:pStyle w:val="196"/>
        <w:shd w:val="clear" w:color="auto" w:fill="auto"/>
        <w:spacing w:before="0"/>
        <w:ind w:firstLine="240" w:firstLineChars="100"/>
        <w:rPr>
          <w:rFonts w:hint="eastAsia" w:ascii="宋体" w:hAnsi="宋体" w:cs="宋体"/>
          <w:color w:val="000000"/>
          <w:kern w:val="0"/>
          <w:highlight w:val="none"/>
        </w:rPr>
      </w:pPr>
      <w:r>
        <w:rPr>
          <w:rFonts w:hint="eastAsia" w:ascii="宋体" w:hAnsi="宋体" w:cs="宋体"/>
          <w:color w:val="000000"/>
          <w:kern w:val="0"/>
          <w:highlight w:val="none"/>
        </w:rPr>
        <w:t>5.6记录、复制或者带走任何评标资料；</w:t>
      </w:r>
    </w:p>
    <w:p>
      <w:pPr>
        <w:pStyle w:val="196"/>
        <w:shd w:val="clear" w:color="auto" w:fill="auto"/>
        <w:spacing w:before="0"/>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　5.7其他不遵守评标纪律的行为。</w:t>
      </w:r>
    </w:p>
    <w:p>
      <w:pPr>
        <w:pStyle w:val="196"/>
        <w:shd w:val="clear" w:color="auto" w:fill="auto"/>
        <w:spacing w:before="0"/>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　　评标委员会成员有5.1-5.5行为之一的，其评审意见无效，并不得获取评审劳务报酬和报销异地评审差旅费。</w:t>
      </w:r>
    </w:p>
    <w:p>
      <w:pPr>
        <w:pStyle w:val="196"/>
        <w:shd w:val="clear" w:color="auto" w:fill="auto"/>
        <w:spacing w:before="0"/>
        <w:ind w:firstLine="0" w:firstLineChars="0"/>
        <w:rPr>
          <w:rFonts w:hint="eastAsia" w:ascii="宋体" w:hAnsi="宋体" w:cs="宋体"/>
          <w:color w:val="000000"/>
          <w:kern w:val="0"/>
          <w:highlight w:val="none"/>
        </w:rPr>
      </w:pPr>
    </w:p>
    <w:p>
      <w:pPr>
        <w:shd w:val="clear" w:color="auto" w:fill="auto"/>
        <w:snapToGrid w:val="0"/>
        <w:spacing w:line="360" w:lineRule="auto"/>
        <w:ind w:left="120" w:leftChars="57" w:firstLine="482" w:firstLineChars="150"/>
        <w:jc w:val="center"/>
        <w:rPr>
          <w:rFonts w:hint="eastAsia" w:ascii="宋体" w:hAnsi="宋体" w:cs="宋体"/>
          <w:b/>
          <w:color w:val="000000"/>
          <w:sz w:val="32"/>
          <w:highlight w:val="none"/>
        </w:rPr>
      </w:pPr>
      <w:r>
        <w:rPr>
          <w:rFonts w:hint="eastAsia" w:ascii="宋体" w:hAnsi="宋体" w:cs="宋体"/>
          <w:b/>
          <w:color w:val="000000"/>
          <w:sz w:val="32"/>
          <w:highlight w:val="none"/>
        </w:rPr>
        <w:t>四、评审程序</w:t>
      </w:r>
    </w:p>
    <w:p>
      <w:pPr>
        <w:pStyle w:val="196"/>
        <w:shd w:val="clear" w:color="auto" w:fill="auto"/>
        <w:spacing w:before="0"/>
        <w:ind w:firstLine="0" w:firstLineChars="0"/>
        <w:rPr>
          <w:rFonts w:hint="eastAsia" w:ascii="宋体" w:hAnsi="宋体" w:cs="宋体"/>
          <w:color w:val="000000"/>
          <w:kern w:val="0"/>
          <w:szCs w:val="24"/>
          <w:highlight w:val="none"/>
        </w:rPr>
      </w:pPr>
      <w:r>
        <w:rPr>
          <w:rFonts w:hint="eastAsia" w:ascii="宋体" w:hAnsi="宋体" w:cs="宋体"/>
          <w:b/>
          <w:color w:val="000000"/>
          <w:kern w:val="0"/>
          <w:szCs w:val="24"/>
          <w:highlight w:val="none"/>
        </w:rPr>
        <w:t xml:space="preserve">6.符合性审查。 </w:t>
      </w:r>
      <w:r>
        <w:rPr>
          <w:rFonts w:hint="eastAsia" w:ascii="宋体" w:hAnsi="宋体" w:cs="宋体"/>
          <w:color w:val="000000"/>
          <w:kern w:val="0"/>
          <w:szCs w:val="24"/>
          <w:highlight w:val="none"/>
        </w:rPr>
        <w:t>评标委员会应当对符合资格的投标人的投标文件进行符合性审查，以确定其是否满足招标文件的实质性要求。符合投标无效情形的，投标无效。</w:t>
      </w:r>
    </w:p>
    <w:p>
      <w:pPr>
        <w:pStyle w:val="196"/>
        <w:shd w:val="clear" w:color="auto" w:fill="auto"/>
        <w:spacing w:before="0"/>
        <w:ind w:firstLine="0" w:firstLineChars="0"/>
        <w:rPr>
          <w:rFonts w:hint="eastAsia" w:ascii="宋体" w:hAnsi="宋体" w:cs="宋体"/>
          <w:bCs/>
          <w:color w:val="000000"/>
          <w:kern w:val="0"/>
          <w:highlight w:val="none"/>
        </w:rPr>
      </w:pPr>
      <w:r>
        <w:rPr>
          <w:rFonts w:hint="eastAsia" w:ascii="宋体" w:hAnsi="宋体" w:cs="宋体"/>
          <w:b/>
          <w:color w:val="000000"/>
          <w:kern w:val="0"/>
          <w:szCs w:val="24"/>
          <w:highlight w:val="none"/>
        </w:rPr>
        <w:t>7.投标人澄清、说明或者补正。</w:t>
      </w:r>
      <w:r>
        <w:rPr>
          <w:rFonts w:hint="eastAsia" w:ascii="宋体" w:hAnsi="宋体" w:cs="宋体"/>
          <w:bCs/>
          <w:color w:val="000000"/>
          <w:kern w:val="0"/>
          <w:szCs w:val="24"/>
          <w:highlight w:val="none"/>
        </w:rPr>
        <w:t>7.1</w:t>
      </w:r>
      <w:r>
        <w:rPr>
          <w:rFonts w:hint="eastAsia" w:ascii="宋体" w:hAnsi="宋体" w:cs="宋体"/>
          <w:bCs/>
          <w:color w:val="000000"/>
          <w:kern w:val="0"/>
          <w:highlight w:val="none"/>
        </w:rPr>
        <w:t>对于投标文件中含义不明确、同类问题表述不一致或者有明显文字和计算错误的内容，评标委员会将以书面形式（或通过“政府采购云平台”在线询标）的形式要求投标供应商在规定的时间内作出必要的澄清、说明或者补正，投标供应商澄清、说明或补正时间为10分钟。</w:t>
      </w:r>
    </w:p>
    <w:p>
      <w:pPr>
        <w:shd w:val="clear" w:color="auto" w:fill="auto"/>
        <w:spacing w:line="360" w:lineRule="auto"/>
        <w:ind w:firstLine="424" w:firstLineChars="177"/>
        <w:rPr>
          <w:rFonts w:hint="eastAsia" w:ascii="宋体" w:hAnsi="宋体" w:cs="宋体"/>
          <w:color w:val="000000"/>
          <w:kern w:val="0"/>
          <w:sz w:val="24"/>
          <w:highlight w:val="none"/>
        </w:rPr>
      </w:pPr>
      <w:r>
        <w:rPr>
          <w:rFonts w:hint="eastAsia" w:ascii="宋体" w:hAnsi="宋体" w:cs="宋体"/>
          <w:bCs/>
          <w:color w:val="000000"/>
          <w:kern w:val="0"/>
          <w:sz w:val="24"/>
          <w:highlight w:val="none"/>
        </w:rPr>
        <w:t>7.2投标供应商的澄清、说明或者补正应当采用书面（或通过“政府采购云平台”在线答复）形式提交，并加盖公章，或者由法定代表人或其授权的代表签字。投标供应商的澄清、说明或者补正不得超出投标文件的范围或者改变投标文件的实质性内容</w:t>
      </w:r>
      <w:r>
        <w:rPr>
          <w:rFonts w:hint="eastAsia" w:ascii="宋体" w:hAnsi="宋体" w:cs="宋体"/>
          <w:color w:val="000000"/>
          <w:kern w:val="0"/>
          <w:sz w:val="24"/>
          <w:highlight w:val="none"/>
        </w:rPr>
        <w:t>。</w:t>
      </w:r>
    </w:p>
    <w:p>
      <w:pPr>
        <w:pStyle w:val="196"/>
        <w:shd w:val="clear" w:color="auto" w:fill="auto"/>
        <w:spacing w:before="0"/>
        <w:ind w:firstLine="0" w:firstLineChars="0"/>
        <w:rPr>
          <w:rFonts w:hint="eastAsia" w:ascii="宋体" w:hAnsi="宋体" w:cs="宋体"/>
          <w:color w:val="000000"/>
          <w:kern w:val="0"/>
          <w:szCs w:val="24"/>
          <w:highlight w:val="none"/>
        </w:rPr>
      </w:pPr>
      <w:r>
        <w:rPr>
          <w:rFonts w:hint="eastAsia" w:ascii="宋体" w:hAnsi="宋体" w:cs="宋体"/>
          <w:b/>
          <w:color w:val="000000"/>
          <w:kern w:val="0"/>
          <w:szCs w:val="24"/>
          <w:highlight w:val="none"/>
        </w:rPr>
        <w:t>8. 比较与评价。</w:t>
      </w:r>
      <w:r>
        <w:rPr>
          <w:rFonts w:hint="eastAsia" w:ascii="宋体" w:hAnsi="宋体" w:cs="宋体"/>
          <w:color w:val="000000"/>
          <w:kern w:val="0"/>
          <w:szCs w:val="24"/>
          <w:highlight w:val="none"/>
        </w:rPr>
        <w:t>标委员会应当按照评标标准，对符合性审查合格的投标文件进行商务和技术评估，综合比较与评价。</w:t>
      </w:r>
    </w:p>
    <w:p>
      <w:pPr>
        <w:pStyle w:val="196"/>
        <w:shd w:val="clear" w:color="auto" w:fill="auto"/>
        <w:spacing w:before="0"/>
        <w:ind w:firstLine="0" w:firstLineChars="0"/>
        <w:rPr>
          <w:rFonts w:hint="eastAsia" w:ascii="宋体" w:hAnsi="宋体" w:cs="宋体"/>
          <w:color w:val="000000"/>
          <w:kern w:val="0"/>
          <w:szCs w:val="24"/>
          <w:highlight w:val="none"/>
        </w:rPr>
      </w:pPr>
      <w:r>
        <w:rPr>
          <w:rFonts w:hint="eastAsia" w:ascii="宋体" w:hAnsi="宋体" w:cs="宋体"/>
          <w:b/>
          <w:color w:val="000000"/>
          <w:kern w:val="0"/>
          <w:szCs w:val="24"/>
          <w:highlight w:val="none"/>
        </w:rPr>
        <w:t>9. 汇总（商务技术得分情况）。</w:t>
      </w:r>
      <w:r>
        <w:rPr>
          <w:rFonts w:hint="eastAsia" w:ascii="宋体" w:hAnsi="宋体" w:cs="宋体"/>
          <w:color w:val="000000"/>
          <w:kern w:val="0"/>
          <w:szCs w:val="24"/>
          <w:highlight w:val="none"/>
        </w:rPr>
        <w:t>评标委员会各成员应当独立对每个投标人的商务和技术文件进行评价，并汇总商务技术得分情况。</w:t>
      </w:r>
    </w:p>
    <w:p>
      <w:pPr>
        <w:pStyle w:val="196"/>
        <w:shd w:val="clear" w:color="auto" w:fill="auto"/>
        <w:spacing w:before="0"/>
        <w:ind w:firstLine="0" w:firstLineChars="0"/>
        <w:rPr>
          <w:rFonts w:hint="eastAsia" w:ascii="宋体" w:hAnsi="宋体" w:cs="宋体"/>
          <w:color w:val="000000"/>
          <w:kern w:val="0"/>
          <w:szCs w:val="24"/>
          <w:highlight w:val="none"/>
        </w:rPr>
      </w:pPr>
      <w:r>
        <w:rPr>
          <w:rFonts w:hint="eastAsia" w:ascii="宋体" w:hAnsi="宋体" w:cs="宋体"/>
          <w:b/>
          <w:color w:val="000000"/>
          <w:kern w:val="0"/>
          <w:szCs w:val="24"/>
          <w:highlight w:val="none"/>
        </w:rPr>
        <w:t>10. 报价审核。</w:t>
      </w:r>
      <w:r>
        <w:rPr>
          <w:rFonts w:hint="eastAsia" w:ascii="宋体" w:hAnsi="宋体" w:cs="宋体"/>
          <w:color w:val="000000"/>
          <w:kern w:val="0"/>
          <w:szCs w:val="24"/>
          <w:highlight w:val="none"/>
        </w:rPr>
        <w:t>对经商务和技术评审符合采购需求的投标人的报价的合理性、准确性等进行审查核实。</w:t>
      </w:r>
    </w:p>
    <w:p>
      <w:pPr>
        <w:pStyle w:val="196"/>
        <w:shd w:val="clear" w:color="auto" w:fill="auto"/>
        <w:spacing w:before="0"/>
        <w:ind w:firstLine="0" w:firstLineChars="0"/>
        <w:rPr>
          <w:rFonts w:hint="eastAsia" w:ascii="宋体" w:hAnsi="宋体" w:cs="宋体"/>
          <w:color w:val="000000"/>
          <w:kern w:val="0"/>
          <w:szCs w:val="24"/>
          <w:highlight w:val="none"/>
        </w:rPr>
      </w:pPr>
      <w:r>
        <w:rPr>
          <w:rFonts w:hint="eastAsia" w:ascii="宋体" w:hAnsi="宋体" w:cs="宋体"/>
          <w:color w:val="000000"/>
          <w:kern w:val="0"/>
          <w:szCs w:val="24"/>
          <w:highlight w:val="none"/>
        </w:rPr>
        <w:t>10.1评标委员会认为投标人的报价明显低于其他通过符合性审查投标人的报价，有可能影响产品质量或者不能诚信履约的，应当要求其在评标现场合理的时间内提供书面说明，必要时提交相关证明材料。</w:t>
      </w:r>
    </w:p>
    <w:p>
      <w:pPr>
        <w:pStyle w:val="196"/>
        <w:shd w:val="clear" w:color="auto" w:fill="auto"/>
        <w:spacing w:before="0"/>
        <w:ind w:firstLine="0" w:firstLineChars="0"/>
        <w:rPr>
          <w:rFonts w:hint="eastAsia" w:ascii="宋体" w:hAnsi="宋体" w:cs="宋体"/>
          <w:color w:val="000000"/>
          <w:kern w:val="0"/>
          <w:szCs w:val="24"/>
          <w:highlight w:val="none"/>
        </w:rPr>
      </w:pPr>
      <w:r>
        <w:rPr>
          <w:rFonts w:hint="eastAsia" w:ascii="宋体" w:hAnsi="宋体" w:cs="宋体"/>
          <w:color w:val="000000"/>
          <w:kern w:val="0"/>
          <w:szCs w:val="24"/>
          <w:highlight w:val="none"/>
        </w:rPr>
        <w:t>10.2根据财政部发布的《政府采购促进中小企业发展管理办法》规定，对小型和微型企业产品的价格给予一定的扣除，用扣除后的价格参与评审。</w:t>
      </w:r>
    </w:p>
    <w:p>
      <w:pPr>
        <w:pStyle w:val="196"/>
        <w:shd w:val="clear" w:color="auto" w:fill="auto"/>
        <w:spacing w:before="0"/>
        <w:ind w:firstLine="0" w:firstLineChars="0"/>
        <w:rPr>
          <w:rFonts w:hint="eastAsia" w:ascii="宋体" w:hAnsi="宋体" w:cs="宋体"/>
          <w:color w:val="000000"/>
          <w:kern w:val="0"/>
          <w:szCs w:val="24"/>
          <w:highlight w:val="none"/>
        </w:rPr>
      </w:pPr>
      <w:r>
        <w:rPr>
          <w:rFonts w:hint="eastAsia" w:ascii="宋体" w:hAnsi="宋体" w:cs="宋体"/>
          <w:color w:val="000000"/>
          <w:kern w:val="0"/>
          <w:szCs w:val="24"/>
          <w:highlight w:val="none"/>
        </w:rPr>
        <w:t>10.3投标价格的修正原则。投标文件报价出现前后不一致的，按照下列规定修正：</w:t>
      </w:r>
    </w:p>
    <w:p>
      <w:pPr>
        <w:pStyle w:val="196"/>
        <w:shd w:val="clear" w:color="auto" w:fill="auto"/>
        <w:spacing w:before="0"/>
        <w:ind w:firstLine="0" w:firstLineChars="0"/>
        <w:rPr>
          <w:rFonts w:hint="eastAsia" w:ascii="宋体" w:hAnsi="宋体" w:cs="宋体"/>
          <w:color w:val="000000"/>
          <w:kern w:val="0"/>
          <w:szCs w:val="24"/>
          <w:highlight w:val="none"/>
        </w:rPr>
      </w:pPr>
      <w:r>
        <w:rPr>
          <w:rFonts w:hint="eastAsia" w:ascii="宋体" w:hAnsi="宋体" w:cs="宋体"/>
          <w:color w:val="000000"/>
          <w:kern w:val="0"/>
          <w:szCs w:val="24"/>
          <w:highlight w:val="none"/>
        </w:rPr>
        <w:t>10.3.1投标文件中开标一览表(报价表)内容与投标文件中相应内容不一致的，以开标一览表(报价表)为准;</w:t>
      </w:r>
    </w:p>
    <w:p>
      <w:pPr>
        <w:pStyle w:val="196"/>
        <w:shd w:val="clear" w:color="auto" w:fill="auto"/>
        <w:spacing w:before="0"/>
        <w:ind w:firstLine="0" w:firstLineChars="0"/>
        <w:rPr>
          <w:rFonts w:hint="eastAsia" w:ascii="宋体" w:hAnsi="宋体" w:cs="宋体"/>
          <w:color w:val="000000"/>
          <w:kern w:val="0"/>
          <w:szCs w:val="24"/>
          <w:highlight w:val="none"/>
        </w:rPr>
      </w:pPr>
      <w:r>
        <w:rPr>
          <w:rFonts w:hint="eastAsia" w:ascii="宋体" w:hAnsi="宋体" w:cs="宋体"/>
          <w:color w:val="000000"/>
          <w:kern w:val="0"/>
          <w:szCs w:val="24"/>
          <w:highlight w:val="none"/>
        </w:rPr>
        <w:t>10.3.2大写金额和小写金额不一致的，以大写金额为准;</w:t>
      </w:r>
    </w:p>
    <w:p>
      <w:pPr>
        <w:pStyle w:val="196"/>
        <w:shd w:val="clear" w:color="auto" w:fill="auto"/>
        <w:spacing w:before="0"/>
        <w:ind w:firstLine="0" w:firstLineChars="0"/>
        <w:rPr>
          <w:rFonts w:hint="eastAsia" w:ascii="宋体" w:hAnsi="宋体" w:cs="宋体"/>
          <w:color w:val="000000"/>
          <w:kern w:val="0"/>
          <w:szCs w:val="24"/>
          <w:highlight w:val="none"/>
        </w:rPr>
      </w:pPr>
      <w:r>
        <w:rPr>
          <w:rFonts w:hint="eastAsia" w:ascii="宋体" w:hAnsi="宋体" w:cs="宋体"/>
          <w:color w:val="000000"/>
          <w:kern w:val="0"/>
          <w:szCs w:val="24"/>
          <w:highlight w:val="none"/>
        </w:rPr>
        <w:t>10.3.3单价金额小数点或者百分比有明显错位的，以开标一览表的总价为准，并修改单价;</w:t>
      </w:r>
    </w:p>
    <w:p>
      <w:pPr>
        <w:pStyle w:val="196"/>
        <w:shd w:val="clear" w:color="auto" w:fill="auto"/>
        <w:spacing w:before="0"/>
        <w:ind w:firstLine="0" w:firstLineChars="0"/>
        <w:rPr>
          <w:rFonts w:hint="eastAsia" w:ascii="宋体" w:hAnsi="宋体" w:cs="宋体"/>
          <w:color w:val="000000"/>
          <w:kern w:val="0"/>
          <w:szCs w:val="24"/>
          <w:highlight w:val="none"/>
        </w:rPr>
      </w:pPr>
      <w:r>
        <w:rPr>
          <w:rFonts w:hint="eastAsia" w:ascii="宋体" w:hAnsi="宋体" w:cs="宋体"/>
          <w:color w:val="000000"/>
          <w:kern w:val="0"/>
          <w:szCs w:val="24"/>
          <w:highlight w:val="none"/>
        </w:rPr>
        <w:t>10.3.4总价金额与按单价汇总金额不一致的，以单价金额计算结果为准。</w:t>
      </w:r>
    </w:p>
    <w:p>
      <w:pPr>
        <w:pStyle w:val="196"/>
        <w:shd w:val="clear" w:color="auto" w:fill="auto"/>
        <w:spacing w:before="0"/>
        <w:ind w:firstLine="0" w:firstLineChars="0"/>
        <w:rPr>
          <w:rFonts w:hint="eastAsia" w:ascii="宋体" w:hAnsi="宋体" w:cs="宋体"/>
          <w:color w:val="000000"/>
          <w:kern w:val="0"/>
          <w:szCs w:val="24"/>
          <w:highlight w:val="none"/>
        </w:rPr>
      </w:pPr>
      <w:r>
        <w:rPr>
          <w:rFonts w:hint="eastAsia" w:ascii="宋体" w:hAnsi="宋体" w:cs="宋体"/>
          <w:color w:val="000000"/>
          <w:kern w:val="0"/>
          <w:szCs w:val="24"/>
          <w:highlight w:val="none"/>
        </w:rPr>
        <w:t>10.3.5同时出现两种以上不一致的，按照前款规定的顺序修正。修正后的报价按照财政部第87号令 《政府采购货物和服务招标投标管理办法》第五十一条第二款的规定经投标人确认后产生约束力。</w:t>
      </w:r>
    </w:p>
    <w:p>
      <w:pPr>
        <w:shd w:val="clear" w:color="auto" w:fill="auto"/>
        <w:spacing w:line="360" w:lineRule="auto"/>
        <w:rPr>
          <w:rFonts w:hint="eastAsia" w:ascii="宋体" w:hAnsi="宋体" w:cs="宋体"/>
          <w:b/>
          <w:bCs/>
          <w:color w:val="000000"/>
          <w:sz w:val="24"/>
          <w:highlight w:val="none"/>
        </w:rPr>
      </w:pPr>
      <w:r>
        <w:rPr>
          <w:rFonts w:hint="eastAsia" w:ascii="宋体" w:hAnsi="宋体" w:cs="宋体"/>
          <w:bCs/>
          <w:color w:val="000000"/>
          <w:sz w:val="24"/>
          <w:highlight w:val="none"/>
        </w:rPr>
        <w:t>▲</w:t>
      </w:r>
      <w:r>
        <w:rPr>
          <w:rFonts w:hint="eastAsia" w:ascii="宋体" w:hAnsi="宋体" w:cs="宋体"/>
          <w:b/>
          <w:bCs/>
          <w:color w:val="000000"/>
          <w:sz w:val="24"/>
          <w:highlight w:val="none"/>
        </w:rPr>
        <w:t>投标人对根据修正原则修正后的报价不确认的，投标无效。</w:t>
      </w:r>
    </w:p>
    <w:p>
      <w:pPr>
        <w:shd w:val="clear" w:color="auto" w:fill="auto"/>
        <w:spacing w:line="360" w:lineRule="auto"/>
        <w:rPr>
          <w:rFonts w:hint="eastAsia" w:ascii="宋体" w:hAnsi="宋体" w:cs="宋体"/>
          <w:color w:val="000000"/>
          <w:kern w:val="0"/>
          <w:sz w:val="24"/>
          <w:highlight w:val="none"/>
        </w:rPr>
      </w:pPr>
      <w:r>
        <w:rPr>
          <w:rFonts w:hint="eastAsia" w:ascii="宋体" w:hAnsi="宋体" w:cs="宋体"/>
          <w:b/>
          <w:color w:val="000000"/>
          <w:kern w:val="0"/>
          <w:sz w:val="24"/>
          <w:highlight w:val="none"/>
        </w:rPr>
        <w:t>11.汇总得分。</w:t>
      </w:r>
      <w:r>
        <w:rPr>
          <w:rFonts w:hint="eastAsia" w:ascii="宋体" w:hAnsi="宋体" w:cs="宋体"/>
          <w:color w:val="000000"/>
          <w:kern w:val="0"/>
          <w:sz w:val="24"/>
          <w:highlight w:val="none"/>
        </w:rPr>
        <w:t>评标委员会各成员应当独立对每个投标人的投标文件进行评价，并汇总每个投标人的得分。</w:t>
      </w:r>
    </w:p>
    <w:p>
      <w:pPr>
        <w:shd w:val="clear" w:color="auto" w:fill="auto"/>
        <w:spacing w:line="360" w:lineRule="auto"/>
        <w:rPr>
          <w:rFonts w:hint="eastAsia" w:ascii="宋体" w:hAnsi="宋体" w:cs="宋体"/>
          <w:b/>
          <w:color w:val="000000"/>
          <w:kern w:val="0"/>
          <w:sz w:val="24"/>
          <w:highlight w:val="none"/>
        </w:rPr>
      </w:pPr>
      <w:r>
        <w:rPr>
          <w:rFonts w:hint="eastAsia" w:ascii="宋体" w:hAnsi="宋体" w:cs="宋体"/>
          <w:b/>
          <w:color w:val="000000"/>
          <w:kern w:val="0"/>
          <w:sz w:val="24"/>
          <w:highlight w:val="none"/>
        </w:rPr>
        <w:t>12.顺序排列与中标候选推荐。</w:t>
      </w:r>
    </w:p>
    <w:p>
      <w:pPr>
        <w:shd w:val="clear" w:color="auto" w:fill="auto"/>
        <w:spacing w:line="360" w:lineRule="auto"/>
        <w:rPr>
          <w:rFonts w:hint="eastAsia" w:ascii="宋体" w:hAnsi="宋体" w:cs="宋体"/>
          <w:color w:val="000000"/>
          <w:sz w:val="24"/>
          <w:highlight w:val="none"/>
        </w:rPr>
      </w:pPr>
      <w:r>
        <w:rPr>
          <w:rFonts w:hint="eastAsia" w:ascii="宋体" w:hAnsi="宋体" w:cs="宋体"/>
          <w:color w:val="000000"/>
          <w:sz w:val="24"/>
          <w:highlight w:val="none"/>
        </w:rPr>
        <w:t>12.1评标结果按评审后得分由高到低顺序排列。得分相同的，按投标报价由低到高顺序排列。得分且投标报价相同的并列。得分最高的投标人为排名第一的中标候选人。</w:t>
      </w:r>
    </w:p>
    <w:p>
      <w:pPr>
        <w:shd w:val="clear" w:color="auto" w:fill="auto"/>
        <w:spacing w:line="360" w:lineRule="auto"/>
        <w:rPr>
          <w:rFonts w:hint="eastAsia" w:ascii="宋体" w:hAnsi="宋体" w:cs="宋体"/>
          <w:color w:val="000000"/>
          <w:sz w:val="24"/>
          <w:highlight w:val="none"/>
        </w:rPr>
      </w:pPr>
      <w:r>
        <w:rPr>
          <w:rFonts w:hint="eastAsia" w:ascii="宋体" w:hAnsi="宋体" w:cs="宋体"/>
          <w:color w:val="000000"/>
          <w:sz w:val="24"/>
          <w:highlight w:val="none"/>
        </w:rPr>
        <w:t>12.2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pStyle w:val="24"/>
        <w:shd w:val="clear" w:color="auto" w:fill="auto"/>
        <w:spacing w:line="360" w:lineRule="auto"/>
        <w:ind w:left="559" w:hanging="559" w:hangingChars="199"/>
        <w:rPr>
          <w:rFonts w:hint="eastAsia" w:cs="宋体"/>
          <w:color w:val="000000"/>
          <w:highlight w:val="none"/>
        </w:rPr>
      </w:pPr>
      <w:r>
        <w:rPr>
          <w:rFonts w:hint="eastAsia" w:cs="宋体"/>
          <w:b/>
          <w:color w:val="000000"/>
          <w:spacing w:val="20"/>
          <w:highlight w:val="none"/>
        </w:rPr>
        <w:t>13.投标无效。</w:t>
      </w:r>
      <w:r>
        <w:rPr>
          <w:rFonts w:hint="eastAsia" w:cs="宋体"/>
          <w:color w:val="000000"/>
          <w:highlight w:val="none"/>
        </w:rPr>
        <w:t>有下列情况之一的，投标无效：</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13.1单位负责人为同一人或者存在直接控股、管理关系的不同供应商参加同一合同项下的政府采购活动的（均无效）；</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 xml:space="preserve">13.2为采购项目提供整体设计、规范编制或者项目管理、监理、检测等服务的供应商再参加该采购项目的其他采购活动的； </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13.3投标人不具备招标文件中规定的资格要求的（投标人未提供有效的资格证明文件的，视为投标人不具备招标文件中规定的资格要求）；</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13.4如以联合体形式参加政府采购活动的，联合体协议不符合招标文件规定的联合体协议要求的；</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 5投标文件未按规定的格式编制的；</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13.6投标文件未按招标文件的澄清、修改的内容编制，又不符合实质性要求的；</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13.7投标文件组成漏项，内容不全或内容字迹模糊辨认不清的；</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13.8投标文件中法定代表人授权书所载内容与本项目内容有异的；</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13.9投标文件未按照招标文件要求盖章的；</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13.10投标文件存在一个或一个以上备选（替代）投标方案的（与“电子加密投标文件”同时生成的“备份投标文件”不是投标备选（替代）方案）；</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13.11投标文件中未提供应当提供的政府强制采购节能品目内的节能产品或未提供有效的节能产品认证证书的（如果本项目采购涉及节能品目清单中的政府强制采购的节能产品的）；</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13.12投标文件含有采购人不能接受的附加条件的；</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13.13投标文件中承诺的投标有效期少于招标文件中载明的投标有效期的；</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13.14投标人所投内容不符合采购需求中实质性要求的；</w:t>
      </w:r>
    </w:p>
    <w:p>
      <w:pPr>
        <w:shd w:val="clear" w:color="auto" w:fill="auto"/>
        <w:snapToGrid w:val="0"/>
        <w:spacing w:line="360" w:lineRule="auto"/>
        <w:ind w:firstLine="420"/>
        <w:jc w:val="left"/>
        <w:rPr>
          <w:rFonts w:hint="eastAsia" w:ascii="宋体" w:hAnsi="宋体" w:cs="宋体"/>
          <w:color w:val="000000"/>
          <w:sz w:val="24"/>
          <w:highlight w:val="none"/>
        </w:rPr>
      </w:pPr>
      <w:r>
        <w:rPr>
          <w:rFonts w:hint="eastAsia" w:ascii="宋体" w:hAnsi="宋体" w:cs="宋体"/>
          <w:color w:val="000000"/>
          <w:sz w:val="24"/>
          <w:highlight w:val="none"/>
        </w:rPr>
        <w:t>13.15投标文件出现不是唯一的、有选择性投标报价的;</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13.16投标报价高于本项目采购预算或者最高限价的;</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13.17报价明显低于其他通过符合性审查投标人的报价，有可能影响产品质量或者不能诚信履约的，未能按要求提供书面说明或者提交相关证明材料，不能证明其报价合理性的;</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13.18《投标（开标）一览表》填写不完整或字迹不能辨认或有漏项的；</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13.19投标人对根据修正原则修正后的报价不确认的；</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13.20投标人提供虚假材料投标的（包括但不限于以下情节）；</w:t>
      </w:r>
    </w:p>
    <w:p>
      <w:pPr>
        <w:shd w:val="clear" w:color="auto" w:fill="auto"/>
        <w:spacing w:line="360" w:lineRule="auto"/>
        <w:ind w:firstLine="720" w:firstLineChars="300"/>
        <w:rPr>
          <w:rFonts w:hint="eastAsia" w:ascii="宋体" w:hAnsi="宋体" w:cs="宋体"/>
          <w:color w:val="000000"/>
          <w:sz w:val="24"/>
          <w:highlight w:val="none"/>
        </w:rPr>
      </w:pPr>
      <w:r>
        <w:rPr>
          <w:rFonts w:hint="eastAsia" w:ascii="宋体" w:hAnsi="宋体" w:cs="宋体"/>
          <w:color w:val="000000"/>
          <w:sz w:val="24"/>
          <w:highlight w:val="none"/>
        </w:rPr>
        <w:t>13.20.1使用伪造、变造的许可证件；</w:t>
      </w:r>
      <w:r>
        <w:rPr>
          <w:rFonts w:hint="eastAsia" w:ascii="宋体" w:hAnsi="宋体" w:cs="宋体"/>
          <w:color w:val="000000"/>
          <w:sz w:val="24"/>
          <w:highlight w:val="none"/>
        </w:rPr>
        <w:br w:type="textWrapping"/>
      </w:r>
      <w:r>
        <w:rPr>
          <w:rFonts w:hint="eastAsia" w:ascii="宋体" w:hAnsi="宋体" w:cs="宋体"/>
          <w:color w:val="000000"/>
          <w:sz w:val="24"/>
          <w:highlight w:val="none"/>
        </w:rPr>
        <w:t>    13.20.2提供虚假的财务状况或者业绩；</w:t>
      </w:r>
      <w:r>
        <w:rPr>
          <w:rFonts w:hint="eastAsia" w:ascii="宋体" w:hAnsi="宋体" w:cs="宋体"/>
          <w:color w:val="000000"/>
          <w:sz w:val="24"/>
          <w:highlight w:val="none"/>
        </w:rPr>
        <w:br w:type="textWrapping"/>
      </w:r>
      <w:r>
        <w:rPr>
          <w:rFonts w:hint="eastAsia" w:ascii="宋体" w:hAnsi="宋体" w:cs="宋体"/>
          <w:color w:val="000000"/>
          <w:sz w:val="24"/>
          <w:highlight w:val="none"/>
        </w:rPr>
        <w:t>    13.20.3提供虚假的项目负责人或者主要技术人员简历、劳动关系证明；</w:t>
      </w:r>
      <w:r>
        <w:rPr>
          <w:rFonts w:hint="eastAsia" w:ascii="宋体" w:hAnsi="宋体" w:cs="宋体"/>
          <w:color w:val="000000"/>
          <w:sz w:val="24"/>
          <w:highlight w:val="none"/>
        </w:rPr>
        <w:br w:type="textWrapping"/>
      </w:r>
      <w:r>
        <w:rPr>
          <w:rFonts w:hint="eastAsia" w:ascii="宋体" w:hAnsi="宋体" w:cs="宋体"/>
          <w:color w:val="000000"/>
          <w:sz w:val="24"/>
          <w:highlight w:val="none"/>
        </w:rPr>
        <w:t>    13.20.4提供虚假的信用状况；</w:t>
      </w:r>
      <w:r>
        <w:rPr>
          <w:rFonts w:hint="eastAsia" w:ascii="宋体" w:hAnsi="宋体" w:cs="宋体"/>
          <w:color w:val="000000"/>
          <w:sz w:val="24"/>
          <w:highlight w:val="none"/>
        </w:rPr>
        <w:br w:type="textWrapping"/>
      </w:r>
      <w:r>
        <w:rPr>
          <w:rFonts w:hint="eastAsia" w:ascii="宋体" w:hAnsi="宋体" w:cs="宋体"/>
          <w:color w:val="000000"/>
          <w:sz w:val="24"/>
          <w:highlight w:val="none"/>
        </w:rPr>
        <w:t>     13.20.5其他弄虚作假的行为。</w:t>
      </w:r>
      <w:r>
        <w:rPr>
          <w:rFonts w:hint="eastAsia" w:ascii="宋体" w:hAnsi="宋体" w:cs="宋体"/>
          <w:color w:val="000000"/>
          <w:sz w:val="24"/>
          <w:highlight w:val="none"/>
        </w:rPr>
        <w:br w:type="textWrapping"/>
      </w:r>
      <w:r>
        <w:rPr>
          <w:rFonts w:hint="eastAsia" w:ascii="宋体" w:hAnsi="宋体" w:cs="宋体"/>
          <w:color w:val="000000"/>
          <w:sz w:val="24"/>
          <w:highlight w:val="none"/>
        </w:rPr>
        <w:t xml:space="preserve">   13.21投标人有恶意串通、妨碍其他投标人的竞争行为、损害采购人或者其他投标人的合法权益情形的；有下列情形之一的，属于或视为恶意串通，其投标无效：</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13.22.1供应商直接或者间接从采购人或者采购机构处获得其他供应商的相关情况并修改其投标文件或者响应文件；</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13.22.2供应商按照采购人或者采购机构的授意撤换、修改投标文件或者响应文件；</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13.22.3供应商之间协商报价、技术方案等投标文件或者响应文件的实质性内容；</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13.22.4属于同一集团、协会、商会等组织成员的供应商按照该组织要求协同参加政府采购活动；</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13.22.5供应商之间事先约定由某一特定供应商中标、成交；</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13.22.6供应商之间商定部分供应商放弃参加政府采购活动或者放弃中标、成交；</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13.22.7供应商与采购人或者采购机构之间、供应商相互之间，为谋求特定供应商中标、成交或者排斥其他供应商的其他串通行为。</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13.22.8不同投标人的投标文件由同一单位或者个人编制；</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13.22.9不同投标人委托同一单位或者个人办理投标事宜；</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13.22.10不同投标人的投标文件载明的项目管理成员或者联系人员为同一人；</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13.22.11不同投标人的投标文件异常一致或者投标报价呈规律性差异；</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13.22.12不同投标人的投标文件相互混装；</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13.23法律、法规、规章（适用本市的）及省级以上规范性文件（适用本市的）规定的其他无效情形。</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13.24根据法律、法规或招标文件要求，评标委员会认为应当作无效投标的其他情况。</w:t>
      </w:r>
    </w:p>
    <w:p>
      <w:pPr>
        <w:shd w:val="clear" w:color="auto" w:fill="auto"/>
        <w:spacing w:line="360" w:lineRule="auto"/>
        <w:ind w:firstLine="240" w:firstLineChars="100"/>
        <w:rPr>
          <w:rFonts w:hint="eastAsia" w:ascii="宋体" w:hAnsi="宋体" w:cs="宋体"/>
          <w:color w:val="000000"/>
          <w:sz w:val="24"/>
          <w:szCs w:val="21"/>
          <w:highlight w:val="none"/>
        </w:rPr>
      </w:pPr>
    </w:p>
    <w:p>
      <w:pPr>
        <w:shd w:val="clear" w:color="auto" w:fill="auto"/>
        <w:snapToGrid w:val="0"/>
        <w:spacing w:line="360" w:lineRule="auto"/>
        <w:ind w:left="120" w:leftChars="57" w:firstLine="482" w:firstLineChars="150"/>
        <w:jc w:val="center"/>
        <w:rPr>
          <w:rFonts w:hint="eastAsia" w:ascii="宋体" w:hAnsi="宋体" w:cs="宋体"/>
          <w:b/>
          <w:color w:val="000000"/>
          <w:sz w:val="32"/>
          <w:highlight w:val="none"/>
        </w:rPr>
      </w:pPr>
      <w:r>
        <w:rPr>
          <w:rFonts w:hint="eastAsia" w:ascii="宋体" w:hAnsi="宋体" w:cs="宋体"/>
          <w:b/>
          <w:color w:val="000000"/>
          <w:sz w:val="32"/>
          <w:highlight w:val="none"/>
        </w:rPr>
        <w:t xml:space="preserve">五、评标报告 </w:t>
      </w:r>
    </w:p>
    <w:p>
      <w:pPr>
        <w:pStyle w:val="196"/>
        <w:shd w:val="clear" w:color="auto" w:fill="auto"/>
        <w:spacing w:before="0"/>
        <w:ind w:firstLine="0" w:firstLineChars="0"/>
        <w:rPr>
          <w:rFonts w:hint="eastAsia" w:ascii="宋体" w:hAnsi="宋体" w:cs="宋体"/>
          <w:color w:val="000000"/>
          <w:szCs w:val="24"/>
          <w:highlight w:val="none"/>
        </w:rPr>
      </w:pPr>
      <w:r>
        <w:rPr>
          <w:rFonts w:hint="eastAsia" w:ascii="宋体" w:hAnsi="宋体" w:cs="宋体"/>
          <w:b/>
          <w:color w:val="000000"/>
          <w:szCs w:val="24"/>
          <w:highlight w:val="none"/>
        </w:rPr>
        <w:t>14. 评标报告与推荐中标候选人。</w:t>
      </w:r>
      <w:r>
        <w:rPr>
          <w:rFonts w:hint="eastAsia" w:ascii="宋体" w:hAnsi="宋体" w:cs="宋体"/>
          <w:color w:val="000000"/>
          <w:szCs w:val="24"/>
          <w:highlight w:val="none"/>
        </w:rPr>
        <w:t>评标委员会根据全体评标成员签字的原始评标记录和评标结果编写评标报告，并推荐中标候选人，评审报告由评标委员会成员签字确认提交。</w:t>
      </w:r>
    </w:p>
    <w:p>
      <w:pPr>
        <w:widowControl/>
        <w:shd w:val="clear" w:color="auto" w:fill="auto"/>
        <w:adjustRightInd/>
        <w:spacing w:before="100" w:beforeAutospacing="1" w:after="100" w:afterAutospacing="1" w:line="360" w:lineRule="auto"/>
        <w:jc w:val="left"/>
        <w:rPr>
          <w:rFonts w:hint="eastAsia" w:ascii="宋体" w:hAnsi="宋体" w:cs="宋体"/>
          <w:color w:val="000000"/>
          <w:kern w:val="0"/>
          <w:sz w:val="24"/>
          <w:highlight w:val="none"/>
        </w:rPr>
      </w:pPr>
      <w:r>
        <w:rPr>
          <w:rFonts w:hint="eastAsia" w:ascii="宋体" w:hAnsi="宋体" w:cs="宋体"/>
          <w:b/>
          <w:color w:val="000000"/>
          <w:sz w:val="24"/>
          <w:highlight w:val="none"/>
        </w:rPr>
        <w:t>15. 评标争议事项处理。</w:t>
      </w:r>
      <w:r>
        <w:rPr>
          <w:rFonts w:hint="eastAsia" w:ascii="宋体" w:hAnsi="宋体" w:cs="宋体"/>
          <w:color w:val="000000"/>
          <w:sz w:val="24"/>
          <w:highlight w:val="none"/>
        </w:rPr>
        <w:t>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auto"/>
        <w:adjustRightInd/>
        <w:spacing w:before="100" w:beforeAutospacing="1" w:after="100" w:afterAutospacing="1" w:line="360" w:lineRule="auto"/>
        <w:jc w:val="left"/>
        <w:rPr>
          <w:rFonts w:hint="eastAsia" w:ascii="宋体" w:hAnsi="宋体" w:cs="宋体"/>
          <w:b/>
          <w:color w:val="000000"/>
          <w:sz w:val="32"/>
          <w:highlight w:val="none"/>
        </w:rPr>
      </w:pPr>
      <w:r>
        <w:rPr>
          <w:rFonts w:hint="eastAsia" w:ascii="宋体" w:hAnsi="宋体" w:cs="宋体"/>
          <w:color w:val="000000"/>
          <w:kern w:val="0"/>
          <w:sz w:val="24"/>
          <w:highlight w:val="none"/>
        </w:rPr>
        <w:t xml:space="preserve">　                      </w:t>
      </w:r>
      <w:r>
        <w:rPr>
          <w:rFonts w:hint="eastAsia" w:ascii="宋体" w:hAnsi="宋体" w:cs="宋体"/>
          <w:b/>
          <w:color w:val="000000"/>
          <w:sz w:val="32"/>
          <w:highlight w:val="none"/>
        </w:rPr>
        <w:t>六、 废标</w:t>
      </w:r>
    </w:p>
    <w:p>
      <w:pPr>
        <w:pStyle w:val="24"/>
        <w:shd w:val="clear" w:color="auto" w:fill="auto"/>
        <w:snapToGrid w:val="0"/>
        <w:spacing w:line="360" w:lineRule="auto"/>
        <w:ind w:firstLine="0" w:firstLineChars="0"/>
        <w:rPr>
          <w:rFonts w:hint="eastAsia" w:cs="宋体"/>
          <w:color w:val="000000"/>
          <w:highlight w:val="none"/>
        </w:rPr>
      </w:pPr>
      <w:r>
        <w:rPr>
          <w:rFonts w:hint="eastAsia" w:cs="宋体"/>
          <w:b/>
          <w:color w:val="000000"/>
          <w:highlight w:val="none"/>
        </w:rPr>
        <w:t>16.废标。</w:t>
      </w:r>
      <w:r>
        <w:rPr>
          <w:rFonts w:hint="eastAsia" w:cs="宋体"/>
          <w:color w:val="000000"/>
          <w:highlight w:val="none"/>
        </w:rPr>
        <w:t>根据《中华人民共和国政府采购法》第三十六条之规定，在采购中，出现下列情形之一的，应予废标：</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16.1符合专业条件的供应商或者对招标文件作实质响应的供应商不足3家的；</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16.2出现影响采购公正的违法、违规行为的；</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16.3投标人的报价均超过了采购预算，采购人不能支付的；</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16.4因重大变故，采购任务取消的。</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废标后，采购机构应当将废标理由通知所有投标人。</w:t>
      </w:r>
    </w:p>
    <w:p>
      <w:pPr>
        <w:shd w:val="clear" w:color="auto" w:fill="auto"/>
        <w:snapToGrid w:val="0"/>
        <w:spacing w:line="360" w:lineRule="auto"/>
        <w:ind w:left="120" w:leftChars="57" w:firstLine="482" w:firstLineChars="150"/>
        <w:jc w:val="center"/>
        <w:rPr>
          <w:rFonts w:hint="eastAsia" w:ascii="宋体" w:hAnsi="宋体" w:cs="宋体"/>
          <w:b/>
          <w:color w:val="000000"/>
          <w:sz w:val="32"/>
          <w:highlight w:val="none"/>
        </w:rPr>
      </w:pPr>
      <w:r>
        <w:rPr>
          <w:rFonts w:hint="eastAsia" w:ascii="宋体" w:hAnsi="宋体" w:cs="宋体"/>
          <w:b/>
          <w:color w:val="000000"/>
          <w:sz w:val="32"/>
          <w:highlight w:val="none"/>
        </w:rPr>
        <w:t>七、 重新组织采购</w:t>
      </w:r>
    </w:p>
    <w:p>
      <w:pPr>
        <w:pStyle w:val="24"/>
        <w:shd w:val="clear" w:color="auto" w:fill="auto"/>
        <w:snapToGrid w:val="0"/>
        <w:spacing w:line="360" w:lineRule="auto"/>
        <w:ind w:firstLine="482"/>
        <w:rPr>
          <w:rFonts w:hint="eastAsia" w:cs="宋体"/>
          <w:color w:val="000000"/>
          <w:highlight w:val="none"/>
        </w:rPr>
      </w:pPr>
      <w:r>
        <w:rPr>
          <w:rFonts w:hint="eastAsia" w:cs="宋体"/>
          <w:b/>
          <w:color w:val="000000"/>
          <w:highlight w:val="none"/>
        </w:rPr>
        <w:t>17.修改招标文件，重新组织采购活动。</w:t>
      </w:r>
      <w:r>
        <w:rPr>
          <w:rFonts w:hint="eastAsia" w:cs="宋体"/>
          <w:color w:val="000000"/>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4"/>
        <w:shd w:val="clear" w:color="auto" w:fill="auto"/>
        <w:snapToGrid w:val="0"/>
        <w:spacing w:line="360" w:lineRule="auto"/>
        <w:ind w:firstLine="482"/>
        <w:rPr>
          <w:rFonts w:hint="eastAsia" w:cs="宋体"/>
          <w:color w:val="000000"/>
          <w:highlight w:val="none"/>
        </w:rPr>
      </w:pPr>
      <w:r>
        <w:rPr>
          <w:rFonts w:hint="eastAsia" w:cs="宋体"/>
          <w:b/>
          <w:color w:val="000000"/>
          <w:kern w:val="0"/>
          <w:highlight w:val="none"/>
        </w:rPr>
        <w:t>18.重新开展采购。</w:t>
      </w:r>
      <w:r>
        <w:rPr>
          <w:rFonts w:hint="eastAsia" w:cs="宋体"/>
          <w:color w:val="000000"/>
          <w:highlight w:val="none"/>
        </w:rPr>
        <w:t>有政府采购法第七十一条、第七十二条规定的违法行为之一，影响或者可能影响中标、成交结果的，依照下列规定处理：</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18.1未确定中标或者成交供应商的，终止本次政府采购活动，重新开展政府采购活动。</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18.2已确定中标或者成交供应商但尚未签订政府采购合同的，中标或者成交结果无效，从合格的中标或者成交候选人中另行确定中标或者成交供应商；没有合格的中标或者成交候选人的，重新开展政府采购活动。</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18.3政府采购合同已签订但尚未履行的，撤销合同，从合格的中标或者成交候选人中另行确定中标或者成交供应商；没有合格的中标或者成交候选人的，重新开展政府采购活动。</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18.4政府采购合同已经履行，给采购人、供应商造成损失的，由责任人承担赔偿责任。</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18.5政府采购当事人有其他违反政府采购法或者本条例规定的行为，经改正后仍然影响或者可能影响中标、成交结果或者依法被认定为中标、成交无效的，依照18.1-18.4规定处理。</w:t>
      </w:r>
    </w:p>
    <w:p>
      <w:pPr>
        <w:shd w:val="clear" w:color="auto" w:fill="auto"/>
        <w:snapToGrid w:val="0"/>
        <w:spacing w:line="360" w:lineRule="auto"/>
        <w:ind w:left="120" w:leftChars="57" w:firstLine="482" w:firstLineChars="150"/>
        <w:jc w:val="center"/>
        <w:rPr>
          <w:rFonts w:hint="eastAsia" w:ascii="宋体" w:hAnsi="宋体" w:cs="宋体"/>
          <w:b/>
          <w:color w:val="000000"/>
          <w:sz w:val="32"/>
          <w:highlight w:val="none"/>
        </w:rPr>
      </w:pPr>
      <w:r>
        <w:rPr>
          <w:rFonts w:hint="eastAsia" w:ascii="宋体" w:hAnsi="宋体" w:cs="宋体"/>
          <w:b/>
          <w:color w:val="000000"/>
          <w:sz w:val="32"/>
          <w:highlight w:val="none"/>
        </w:rPr>
        <w:t>八、评审过程的保密与录像</w:t>
      </w:r>
    </w:p>
    <w:p>
      <w:pPr>
        <w:widowControl/>
        <w:shd w:val="clear" w:color="auto" w:fill="auto"/>
        <w:spacing w:line="360" w:lineRule="auto"/>
        <w:ind w:firstLine="482" w:firstLineChars="200"/>
        <w:rPr>
          <w:rFonts w:hint="eastAsia" w:ascii="宋体" w:hAnsi="宋体" w:cs="宋体"/>
          <w:color w:val="000000"/>
          <w:sz w:val="24"/>
          <w:highlight w:val="none"/>
        </w:rPr>
      </w:pPr>
      <w:r>
        <w:rPr>
          <w:rFonts w:hint="eastAsia" w:ascii="宋体" w:hAnsi="宋体" w:cs="宋体"/>
          <w:b/>
          <w:color w:val="000000"/>
          <w:sz w:val="24"/>
          <w:highlight w:val="none"/>
        </w:rPr>
        <w:t>19.保密。</w:t>
      </w:r>
      <w:r>
        <w:rPr>
          <w:rFonts w:hint="eastAsia" w:ascii="宋体" w:hAnsi="宋体" w:cs="宋体"/>
          <w:color w:val="000000"/>
          <w:sz w:val="24"/>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pPr>
        <w:widowControl/>
        <w:shd w:val="clear" w:color="auto" w:fill="auto"/>
        <w:spacing w:line="360" w:lineRule="auto"/>
        <w:ind w:firstLine="482" w:firstLineChars="200"/>
        <w:rPr>
          <w:rFonts w:hint="eastAsia" w:ascii="宋体" w:hAnsi="宋体" w:cs="宋体"/>
          <w:color w:val="000000"/>
          <w:sz w:val="24"/>
          <w:highlight w:val="none"/>
        </w:rPr>
      </w:pPr>
      <w:r>
        <w:rPr>
          <w:rFonts w:hint="eastAsia" w:ascii="宋体" w:hAnsi="宋体" w:cs="宋体"/>
          <w:b/>
          <w:color w:val="000000"/>
          <w:sz w:val="24"/>
          <w:highlight w:val="none"/>
        </w:rPr>
        <w:t>20.录音录像。</w:t>
      </w:r>
      <w:r>
        <w:rPr>
          <w:rFonts w:hint="eastAsia" w:ascii="宋体" w:hAnsi="宋体" w:cs="宋体"/>
          <w:color w:val="000000"/>
          <w:sz w:val="24"/>
          <w:highlight w:val="none"/>
        </w:rPr>
        <w:t>采购机构对评审工作现场进行全过程录音录像，录音录像资料作为采购项目文件随其他文件一并存档。</w:t>
      </w:r>
    </w:p>
    <w:p>
      <w:pPr>
        <w:shd w:val="clear" w:color="auto" w:fill="auto"/>
        <w:snapToGrid w:val="0"/>
        <w:spacing w:line="360" w:lineRule="auto"/>
        <w:ind w:left="120" w:leftChars="57" w:firstLine="482" w:firstLineChars="150"/>
        <w:jc w:val="center"/>
        <w:rPr>
          <w:rFonts w:hint="eastAsia" w:ascii="宋体" w:hAnsi="宋体" w:cs="宋体"/>
          <w:b/>
          <w:color w:val="000000"/>
          <w:sz w:val="32"/>
          <w:highlight w:val="none"/>
        </w:rPr>
      </w:pPr>
    </w:p>
    <w:p>
      <w:pPr>
        <w:shd w:val="clear" w:color="auto" w:fill="auto"/>
        <w:snapToGrid w:val="0"/>
        <w:spacing w:line="360" w:lineRule="auto"/>
        <w:ind w:left="120" w:leftChars="57" w:firstLine="482" w:firstLineChars="150"/>
        <w:jc w:val="center"/>
        <w:rPr>
          <w:rFonts w:hint="eastAsia" w:ascii="宋体" w:hAnsi="宋体" w:cs="宋体"/>
          <w:b/>
          <w:color w:val="000000"/>
          <w:sz w:val="32"/>
          <w:highlight w:val="none"/>
        </w:rPr>
      </w:pPr>
      <w:r>
        <w:rPr>
          <w:rFonts w:hint="eastAsia" w:ascii="宋体" w:hAnsi="宋体" w:cs="宋体"/>
          <w:b/>
          <w:color w:val="000000"/>
          <w:sz w:val="32"/>
          <w:highlight w:val="none"/>
        </w:rPr>
        <w:t>九、具体评标标准</w:t>
      </w:r>
    </w:p>
    <w:p>
      <w:pPr>
        <w:widowControl/>
        <w:shd w:val="clear" w:color="auto" w:fill="auto"/>
        <w:ind w:firstLine="482" w:firstLineChars="200"/>
        <w:rPr>
          <w:rFonts w:hint="eastAsia" w:ascii="宋体" w:hAnsi="宋体" w:cs="宋体"/>
          <w:b/>
          <w:bCs/>
          <w:color w:val="000000"/>
          <w:sz w:val="24"/>
          <w:szCs w:val="28"/>
          <w:highlight w:val="none"/>
        </w:rPr>
      </w:pPr>
      <w:bookmarkStart w:id="452" w:name="gxebd_pack_1_EvalFactorAccordEnd"/>
      <w:bookmarkEnd w:id="452"/>
      <w:r>
        <w:rPr>
          <w:rFonts w:hint="eastAsia" w:ascii="宋体" w:hAnsi="宋体" w:cs="宋体"/>
          <w:b/>
          <w:bCs/>
          <w:color w:val="000000"/>
          <w:sz w:val="24"/>
          <w:szCs w:val="28"/>
          <w:highlight w:val="none"/>
        </w:rPr>
        <w:t>21.商务技术部分（70分）</w:t>
      </w:r>
    </w:p>
    <w:p>
      <w:pPr>
        <w:widowControl/>
        <w:shd w:val="clear" w:color="auto" w:fill="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1、商务资信（16分）</w:t>
      </w:r>
    </w:p>
    <w:tbl>
      <w:tblPr>
        <w:tblStyle w:val="62"/>
        <w:tblW w:w="9157" w:type="dxa"/>
        <w:jc w:val="center"/>
        <w:tblLayout w:type="fixed"/>
        <w:tblCellMar>
          <w:top w:w="0" w:type="dxa"/>
          <w:left w:w="108" w:type="dxa"/>
          <w:bottom w:w="0" w:type="dxa"/>
          <w:right w:w="108" w:type="dxa"/>
        </w:tblCellMar>
      </w:tblPr>
      <w:tblGrid>
        <w:gridCol w:w="991"/>
        <w:gridCol w:w="449"/>
        <w:gridCol w:w="1346"/>
        <w:gridCol w:w="4648"/>
        <w:gridCol w:w="995"/>
        <w:gridCol w:w="728"/>
      </w:tblGrid>
      <w:tr>
        <w:tblPrEx>
          <w:tblCellMar>
            <w:top w:w="0" w:type="dxa"/>
            <w:left w:w="108" w:type="dxa"/>
            <w:bottom w:w="0" w:type="dxa"/>
            <w:right w:w="108" w:type="dxa"/>
          </w:tblCellMar>
        </w:tblPrEx>
        <w:trPr>
          <w:trHeight w:val="892" w:hRule="atLeast"/>
          <w:jc w:val="center"/>
        </w:trPr>
        <w:tc>
          <w:tcPr>
            <w:tcW w:w="991"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b/>
                <w:bCs/>
                <w:color w:val="000000"/>
                <w:kern w:val="0"/>
                <w:szCs w:val="21"/>
                <w:highlight w:val="none"/>
              </w:rPr>
            </w:pPr>
            <w:r>
              <w:rPr>
                <w:rFonts w:hint="eastAsia" w:ascii="宋体" w:hAnsi="宋体" w:cs="宋体"/>
                <w:b/>
                <w:bCs/>
                <w:color w:val="000000"/>
                <w:kern w:val="0"/>
                <w:szCs w:val="21"/>
                <w:highlight w:val="none"/>
              </w:rPr>
              <w:t>分类</w:t>
            </w:r>
          </w:p>
        </w:tc>
        <w:tc>
          <w:tcPr>
            <w:tcW w:w="449" w:type="dxa"/>
            <w:tcBorders>
              <w:top w:val="single" w:color="auto" w:sz="4" w:space="0"/>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b/>
                <w:bCs/>
                <w:color w:val="000000"/>
                <w:kern w:val="0"/>
                <w:szCs w:val="21"/>
                <w:highlight w:val="none"/>
              </w:rPr>
            </w:pPr>
            <w:r>
              <w:rPr>
                <w:rFonts w:hint="eastAsia" w:ascii="宋体" w:hAnsi="宋体" w:cs="宋体"/>
                <w:b/>
                <w:bCs/>
                <w:color w:val="000000"/>
                <w:kern w:val="0"/>
                <w:szCs w:val="21"/>
                <w:highlight w:val="none"/>
              </w:rPr>
              <w:t>序号</w:t>
            </w:r>
          </w:p>
        </w:tc>
        <w:tc>
          <w:tcPr>
            <w:tcW w:w="5994" w:type="dxa"/>
            <w:gridSpan w:val="2"/>
            <w:tcBorders>
              <w:top w:val="single" w:color="auto" w:sz="4" w:space="0"/>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b/>
                <w:bCs/>
                <w:color w:val="000000"/>
                <w:kern w:val="0"/>
                <w:szCs w:val="21"/>
                <w:highlight w:val="none"/>
              </w:rPr>
            </w:pPr>
            <w:r>
              <w:rPr>
                <w:rFonts w:hint="eastAsia" w:ascii="宋体" w:hAnsi="宋体" w:cs="宋体"/>
                <w:b/>
                <w:bCs/>
                <w:color w:val="000000"/>
                <w:kern w:val="0"/>
                <w:szCs w:val="21"/>
                <w:highlight w:val="none"/>
              </w:rPr>
              <w:t>评分内容和标准</w:t>
            </w:r>
          </w:p>
        </w:tc>
        <w:tc>
          <w:tcPr>
            <w:tcW w:w="995" w:type="dxa"/>
            <w:tcBorders>
              <w:top w:val="single" w:color="auto" w:sz="4" w:space="0"/>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b/>
                <w:bCs/>
                <w:color w:val="000000"/>
                <w:kern w:val="0"/>
                <w:szCs w:val="21"/>
                <w:highlight w:val="none"/>
              </w:rPr>
            </w:pPr>
            <w:r>
              <w:rPr>
                <w:rFonts w:hint="eastAsia" w:ascii="宋体" w:hAnsi="宋体" w:cs="宋体"/>
                <w:b/>
                <w:bCs/>
                <w:color w:val="000000"/>
                <w:kern w:val="0"/>
                <w:szCs w:val="21"/>
                <w:highlight w:val="none"/>
              </w:rPr>
              <w:t>分值区间</w:t>
            </w:r>
          </w:p>
        </w:tc>
        <w:tc>
          <w:tcPr>
            <w:tcW w:w="728" w:type="dxa"/>
            <w:tcBorders>
              <w:top w:val="single" w:color="auto" w:sz="4" w:space="0"/>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b/>
                <w:bCs/>
                <w:color w:val="000000"/>
                <w:kern w:val="0"/>
                <w:szCs w:val="21"/>
                <w:highlight w:val="none"/>
              </w:rPr>
            </w:pPr>
            <w:r>
              <w:rPr>
                <w:rFonts w:hint="eastAsia" w:ascii="宋体" w:hAnsi="宋体" w:cs="宋体"/>
                <w:b/>
                <w:bCs/>
                <w:color w:val="000000"/>
                <w:kern w:val="0"/>
                <w:szCs w:val="21"/>
                <w:highlight w:val="none"/>
              </w:rPr>
              <w:t>主观/客观分</w:t>
            </w:r>
          </w:p>
        </w:tc>
      </w:tr>
      <w:tr>
        <w:tblPrEx>
          <w:tblCellMar>
            <w:top w:w="0" w:type="dxa"/>
            <w:left w:w="108" w:type="dxa"/>
            <w:bottom w:w="0" w:type="dxa"/>
            <w:right w:w="108" w:type="dxa"/>
          </w:tblCellMar>
        </w:tblPrEx>
        <w:trPr>
          <w:trHeight w:val="90" w:hRule="atLeast"/>
          <w:jc w:val="center"/>
        </w:trPr>
        <w:tc>
          <w:tcPr>
            <w:tcW w:w="991" w:type="dxa"/>
            <w:vMerge w:val="restart"/>
            <w:tcBorders>
              <w:top w:val="nil"/>
              <w:left w:val="single" w:color="auto" w:sz="4" w:space="0"/>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商务资信（16分）</w:t>
            </w:r>
          </w:p>
        </w:tc>
        <w:tc>
          <w:tcPr>
            <w:tcW w:w="449"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1</w:t>
            </w:r>
          </w:p>
        </w:tc>
        <w:tc>
          <w:tcPr>
            <w:tcW w:w="134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综合能力</w:t>
            </w:r>
          </w:p>
        </w:tc>
        <w:tc>
          <w:tcPr>
            <w:tcW w:w="4648"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投标人履约能力符合国家和行业标准。符合得3分，不符合不得分。</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0-3</w:t>
            </w:r>
          </w:p>
        </w:tc>
        <w:tc>
          <w:tcPr>
            <w:tcW w:w="728"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客观分</w:t>
            </w:r>
          </w:p>
        </w:tc>
      </w:tr>
      <w:tr>
        <w:tblPrEx>
          <w:tblCellMar>
            <w:top w:w="0" w:type="dxa"/>
            <w:left w:w="108" w:type="dxa"/>
            <w:bottom w:w="0" w:type="dxa"/>
            <w:right w:w="108" w:type="dxa"/>
          </w:tblCellMar>
        </w:tblPrEx>
        <w:trPr>
          <w:trHeight w:val="605" w:hRule="atLeast"/>
          <w:jc w:val="center"/>
        </w:trPr>
        <w:tc>
          <w:tcPr>
            <w:tcW w:w="991" w:type="dxa"/>
            <w:vMerge w:val="continue"/>
            <w:tcBorders>
              <w:left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p>
        </w:tc>
        <w:tc>
          <w:tcPr>
            <w:tcW w:w="449"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2</w:t>
            </w:r>
          </w:p>
        </w:tc>
        <w:tc>
          <w:tcPr>
            <w:tcW w:w="134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p>
        </w:tc>
        <w:tc>
          <w:tcPr>
            <w:tcW w:w="4648"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投标人经营过类似项目，能体现标准化服务的。符合得2分，不符合不得分。</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0-2</w:t>
            </w:r>
          </w:p>
        </w:tc>
        <w:tc>
          <w:tcPr>
            <w:tcW w:w="728"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客观分</w:t>
            </w:r>
          </w:p>
        </w:tc>
      </w:tr>
      <w:tr>
        <w:tblPrEx>
          <w:tblCellMar>
            <w:top w:w="0" w:type="dxa"/>
            <w:left w:w="108" w:type="dxa"/>
            <w:bottom w:w="0" w:type="dxa"/>
            <w:right w:w="108" w:type="dxa"/>
          </w:tblCellMar>
        </w:tblPrEx>
        <w:trPr>
          <w:trHeight w:val="614" w:hRule="atLeast"/>
          <w:jc w:val="center"/>
        </w:trPr>
        <w:tc>
          <w:tcPr>
            <w:tcW w:w="991" w:type="dxa"/>
            <w:vMerge w:val="continue"/>
            <w:tcBorders>
              <w:left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p>
        </w:tc>
        <w:tc>
          <w:tcPr>
            <w:tcW w:w="449"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3</w:t>
            </w:r>
          </w:p>
        </w:tc>
        <w:tc>
          <w:tcPr>
            <w:tcW w:w="1346"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同类业绩</w:t>
            </w:r>
          </w:p>
        </w:tc>
        <w:tc>
          <w:tcPr>
            <w:tcW w:w="4648"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投标人2018年1月1日至今（以合同签订时间为准）类似业绩，每个业绩得1分，最高得5分。（证明材料：投标文件中同时提供项目合同，未按要求提供证明材料的不得分。）</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0-5</w:t>
            </w:r>
          </w:p>
        </w:tc>
        <w:tc>
          <w:tcPr>
            <w:tcW w:w="728"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客观分</w:t>
            </w:r>
          </w:p>
        </w:tc>
      </w:tr>
      <w:tr>
        <w:tblPrEx>
          <w:tblCellMar>
            <w:top w:w="0" w:type="dxa"/>
            <w:left w:w="108" w:type="dxa"/>
            <w:bottom w:w="0" w:type="dxa"/>
            <w:right w:w="108" w:type="dxa"/>
          </w:tblCellMar>
        </w:tblPrEx>
        <w:trPr>
          <w:trHeight w:val="90" w:hRule="atLeast"/>
          <w:jc w:val="center"/>
        </w:trPr>
        <w:tc>
          <w:tcPr>
            <w:tcW w:w="991" w:type="dxa"/>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p>
        </w:tc>
        <w:tc>
          <w:tcPr>
            <w:tcW w:w="449"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4</w:t>
            </w:r>
          </w:p>
        </w:tc>
        <w:tc>
          <w:tcPr>
            <w:tcW w:w="1346"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相关证书</w:t>
            </w:r>
          </w:p>
        </w:tc>
        <w:tc>
          <w:tcPr>
            <w:tcW w:w="4648"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br w:type="textWrapping"/>
            </w:r>
            <w:r>
              <w:rPr>
                <w:rFonts w:hint="eastAsia" w:ascii="宋体" w:hAnsi="宋体" w:cs="宋体"/>
                <w:color w:val="000000"/>
                <w:kern w:val="0"/>
                <w:szCs w:val="21"/>
                <w:highlight w:val="none"/>
              </w:rPr>
              <w:t>投标人具有ISO9001质量管理体系认证证书的得2分，投标人具有ISO14001环境管理体系认证证书的得2分、投标人具有ISO27001信息安全管理体系认证证书的得2分。</w:t>
            </w:r>
            <w:r>
              <w:rPr>
                <w:rFonts w:hint="eastAsia" w:ascii="宋体" w:hAnsi="宋体" w:cs="宋体"/>
                <w:color w:val="000000"/>
                <w:kern w:val="0"/>
                <w:szCs w:val="21"/>
                <w:highlight w:val="none"/>
              </w:rPr>
              <w:br w:type="textWrapping"/>
            </w:r>
            <w:r>
              <w:rPr>
                <w:rFonts w:hint="eastAsia" w:ascii="宋体" w:hAnsi="宋体" w:cs="宋体"/>
                <w:color w:val="000000"/>
                <w:kern w:val="0"/>
                <w:szCs w:val="21"/>
                <w:highlight w:val="none"/>
              </w:rPr>
              <w:t>（证明材料：投标文件中提供相应证书材料，未按要求提供证明材料的不得分。）</w:t>
            </w:r>
          </w:p>
        </w:tc>
        <w:tc>
          <w:tcPr>
            <w:tcW w:w="995"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0-6</w:t>
            </w:r>
          </w:p>
        </w:tc>
        <w:tc>
          <w:tcPr>
            <w:tcW w:w="728"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客观分</w:t>
            </w:r>
          </w:p>
        </w:tc>
      </w:tr>
    </w:tbl>
    <w:p>
      <w:pPr>
        <w:shd w:val="clear" w:color="auto" w:fill="auto"/>
        <w:rPr>
          <w:rFonts w:hint="eastAsia" w:ascii="宋体" w:hAnsi="宋体" w:cs="宋体"/>
          <w:color w:val="000000"/>
          <w:sz w:val="24"/>
          <w:highlight w:val="none"/>
        </w:rPr>
      </w:pPr>
      <w:r>
        <w:rPr>
          <w:rFonts w:hint="eastAsia" w:ascii="宋体" w:hAnsi="宋体" w:cs="宋体"/>
          <w:color w:val="000000"/>
          <w:sz w:val="24"/>
          <w:highlight w:val="none"/>
        </w:rPr>
        <w:br w:type="page"/>
      </w:r>
    </w:p>
    <w:p>
      <w:pPr>
        <w:widowControl/>
        <w:shd w:val="clear" w:color="auto" w:fill="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2、技术部分（54分）</w:t>
      </w:r>
    </w:p>
    <w:tbl>
      <w:tblPr>
        <w:tblStyle w:val="62"/>
        <w:tblW w:w="9437" w:type="dxa"/>
        <w:jc w:val="center"/>
        <w:tblLayout w:type="autofit"/>
        <w:tblCellMar>
          <w:top w:w="0" w:type="dxa"/>
          <w:left w:w="108" w:type="dxa"/>
          <w:bottom w:w="0" w:type="dxa"/>
          <w:right w:w="108" w:type="dxa"/>
        </w:tblCellMar>
      </w:tblPr>
      <w:tblGrid>
        <w:gridCol w:w="690"/>
        <w:gridCol w:w="451"/>
        <w:gridCol w:w="1598"/>
        <w:gridCol w:w="4932"/>
        <w:gridCol w:w="863"/>
        <w:gridCol w:w="903"/>
      </w:tblGrid>
      <w:tr>
        <w:tblPrEx>
          <w:tblCellMar>
            <w:top w:w="0" w:type="dxa"/>
            <w:left w:w="108" w:type="dxa"/>
            <w:bottom w:w="0" w:type="dxa"/>
            <w:right w:w="108" w:type="dxa"/>
          </w:tblCellMar>
        </w:tblPrEx>
        <w:trPr>
          <w:trHeight w:val="542"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b/>
                <w:bCs/>
                <w:color w:val="000000"/>
                <w:kern w:val="0"/>
                <w:szCs w:val="21"/>
                <w:highlight w:val="none"/>
              </w:rPr>
            </w:pPr>
            <w:r>
              <w:rPr>
                <w:rFonts w:hint="eastAsia" w:ascii="宋体" w:hAnsi="宋体" w:cs="宋体"/>
                <w:b/>
                <w:bCs/>
                <w:color w:val="000000"/>
                <w:kern w:val="0"/>
                <w:szCs w:val="21"/>
                <w:highlight w:val="none"/>
              </w:rPr>
              <w:t>分类</w:t>
            </w:r>
          </w:p>
        </w:tc>
        <w:tc>
          <w:tcPr>
            <w:tcW w:w="0" w:type="auto"/>
            <w:tcBorders>
              <w:top w:val="single" w:color="auto" w:sz="4" w:space="0"/>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b/>
                <w:bCs/>
                <w:color w:val="000000"/>
                <w:kern w:val="0"/>
                <w:szCs w:val="21"/>
                <w:highlight w:val="none"/>
              </w:rPr>
            </w:pPr>
            <w:r>
              <w:rPr>
                <w:rFonts w:hint="eastAsia" w:ascii="宋体" w:hAnsi="宋体" w:cs="宋体"/>
                <w:b/>
                <w:bCs/>
                <w:color w:val="000000"/>
                <w:kern w:val="0"/>
                <w:szCs w:val="21"/>
                <w:highlight w:val="none"/>
              </w:rPr>
              <w:t>序号</w:t>
            </w:r>
          </w:p>
        </w:tc>
        <w:tc>
          <w:tcPr>
            <w:tcW w:w="6336" w:type="dxa"/>
            <w:gridSpan w:val="2"/>
            <w:tcBorders>
              <w:top w:val="single" w:color="auto" w:sz="4" w:space="0"/>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b/>
                <w:bCs/>
                <w:color w:val="000000"/>
                <w:kern w:val="0"/>
                <w:szCs w:val="21"/>
                <w:highlight w:val="none"/>
              </w:rPr>
            </w:pPr>
            <w:r>
              <w:rPr>
                <w:rFonts w:hint="eastAsia" w:ascii="宋体" w:hAnsi="宋体" w:cs="宋体"/>
                <w:b/>
                <w:bCs/>
                <w:color w:val="000000"/>
                <w:kern w:val="0"/>
                <w:szCs w:val="21"/>
                <w:highlight w:val="none"/>
              </w:rPr>
              <w:t>评分内容和标准</w:t>
            </w:r>
          </w:p>
        </w:tc>
        <w:tc>
          <w:tcPr>
            <w:tcW w:w="863" w:type="dxa"/>
            <w:tcBorders>
              <w:top w:val="single" w:color="auto" w:sz="4" w:space="0"/>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b/>
                <w:bCs/>
                <w:color w:val="000000"/>
                <w:kern w:val="0"/>
                <w:szCs w:val="21"/>
                <w:highlight w:val="none"/>
              </w:rPr>
            </w:pPr>
            <w:r>
              <w:rPr>
                <w:rFonts w:hint="eastAsia" w:ascii="宋体" w:hAnsi="宋体" w:cs="宋体"/>
                <w:b/>
                <w:bCs/>
                <w:color w:val="000000"/>
                <w:kern w:val="0"/>
                <w:szCs w:val="21"/>
                <w:highlight w:val="none"/>
              </w:rPr>
              <w:t>分值区间</w:t>
            </w:r>
          </w:p>
        </w:tc>
        <w:tc>
          <w:tcPr>
            <w:tcW w:w="903" w:type="dxa"/>
            <w:tcBorders>
              <w:top w:val="single" w:color="auto" w:sz="4" w:space="0"/>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b/>
                <w:bCs/>
                <w:color w:val="000000"/>
                <w:kern w:val="0"/>
                <w:szCs w:val="21"/>
                <w:highlight w:val="none"/>
              </w:rPr>
            </w:pPr>
            <w:r>
              <w:rPr>
                <w:rFonts w:hint="eastAsia" w:ascii="宋体" w:hAnsi="宋体" w:cs="宋体"/>
                <w:b/>
                <w:bCs/>
                <w:color w:val="000000"/>
                <w:kern w:val="0"/>
                <w:szCs w:val="21"/>
                <w:highlight w:val="none"/>
              </w:rPr>
              <w:t>主观/客观分</w:t>
            </w:r>
          </w:p>
        </w:tc>
      </w:tr>
      <w:tr>
        <w:tblPrEx>
          <w:tblCellMar>
            <w:top w:w="0" w:type="dxa"/>
            <w:left w:w="108" w:type="dxa"/>
            <w:bottom w:w="0" w:type="dxa"/>
            <w:right w:w="108" w:type="dxa"/>
          </w:tblCellMar>
        </w:tblPrEx>
        <w:trPr>
          <w:trHeight w:val="1075" w:hRule="atLeast"/>
          <w:jc w:val="center"/>
        </w:trPr>
        <w:tc>
          <w:tcPr>
            <w:tcW w:w="0" w:type="auto"/>
            <w:vMerge w:val="restart"/>
            <w:tcBorders>
              <w:top w:val="nil"/>
              <w:left w:val="single" w:color="auto" w:sz="4" w:space="0"/>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技术分</w:t>
            </w:r>
            <w:r>
              <w:rPr>
                <w:rFonts w:hint="eastAsia" w:ascii="宋体" w:hAnsi="宋体" w:cs="宋体"/>
                <w:color w:val="000000"/>
                <w:kern w:val="0"/>
                <w:szCs w:val="21"/>
                <w:highlight w:val="none"/>
              </w:rPr>
              <w:br w:type="textWrapping"/>
            </w:r>
            <w:r>
              <w:rPr>
                <w:rFonts w:hint="eastAsia" w:ascii="宋体" w:hAnsi="宋体" w:cs="宋体"/>
                <w:color w:val="000000"/>
                <w:kern w:val="0"/>
                <w:szCs w:val="21"/>
                <w:highlight w:val="none"/>
              </w:rPr>
              <w:t>（54分）</w:t>
            </w:r>
          </w:p>
        </w:tc>
        <w:tc>
          <w:tcPr>
            <w:tcW w:w="0" w:type="auto"/>
            <w:vMerge w:val="restart"/>
            <w:tcBorders>
              <w:top w:val="nil"/>
              <w:left w:val="single" w:color="auto" w:sz="4" w:space="0"/>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5</w:t>
            </w:r>
          </w:p>
        </w:tc>
        <w:tc>
          <w:tcPr>
            <w:tcW w:w="0" w:type="auto"/>
            <w:vMerge w:val="restart"/>
            <w:tcBorders>
              <w:top w:val="nil"/>
              <w:left w:val="single" w:color="auto" w:sz="4" w:space="0"/>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投标方案的合理性、科学性、全面性（根据对投标项目的理解程度、总体设计等情况综合评定）</w:t>
            </w:r>
          </w:p>
        </w:tc>
        <w:tc>
          <w:tcPr>
            <w:tcW w:w="4932" w:type="dxa"/>
            <w:tcBorders>
              <w:top w:val="nil"/>
              <w:left w:val="nil"/>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投标方案与本项目需求的吻合程度：包括方案的科学性、先进性、可靠性、成熟性、合理性等，对投标人技术方案进行打分；</w:t>
            </w:r>
          </w:p>
        </w:tc>
        <w:tc>
          <w:tcPr>
            <w:tcW w:w="863" w:type="dxa"/>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1-5</w:t>
            </w:r>
          </w:p>
        </w:tc>
        <w:tc>
          <w:tcPr>
            <w:tcW w:w="903" w:type="dxa"/>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主观分</w:t>
            </w:r>
          </w:p>
        </w:tc>
      </w:tr>
      <w:tr>
        <w:tblPrEx>
          <w:tblCellMar>
            <w:top w:w="0" w:type="dxa"/>
            <w:left w:w="108" w:type="dxa"/>
            <w:bottom w:w="0" w:type="dxa"/>
            <w:right w:w="108" w:type="dxa"/>
          </w:tblCellMar>
        </w:tblPrEx>
        <w:trPr>
          <w:trHeight w:val="809"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p>
        </w:tc>
        <w:tc>
          <w:tcPr>
            <w:tcW w:w="0" w:type="auto"/>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p>
        </w:tc>
        <w:tc>
          <w:tcPr>
            <w:tcW w:w="0" w:type="auto"/>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p>
        </w:tc>
        <w:tc>
          <w:tcPr>
            <w:tcW w:w="4932" w:type="dxa"/>
            <w:tcBorders>
              <w:top w:val="nil"/>
              <w:left w:val="nil"/>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根据所投产品的销售量、市场占有率</w:t>
            </w:r>
            <w:r>
              <w:rPr>
                <w:rFonts w:hint="eastAsia" w:ascii="宋体" w:hAnsi="宋体" w:cs="宋体"/>
                <w:color w:val="000000"/>
                <w:kern w:val="0"/>
                <w:szCs w:val="21"/>
                <w:highlight w:val="none"/>
                <w:lang w:eastAsia="zh-CN"/>
              </w:rPr>
              <w:t>、</w:t>
            </w:r>
            <w:r>
              <w:rPr>
                <w:rFonts w:hint="eastAsia" w:ascii="宋体" w:hAnsi="宋体" w:cs="宋体"/>
                <w:color w:val="000000"/>
                <w:kern w:val="0"/>
                <w:szCs w:val="21"/>
                <w:highlight w:val="none"/>
              </w:rPr>
              <w:t>用户反馈等情况综合评定对比打分；</w:t>
            </w:r>
          </w:p>
        </w:tc>
        <w:tc>
          <w:tcPr>
            <w:tcW w:w="863" w:type="dxa"/>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1-4</w:t>
            </w:r>
          </w:p>
        </w:tc>
        <w:tc>
          <w:tcPr>
            <w:tcW w:w="903" w:type="dxa"/>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主观分</w:t>
            </w:r>
          </w:p>
        </w:tc>
      </w:tr>
      <w:tr>
        <w:tblPrEx>
          <w:tblCellMar>
            <w:top w:w="0" w:type="dxa"/>
            <w:left w:w="108" w:type="dxa"/>
            <w:bottom w:w="0" w:type="dxa"/>
            <w:right w:w="108" w:type="dxa"/>
          </w:tblCellMar>
        </w:tblPrEx>
        <w:trPr>
          <w:trHeight w:val="542"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p>
        </w:tc>
        <w:tc>
          <w:tcPr>
            <w:tcW w:w="0" w:type="auto"/>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p>
        </w:tc>
        <w:tc>
          <w:tcPr>
            <w:tcW w:w="0" w:type="auto"/>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p>
        </w:tc>
        <w:tc>
          <w:tcPr>
            <w:tcW w:w="4932" w:type="dxa"/>
            <w:tcBorders>
              <w:top w:val="nil"/>
              <w:left w:val="nil"/>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对所投VPN网络基础、资源、架构、保障的描述是否全面、详尽、准确、先进；</w:t>
            </w:r>
          </w:p>
        </w:tc>
        <w:tc>
          <w:tcPr>
            <w:tcW w:w="863" w:type="dxa"/>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1-4</w:t>
            </w:r>
          </w:p>
        </w:tc>
        <w:tc>
          <w:tcPr>
            <w:tcW w:w="903" w:type="dxa"/>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主观分</w:t>
            </w:r>
          </w:p>
        </w:tc>
      </w:tr>
      <w:tr>
        <w:tblPrEx>
          <w:tblCellMar>
            <w:top w:w="0" w:type="dxa"/>
            <w:left w:w="108" w:type="dxa"/>
            <w:bottom w:w="0" w:type="dxa"/>
            <w:right w:w="108" w:type="dxa"/>
          </w:tblCellMar>
        </w:tblPrEx>
        <w:trPr>
          <w:trHeight w:val="1381"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6</w:t>
            </w:r>
          </w:p>
        </w:tc>
        <w:tc>
          <w:tcPr>
            <w:tcW w:w="0" w:type="auto"/>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投标方案中提供或使用主要设备的优劣</w:t>
            </w:r>
          </w:p>
        </w:tc>
        <w:tc>
          <w:tcPr>
            <w:tcW w:w="4932" w:type="dxa"/>
            <w:tcBorders>
              <w:top w:val="nil"/>
              <w:left w:val="nil"/>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根据所投产品的品牌知名度、稳定性、性价比等情况综合评定对比打分。</w:t>
            </w:r>
          </w:p>
        </w:tc>
        <w:tc>
          <w:tcPr>
            <w:tcW w:w="863" w:type="dxa"/>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1-5</w:t>
            </w:r>
          </w:p>
        </w:tc>
        <w:tc>
          <w:tcPr>
            <w:tcW w:w="903" w:type="dxa"/>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主观分</w:t>
            </w:r>
          </w:p>
        </w:tc>
      </w:tr>
      <w:tr>
        <w:tblPrEx>
          <w:tblCellMar>
            <w:top w:w="0" w:type="dxa"/>
            <w:left w:w="108" w:type="dxa"/>
            <w:bottom w:w="0" w:type="dxa"/>
            <w:right w:w="108" w:type="dxa"/>
          </w:tblCellMar>
        </w:tblPrEx>
        <w:trPr>
          <w:trHeight w:val="1075"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7</w:t>
            </w:r>
          </w:p>
        </w:tc>
        <w:tc>
          <w:tcPr>
            <w:tcW w:w="0" w:type="auto"/>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保证进度和项目完成的方案和措施等综合评定</w:t>
            </w:r>
          </w:p>
        </w:tc>
        <w:tc>
          <w:tcPr>
            <w:tcW w:w="4932" w:type="dxa"/>
            <w:tcBorders>
              <w:top w:val="nil"/>
              <w:left w:val="nil"/>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根据投标人提交的组织施工方案及按照物资投入情况、施工进度保证、施工现场管理、项目质量保证、项目风险应对等方面综合评定；</w:t>
            </w:r>
          </w:p>
        </w:tc>
        <w:tc>
          <w:tcPr>
            <w:tcW w:w="863" w:type="dxa"/>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1-3</w:t>
            </w:r>
          </w:p>
        </w:tc>
        <w:tc>
          <w:tcPr>
            <w:tcW w:w="903" w:type="dxa"/>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主观分</w:t>
            </w:r>
          </w:p>
        </w:tc>
      </w:tr>
      <w:tr>
        <w:tblPrEx>
          <w:tblCellMar>
            <w:top w:w="0" w:type="dxa"/>
            <w:left w:w="108" w:type="dxa"/>
            <w:bottom w:w="0" w:type="dxa"/>
            <w:right w:w="108" w:type="dxa"/>
          </w:tblCellMar>
        </w:tblPrEx>
        <w:trPr>
          <w:trHeight w:val="2923"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p>
        </w:tc>
        <w:tc>
          <w:tcPr>
            <w:tcW w:w="0" w:type="auto"/>
            <w:vMerge w:val="restart"/>
            <w:tcBorders>
              <w:top w:val="nil"/>
              <w:left w:val="nil"/>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8</w:t>
            </w:r>
          </w:p>
        </w:tc>
        <w:tc>
          <w:tcPr>
            <w:tcW w:w="0" w:type="auto"/>
            <w:vMerge w:val="restart"/>
            <w:tcBorders>
              <w:top w:val="nil"/>
              <w:left w:val="nil"/>
              <w:right w:val="single" w:color="auto" w:sz="4" w:space="0"/>
            </w:tcBorders>
            <w:noWrap w:val="0"/>
            <w:vAlign w:val="center"/>
          </w:tcPr>
          <w:p>
            <w:pPr>
              <w:pStyle w:val="24"/>
              <w:shd w:val="clear" w:color="auto" w:fill="auto"/>
              <w:snapToGrid w:val="0"/>
              <w:spacing w:line="360" w:lineRule="auto"/>
              <w:ind w:firstLine="0" w:firstLineChars="0"/>
              <w:rPr>
                <w:rFonts w:hint="eastAsia" w:cs="宋体"/>
                <w:color w:val="000000"/>
                <w:sz w:val="21"/>
                <w:szCs w:val="21"/>
                <w:highlight w:val="none"/>
                <w:lang w:val="en-US" w:eastAsia="zh-CN"/>
              </w:rPr>
            </w:pPr>
            <w:r>
              <w:rPr>
                <w:rFonts w:hint="eastAsia" w:cs="宋体"/>
                <w:color w:val="000000"/>
                <w:sz w:val="21"/>
                <w:szCs w:val="21"/>
                <w:highlight w:val="none"/>
                <w:lang w:val="en-US" w:eastAsia="zh-CN"/>
              </w:rPr>
              <w:t>项目负责人及技术力量安排等（综合评定）</w:t>
            </w:r>
          </w:p>
        </w:tc>
        <w:tc>
          <w:tcPr>
            <w:tcW w:w="4932" w:type="dxa"/>
            <w:tcBorders>
              <w:top w:val="nil"/>
              <w:left w:val="nil"/>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1）投标方案中拟担任本项目经理具备通信类高级职称的，得3分；</w:t>
            </w:r>
          </w:p>
          <w:p>
            <w:pPr>
              <w:widowControl/>
              <w:shd w:val="clear" w:color="auto" w:fill="auto"/>
              <w:adjustRightInd/>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2）投标方案中拟担任本项目组其它成员具有高级职称的，每个得1.5分，最高得3分。</w:t>
            </w:r>
          </w:p>
          <w:p>
            <w:pPr>
              <w:widowControl/>
              <w:shd w:val="clear" w:color="auto" w:fill="auto"/>
              <w:adjustRightInd/>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3）投标方案中拟担任本项目组其它成员具有中级职称证书的，每个得1分，最高得2分。</w:t>
            </w:r>
          </w:p>
          <w:p>
            <w:pPr>
              <w:widowControl/>
              <w:shd w:val="clear" w:color="auto" w:fill="auto"/>
              <w:adjustRightInd/>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（投标文件中须附上对应人员资格证书复印件并加盖投标人公章，同时提供持证人员在2021年度7－11月份中任意连续三个月在本单位的社保缴纳证明，注：上述3项人员不重复计分，重复的按高分计取）</w:t>
            </w:r>
          </w:p>
        </w:tc>
        <w:tc>
          <w:tcPr>
            <w:tcW w:w="863" w:type="dxa"/>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0-8</w:t>
            </w:r>
          </w:p>
        </w:tc>
        <w:tc>
          <w:tcPr>
            <w:tcW w:w="903" w:type="dxa"/>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客观分</w:t>
            </w:r>
          </w:p>
        </w:tc>
      </w:tr>
      <w:tr>
        <w:tblPrEx>
          <w:tblCellMar>
            <w:top w:w="0" w:type="dxa"/>
            <w:left w:w="108" w:type="dxa"/>
            <w:bottom w:w="0" w:type="dxa"/>
            <w:right w:w="108" w:type="dxa"/>
          </w:tblCellMar>
        </w:tblPrEx>
        <w:trPr>
          <w:trHeight w:val="824"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p>
        </w:tc>
        <w:tc>
          <w:tcPr>
            <w:tcW w:w="0" w:type="auto"/>
            <w:vMerge w:val="continue"/>
            <w:tcBorders>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p>
        </w:tc>
        <w:tc>
          <w:tcPr>
            <w:tcW w:w="0" w:type="auto"/>
            <w:vMerge w:val="continue"/>
            <w:tcBorders>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p>
        </w:tc>
        <w:tc>
          <w:tcPr>
            <w:tcW w:w="4932" w:type="dxa"/>
            <w:tcBorders>
              <w:top w:val="single" w:color="auto" w:sz="4" w:space="0"/>
              <w:left w:val="nil"/>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根据担任本项目负责人及项目组成员是否具有类似项目建设经验、获得的荣誉、行业地位等情况（参考履历表和相关资料等）综合评定打分</w:t>
            </w:r>
          </w:p>
        </w:tc>
        <w:tc>
          <w:tcPr>
            <w:tcW w:w="863" w:type="dxa"/>
            <w:tcBorders>
              <w:top w:val="single" w:color="auto" w:sz="4" w:space="0"/>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0-4</w:t>
            </w:r>
          </w:p>
        </w:tc>
        <w:tc>
          <w:tcPr>
            <w:tcW w:w="903" w:type="dxa"/>
            <w:tcBorders>
              <w:top w:val="single" w:color="auto" w:sz="4" w:space="0"/>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主观分</w:t>
            </w:r>
          </w:p>
        </w:tc>
      </w:tr>
      <w:tr>
        <w:tblPrEx>
          <w:tblCellMar>
            <w:top w:w="0" w:type="dxa"/>
            <w:left w:w="108" w:type="dxa"/>
            <w:bottom w:w="0" w:type="dxa"/>
            <w:right w:w="108" w:type="dxa"/>
          </w:tblCellMar>
        </w:tblPrEx>
        <w:trPr>
          <w:trHeight w:val="809"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9</w:t>
            </w:r>
          </w:p>
        </w:tc>
        <w:tc>
          <w:tcPr>
            <w:tcW w:w="0" w:type="auto"/>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对本项目的合理化建议及优惠措施</w:t>
            </w:r>
          </w:p>
        </w:tc>
        <w:tc>
          <w:tcPr>
            <w:tcW w:w="4932" w:type="dxa"/>
            <w:tcBorders>
              <w:top w:val="nil"/>
              <w:left w:val="nil"/>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针对本项目的合理化建议，由评委进行综合评定（0-3分）；</w:t>
            </w:r>
            <w:r>
              <w:rPr>
                <w:rFonts w:hint="eastAsia" w:ascii="宋体" w:hAnsi="宋体" w:cs="宋体"/>
                <w:color w:val="000000"/>
                <w:kern w:val="0"/>
                <w:szCs w:val="21"/>
                <w:highlight w:val="none"/>
              </w:rPr>
              <w:br w:type="textWrapping"/>
            </w:r>
            <w:r>
              <w:rPr>
                <w:rFonts w:hint="eastAsia" w:ascii="宋体" w:hAnsi="宋体" w:cs="宋体"/>
                <w:color w:val="000000"/>
                <w:kern w:val="0"/>
                <w:szCs w:val="21"/>
                <w:highlight w:val="none"/>
              </w:rPr>
              <w:t>针对优惠措施进行综合评定（0-3分）。</w:t>
            </w:r>
          </w:p>
        </w:tc>
        <w:tc>
          <w:tcPr>
            <w:tcW w:w="863" w:type="dxa"/>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0-6</w:t>
            </w:r>
          </w:p>
        </w:tc>
        <w:tc>
          <w:tcPr>
            <w:tcW w:w="903" w:type="dxa"/>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主观分</w:t>
            </w:r>
          </w:p>
        </w:tc>
      </w:tr>
      <w:tr>
        <w:tblPrEx>
          <w:tblCellMar>
            <w:top w:w="0" w:type="dxa"/>
            <w:left w:w="108" w:type="dxa"/>
            <w:bottom w:w="0" w:type="dxa"/>
            <w:right w:w="108" w:type="dxa"/>
          </w:tblCellMar>
        </w:tblPrEx>
        <w:trPr>
          <w:trHeight w:val="542"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10</w:t>
            </w:r>
          </w:p>
        </w:tc>
        <w:tc>
          <w:tcPr>
            <w:tcW w:w="0" w:type="auto"/>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服务质量保证情况</w:t>
            </w:r>
          </w:p>
        </w:tc>
        <w:tc>
          <w:tcPr>
            <w:tcW w:w="4932" w:type="dxa"/>
            <w:tcBorders>
              <w:top w:val="nil"/>
              <w:left w:val="nil"/>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根据投标人服务质量保证情况，提供服务承诺函（质保期限、可实现程度等情况综合评定）。</w:t>
            </w:r>
          </w:p>
        </w:tc>
        <w:tc>
          <w:tcPr>
            <w:tcW w:w="863" w:type="dxa"/>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0-3</w:t>
            </w:r>
          </w:p>
        </w:tc>
        <w:tc>
          <w:tcPr>
            <w:tcW w:w="903" w:type="dxa"/>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主观分</w:t>
            </w:r>
          </w:p>
        </w:tc>
      </w:tr>
      <w:tr>
        <w:tblPrEx>
          <w:tblCellMar>
            <w:top w:w="0" w:type="dxa"/>
            <w:left w:w="108" w:type="dxa"/>
            <w:bottom w:w="0" w:type="dxa"/>
            <w:right w:w="108" w:type="dxa"/>
          </w:tblCellMar>
        </w:tblPrEx>
        <w:trPr>
          <w:trHeight w:val="815"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11</w:t>
            </w:r>
          </w:p>
        </w:tc>
        <w:tc>
          <w:tcPr>
            <w:tcW w:w="0" w:type="auto"/>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服务承诺</w:t>
            </w:r>
          </w:p>
        </w:tc>
        <w:tc>
          <w:tcPr>
            <w:tcW w:w="4932" w:type="dxa"/>
            <w:tcBorders>
              <w:top w:val="nil"/>
              <w:left w:val="nil"/>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根据本地化服务能力、运维服务方案、措施、响应等情况综合评定</w:t>
            </w:r>
          </w:p>
        </w:tc>
        <w:tc>
          <w:tcPr>
            <w:tcW w:w="863" w:type="dxa"/>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0-4</w:t>
            </w:r>
          </w:p>
        </w:tc>
        <w:tc>
          <w:tcPr>
            <w:tcW w:w="903" w:type="dxa"/>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主观分</w:t>
            </w:r>
          </w:p>
        </w:tc>
      </w:tr>
      <w:tr>
        <w:tblPrEx>
          <w:tblCellMar>
            <w:top w:w="0" w:type="dxa"/>
            <w:left w:w="108" w:type="dxa"/>
            <w:bottom w:w="0" w:type="dxa"/>
            <w:right w:w="108" w:type="dxa"/>
          </w:tblCellMar>
        </w:tblPrEx>
        <w:trPr>
          <w:trHeight w:val="1617" w:hRule="atLeast"/>
          <w:jc w:val="center"/>
        </w:trPr>
        <w:tc>
          <w:tcPr>
            <w:tcW w:w="0" w:type="auto"/>
            <w:vMerge w:val="continue"/>
            <w:tcBorders>
              <w:top w:val="nil"/>
              <w:left w:val="single" w:color="auto" w:sz="4" w:space="0"/>
              <w:bottom w:val="nil"/>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p>
        </w:tc>
        <w:tc>
          <w:tcPr>
            <w:tcW w:w="0" w:type="auto"/>
            <w:tcBorders>
              <w:top w:val="nil"/>
              <w:left w:val="nil"/>
              <w:bottom w:val="nil"/>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12</w:t>
            </w:r>
          </w:p>
        </w:tc>
        <w:tc>
          <w:tcPr>
            <w:tcW w:w="0" w:type="auto"/>
            <w:tcBorders>
              <w:top w:val="nil"/>
              <w:left w:val="nil"/>
              <w:bottom w:val="nil"/>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投标文件制作质量</w:t>
            </w:r>
          </w:p>
        </w:tc>
        <w:tc>
          <w:tcPr>
            <w:tcW w:w="4932" w:type="dxa"/>
            <w:tcBorders>
              <w:top w:val="nil"/>
              <w:left w:val="nil"/>
              <w:bottom w:val="nil"/>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从以下方面考量投标文件制作质量：</w:t>
            </w:r>
            <w:r>
              <w:rPr>
                <w:rFonts w:hint="eastAsia" w:ascii="宋体" w:hAnsi="宋体" w:cs="宋体"/>
                <w:color w:val="000000"/>
                <w:kern w:val="0"/>
                <w:szCs w:val="21"/>
                <w:highlight w:val="none"/>
              </w:rPr>
              <w:br w:type="textWrapping"/>
            </w:r>
            <w:r>
              <w:rPr>
                <w:rFonts w:hint="eastAsia" w:ascii="宋体" w:hAnsi="宋体" w:cs="宋体"/>
                <w:color w:val="000000"/>
                <w:kern w:val="0"/>
                <w:szCs w:val="21"/>
                <w:highlight w:val="none"/>
              </w:rPr>
              <w:t>1）目录编排细致有序、标书格式规整清晰；（0-2分）</w:t>
            </w:r>
            <w:r>
              <w:rPr>
                <w:rFonts w:hint="eastAsia" w:ascii="宋体" w:hAnsi="宋体" w:cs="宋体"/>
                <w:color w:val="000000"/>
                <w:kern w:val="0"/>
                <w:szCs w:val="21"/>
                <w:highlight w:val="none"/>
              </w:rPr>
              <w:br w:type="textWrapping"/>
            </w:r>
            <w:r>
              <w:rPr>
                <w:rFonts w:hint="eastAsia" w:ascii="宋体" w:hAnsi="宋体" w:cs="宋体"/>
                <w:color w:val="000000"/>
                <w:kern w:val="0"/>
                <w:szCs w:val="21"/>
                <w:highlight w:val="none"/>
              </w:rPr>
              <w:t>2）招标文件要求提供的产品证明文件是否统一打码编序（0-1分）</w:t>
            </w:r>
          </w:p>
        </w:tc>
        <w:tc>
          <w:tcPr>
            <w:tcW w:w="863" w:type="dxa"/>
            <w:tcBorders>
              <w:top w:val="nil"/>
              <w:left w:val="nil"/>
              <w:bottom w:val="nil"/>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0-3</w:t>
            </w:r>
          </w:p>
        </w:tc>
        <w:tc>
          <w:tcPr>
            <w:tcW w:w="903" w:type="dxa"/>
            <w:tcBorders>
              <w:top w:val="nil"/>
              <w:left w:val="nil"/>
              <w:bottom w:val="nil"/>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主观分</w:t>
            </w:r>
          </w:p>
        </w:tc>
      </w:tr>
      <w:tr>
        <w:tblPrEx>
          <w:tblCellMar>
            <w:top w:w="0" w:type="dxa"/>
            <w:left w:w="108" w:type="dxa"/>
            <w:bottom w:w="0" w:type="dxa"/>
            <w:right w:w="108" w:type="dxa"/>
          </w:tblCellMar>
        </w:tblPrEx>
        <w:trPr>
          <w:trHeight w:val="1617" w:hRule="atLeast"/>
          <w:jc w:val="center"/>
        </w:trPr>
        <w:tc>
          <w:tcPr>
            <w:tcW w:w="0" w:type="auto"/>
            <w:tcBorders>
              <w:top w:val="nil"/>
              <w:left w:val="single" w:color="auto" w:sz="4" w:space="0"/>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p>
        </w:tc>
        <w:tc>
          <w:tcPr>
            <w:tcW w:w="0" w:type="auto"/>
            <w:tcBorders>
              <w:top w:val="nil"/>
              <w:left w:val="nil"/>
              <w:bottom w:val="single" w:color="auto" w:sz="4" w:space="0"/>
              <w:right w:val="single" w:color="auto" w:sz="4" w:space="0"/>
            </w:tcBorders>
            <w:noWrap w:val="0"/>
            <w:vAlign w:val="center"/>
          </w:tcPr>
          <w:p>
            <w:pPr>
              <w:widowControl/>
              <w:shd w:val="clear" w:color="auto" w:fill="auto"/>
              <w:adjustRightInd/>
              <w:jc w:val="center"/>
              <w:rPr>
                <w:rFonts w:ascii="宋体" w:hAnsi="宋体" w:cs="宋体"/>
                <w:color w:val="000000"/>
                <w:kern w:val="0"/>
                <w:szCs w:val="21"/>
                <w:highlight w:val="none"/>
              </w:rPr>
            </w:pPr>
            <w:r>
              <w:rPr>
                <w:rFonts w:hint="eastAsia" w:ascii="宋体" w:hAnsi="宋体" w:cs="宋体"/>
                <w:color w:val="000000"/>
                <w:kern w:val="0"/>
                <w:szCs w:val="21"/>
                <w:highlight w:val="none"/>
              </w:rPr>
              <w:t>13</w:t>
            </w:r>
          </w:p>
        </w:tc>
        <w:tc>
          <w:tcPr>
            <w:tcW w:w="0" w:type="auto"/>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其他</w:t>
            </w:r>
          </w:p>
        </w:tc>
        <w:tc>
          <w:tcPr>
            <w:tcW w:w="4932" w:type="dxa"/>
            <w:tcBorders>
              <w:top w:val="nil"/>
              <w:left w:val="nil"/>
              <w:bottom w:val="single" w:color="auto" w:sz="4" w:space="0"/>
              <w:right w:val="single" w:color="auto" w:sz="4" w:space="0"/>
            </w:tcBorders>
            <w:noWrap w:val="0"/>
            <w:vAlign w:val="center"/>
          </w:tcPr>
          <w:p>
            <w:pPr>
              <w:widowControl/>
              <w:shd w:val="clear" w:color="auto" w:fill="auto"/>
              <w:adjustRightInd/>
              <w:jc w:val="left"/>
              <w:rPr>
                <w:rFonts w:hint="eastAsia" w:ascii="宋体" w:hAnsi="宋体" w:cs="宋体"/>
                <w:color w:val="000000"/>
                <w:kern w:val="0"/>
                <w:szCs w:val="21"/>
                <w:highlight w:val="none"/>
              </w:rPr>
            </w:pPr>
            <w:r>
              <w:rPr>
                <w:rFonts w:ascii="宋体" w:hAnsi="宋体"/>
                <w:color w:val="000000"/>
                <w:sz w:val="24"/>
                <w:highlight w:val="none"/>
              </w:rPr>
              <w:t>投标人是否建立运行服务保障应急预案，在服务期间巡检、故障处理（故障、抢修及时响应）的组织和联系机制的合理性、有效性等</w:t>
            </w:r>
            <w:r>
              <w:rPr>
                <w:rFonts w:hint="eastAsia" w:ascii="宋体" w:hAnsi="宋体"/>
                <w:color w:val="000000"/>
                <w:sz w:val="24"/>
                <w:highlight w:val="none"/>
              </w:rPr>
              <w:t>综合评定。</w:t>
            </w:r>
          </w:p>
        </w:tc>
        <w:tc>
          <w:tcPr>
            <w:tcW w:w="863" w:type="dxa"/>
            <w:tcBorders>
              <w:top w:val="nil"/>
              <w:left w:val="nil"/>
              <w:bottom w:val="single" w:color="auto" w:sz="4" w:space="0"/>
              <w:right w:val="single" w:color="auto" w:sz="4" w:space="0"/>
            </w:tcBorders>
            <w:noWrap w:val="0"/>
            <w:vAlign w:val="center"/>
          </w:tcPr>
          <w:p>
            <w:pPr>
              <w:widowControl/>
              <w:shd w:val="clear" w:color="auto" w:fill="auto"/>
              <w:adjustRightInd/>
              <w:jc w:val="center"/>
              <w:rPr>
                <w:rFonts w:ascii="宋体" w:hAnsi="宋体" w:cs="宋体"/>
                <w:color w:val="000000"/>
                <w:kern w:val="0"/>
                <w:szCs w:val="21"/>
                <w:highlight w:val="none"/>
              </w:rPr>
            </w:pPr>
            <w:r>
              <w:rPr>
                <w:rFonts w:hint="eastAsia" w:ascii="宋体" w:hAnsi="宋体" w:cs="宋体"/>
                <w:color w:val="000000"/>
                <w:kern w:val="0"/>
                <w:szCs w:val="21"/>
                <w:highlight w:val="none"/>
              </w:rPr>
              <w:t>1-5</w:t>
            </w:r>
          </w:p>
        </w:tc>
        <w:tc>
          <w:tcPr>
            <w:tcW w:w="903" w:type="dxa"/>
            <w:tcBorders>
              <w:top w:val="nil"/>
              <w:left w:val="nil"/>
              <w:bottom w:val="single" w:color="auto" w:sz="4" w:space="0"/>
              <w:right w:val="single" w:color="auto" w:sz="4" w:space="0"/>
            </w:tcBorders>
            <w:noWrap w:val="0"/>
            <w:vAlign w:val="center"/>
          </w:tcPr>
          <w:p>
            <w:pPr>
              <w:widowControl/>
              <w:shd w:val="clear" w:color="auto" w:fill="auto"/>
              <w:adjustRightInd/>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主观分</w:t>
            </w:r>
          </w:p>
        </w:tc>
      </w:tr>
    </w:tbl>
    <w:p>
      <w:pPr>
        <w:widowControl/>
        <w:shd w:val="clear" w:color="auto" w:fill="auto"/>
        <w:spacing w:line="360" w:lineRule="auto"/>
        <w:jc w:val="left"/>
        <w:rPr>
          <w:rFonts w:hint="eastAsia" w:ascii="宋体" w:hAnsi="宋体" w:cs="宋体"/>
          <w:bCs/>
          <w:color w:val="000000"/>
          <w:sz w:val="24"/>
          <w:szCs w:val="28"/>
          <w:highlight w:val="none"/>
        </w:rPr>
      </w:pPr>
      <w:r>
        <w:rPr>
          <w:rFonts w:hint="eastAsia" w:ascii="宋体" w:hAnsi="宋体" w:cs="宋体"/>
          <w:bCs/>
          <w:color w:val="000000"/>
          <w:sz w:val="24"/>
          <w:szCs w:val="28"/>
          <w:highlight w:val="none"/>
        </w:rPr>
        <w:t>注：1）若采购人对投标人提供的证明资料要求为原件的，另行提出。</w:t>
      </w:r>
    </w:p>
    <w:p>
      <w:pPr>
        <w:widowControl/>
        <w:shd w:val="clear" w:color="auto" w:fill="auto"/>
        <w:spacing w:line="360" w:lineRule="auto"/>
        <w:jc w:val="left"/>
        <w:rPr>
          <w:rFonts w:hint="eastAsia" w:ascii="宋体" w:hAnsi="宋体" w:cs="宋体"/>
          <w:color w:val="000000"/>
          <w:sz w:val="36"/>
          <w:szCs w:val="36"/>
          <w:highlight w:val="none"/>
        </w:rPr>
      </w:pPr>
      <w:r>
        <w:rPr>
          <w:rFonts w:hint="eastAsia" w:ascii="宋体" w:hAnsi="宋体" w:cs="宋体"/>
          <w:bCs/>
          <w:color w:val="000000"/>
          <w:sz w:val="24"/>
          <w:szCs w:val="28"/>
          <w:highlight w:val="none"/>
        </w:rPr>
        <w:t>2）投标文件中如附有外文资料，必须逐一对应翻译成中文并加盖投标人公章后附在相关外文资料后面，否则外文资料不予认可。翻译的中文资料与外文资料不符的，均不予认可。翻译严重错误的，将视同提供虚假资料。</w:t>
      </w:r>
    </w:p>
    <w:p>
      <w:pPr>
        <w:shd w:val="clear" w:color="auto" w:fill="auto"/>
        <w:spacing w:line="360" w:lineRule="auto"/>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22.价格分（30分）</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7"/>
        <w:gridCol w:w="6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067" w:type="dxa"/>
            <w:tcBorders>
              <w:top w:val="single" w:color="auto" w:sz="4" w:space="0"/>
              <w:left w:val="single" w:color="auto" w:sz="4" w:space="0"/>
              <w:bottom w:val="single" w:color="auto" w:sz="4" w:space="0"/>
              <w:right w:val="single" w:color="auto" w:sz="4" w:space="0"/>
            </w:tcBorders>
            <w:noWrap/>
            <w:vAlign w:val="center"/>
          </w:tcPr>
          <w:p>
            <w:pPr>
              <w:shd w:val="clear" w:color="auto" w:fill="auto"/>
              <w:autoSpaceDE w:val="0"/>
              <w:autoSpaceDN w:val="0"/>
              <w:jc w:val="center"/>
              <w:rPr>
                <w:rFonts w:hint="eastAsia" w:ascii="宋体" w:hAnsi="宋体" w:cs="宋体"/>
                <w:color w:val="000000"/>
                <w:sz w:val="24"/>
                <w:highlight w:val="none"/>
              </w:rPr>
            </w:pPr>
            <w:r>
              <w:rPr>
                <w:rFonts w:hint="eastAsia" w:ascii="宋体" w:hAnsi="宋体" w:cs="宋体"/>
                <w:color w:val="000000"/>
                <w:sz w:val="24"/>
                <w:highlight w:val="none"/>
              </w:rPr>
              <w:t>价格权值</w:t>
            </w:r>
          </w:p>
        </w:tc>
        <w:tc>
          <w:tcPr>
            <w:tcW w:w="6929" w:type="dxa"/>
            <w:tcBorders>
              <w:top w:val="single" w:color="auto" w:sz="4" w:space="0"/>
              <w:left w:val="single" w:color="auto" w:sz="4" w:space="0"/>
              <w:bottom w:val="single" w:color="auto" w:sz="4" w:space="0"/>
              <w:right w:val="single" w:color="auto" w:sz="4" w:space="0"/>
            </w:tcBorders>
            <w:noWrap/>
            <w:vAlign w:val="center"/>
          </w:tcPr>
          <w:p>
            <w:pPr>
              <w:shd w:val="clear" w:color="auto" w:fill="auto"/>
              <w:autoSpaceDE w:val="0"/>
              <w:autoSpaceDN w:val="0"/>
              <w:jc w:val="center"/>
              <w:rPr>
                <w:rFonts w:hint="eastAsia" w:ascii="宋体" w:hAnsi="宋体" w:cs="宋体"/>
                <w:color w:val="000000"/>
                <w:sz w:val="24"/>
                <w:highlight w:val="none"/>
              </w:rPr>
            </w:pPr>
            <w:r>
              <w:rPr>
                <w:rFonts w:hint="eastAsia" w:ascii="宋体" w:hAnsi="宋体" w:cs="宋体"/>
                <w:color w:val="000000"/>
                <w:sz w:val="24"/>
                <w:highlight w:val="none"/>
              </w:rPr>
              <w:t>计算方法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2067" w:type="dxa"/>
            <w:tcBorders>
              <w:top w:val="single" w:color="auto" w:sz="4" w:space="0"/>
              <w:left w:val="single" w:color="auto" w:sz="4" w:space="0"/>
              <w:bottom w:val="single" w:color="auto" w:sz="4" w:space="0"/>
              <w:right w:val="single" w:color="auto" w:sz="4" w:space="0"/>
            </w:tcBorders>
            <w:noWrap/>
            <w:vAlign w:val="center"/>
          </w:tcPr>
          <w:p>
            <w:pPr>
              <w:shd w:val="clear" w:color="auto" w:fill="auto"/>
              <w:autoSpaceDE w:val="0"/>
              <w:autoSpaceDN w:val="0"/>
              <w:jc w:val="center"/>
              <w:rPr>
                <w:rFonts w:hint="eastAsia" w:ascii="宋体" w:hAnsi="宋体" w:cs="宋体"/>
                <w:color w:val="000000"/>
                <w:sz w:val="24"/>
                <w:highlight w:val="none"/>
              </w:rPr>
            </w:pPr>
            <w:r>
              <w:rPr>
                <w:rFonts w:hint="eastAsia" w:ascii="宋体" w:hAnsi="宋体" w:cs="宋体"/>
                <w:color w:val="000000"/>
                <w:sz w:val="24"/>
                <w:highlight w:val="none"/>
              </w:rPr>
              <w:t>价格权值=0.30</w:t>
            </w:r>
          </w:p>
        </w:tc>
        <w:tc>
          <w:tcPr>
            <w:tcW w:w="6929" w:type="dxa"/>
            <w:tcBorders>
              <w:top w:val="single" w:color="auto" w:sz="4" w:space="0"/>
              <w:left w:val="single" w:color="auto" w:sz="4" w:space="0"/>
              <w:bottom w:val="single" w:color="auto" w:sz="4" w:space="0"/>
              <w:right w:val="single" w:color="auto" w:sz="4" w:space="0"/>
            </w:tcBorders>
            <w:noWrap/>
            <w:vAlign w:val="center"/>
          </w:tcPr>
          <w:p>
            <w:pPr>
              <w:shd w:val="clear" w:color="auto" w:fill="auto"/>
              <w:autoSpaceDE w:val="0"/>
              <w:autoSpaceDN w:val="0"/>
              <w:rPr>
                <w:rFonts w:hint="eastAsia" w:ascii="宋体" w:hAnsi="宋体" w:cs="宋体"/>
                <w:color w:val="000000"/>
                <w:sz w:val="24"/>
                <w:highlight w:val="none"/>
              </w:rPr>
            </w:pPr>
            <w:r>
              <w:rPr>
                <w:rFonts w:hint="eastAsia" w:ascii="宋体" w:hAnsi="宋体" w:cs="宋体"/>
                <w:color w:val="000000"/>
                <w:sz w:val="24"/>
                <w:highlight w:val="none"/>
              </w:rPr>
              <w:t>最低有效投标价格为评标基准价</w:t>
            </w:r>
          </w:p>
          <w:p>
            <w:pPr>
              <w:shd w:val="clear" w:color="auto" w:fill="auto"/>
              <w:autoSpaceDE w:val="0"/>
              <w:autoSpaceDN w:val="0"/>
              <w:rPr>
                <w:rFonts w:hint="eastAsia" w:ascii="宋体" w:hAnsi="宋体" w:cs="宋体"/>
                <w:color w:val="000000"/>
                <w:sz w:val="24"/>
                <w:highlight w:val="none"/>
              </w:rPr>
            </w:pPr>
            <w:r>
              <w:rPr>
                <w:rFonts w:hint="eastAsia" w:ascii="宋体" w:hAnsi="宋体" w:cs="宋体"/>
                <w:color w:val="000000"/>
                <w:sz w:val="24"/>
                <w:highlight w:val="none"/>
              </w:rPr>
              <w:t xml:space="preserve">投标报价得分=(评标基准价／投标报价)×价格权值×100 </w:t>
            </w:r>
          </w:p>
          <w:p>
            <w:pPr>
              <w:shd w:val="clear" w:color="auto" w:fill="auto"/>
              <w:autoSpaceDE w:val="0"/>
              <w:autoSpaceDN w:val="0"/>
              <w:jc w:val="center"/>
              <w:rPr>
                <w:rFonts w:hint="eastAsia" w:ascii="宋体" w:hAnsi="宋体" w:cs="宋体"/>
                <w:color w:val="000000"/>
                <w:sz w:val="24"/>
                <w:highlight w:val="none"/>
              </w:rPr>
            </w:pPr>
            <w:r>
              <w:rPr>
                <w:rFonts w:hint="eastAsia" w:ascii="宋体" w:hAnsi="宋体" w:cs="宋体"/>
                <w:color w:val="000000"/>
                <w:sz w:val="24"/>
                <w:highlight w:val="none"/>
              </w:rPr>
              <w:t>（计算得分保留小数点后2位）</w:t>
            </w:r>
          </w:p>
        </w:tc>
      </w:tr>
    </w:tbl>
    <w:p>
      <w:pPr>
        <w:shd w:val="clear" w:color="auto" w:fill="auto"/>
        <w:spacing w:line="400" w:lineRule="exact"/>
        <w:rPr>
          <w:rFonts w:hint="eastAsia" w:ascii="宋体" w:hAnsi="宋体" w:cs="宋体"/>
          <w:b/>
          <w:bCs/>
          <w:color w:val="000000"/>
          <w:sz w:val="24"/>
          <w:highlight w:val="none"/>
        </w:rPr>
      </w:pPr>
    </w:p>
    <w:p>
      <w:pPr>
        <w:shd w:val="clear" w:color="auto" w:fill="auto"/>
        <w:spacing w:line="400" w:lineRule="exact"/>
        <w:rPr>
          <w:rFonts w:hint="eastAsia" w:ascii="宋体" w:hAnsi="宋体" w:cs="宋体"/>
          <w:b/>
          <w:bCs/>
          <w:color w:val="000000"/>
          <w:sz w:val="24"/>
          <w:highlight w:val="none"/>
        </w:rPr>
      </w:pPr>
      <w:r>
        <w:rPr>
          <w:rFonts w:hint="eastAsia" w:ascii="宋体" w:hAnsi="宋体" w:cs="宋体"/>
          <w:b/>
          <w:bCs/>
          <w:color w:val="000000"/>
          <w:sz w:val="24"/>
          <w:highlight w:val="none"/>
        </w:rPr>
        <w:t>23.其他需说明事项</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投标人在《投标人基本情况表》须注明中标通知书邮寄地址、接收人、联系电话。</w:t>
      </w:r>
    </w:p>
    <w:p>
      <w:pPr>
        <w:shd w:val="clear" w:color="auto" w:fill="auto"/>
        <w:spacing w:line="360" w:lineRule="auto"/>
        <w:outlineLvl w:val="0"/>
        <w:rPr>
          <w:rFonts w:hint="eastAsia" w:ascii="宋体" w:hAnsi="宋体" w:cs="宋体"/>
          <w:b/>
          <w:color w:val="000000"/>
          <w:sz w:val="36"/>
          <w:szCs w:val="36"/>
          <w:highlight w:val="none"/>
        </w:rPr>
      </w:pPr>
    </w:p>
    <w:p>
      <w:pPr>
        <w:shd w:val="clear" w:color="auto" w:fill="auto"/>
        <w:spacing w:line="360" w:lineRule="auto"/>
        <w:ind w:left="720" w:firstLine="723" w:firstLineChars="200"/>
        <w:outlineLvl w:val="0"/>
        <w:rPr>
          <w:rFonts w:hint="eastAsia" w:ascii="宋体" w:hAnsi="宋体" w:cs="宋体"/>
          <w:b/>
          <w:color w:val="000000"/>
          <w:sz w:val="36"/>
          <w:szCs w:val="36"/>
          <w:highlight w:val="none"/>
        </w:rPr>
      </w:pPr>
      <w:r>
        <w:rPr>
          <w:rFonts w:hint="eastAsia" w:ascii="宋体" w:hAnsi="宋体" w:cs="宋体"/>
          <w:b/>
          <w:color w:val="000000"/>
          <w:sz w:val="36"/>
          <w:szCs w:val="36"/>
          <w:highlight w:val="none"/>
        </w:rPr>
        <w:br w:type="page"/>
      </w:r>
      <w:r>
        <w:rPr>
          <w:rFonts w:hint="eastAsia" w:ascii="宋体" w:hAnsi="宋体" w:cs="宋体"/>
          <w:b/>
          <w:color w:val="000000"/>
          <w:sz w:val="36"/>
          <w:szCs w:val="36"/>
          <w:highlight w:val="none"/>
        </w:rPr>
        <w:t>第五部分</w:t>
      </w:r>
      <w:bookmarkEnd w:id="61"/>
      <w:r>
        <w:rPr>
          <w:rFonts w:hint="eastAsia" w:ascii="宋体" w:hAnsi="宋体" w:cs="宋体"/>
          <w:b/>
          <w:color w:val="000000"/>
          <w:sz w:val="36"/>
          <w:szCs w:val="36"/>
          <w:highlight w:val="none"/>
        </w:rPr>
        <w:t xml:space="preserve"> 拟签订的合同文本</w:t>
      </w:r>
    </w:p>
    <w:p>
      <w:pPr>
        <w:pStyle w:val="24"/>
        <w:shd w:val="clear" w:color="auto" w:fill="auto"/>
        <w:snapToGrid w:val="0"/>
        <w:spacing w:line="360" w:lineRule="auto"/>
        <w:rPr>
          <w:rFonts w:hint="eastAsia" w:cs="宋体"/>
          <w:color w:val="000000"/>
          <w:highlight w:val="none"/>
        </w:rPr>
      </w:pPr>
      <w:bookmarkStart w:id="453" w:name="_GoBack"/>
      <w:bookmarkEnd w:id="453"/>
      <w:bookmarkStart w:id="454" w:name="第五部分"/>
      <w:bookmarkStart w:id="455" w:name="_Toc86217003"/>
      <w:r>
        <w:rPr>
          <w:rFonts w:hint="eastAsia" w:cs="宋体"/>
          <w:color w:val="000000"/>
          <w:highlight w:val="none"/>
        </w:rPr>
        <w:t>（货物类样本）</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合同编号：</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签订地点：                                  签订时间：20* 年  月  日</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项目名称：</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 xml:space="preserve">甲方（需方）：                                     </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 xml:space="preserve">乙方（供方）：                                     </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 xml:space="preserve">供、需双方根据杭州市                             项目（招标编号 </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 xml:space="preserve">  -  -   ）招标结果和招标文件的要求，并经双方协调一致，订立本采购合同。</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一、合同文件：</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1、合同条款。</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2、中标通知书。</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3、招标文件。</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4、更正公告。</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5、中标单位投标文件。</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6、其他。</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二、合同金额:合同金额为(大写)_________________元（￥　　　　元）人民币。</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 xml:space="preserve">附《采购项目清单内容》   </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692"/>
        <w:gridCol w:w="1800"/>
        <w:gridCol w:w="1758"/>
        <w:gridCol w:w="762"/>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762"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r>
              <w:rPr>
                <w:rFonts w:hint="eastAsia" w:cs="宋体"/>
                <w:color w:val="000000"/>
                <w:highlight w:val="none"/>
                <w:lang w:val="en-US" w:eastAsia="zh-CN"/>
              </w:rPr>
              <w:t>序号</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r>
              <w:rPr>
                <w:rFonts w:hint="eastAsia" w:cs="宋体"/>
                <w:color w:val="000000"/>
                <w:highlight w:val="none"/>
                <w:lang w:val="en-US" w:eastAsia="zh-CN"/>
              </w:rPr>
              <w:t>采购项目</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r>
              <w:rPr>
                <w:rFonts w:hint="eastAsia" w:cs="宋体"/>
                <w:color w:val="000000"/>
                <w:highlight w:val="none"/>
                <w:lang w:val="en-US" w:eastAsia="zh-CN"/>
              </w:rPr>
              <w:t>中标内容</w:t>
            </w:r>
          </w:p>
        </w:tc>
        <w:tc>
          <w:tcPr>
            <w:tcW w:w="1758"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r>
              <w:rPr>
                <w:rFonts w:hint="eastAsia" w:cs="宋体"/>
                <w:color w:val="000000"/>
                <w:highlight w:val="none"/>
                <w:lang w:val="en-US" w:eastAsia="zh-CN"/>
              </w:rPr>
              <w:t>中标单价（元）</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r>
              <w:rPr>
                <w:rFonts w:hint="eastAsia" w:cs="宋体"/>
                <w:color w:val="000000"/>
                <w:highlight w:val="none"/>
                <w:lang w:val="en-US" w:eastAsia="zh-CN"/>
              </w:rPr>
              <w:t>数量</w:t>
            </w:r>
          </w:p>
        </w:tc>
        <w:tc>
          <w:tcPr>
            <w:tcW w:w="1532"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r>
              <w:rPr>
                <w:rFonts w:hint="eastAsia" w:cs="宋体"/>
                <w:color w:val="000000"/>
                <w:highlight w:val="none"/>
                <w:lang w:val="en-US" w:eastAsia="zh-CN"/>
              </w:rPr>
              <w:t>中标总价（元）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438"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r>
              <w:rPr>
                <w:rFonts w:hint="eastAsia" w:cs="宋体"/>
                <w:color w:val="000000"/>
                <w:highlight w:val="none"/>
                <w:lang w:val="en-US" w:eastAsia="zh-CN"/>
              </w:rPr>
              <w:t>1</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p>
        </w:tc>
        <w:tc>
          <w:tcPr>
            <w:tcW w:w="1758"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p>
        </w:tc>
        <w:tc>
          <w:tcPr>
            <w:tcW w:w="1532" w:type="dxa"/>
            <w:tcBorders>
              <w:top w:val="single" w:color="auto" w:sz="4" w:space="0"/>
              <w:left w:val="single" w:color="auto" w:sz="4" w:space="0"/>
              <w:bottom w:val="single" w:color="auto" w:sz="4" w:space="0"/>
              <w:right w:val="single" w:color="auto" w:sz="4" w:space="0"/>
            </w:tcBorders>
            <w:noWrap w:val="0"/>
            <w:vAlign w:val="top"/>
          </w:tcPr>
          <w:p>
            <w:pPr>
              <w:pStyle w:val="24"/>
              <w:shd w:val="clear" w:color="auto" w:fill="auto"/>
              <w:snapToGrid w:val="0"/>
              <w:spacing w:line="360" w:lineRule="auto"/>
              <w:rPr>
                <w:rFonts w:hint="eastAsia" w:cs="宋体"/>
                <w:color w:val="00000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r>
              <w:rPr>
                <w:rFonts w:hint="eastAsia" w:cs="宋体"/>
                <w:color w:val="000000"/>
                <w:highlight w:val="none"/>
                <w:lang w:val="en-US" w:eastAsia="zh-CN"/>
              </w:rPr>
              <w:t>2</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p>
        </w:tc>
        <w:tc>
          <w:tcPr>
            <w:tcW w:w="1758" w:type="dxa"/>
            <w:tcBorders>
              <w:top w:val="single" w:color="auto" w:sz="4" w:space="0"/>
              <w:left w:val="single" w:color="auto" w:sz="4" w:space="0"/>
              <w:bottom w:val="single" w:color="auto" w:sz="4" w:space="0"/>
              <w:right w:val="single" w:color="auto" w:sz="4" w:space="0"/>
            </w:tcBorders>
            <w:noWrap w:val="0"/>
            <w:vAlign w:val="top"/>
          </w:tcPr>
          <w:p>
            <w:pPr>
              <w:pStyle w:val="24"/>
              <w:shd w:val="clear" w:color="auto" w:fill="auto"/>
              <w:snapToGrid w:val="0"/>
              <w:spacing w:line="360" w:lineRule="auto"/>
              <w:rPr>
                <w:rFonts w:hint="eastAsia" w:cs="宋体"/>
                <w:color w:val="000000"/>
                <w:highlight w:val="none"/>
                <w:lang w:val="en-US" w:eastAsia="zh-CN"/>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p>
        </w:tc>
        <w:tc>
          <w:tcPr>
            <w:tcW w:w="1532" w:type="dxa"/>
            <w:tcBorders>
              <w:top w:val="single" w:color="auto" w:sz="4" w:space="0"/>
              <w:left w:val="single" w:color="auto" w:sz="4" w:space="0"/>
              <w:bottom w:val="single" w:color="auto" w:sz="4" w:space="0"/>
              <w:right w:val="single" w:color="auto" w:sz="4" w:space="0"/>
            </w:tcBorders>
            <w:noWrap w:val="0"/>
            <w:vAlign w:val="top"/>
          </w:tcPr>
          <w:p>
            <w:pPr>
              <w:pStyle w:val="24"/>
              <w:shd w:val="clear" w:color="auto" w:fill="auto"/>
              <w:snapToGrid w:val="0"/>
              <w:spacing w:line="360" w:lineRule="auto"/>
              <w:rPr>
                <w:rFonts w:hint="eastAsia" w:cs="宋体"/>
                <w:color w:val="000000"/>
                <w:highlight w:val="none"/>
                <w:lang w:val="en-US" w:eastAsia="zh-CN"/>
              </w:rPr>
            </w:pPr>
          </w:p>
        </w:tc>
      </w:tr>
    </w:tbl>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三、质量要求及供方对质量负责条件和期限：</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供方提供的货物必须是现货、全新，符合招标要求的规格型号和技术指标。供方对货物提供**年的免费保修期（货物厂家另有超过此质保期的按原规定执行），保修期内非因需方的人为原因而出现质量问题的，由供方负责包修、包换或者包退，并承担调换或退货的实际费用。</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2、供方在维保期内接到用户单位的电话后，在**小时内响应，**小时以内到现场，**小时以内解决问题，不能修复的，必须采取无偿提供备品、备件或备机等措施，以保证用户单位的正常使用。</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四、工期时间__________________________</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 xml:space="preserve">交货地点：                                                               </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五、货款支付</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1、付款方式：</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2、合同履行完毕，需方根据合同进行验收，验收合格后供应商按财政结算要求办理货款结算手续。</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六、履约保证金、质量保证金</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1、履约保证金：为保证政府采购项目合同的顺利执行，供方在本合同签订之前，其中标价的    %作为履约保证金（银行汇票形式）交付采购人。待项目验收合格和供方交纳质量保证金后，由采购人将履约保证金无息退还供方。</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2、质量保证金：采购项目验收合格后，需方向供方收取质量保证金（中标价的  %）。质保期结束且无质量问题，由需方将质量保证金无息退还供方。</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七、违约责任</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1、甲方无正当理由拒收货物的，甲方向乙方偿付拒收货款总值的百分之 五 违约金。</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2、乙方逾期交付货物的，乙方应按逾期交付货款总额每日千分之 六  向甲方支付违约金，由甲方从待付货款中扣除。逾期超过约定日期 10 个工作日不能交货的，甲方可解除本合同，履约保证金不予退还，如造成甲方损失超过履约保证金的，超出部分由乙方继续承担赔偿责任。</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3、乙方所交的货物品种、型号、规格、技术参数、质量等不符合合同规定及投标文件承诺标准，甲方有权拒收该货物，乙方愿意更换货物但逾期交货的按乙方逾期交货处理。乙方拒绝更换货物的，甲方可单方面解除合同。</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4、因需方原因逾期支付合同款，自逾期之日起，向供方每日偿付合同总价千分之 二的滞纳金；需方无正当理由拒付货款的，应向供方偿付合同总价百分之五的违约金。</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5、供方在项目验收合格之日起保修期内违反本合同有关承诺保证的，需方将有权不予退还质量保证金，损失赔偿不足部分，按合同第九条处理。</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6、如发现乙方违反招投标文件和合同的有关规定，甲方有权根据约定和《杭州市政府采购供应商合同履行和售后服务考核暂行办法》，对乙方进行处罚，并有权提前终止合同。</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八、调试和验收</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九、争议的解决</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因本合同引起的或与本合同有关的任何争议，合同双方应首先通过协商解决，达成书面协议，如协商不成，可选择下列第      种方式解决。</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（1）提请杭州仲裁委员会按照该会仲裁规则进行仲裁，仲裁裁决是终局的，对合同双方均有约束力。</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（2）向有管辖权的人民法院提起诉讼。</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十、合同生效</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1、中标方持中标通知书作为与需方签订合同的凭证。</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2、本合同经需、供双方法定代表人（符合浙财采监【2013】24号第六条规定的为负责人）或其授权委托人签名并加盖单位公章后生效。</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需方（加盖公章）：                  供方（加盖公章）：</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地址：                             地址：</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法定代表人（或委托代理人）签名：   法定代表人（或委托代理人）签名：</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 xml:space="preserve">                     </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联系电话：                         联系电话：</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邮政编码：                         邮政编码：</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 xml:space="preserve">开户银行：                         开户银行：      </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帐号：                             帐号：</w:t>
      </w:r>
    </w:p>
    <w:p>
      <w:pPr>
        <w:pStyle w:val="24"/>
        <w:shd w:val="clear" w:color="auto" w:fill="auto"/>
        <w:snapToGrid w:val="0"/>
        <w:spacing w:line="360" w:lineRule="auto"/>
        <w:rPr>
          <w:rFonts w:hint="eastAsia" w:cs="宋体"/>
          <w:color w:val="000000"/>
          <w:highlight w:val="none"/>
        </w:rPr>
      </w:pPr>
    </w:p>
    <w:p>
      <w:pPr>
        <w:pStyle w:val="24"/>
        <w:shd w:val="clear" w:color="auto" w:fill="auto"/>
        <w:snapToGrid w:val="0"/>
        <w:spacing w:line="360" w:lineRule="auto"/>
        <w:jc w:val="center"/>
        <w:rPr>
          <w:rFonts w:hint="eastAsia" w:cs="宋体"/>
          <w:color w:val="000000"/>
          <w:highlight w:val="none"/>
        </w:rPr>
      </w:pPr>
      <w:r>
        <w:rPr>
          <w:rFonts w:hint="eastAsia" w:cs="宋体"/>
          <w:color w:val="000000"/>
          <w:highlight w:val="none"/>
        </w:rPr>
        <w:br w:type="page"/>
      </w:r>
      <w:r>
        <w:rPr>
          <w:rFonts w:hint="eastAsia" w:cs="宋体"/>
          <w:color w:val="000000"/>
          <w:highlight w:val="none"/>
        </w:rPr>
        <w:t>（服务类样本）</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合同编号：</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签订地点：                                 签订时间：20* 年  月  日</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项目名称：</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 xml:space="preserve">甲方（需方）：                                     </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 xml:space="preserve">乙方（供方）：                                     </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供、需双方根据杭州市                           项目（招标编号XZCG  -  -   ）招标结果和招标文件的要求，并经双方协调一致，订立本采购合同。</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一、合同文件：</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1、合同条款。</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2、中标通知书。</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3、招标文件。</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4、更正公告。</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5、中标单位投标文件。</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6、其他。</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二、合同金额: 本合同金额为(大写)_________________元（￥　　　　元）人民币附：</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《采购项目清单内容》</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692"/>
        <w:gridCol w:w="1800"/>
        <w:gridCol w:w="1758"/>
        <w:gridCol w:w="762"/>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11"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r>
              <w:rPr>
                <w:rFonts w:hint="eastAsia" w:cs="宋体"/>
                <w:color w:val="000000"/>
                <w:highlight w:val="none"/>
                <w:lang w:val="en-US" w:eastAsia="zh-CN"/>
              </w:rPr>
              <w:t>序号</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r>
              <w:rPr>
                <w:rFonts w:hint="eastAsia" w:cs="宋体"/>
                <w:color w:val="000000"/>
                <w:highlight w:val="none"/>
                <w:lang w:val="en-US" w:eastAsia="zh-CN"/>
              </w:rPr>
              <w:t>采购项目</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r>
              <w:rPr>
                <w:rFonts w:hint="eastAsia" w:cs="宋体"/>
                <w:color w:val="000000"/>
                <w:highlight w:val="none"/>
                <w:lang w:val="en-US" w:eastAsia="zh-CN"/>
              </w:rPr>
              <w:t>中标内容</w:t>
            </w:r>
          </w:p>
        </w:tc>
        <w:tc>
          <w:tcPr>
            <w:tcW w:w="1758"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r>
              <w:rPr>
                <w:rFonts w:hint="eastAsia" w:cs="宋体"/>
                <w:color w:val="000000"/>
                <w:highlight w:val="none"/>
                <w:lang w:val="en-US" w:eastAsia="zh-CN"/>
              </w:rPr>
              <w:t>中标单价（元）</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r>
              <w:rPr>
                <w:rFonts w:hint="eastAsia" w:cs="宋体"/>
                <w:color w:val="000000"/>
                <w:highlight w:val="none"/>
                <w:lang w:val="en-US" w:eastAsia="zh-CN"/>
              </w:rPr>
              <w:t>数量</w:t>
            </w:r>
          </w:p>
        </w:tc>
        <w:tc>
          <w:tcPr>
            <w:tcW w:w="1867"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r>
              <w:rPr>
                <w:rFonts w:hint="eastAsia" w:cs="宋体"/>
                <w:color w:val="000000"/>
                <w:highlight w:val="none"/>
                <w:lang w:val="en-US" w:eastAsia="zh-CN"/>
              </w:rPr>
              <w:t>中标总价（元）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38"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r>
              <w:rPr>
                <w:rFonts w:hint="eastAsia" w:cs="宋体"/>
                <w:color w:val="000000"/>
                <w:highlight w:val="none"/>
                <w:lang w:val="en-US" w:eastAsia="zh-CN"/>
              </w:rPr>
              <w:t>1</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p>
        </w:tc>
        <w:tc>
          <w:tcPr>
            <w:tcW w:w="1758"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p>
        </w:tc>
        <w:tc>
          <w:tcPr>
            <w:tcW w:w="1867"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83"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r>
              <w:rPr>
                <w:rFonts w:hint="eastAsia" w:cs="宋体"/>
                <w:color w:val="000000"/>
                <w:highlight w:val="none"/>
                <w:lang w:val="en-US" w:eastAsia="zh-CN"/>
              </w:rPr>
              <w:t>2</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p>
        </w:tc>
        <w:tc>
          <w:tcPr>
            <w:tcW w:w="1758"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p>
        </w:tc>
        <w:tc>
          <w:tcPr>
            <w:tcW w:w="1867" w:type="dxa"/>
            <w:tcBorders>
              <w:top w:val="single" w:color="auto" w:sz="4" w:space="0"/>
              <w:left w:val="single" w:color="auto" w:sz="4" w:space="0"/>
              <w:bottom w:val="single" w:color="auto" w:sz="4" w:space="0"/>
              <w:right w:val="single" w:color="auto" w:sz="4" w:space="0"/>
            </w:tcBorders>
            <w:noWrap w:val="0"/>
            <w:vAlign w:val="center"/>
          </w:tcPr>
          <w:p>
            <w:pPr>
              <w:pStyle w:val="24"/>
              <w:shd w:val="clear" w:color="auto" w:fill="auto"/>
              <w:snapToGrid w:val="0"/>
              <w:spacing w:line="360" w:lineRule="auto"/>
              <w:rPr>
                <w:rFonts w:hint="eastAsia" w:cs="宋体"/>
                <w:color w:val="000000"/>
                <w:highlight w:val="none"/>
                <w:lang w:val="en-US" w:eastAsia="zh-CN"/>
              </w:rPr>
            </w:pPr>
          </w:p>
        </w:tc>
      </w:tr>
    </w:tbl>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三、技术资料</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1.乙方应按招标文件规定的时间向甲方提供有关技术资料。</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四、知识产权</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乙方应保证提供服务过程中不会侵犯任何第三方的知识产权。</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五、履约保证金</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乙方交纳人民币        元作为本合同的履约保证金。</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六、转包或分包</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1.本合同范围的服务，应由乙方直接供应，不得转让他人供应；</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2.除非得到甲方的书面同意，乙方不得将本合同范围的服务全部或部分分包给他人供应；</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3.如有转让和未经甲方同意的分包行为，甲方有权解除合同，没收履约保证金并追究乙方的违约责任。</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七、服务质量保证期和服务质量保证金(选用)</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 服务质量保证期      年。（自验收合格之日起计）</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2. 服务质量保证金            元。</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八、合同履行时间、履行方式及履行地点</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 履行时间：</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2. 履行方式：</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3. 履行地点：</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九、款项支付</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1.付款方式：</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2.合同履行完毕，需方根据合同进行验收，验收合格后供应商按财政结算要求办理货款结算手续。</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十、税费</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本合同执行中相关的一切税费均由乙方负担。</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十一、质量保证及后续服务</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 乙方应按招标文件规定向甲方提供服务。</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2. 乙方提供的服务成果在服务质量保证期内发生故障，乙方应负责免费提供后续服务。对达不到要求者，根据实际情况，经双方协商，可按以下办法处理：</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⑴重做：由乙方承担所发生的全部费用。</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⑵贬值处理：由甲乙双方合议定价。</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⑶解除合同。</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3. 如在使用过程中发生问题，乙方在接到甲方通知后在   小时内到达甲方现场。</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4.在服务质量保证期内，乙方应对出现的质量及安全问题负责处理解决并承担一切费用。</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十二、违约责任</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1.甲方无正当理由拒绝接收服务的，甲方向乙方偿付合同款项百分之 五 作为违约金。</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2.甲方无故逾期验收和办理款项支付手续的，甲方应按逾期付款总额每日万分之 五向乙方支付违约金。</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3.乙方未能如期提供服务的，每日向甲方支付合同款项的千分之 六 作为违约金。乙方超过约定日期10个工作日仍不能提供服务的，甲方可解除本合同，不予退还履约保证金，如造成甲方损失超过履约保证金的，超出部分由乙方继续承担赔偿责任。</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4.供方在服务项目验收合格之日起保修期内违反本合同有关承诺保证的，需方将有权不予退还质量保证金，损失赔偿不足部分，由乙方承担赔偿。</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5.如发现乙方违反招投标文件和合同的有关规定，甲方有权根据约定和《杭州市政府采购供应商合同履行和售后服务考核暂行办法》，对乙方进行处罚，并有权提前终止合同。</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十三、争议的解决</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因本合同引起的或与本合同有关的任何争议，合同双方应首先通过协商解决，达成书面协议，如协商不成，可选择下列第      种方式解决。</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（1）提请杭州仲裁委员会按照该会仲裁规则进行仲裁，仲裁裁决是终局的，对合同双方均有约束力。</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（2）向有管辖权的人民法院提起诉讼。</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十四、合同生效</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1.中标方持中标通知书作为与需方签订合同的凭证。</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2.本合同经需、供双方法定代表人（符合浙财采监【2013】24号第六条规定的为负责人）或其授权委托人签字并加盖单位公章后生效。</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需方（盖章）：                      供方（盖章）：</w:t>
      </w:r>
    </w:p>
    <w:p>
      <w:pPr>
        <w:pStyle w:val="24"/>
        <w:shd w:val="clear" w:color="auto" w:fill="auto"/>
        <w:snapToGrid w:val="0"/>
        <w:spacing w:line="360" w:lineRule="auto"/>
        <w:rPr>
          <w:rFonts w:hint="eastAsia" w:cs="宋体"/>
          <w:color w:val="000000"/>
          <w:highlight w:val="none"/>
        </w:rPr>
      </w:pP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地址：                             地址：</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法定代表人（或委托代理人）签名：   法定代表人（或委托代理人）签名：</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 xml:space="preserve">                    </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联系电话：                         联系电话：</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邮政编码：                         邮政编码：</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 xml:space="preserve">开户银行：                         开户银行：      </w:t>
      </w:r>
    </w:p>
    <w:p>
      <w:pPr>
        <w:pStyle w:val="24"/>
        <w:shd w:val="clear" w:color="auto" w:fill="auto"/>
        <w:snapToGrid w:val="0"/>
        <w:spacing w:line="360" w:lineRule="auto"/>
        <w:rPr>
          <w:rFonts w:hint="eastAsia" w:cs="宋体"/>
          <w:color w:val="000000"/>
          <w:highlight w:val="none"/>
        </w:rPr>
      </w:pPr>
      <w:r>
        <w:rPr>
          <w:rFonts w:hint="eastAsia" w:cs="宋体"/>
          <w:color w:val="000000"/>
          <w:highlight w:val="none"/>
        </w:rPr>
        <w:t>帐号：                             帐号：</w:t>
      </w:r>
    </w:p>
    <w:p>
      <w:pPr>
        <w:shd w:val="clear" w:color="auto" w:fill="auto"/>
        <w:snapToGrid w:val="0"/>
        <w:spacing w:line="360" w:lineRule="auto"/>
        <w:jc w:val="center"/>
        <w:rPr>
          <w:rFonts w:hint="eastAsia" w:ascii="宋体" w:hAnsi="宋体" w:cs="宋体"/>
          <w:b/>
          <w:color w:val="000000"/>
          <w:sz w:val="36"/>
          <w:szCs w:val="20"/>
          <w:highlight w:val="none"/>
        </w:rPr>
      </w:pPr>
      <w:r>
        <w:rPr>
          <w:rFonts w:hint="eastAsia" w:ascii="宋体" w:hAnsi="宋体" w:cs="宋体"/>
          <w:b/>
          <w:color w:val="000000"/>
          <w:sz w:val="36"/>
          <w:szCs w:val="20"/>
          <w:highlight w:val="none"/>
        </w:rPr>
        <w:br w:type="page"/>
      </w:r>
      <w:r>
        <w:rPr>
          <w:rFonts w:hint="eastAsia" w:ascii="宋体" w:hAnsi="宋体" w:cs="宋体"/>
          <w:b/>
          <w:color w:val="000000"/>
          <w:sz w:val="36"/>
          <w:szCs w:val="20"/>
          <w:highlight w:val="none"/>
        </w:rPr>
        <w:t>第六部分</w:t>
      </w:r>
      <w:bookmarkEnd w:id="454"/>
      <w:r>
        <w:rPr>
          <w:rFonts w:hint="eastAsia" w:ascii="宋体" w:hAnsi="宋体" w:cs="宋体"/>
          <w:b/>
          <w:color w:val="000000"/>
          <w:sz w:val="36"/>
          <w:szCs w:val="20"/>
          <w:highlight w:val="none"/>
        </w:rPr>
        <w:t xml:space="preserve"> </w:t>
      </w:r>
      <w:bookmarkEnd w:id="455"/>
      <w:r>
        <w:rPr>
          <w:rFonts w:hint="eastAsia" w:ascii="宋体" w:hAnsi="宋体" w:cs="宋体"/>
          <w:b/>
          <w:color w:val="000000"/>
          <w:sz w:val="36"/>
          <w:szCs w:val="20"/>
          <w:highlight w:val="none"/>
        </w:rPr>
        <w:t>应提交的有关格式范例</w:t>
      </w:r>
    </w:p>
    <w:p>
      <w:pPr>
        <w:shd w:val="clear" w:color="auto" w:fill="auto"/>
        <w:spacing w:line="360" w:lineRule="auto"/>
        <w:ind w:firstLine="480" w:firstLineChars="200"/>
        <w:outlineLvl w:val="0"/>
        <w:rPr>
          <w:rFonts w:hint="eastAsia" w:ascii="宋体" w:hAnsi="宋体" w:cs="宋体"/>
          <w:color w:val="000000"/>
          <w:sz w:val="24"/>
          <w:highlight w:val="none"/>
        </w:rPr>
      </w:pPr>
      <w:r>
        <w:rPr>
          <w:rFonts w:hint="eastAsia" w:ascii="宋体" w:hAnsi="宋体" w:cs="宋体"/>
          <w:color w:val="000000"/>
          <w:sz w:val="24"/>
          <w:highlight w:val="none"/>
        </w:rPr>
        <w:t>投标人按照以下格式编制投标文件，并将资格文件、报价文件、商务技术文件分别装订成册。</w:t>
      </w:r>
    </w:p>
    <w:p>
      <w:pPr>
        <w:shd w:val="clear" w:color="auto" w:fill="auto"/>
        <w:spacing w:line="360" w:lineRule="auto"/>
        <w:jc w:val="center"/>
        <w:outlineLvl w:val="0"/>
        <w:rPr>
          <w:rFonts w:hint="eastAsia" w:ascii="宋体" w:hAnsi="宋体" w:cs="宋体"/>
          <w:color w:val="000000"/>
          <w:sz w:val="36"/>
          <w:szCs w:val="36"/>
          <w:highlight w:val="none"/>
          <w:lang w:val="zh-CN"/>
        </w:rPr>
      </w:pPr>
    </w:p>
    <w:p>
      <w:pPr>
        <w:shd w:val="clear" w:color="auto" w:fill="auto"/>
        <w:spacing w:line="360" w:lineRule="auto"/>
        <w:jc w:val="center"/>
        <w:outlineLvl w:val="0"/>
        <w:rPr>
          <w:rFonts w:hint="eastAsia" w:ascii="宋体" w:hAnsi="宋体" w:cs="宋体"/>
          <w:b/>
          <w:color w:val="000000"/>
          <w:kern w:val="0"/>
          <w:sz w:val="36"/>
          <w:szCs w:val="36"/>
          <w:highlight w:val="none"/>
        </w:rPr>
      </w:pPr>
      <w:r>
        <w:rPr>
          <w:rFonts w:hint="eastAsia" w:ascii="宋体" w:hAnsi="宋体" w:cs="宋体"/>
          <w:color w:val="000000"/>
          <w:sz w:val="36"/>
          <w:szCs w:val="36"/>
          <w:highlight w:val="none"/>
          <w:lang w:val="zh-CN"/>
        </w:rPr>
        <w:t>▲</w:t>
      </w:r>
      <w:r>
        <w:rPr>
          <w:rFonts w:hint="eastAsia" w:ascii="宋体" w:hAnsi="宋体" w:cs="宋体"/>
          <w:b/>
          <w:color w:val="000000"/>
          <w:kern w:val="0"/>
          <w:sz w:val="36"/>
          <w:szCs w:val="36"/>
          <w:highlight w:val="none"/>
        </w:rPr>
        <w:t>资格文件部分</w:t>
      </w:r>
    </w:p>
    <w:p>
      <w:pPr>
        <w:shd w:val="clear" w:color="auto" w:fill="auto"/>
        <w:spacing w:line="360" w:lineRule="auto"/>
        <w:jc w:val="center"/>
        <w:outlineLvl w:val="0"/>
        <w:rPr>
          <w:rFonts w:hint="eastAsia" w:ascii="宋体" w:hAnsi="宋体" w:cs="宋体"/>
          <w:b/>
          <w:color w:val="000000"/>
          <w:kern w:val="0"/>
          <w:sz w:val="36"/>
          <w:szCs w:val="36"/>
          <w:highlight w:val="none"/>
        </w:rPr>
      </w:pPr>
      <w:r>
        <w:rPr>
          <w:rFonts w:hint="eastAsia" w:ascii="宋体" w:hAnsi="宋体" w:cs="宋体"/>
          <w:b/>
          <w:color w:val="000000"/>
          <w:kern w:val="0"/>
          <w:sz w:val="36"/>
          <w:szCs w:val="36"/>
          <w:highlight w:val="none"/>
        </w:rPr>
        <w:t>目录</w:t>
      </w:r>
    </w:p>
    <w:p>
      <w:pPr>
        <w:shd w:val="clear" w:color="auto" w:fill="auto"/>
        <w:spacing w:line="360" w:lineRule="auto"/>
        <w:jc w:val="center"/>
        <w:outlineLvl w:val="0"/>
        <w:rPr>
          <w:rFonts w:hint="eastAsia" w:ascii="宋体" w:hAnsi="宋体" w:cs="宋体"/>
          <w:b/>
          <w:color w:val="000000"/>
          <w:kern w:val="0"/>
          <w:sz w:val="36"/>
          <w:szCs w:val="36"/>
          <w:highlight w:val="none"/>
        </w:rPr>
      </w:pPr>
    </w:p>
    <w:p>
      <w:pPr>
        <w:shd w:val="clear" w:color="auto" w:fill="auto"/>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(1）营业执照(或事业法人登记证或其他工商等登记证明材料)复印件（投标人为自然人的，须提供自然人的身份证明）、税务登记证(或其它缴纳证明材料)复印件、社保登记证（或其它缴纳证明材料）复印件…………………………………………（页码）</w:t>
      </w:r>
    </w:p>
    <w:p>
      <w:pPr>
        <w:shd w:val="clear" w:color="auto" w:fill="auto"/>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（2）最近1年度资产负债表等财务报表资料文件(新成立的公司提供情况说明)…页码）</w:t>
      </w:r>
    </w:p>
    <w:p>
      <w:pPr>
        <w:shd w:val="clear" w:color="auto" w:fill="auto"/>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（3）具有履行合同所必需的设备和专业技术能力的承诺函…………………（页码）</w:t>
      </w:r>
    </w:p>
    <w:p>
      <w:pPr>
        <w:shd w:val="clear" w:color="auto" w:fill="auto"/>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（4）参加政府采购活动前三年内，在经营活动中没有重大违法记录的声明 …（页码）</w:t>
      </w:r>
    </w:p>
    <w:p>
      <w:pPr>
        <w:shd w:val="clear" w:color="auto" w:fill="auto"/>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（5）具有良好商业信誉特别声明………………………………………………（页码）</w:t>
      </w:r>
    </w:p>
    <w:p>
      <w:pPr>
        <w:shd w:val="clear" w:color="auto" w:fill="auto"/>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（6）落实政府采购政策需满足的资格要求的有关证明材料………………（页码）</w:t>
      </w:r>
    </w:p>
    <w:p>
      <w:pPr>
        <w:shd w:val="clear" w:color="auto" w:fill="auto"/>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（7）符合本项目的特定资格要求的有关证明材料…………（页码）</w:t>
      </w:r>
    </w:p>
    <w:p>
      <w:pPr>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kern w:val="0"/>
          <w:sz w:val="24"/>
          <w:highlight w:val="none"/>
        </w:rPr>
        <w:t>（8）法定代表人授权书（如法定代表人直接参加投标的，只需提供其身份证复印件正反面；如以联合体形式参加政府采购活动的，按招标文件有关格式范例提供联合体投标授权书）…………………    ………………………………（页码）</w:t>
      </w:r>
    </w:p>
    <w:p>
      <w:pPr>
        <w:shd w:val="clear" w:color="auto" w:fill="auto"/>
        <w:snapToGrid w:val="0"/>
        <w:spacing w:line="360" w:lineRule="auto"/>
        <w:rPr>
          <w:rFonts w:hint="eastAsia" w:ascii="宋体" w:hAnsi="宋体" w:cs="宋体"/>
          <w:color w:val="000000"/>
          <w:sz w:val="24"/>
          <w:highlight w:val="none"/>
        </w:rPr>
      </w:pPr>
    </w:p>
    <w:p>
      <w:pPr>
        <w:shd w:val="clear" w:color="auto" w:fill="auto"/>
        <w:snapToGrid w:val="0"/>
        <w:spacing w:line="360" w:lineRule="auto"/>
        <w:ind w:firstLine="3240" w:firstLineChars="900"/>
        <w:rPr>
          <w:rFonts w:hint="eastAsia" w:ascii="宋体" w:hAnsi="宋体" w:cs="宋体"/>
          <w:color w:val="000000"/>
          <w:sz w:val="36"/>
          <w:szCs w:val="36"/>
          <w:highlight w:val="none"/>
        </w:rPr>
      </w:pPr>
    </w:p>
    <w:p>
      <w:pPr>
        <w:shd w:val="clear" w:color="auto" w:fill="auto"/>
        <w:snapToGrid w:val="0"/>
        <w:spacing w:line="360" w:lineRule="auto"/>
        <w:rPr>
          <w:rFonts w:hint="eastAsia" w:ascii="宋体" w:hAnsi="宋体" w:cs="宋体"/>
          <w:color w:val="000000"/>
          <w:sz w:val="36"/>
          <w:szCs w:val="36"/>
          <w:highlight w:val="none"/>
        </w:rPr>
      </w:pPr>
    </w:p>
    <w:p>
      <w:pPr>
        <w:shd w:val="clear" w:color="auto" w:fill="auto"/>
        <w:spacing w:line="360" w:lineRule="auto"/>
        <w:jc w:val="center"/>
        <w:rPr>
          <w:rFonts w:hint="eastAsia" w:ascii="宋体" w:hAnsi="宋体" w:cs="宋体"/>
          <w:b/>
          <w:color w:val="000000"/>
          <w:sz w:val="30"/>
          <w:szCs w:val="30"/>
          <w:highlight w:val="none"/>
        </w:rPr>
      </w:pPr>
      <w:r>
        <w:rPr>
          <w:rFonts w:hint="eastAsia" w:ascii="宋体" w:hAnsi="宋体" w:cs="宋体"/>
          <w:b/>
          <w:color w:val="000000"/>
          <w:kern w:val="0"/>
          <w:sz w:val="32"/>
          <w:szCs w:val="32"/>
          <w:highlight w:val="none"/>
          <w:lang w:val="zh-CN"/>
        </w:rPr>
        <w:br w:type="page"/>
      </w:r>
      <w:r>
        <w:rPr>
          <w:rFonts w:hint="eastAsia" w:ascii="宋体" w:hAnsi="宋体" w:cs="宋体"/>
          <w:b/>
          <w:color w:val="000000"/>
          <w:kern w:val="0"/>
          <w:sz w:val="32"/>
          <w:szCs w:val="32"/>
          <w:highlight w:val="none"/>
          <w:lang w:val="zh-CN"/>
        </w:rPr>
        <w:t>一、</w:t>
      </w:r>
      <w:r>
        <w:rPr>
          <w:rFonts w:hint="eastAsia" w:ascii="宋体" w:hAnsi="宋体" w:cs="宋体"/>
          <w:b/>
          <w:color w:val="000000"/>
          <w:sz w:val="30"/>
          <w:szCs w:val="30"/>
          <w:highlight w:val="none"/>
        </w:rPr>
        <w:t>营业执照或事业法人登记证证明材料（复印件）、税务缴纳证明文件（复印件）、社保缴纳证明文件（复印件）</w:t>
      </w:r>
    </w:p>
    <w:p>
      <w:pPr>
        <w:shd w:val="clear" w:color="auto" w:fill="auto"/>
        <w:spacing w:line="360" w:lineRule="auto"/>
        <w:jc w:val="center"/>
        <w:rPr>
          <w:rFonts w:hint="eastAsia" w:ascii="宋体" w:hAnsi="宋体" w:cs="宋体"/>
          <w:b/>
          <w:color w:val="000000"/>
          <w:sz w:val="30"/>
          <w:szCs w:val="30"/>
          <w:highlight w:val="none"/>
        </w:rPr>
      </w:pPr>
    </w:p>
    <w:p>
      <w:pPr>
        <w:shd w:val="clear" w:color="auto" w:fill="auto"/>
        <w:spacing w:line="360" w:lineRule="auto"/>
        <w:jc w:val="center"/>
        <w:rPr>
          <w:rFonts w:hint="eastAsia" w:ascii="宋体" w:hAnsi="宋体" w:cs="宋体"/>
          <w:b/>
          <w:color w:val="000000"/>
          <w:sz w:val="30"/>
          <w:szCs w:val="30"/>
          <w:highlight w:val="none"/>
        </w:rPr>
      </w:pPr>
    </w:p>
    <w:p>
      <w:pPr>
        <w:shd w:val="clear" w:color="auto" w:fill="auto"/>
        <w:spacing w:line="360" w:lineRule="auto"/>
        <w:rPr>
          <w:rFonts w:hint="eastAsia" w:ascii="宋体" w:hAnsi="宋体" w:cs="宋体"/>
          <w:b/>
          <w:color w:val="000000"/>
          <w:sz w:val="30"/>
          <w:szCs w:val="30"/>
          <w:highlight w:val="none"/>
        </w:rPr>
      </w:pPr>
      <w:r>
        <w:rPr>
          <w:rFonts w:hint="eastAsia" w:ascii="宋体" w:hAnsi="宋体" w:cs="宋体"/>
          <w:b/>
          <w:color w:val="000000"/>
          <w:sz w:val="30"/>
          <w:szCs w:val="30"/>
          <w:highlight w:val="none"/>
        </w:rPr>
        <w:t>二、最近1年度资产负债表等财务报表资料文件(新成立的公司提供情况说明)</w:t>
      </w:r>
    </w:p>
    <w:p>
      <w:pPr>
        <w:shd w:val="clear" w:color="auto" w:fill="auto"/>
        <w:spacing w:line="360" w:lineRule="auto"/>
        <w:rPr>
          <w:rFonts w:hint="eastAsia" w:ascii="宋体" w:hAnsi="宋体" w:cs="宋体"/>
          <w:b/>
          <w:color w:val="000000"/>
          <w:sz w:val="30"/>
          <w:szCs w:val="30"/>
          <w:highlight w:val="none"/>
        </w:rPr>
      </w:pPr>
    </w:p>
    <w:p>
      <w:pPr>
        <w:shd w:val="clear" w:color="auto" w:fill="auto"/>
        <w:snapToGrid w:val="0"/>
        <w:spacing w:line="360" w:lineRule="auto"/>
        <w:ind w:right="480"/>
        <w:jc w:val="center"/>
        <w:rPr>
          <w:rFonts w:hint="eastAsia" w:ascii="宋体" w:hAnsi="宋体" w:cs="宋体"/>
          <w:b/>
          <w:color w:val="000000"/>
          <w:kern w:val="0"/>
          <w:sz w:val="32"/>
          <w:szCs w:val="32"/>
          <w:highlight w:val="none"/>
          <w:lang w:val="zh-CN"/>
        </w:rPr>
      </w:pPr>
    </w:p>
    <w:p>
      <w:pPr>
        <w:shd w:val="clear" w:color="auto" w:fill="auto"/>
        <w:snapToGrid w:val="0"/>
        <w:spacing w:line="360" w:lineRule="auto"/>
        <w:ind w:right="480"/>
        <w:jc w:val="center"/>
        <w:rPr>
          <w:rFonts w:hint="eastAsia" w:ascii="宋体" w:hAnsi="宋体" w:cs="宋体"/>
          <w:b/>
          <w:color w:val="000000"/>
          <w:kern w:val="0"/>
          <w:sz w:val="32"/>
          <w:szCs w:val="32"/>
          <w:highlight w:val="none"/>
        </w:rPr>
      </w:pPr>
      <w:r>
        <w:rPr>
          <w:rFonts w:hint="eastAsia" w:ascii="宋体" w:hAnsi="宋体" w:cs="宋体"/>
          <w:b/>
          <w:color w:val="000000"/>
          <w:kern w:val="0"/>
          <w:sz w:val="32"/>
          <w:szCs w:val="32"/>
          <w:highlight w:val="none"/>
        </w:rPr>
        <w:t>三、具有履行合同所必需的设备和专业技术能力的承诺函</w:t>
      </w:r>
    </w:p>
    <w:p>
      <w:pPr>
        <w:shd w:val="clear" w:color="auto" w:fill="auto"/>
        <w:snapToGrid w:val="0"/>
        <w:spacing w:line="360" w:lineRule="auto"/>
        <w:rPr>
          <w:rFonts w:hint="eastAsia" w:ascii="宋体" w:hAnsi="宋体" w:cs="宋体"/>
          <w:color w:val="000000"/>
          <w:sz w:val="24"/>
          <w:highlight w:val="none"/>
        </w:rPr>
      </w:pPr>
      <w:r>
        <w:rPr>
          <w:rFonts w:hint="eastAsia" w:ascii="宋体" w:hAnsi="宋体" w:cs="宋体"/>
          <w:color w:val="000000"/>
          <w:sz w:val="24"/>
          <w:highlight w:val="none"/>
        </w:rPr>
        <w:t>XXX（采购单位名称或采购机构）：</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我方郑重承诺，我方具有履行XXXXXX项目（招标编号：            ）合同所必需的设备和专业技术能力。如中标，我方将保证合同顺利履行。</w:t>
      </w:r>
    </w:p>
    <w:p>
      <w:pPr>
        <w:shd w:val="clear" w:color="auto" w:fill="auto"/>
        <w:snapToGrid w:val="0"/>
        <w:spacing w:line="360" w:lineRule="auto"/>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w:t>
      </w:r>
    </w:p>
    <w:p>
      <w:pPr>
        <w:shd w:val="clear" w:color="auto" w:fill="auto"/>
        <w:snapToGrid w:val="0"/>
        <w:spacing w:line="360" w:lineRule="auto"/>
        <w:ind w:firstLine="5040" w:firstLineChars="2100"/>
        <w:rPr>
          <w:rFonts w:hint="eastAsia" w:ascii="宋体" w:hAnsi="宋体" w:cs="宋体"/>
          <w:color w:val="000000"/>
          <w:kern w:val="0"/>
          <w:sz w:val="24"/>
          <w:highlight w:val="none"/>
        </w:rPr>
      </w:pPr>
      <w:r>
        <w:rPr>
          <w:rFonts w:hint="eastAsia" w:ascii="宋体" w:hAnsi="宋体" w:cs="宋体"/>
          <w:color w:val="000000"/>
          <w:kern w:val="0"/>
          <w:sz w:val="24"/>
          <w:highlight w:val="none"/>
          <w:lang w:val="zh-CN"/>
        </w:rPr>
        <w:t xml:space="preserve"> 投标人名称(公章)：</w:t>
      </w:r>
    </w:p>
    <w:p>
      <w:pPr>
        <w:shd w:val="clear" w:color="auto" w:fill="auto"/>
        <w:snapToGrid w:val="0"/>
        <w:spacing w:line="360" w:lineRule="auto"/>
        <w:rPr>
          <w:rFonts w:hint="eastAsia" w:ascii="宋体" w:hAnsi="宋体" w:cs="宋体"/>
          <w:color w:val="000000"/>
          <w:kern w:val="0"/>
          <w:sz w:val="24"/>
          <w:highlight w:val="none"/>
        </w:rPr>
      </w:pPr>
      <w:r>
        <w:rPr>
          <w:rFonts w:hint="eastAsia" w:ascii="宋体" w:hAnsi="宋体" w:cs="宋体"/>
          <w:color w:val="000000"/>
          <w:kern w:val="0"/>
          <w:sz w:val="24"/>
          <w:highlight w:val="none"/>
          <w:lang w:val="zh-CN"/>
        </w:rPr>
        <w:t xml:space="preserve">                                      </w:t>
      </w:r>
    </w:p>
    <w:p>
      <w:pPr>
        <w:shd w:val="clear" w:color="auto" w:fill="auto"/>
        <w:snapToGrid w:val="0"/>
        <w:spacing w:line="360" w:lineRule="auto"/>
        <w:ind w:firstLine="5160" w:firstLineChars="2150"/>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日期</w:t>
      </w:r>
      <w:r>
        <w:rPr>
          <w:rFonts w:hint="eastAsia" w:ascii="宋体" w:hAnsi="宋体" w:cs="宋体"/>
          <w:color w:val="000000"/>
          <w:kern w:val="0"/>
          <w:sz w:val="24"/>
          <w:highlight w:val="none"/>
        </w:rPr>
        <w:t xml:space="preserve">：  年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w:t>
      </w:r>
    </w:p>
    <w:p>
      <w:pPr>
        <w:shd w:val="clear" w:color="auto" w:fill="auto"/>
        <w:spacing w:line="360" w:lineRule="auto"/>
        <w:jc w:val="center"/>
        <w:rPr>
          <w:rFonts w:hint="eastAsia" w:ascii="宋体" w:hAnsi="宋体" w:cs="宋体"/>
          <w:b/>
          <w:color w:val="000000"/>
          <w:kern w:val="0"/>
          <w:sz w:val="32"/>
          <w:szCs w:val="32"/>
          <w:highlight w:val="none"/>
        </w:rPr>
      </w:pPr>
    </w:p>
    <w:p>
      <w:pPr>
        <w:shd w:val="clear" w:color="auto" w:fill="auto"/>
        <w:spacing w:line="360" w:lineRule="auto"/>
        <w:jc w:val="center"/>
        <w:rPr>
          <w:rFonts w:hint="eastAsia" w:ascii="宋体" w:hAnsi="宋体" w:cs="宋体"/>
          <w:b/>
          <w:color w:val="000000"/>
          <w:kern w:val="0"/>
          <w:sz w:val="32"/>
          <w:szCs w:val="32"/>
          <w:highlight w:val="none"/>
        </w:rPr>
      </w:pPr>
      <w:r>
        <w:rPr>
          <w:rFonts w:hint="eastAsia" w:ascii="宋体" w:hAnsi="宋体" w:cs="宋体"/>
          <w:b/>
          <w:color w:val="000000"/>
          <w:kern w:val="0"/>
          <w:sz w:val="32"/>
          <w:szCs w:val="32"/>
          <w:highlight w:val="none"/>
        </w:rPr>
        <w:t>四、参加政府采购活动前三年内，在经营活动中</w:t>
      </w:r>
    </w:p>
    <w:p>
      <w:pPr>
        <w:shd w:val="clear" w:color="auto" w:fill="auto"/>
        <w:spacing w:line="360" w:lineRule="auto"/>
        <w:jc w:val="center"/>
        <w:rPr>
          <w:rFonts w:hint="eastAsia" w:ascii="宋体" w:hAnsi="宋体" w:cs="宋体"/>
          <w:b/>
          <w:color w:val="000000"/>
          <w:kern w:val="0"/>
          <w:sz w:val="32"/>
          <w:szCs w:val="32"/>
          <w:highlight w:val="none"/>
          <w:lang w:val="zh-CN"/>
        </w:rPr>
      </w:pPr>
      <w:r>
        <w:rPr>
          <w:rFonts w:hint="eastAsia" w:ascii="宋体" w:hAnsi="宋体" w:cs="宋体"/>
          <w:b/>
          <w:color w:val="000000"/>
          <w:kern w:val="0"/>
          <w:sz w:val="32"/>
          <w:szCs w:val="32"/>
          <w:highlight w:val="none"/>
        </w:rPr>
        <w:t>没有重大违法记录的声明</w:t>
      </w:r>
    </w:p>
    <w:p>
      <w:pPr>
        <w:shd w:val="clear" w:color="auto" w:fill="auto"/>
        <w:snapToGrid w:val="0"/>
        <w:spacing w:line="360" w:lineRule="auto"/>
        <w:rPr>
          <w:rFonts w:hint="eastAsia" w:ascii="宋体" w:hAnsi="宋体" w:cs="宋体"/>
          <w:color w:val="000000"/>
          <w:kern w:val="0"/>
          <w:sz w:val="24"/>
          <w:highlight w:val="none"/>
        </w:rPr>
      </w:pPr>
      <w:r>
        <w:rPr>
          <w:rFonts w:hint="eastAsia" w:ascii="宋体" w:hAnsi="宋体" w:cs="宋体"/>
          <w:color w:val="000000"/>
          <w:sz w:val="24"/>
          <w:highlight w:val="none"/>
        </w:rPr>
        <w:t>XXX（单位名称或采购机构名称）</w:t>
      </w:r>
      <w:r>
        <w:rPr>
          <w:rFonts w:hint="eastAsia" w:ascii="宋体" w:hAnsi="宋体" w:cs="宋体"/>
          <w:color w:val="000000"/>
          <w:kern w:val="0"/>
          <w:sz w:val="24"/>
          <w:highlight w:val="none"/>
          <w:lang w:val="zh-CN"/>
        </w:rPr>
        <w:t>：</w:t>
      </w:r>
    </w:p>
    <w:p>
      <w:pPr>
        <w:shd w:val="clear" w:color="auto" w:fill="auto"/>
        <w:spacing w:line="360" w:lineRule="auto"/>
        <w:ind w:firstLine="480" w:firstLineChars="200"/>
        <w:rPr>
          <w:rFonts w:hint="eastAsia" w:ascii="宋体" w:hAnsi="宋体" w:cs="宋体"/>
          <w:color w:val="000000"/>
          <w:sz w:val="24"/>
          <w:szCs w:val="20"/>
          <w:highlight w:val="none"/>
        </w:rPr>
      </w:pPr>
      <w:r>
        <w:rPr>
          <w:rFonts w:hint="eastAsia" w:ascii="宋体" w:hAnsi="宋体" w:cs="宋体"/>
          <w:color w:val="000000"/>
          <w:kern w:val="0"/>
          <w:sz w:val="24"/>
          <w:highlight w:val="none"/>
          <w:lang w:val="zh-CN"/>
        </w:rPr>
        <w:t>我方</w:t>
      </w:r>
      <w:r>
        <w:rPr>
          <w:rFonts w:hint="eastAsia" w:ascii="宋体" w:hAnsi="宋体" w:cs="宋体"/>
          <w:color w:val="000000"/>
          <w:sz w:val="24"/>
          <w:highlight w:val="none"/>
        </w:rPr>
        <w:t>声明投标截止时间前三年，在</w:t>
      </w:r>
      <w:r>
        <w:rPr>
          <w:rFonts w:hint="eastAsia" w:ascii="宋体" w:hAnsi="宋体" w:cs="宋体"/>
          <w:color w:val="000000"/>
          <w:kern w:val="0"/>
          <w:sz w:val="24"/>
          <w:highlight w:val="none"/>
        </w:rPr>
        <w:t>经营活动中</w:t>
      </w:r>
      <w:r>
        <w:rPr>
          <w:rFonts w:hint="eastAsia" w:ascii="宋体" w:hAnsi="宋体" w:cs="宋体"/>
          <w:color w:val="000000"/>
          <w:sz w:val="24"/>
          <w:highlight w:val="none"/>
        </w:rPr>
        <w:t>没有重大违法记录</w:t>
      </w:r>
      <w:r>
        <w:rPr>
          <w:rFonts w:hint="eastAsia" w:ascii="宋体" w:hAnsi="宋体" w:cs="宋体"/>
          <w:color w:val="000000"/>
          <w:sz w:val="24"/>
          <w:szCs w:val="20"/>
          <w:highlight w:val="none"/>
        </w:rPr>
        <w:t xml:space="preserve">。 </w:t>
      </w:r>
    </w:p>
    <w:p>
      <w:pPr>
        <w:shd w:val="clear" w:color="auto" w:fill="auto"/>
        <w:snapToGrid w:val="0"/>
        <w:spacing w:line="360" w:lineRule="auto"/>
        <w:rPr>
          <w:rFonts w:hint="eastAsia" w:ascii="宋体" w:hAnsi="宋体" w:cs="宋体"/>
          <w:color w:val="000000"/>
          <w:kern w:val="0"/>
          <w:sz w:val="24"/>
          <w:highlight w:val="none"/>
        </w:rPr>
      </w:pPr>
      <w:r>
        <w:rPr>
          <w:rFonts w:hint="eastAsia" w:ascii="宋体" w:hAnsi="宋体" w:cs="宋体"/>
          <w:color w:val="000000"/>
          <w:kern w:val="0"/>
          <w:sz w:val="24"/>
          <w:highlight w:val="none"/>
          <w:lang w:val="zh-CN"/>
        </w:rPr>
        <w:t xml:space="preserve">                                           投标人名称(公章)：</w:t>
      </w:r>
    </w:p>
    <w:p>
      <w:pPr>
        <w:shd w:val="clear" w:color="auto" w:fill="auto"/>
        <w:snapToGrid w:val="0"/>
        <w:spacing w:line="360" w:lineRule="auto"/>
        <w:rPr>
          <w:rFonts w:hint="eastAsia" w:ascii="宋体" w:hAnsi="宋体" w:cs="宋体"/>
          <w:color w:val="000000"/>
          <w:kern w:val="0"/>
          <w:sz w:val="24"/>
          <w:highlight w:val="none"/>
        </w:rPr>
      </w:pPr>
      <w:r>
        <w:rPr>
          <w:rFonts w:hint="eastAsia" w:ascii="宋体" w:hAnsi="宋体" w:cs="宋体"/>
          <w:color w:val="000000"/>
          <w:kern w:val="0"/>
          <w:sz w:val="24"/>
          <w:highlight w:val="none"/>
          <w:lang w:val="zh-CN"/>
        </w:rPr>
        <w:t xml:space="preserve">                                      </w:t>
      </w:r>
    </w:p>
    <w:p>
      <w:pPr>
        <w:shd w:val="clear" w:color="auto" w:fill="auto"/>
        <w:snapToGrid w:val="0"/>
        <w:spacing w:line="360" w:lineRule="auto"/>
        <w:ind w:firstLine="5160" w:firstLineChars="2150"/>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日期</w:t>
      </w:r>
      <w:r>
        <w:rPr>
          <w:rFonts w:hint="eastAsia" w:ascii="宋体" w:hAnsi="宋体" w:cs="宋体"/>
          <w:color w:val="000000"/>
          <w:kern w:val="0"/>
          <w:sz w:val="24"/>
          <w:highlight w:val="none"/>
        </w:rPr>
        <w:t xml:space="preserve">：  年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w:t>
      </w:r>
    </w:p>
    <w:p>
      <w:pPr>
        <w:shd w:val="clear" w:color="auto" w:fill="auto"/>
        <w:snapToGrid w:val="0"/>
        <w:spacing w:line="360" w:lineRule="auto"/>
        <w:ind w:firstLine="1606" w:firstLineChars="500"/>
        <w:rPr>
          <w:rFonts w:hint="eastAsia" w:ascii="宋体" w:hAnsi="宋体" w:cs="宋体"/>
          <w:b/>
          <w:color w:val="000000"/>
          <w:kern w:val="0"/>
          <w:sz w:val="32"/>
          <w:szCs w:val="32"/>
          <w:highlight w:val="none"/>
        </w:rPr>
      </w:pPr>
      <w:r>
        <w:rPr>
          <w:rFonts w:hint="eastAsia" w:ascii="宋体" w:hAnsi="宋体" w:cs="宋体"/>
          <w:b/>
          <w:color w:val="000000"/>
          <w:kern w:val="0"/>
          <w:sz w:val="32"/>
          <w:szCs w:val="32"/>
          <w:highlight w:val="none"/>
        </w:rPr>
        <w:br w:type="page"/>
      </w:r>
      <w:r>
        <w:rPr>
          <w:rFonts w:hint="eastAsia" w:ascii="宋体" w:hAnsi="宋体" w:cs="宋体"/>
          <w:b/>
          <w:color w:val="000000"/>
          <w:kern w:val="0"/>
          <w:sz w:val="32"/>
          <w:szCs w:val="32"/>
          <w:highlight w:val="none"/>
        </w:rPr>
        <w:t>五、具有良好商业信誉特别声明</w:t>
      </w:r>
    </w:p>
    <w:p>
      <w:pPr>
        <w:shd w:val="clear" w:color="auto" w:fill="auto"/>
        <w:snapToGrid w:val="0"/>
        <w:spacing w:line="360" w:lineRule="auto"/>
        <w:rPr>
          <w:rFonts w:hint="eastAsia" w:ascii="宋体" w:hAnsi="宋体" w:cs="宋体"/>
          <w:color w:val="000000"/>
          <w:kern w:val="0"/>
          <w:sz w:val="24"/>
          <w:highlight w:val="none"/>
        </w:rPr>
      </w:pPr>
      <w:r>
        <w:rPr>
          <w:rFonts w:hint="eastAsia" w:ascii="宋体" w:hAnsi="宋体" w:cs="宋体"/>
          <w:color w:val="000000"/>
          <w:sz w:val="24"/>
          <w:highlight w:val="none"/>
        </w:rPr>
        <w:t>XXX（采购单位名称或采购机构名称）</w:t>
      </w:r>
      <w:r>
        <w:rPr>
          <w:rFonts w:hint="eastAsia" w:ascii="宋体" w:hAnsi="宋体" w:cs="宋体"/>
          <w:color w:val="000000"/>
          <w:kern w:val="0"/>
          <w:sz w:val="24"/>
          <w:highlight w:val="none"/>
          <w:lang w:val="zh-CN"/>
        </w:rPr>
        <w:t>：</w:t>
      </w:r>
    </w:p>
    <w:p>
      <w:pPr>
        <w:shd w:val="clear" w:color="auto" w:fill="auto"/>
        <w:snapToGrid w:val="0"/>
        <w:spacing w:line="360" w:lineRule="auto"/>
        <w:ind w:firstLine="480"/>
        <w:rPr>
          <w:rFonts w:hint="eastAsia" w:ascii="宋体" w:hAnsi="宋体" w:cs="宋体"/>
          <w:color w:val="000000"/>
          <w:kern w:val="0"/>
          <w:sz w:val="24"/>
          <w:highlight w:val="none"/>
          <w:lang w:val="zh-CN"/>
        </w:rPr>
      </w:pPr>
      <w:r>
        <w:rPr>
          <w:rFonts w:hint="eastAsia" w:ascii="宋体" w:hAnsi="宋体" w:cs="宋体"/>
          <w:color w:val="000000"/>
          <w:sz w:val="24"/>
          <w:highlight w:val="none"/>
        </w:rPr>
        <w:t>截至投标截止时间，我方具有良好的商业信誉，不存在下列情形（包括但不限于）。否则，我方将承担在资格审查时不被通过的后果。</w:t>
      </w:r>
    </w:p>
    <w:p>
      <w:pPr>
        <w:pStyle w:val="196"/>
        <w:shd w:val="clear" w:color="auto" w:fill="auto"/>
        <w:spacing w:before="0"/>
        <w:ind w:firstLine="495" w:firstLineChars="0"/>
        <w:rPr>
          <w:rFonts w:hint="eastAsia" w:ascii="宋体" w:hAnsi="宋体" w:cs="宋体"/>
          <w:color w:val="000000"/>
          <w:highlight w:val="none"/>
        </w:rPr>
      </w:pPr>
      <w:r>
        <w:rPr>
          <w:rFonts w:hint="eastAsia" w:ascii="宋体" w:hAnsi="宋体" w:cs="宋体"/>
          <w:color w:val="000000"/>
          <w:highlight w:val="none"/>
        </w:rPr>
        <w:t>1</w:t>
      </w:r>
      <w:r>
        <w:rPr>
          <w:rFonts w:hint="eastAsia" w:ascii="宋体" w:hAnsi="宋体" w:cs="宋体"/>
          <w:b/>
          <w:color w:val="000000"/>
          <w:szCs w:val="24"/>
          <w:highlight w:val="none"/>
        </w:rPr>
        <w:t>、</w:t>
      </w:r>
      <w:r>
        <w:rPr>
          <w:rFonts w:hint="eastAsia" w:ascii="宋体" w:hAnsi="宋体" w:cs="宋体"/>
          <w:color w:val="000000"/>
          <w:highlight w:val="none"/>
        </w:rPr>
        <w:t>按照招标文件规定的信用信息查询渠道及截止时间，经查询列入失信被执行人名单、重大税收违法案件当事人名单、政府采购严重违法失信行为记录名单；</w:t>
      </w:r>
    </w:p>
    <w:p>
      <w:pPr>
        <w:shd w:val="clear" w:color="auto" w:fill="auto"/>
        <w:spacing w:line="360" w:lineRule="auto"/>
        <w:ind w:firstLine="480" w:firstLineChars="200"/>
        <w:rPr>
          <w:rFonts w:hint="eastAsia" w:ascii="宋体" w:hAnsi="宋体" w:cs="宋体"/>
          <w:color w:val="000000"/>
          <w:sz w:val="24"/>
          <w:szCs w:val="20"/>
          <w:highlight w:val="none"/>
        </w:rPr>
      </w:pPr>
      <w:r>
        <w:rPr>
          <w:rFonts w:hint="eastAsia" w:ascii="宋体" w:hAnsi="宋体" w:cs="宋体"/>
          <w:color w:val="000000"/>
          <w:sz w:val="24"/>
          <w:szCs w:val="20"/>
          <w:highlight w:val="none"/>
        </w:rPr>
        <w:t>2、截至投标截止时间，因违反《浙江省政府采购供应商注册及诚信管理暂行办法》而被列入‘黑名单’，在处罚有效期内。</w:t>
      </w:r>
    </w:p>
    <w:p>
      <w:pPr>
        <w:shd w:val="clear" w:color="auto" w:fill="auto"/>
        <w:snapToGrid w:val="0"/>
        <w:spacing w:line="360" w:lineRule="auto"/>
        <w:jc w:val="right"/>
        <w:rPr>
          <w:rFonts w:hint="eastAsia" w:ascii="宋体" w:hAnsi="宋体" w:cs="宋体"/>
          <w:color w:val="000000"/>
          <w:kern w:val="0"/>
          <w:sz w:val="24"/>
          <w:highlight w:val="none"/>
        </w:rPr>
      </w:pPr>
      <w:r>
        <w:rPr>
          <w:rFonts w:hint="eastAsia" w:ascii="宋体" w:hAnsi="宋体" w:cs="宋体"/>
          <w:color w:val="000000"/>
          <w:kern w:val="0"/>
          <w:sz w:val="24"/>
          <w:highlight w:val="none"/>
          <w:lang w:val="zh-CN"/>
        </w:rPr>
        <w:t>投标人名称(公章)：</w:t>
      </w:r>
    </w:p>
    <w:p>
      <w:pPr>
        <w:shd w:val="clear" w:color="auto" w:fill="auto"/>
        <w:snapToGrid w:val="0"/>
        <w:spacing w:line="360" w:lineRule="auto"/>
        <w:jc w:val="right"/>
        <w:rPr>
          <w:rFonts w:hint="eastAsia" w:ascii="宋体" w:hAnsi="宋体" w:cs="宋体"/>
          <w:color w:val="000000"/>
          <w:kern w:val="0"/>
          <w:sz w:val="24"/>
          <w:highlight w:val="none"/>
        </w:rPr>
      </w:pPr>
      <w:r>
        <w:rPr>
          <w:rFonts w:hint="eastAsia" w:ascii="宋体" w:hAnsi="宋体" w:cs="宋体"/>
          <w:color w:val="000000"/>
          <w:kern w:val="0"/>
          <w:sz w:val="24"/>
          <w:highlight w:val="none"/>
          <w:lang w:val="zh-CN"/>
        </w:rPr>
        <w:t xml:space="preserve">                                      </w:t>
      </w:r>
    </w:p>
    <w:p>
      <w:pPr>
        <w:shd w:val="clear" w:color="auto" w:fill="auto"/>
        <w:snapToGrid w:val="0"/>
        <w:spacing w:line="360" w:lineRule="auto"/>
        <w:ind w:firstLine="5160" w:firstLineChars="2150"/>
        <w:jc w:val="right"/>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日期</w:t>
      </w:r>
      <w:r>
        <w:rPr>
          <w:rFonts w:hint="eastAsia" w:ascii="宋体" w:hAnsi="宋体" w:cs="宋体"/>
          <w:color w:val="000000"/>
          <w:kern w:val="0"/>
          <w:sz w:val="24"/>
          <w:highlight w:val="none"/>
        </w:rPr>
        <w:t xml:space="preserve">：  年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w:t>
      </w:r>
    </w:p>
    <w:p>
      <w:pPr>
        <w:shd w:val="clear" w:color="auto" w:fill="auto"/>
        <w:spacing w:line="360" w:lineRule="auto"/>
        <w:ind w:firstLine="480" w:firstLineChars="200"/>
        <w:rPr>
          <w:rFonts w:hint="eastAsia" w:ascii="宋体" w:hAnsi="宋体" w:cs="宋体"/>
          <w:color w:val="000000"/>
          <w:sz w:val="24"/>
          <w:szCs w:val="20"/>
          <w:highlight w:val="none"/>
        </w:rPr>
      </w:pPr>
    </w:p>
    <w:p>
      <w:pPr>
        <w:shd w:val="clear" w:color="auto" w:fill="auto"/>
        <w:snapToGrid w:val="0"/>
        <w:spacing w:line="360" w:lineRule="auto"/>
        <w:jc w:val="center"/>
        <w:rPr>
          <w:rFonts w:hint="eastAsia" w:ascii="宋体" w:hAnsi="宋体" w:cs="宋体"/>
          <w:b/>
          <w:color w:val="000000"/>
          <w:kern w:val="0"/>
          <w:sz w:val="32"/>
          <w:szCs w:val="32"/>
          <w:highlight w:val="none"/>
        </w:rPr>
      </w:pPr>
      <w:r>
        <w:rPr>
          <w:rFonts w:hint="eastAsia" w:ascii="宋体" w:hAnsi="宋体" w:cs="宋体"/>
          <w:b/>
          <w:color w:val="000000"/>
          <w:kern w:val="0"/>
          <w:sz w:val="32"/>
          <w:szCs w:val="32"/>
          <w:highlight w:val="none"/>
        </w:rPr>
        <w:t>六、 落实政府采购政策需满足的资格要求的有关证明材料</w:t>
      </w:r>
    </w:p>
    <w:p>
      <w:pPr>
        <w:widowControl/>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（由投标人根据招标公告合格的投标人应具备的落实政府采购政策需满足的资格要求编制；如果本项目没有设置，则不需要提供）</w:t>
      </w:r>
    </w:p>
    <w:p>
      <w:pPr>
        <w:shd w:val="clear" w:color="auto" w:fill="auto"/>
        <w:spacing w:line="360" w:lineRule="auto"/>
        <w:rPr>
          <w:rFonts w:hint="eastAsia" w:ascii="宋体" w:hAnsi="宋体" w:cs="宋体"/>
          <w:b/>
          <w:color w:val="000000"/>
          <w:sz w:val="32"/>
          <w:szCs w:val="32"/>
          <w:highlight w:val="none"/>
        </w:rPr>
      </w:pPr>
    </w:p>
    <w:p>
      <w:pPr>
        <w:shd w:val="clear" w:color="auto" w:fill="auto"/>
        <w:snapToGrid w:val="0"/>
        <w:spacing w:line="360" w:lineRule="auto"/>
        <w:jc w:val="center"/>
        <w:rPr>
          <w:rFonts w:hint="eastAsia" w:ascii="宋体" w:hAnsi="宋体" w:cs="宋体"/>
          <w:b/>
          <w:color w:val="000000"/>
          <w:kern w:val="0"/>
          <w:sz w:val="32"/>
          <w:szCs w:val="32"/>
          <w:highlight w:val="none"/>
        </w:rPr>
      </w:pPr>
      <w:r>
        <w:rPr>
          <w:rFonts w:hint="eastAsia" w:ascii="宋体" w:hAnsi="宋体" w:cs="宋体"/>
          <w:b/>
          <w:color w:val="000000"/>
          <w:kern w:val="0"/>
          <w:sz w:val="32"/>
          <w:szCs w:val="32"/>
          <w:highlight w:val="none"/>
        </w:rPr>
        <w:t>七、符合本项目的特定资格要求的有关证明材料</w:t>
      </w:r>
    </w:p>
    <w:p>
      <w:pPr>
        <w:widowControl/>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（由投标人根据招标公告合格的投标人应具备的特定资格要求编制；如果本项目没有设置特定资格要求，则不需要提供）</w:t>
      </w:r>
    </w:p>
    <w:p>
      <w:pPr>
        <w:shd w:val="clear" w:color="auto" w:fill="auto"/>
        <w:spacing w:line="360" w:lineRule="auto"/>
        <w:jc w:val="center"/>
        <w:rPr>
          <w:rFonts w:hint="eastAsia" w:ascii="宋体" w:hAnsi="宋体" w:cs="宋体"/>
          <w:b/>
          <w:color w:val="000000"/>
          <w:sz w:val="32"/>
          <w:szCs w:val="32"/>
          <w:highlight w:val="none"/>
        </w:rPr>
      </w:pPr>
    </w:p>
    <w:p>
      <w:pPr>
        <w:shd w:val="clear" w:color="auto" w:fill="auto"/>
        <w:spacing w:line="360" w:lineRule="auto"/>
        <w:jc w:val="center"/>
        <w:rPr>
          <w:rFonts w:hint="eastAsia" w:ascii="宋体" w:hAnsi="宋体" w:cs="宋体"/>
          <w:b/>
          <w:color w:val="000000"/>
          <w:sz w:val="28"/>
          <w:szCs w:val="32"/>
          <w:highlight w:val="none"/>
        </w:rPr>
      </w:pPr>
    </w:p>
    <w:p>
      <w:pPr>
        <w:shd w:val="clear" w:color="auto" w:fill="auto"/>
        <w:spacing w:line="360" w:lineRule="auto"/>
        <w:jc w:val="center"/>
        <w:rPr>
          <w:rFonts w:hint="eastAsia" w:ascii="宋体" w:hAnsi="宋体" w:cs="宋体"/>
          <w:b/>
          <w:color w:val="000000"/>
          <w:sz w:val="28"/>
          <w:szCs w:val="32"/>
          <w:highlight w:val="none"/>
        </w:rPr>
      </w:pPr>
      <w:r>
        <w:rPr>
          <w:rFonts w:hint="eastAsia" w:ascii="宋体" w:hAnsi="宋体" w:cs="宋体"/>
          <w:b/>
          <w:color w:val="000000"/>
          <w:sz w:val="28"/>
          <w:szCs w:val="32"/>
          <w:highlight w:val="none"/>
        </w:rPr>
        <w:t xml:space="preserve">     八、法定代表人授权书（如法定代表人直接参加投标的，只需提供其身份证复印件正反面；如以联合体形式参加政府采购活动的，按招标文件有关格式范例提供联合体投标授权书）</w:t>
      </w:r>
    </w:p>
    <w:p>
      <w:pPr>
        <w:shd w:val="clear" w:color="auto" w:fill="auto"/>
        <w:snapToGrid w:val="0"/>
        <w:spacing w:line="360" w:lineRule="auto"/>
        <w:ind w:firstLine="2891" w:firstLineChars="900"/>
        <w:rPr>
          <w:rFonts w:hint="eastAsia" w:ascii="宋体" w:hAnsi="宋体" w:cs="宋体"/>
          <w:b/>
          <w:color w:val="000000"/>
          <w:kern w:val="0"/>
          <w:sz w:val="36"/>
          <w:szCs w:val="36"/>
          <w:highlight w:val="none"/>
        </w:rPr>
      </w:pPr>
      <w:r>
        <w:rPr>
          <w:rFonts w:hint="eastAsia" w:ascii="宋体" w:hAnsi="宋体" w:cs="宋体"/>
          <w:b/>
          <w:bCs/>
          <w:color w:val="000000"/>
          <w:sz w:val="32"/>
          <w:szCs w:val="32"/>
          <w:highlight w:val="none"/>
        </w:rPr>
        <w:br w:type="page"/>
      </w:r>
      <w:r>
        <w:rPr>
          <w:rFonts w:hint="eastAsia" w:ascii="宋体" w:hAnsi="宋体" w:cs="宋体"/>
          <w:color w:val="000000"/>
          <w:sz w:val="36"/>
          <w:szCs w:val="36"/>
          <w:highlight w:val="none"/>
          <w:lang w:val="zh-CN"/>
        </w:rPr>
        <w:t>▲</w:t>
      </w:r>
      <w:r>
        <w:rPr>
          <w:rFonts w:hint="eastAsia" w:ascii="宋体" w:hAnsi="宋体" w:cs="宋体"/>
          <w:b/>
          <w:color w:val="000000"/>
          <w:kern w:val="0"/>
          <w:sz w:val="36"/>
          <w:szCs w:val="36"/>
          <w:highlight w:val="none"/>
        </w:rPr>
        <w:t>报价文件部分</w:t>
      </w:r>
    </w:p>
    <w:p>
      <w:pPr>
        <w:shd w:val="clear" w:color="auto" w:fill="auto"/>
        <w:spacing w:line="360" w:lineRule="auto"/>
        <w:jc w:val="center"/>
        <w:outlineLvl w:val="0"/>
        <w:rPr>
          <w:rFonts w:hint="eastAsia" w:ascii="宋体" w:hAnsi="宋体" w:cs="宋体"/>
          <w:b/>
          <w:color w:val="000000"/>
          <w:kern w:val="0"/>
          <w:sz w:val="24"/>
          <w:highlight w:val="none"/>
        </w:rPr>
      </w:pPr>
    </w:p>
    <w:p>
      <w:pPr>
        <w:shd w:val="clear" w:color="auto" w:fill="auto"/>
        <w:spacing w:line="360" w:lineRule="auto"/>
        <w:jc w:val="center"/>
        <w:outlineLvl w:val="0"/>
        <w:rPr>
          <w:rFonts w:hint="eastAsia" w:ascii="宋体" w:hAnsi="宋体" w:cs="宋体"/>
          <w:b/>
          <w:color w:val="000000"/>
          <w:kern w:val="0"/>
          <w:sz w:val="36"/>
          <w:szCs w:val="36"/>
          <w:highlight w:val="none"/>
        </w:rPr>
      </w:pPr>
      <w:r>
        <w:rPr>
          <w:rFonts w:hint="eastAsia" w:ascii="宋体" w:hAnsi="宋体" w:cs="宋体"/>
          <w:b/>
          <w:color w:val="000000"/>
          <w:kern w:val="0"/>
          <w:sz w:val="36"/>
          <w:szCs w:val="36"/>
          <w:highlight w:val="none"/>
        </w:rPr>
        <w:t>目录</w:t>
      </w:r>
    </w:p>
    <w:p>
      <w:pPr>
        <w:shd w:val="clear" w:color="auto" w:fill="auto"/>
        <w:spacing w:line="360" w:lineRule="auto"/>
        <w:outlineLvl w:val="0"/>
        <w:rPr>
          <w:rFonts w:hint="eastAsia" w:ascii="宋体" w:hAnsi="宋体" w:cs="宋体"/>
          <w:color w:val="000000"/>
          <w:kern w:val="0"/>
          <w:sz w:val="24"/>
          <w:highlight w:val="none"/>
        </w:rPr>
      </w:pPr>
      <w:r>
        <w:rPr>
          <w:rFonts w:hint="eastAsia" w:ascii="宋体" w:hAnsi="宋体" w:cs="宋体"/>
          <w:color w:val="000000"/>
          <w:kern w:val="0"/>
          <w:sz w:val="24"/>
          <w:highlight w:val="none"/>
        </w:rPr>
        <w:t>（1）投标响应函……………………………………………………（页码）</w:t>
      </w:r>
    </w:p>
    <w:p>
      <w:pPr>
        <w:shd w:val="clear" w:color="auto" w:fill="auto"/>
        <w:spacing w:line="360" w:lineRule="auto"/>
        <w:outlineLvl w:val="0"/>
        <w:rPr>
          <w:rFonts w:hint="eastAsia" w:ascii="宋体" w:hAnsi="宋体" w:cs="宋体"/>
          <w:color w:val="000000"/>
          <w:kern w:val="0"/>
          <w:sz w:val="24"/>
          <w:highlight w:val="none"/>
        </w:rPr>
      </w:pPr>
      <w:r>
        <w:rPr>
          <w:rFonts w:hint="eastAsia" w:ascii="宋体" w:hAnsi="宋体" w:cs="宋体"/>
          <w:color w:val="000000"/>
          <w:kern w:val="0"/>
          <w:sz w:val="24"/>
          <w:highlight w:val="none"/>
        </w:rPr>
        <w:t>（2）投标（开标）一览表…………………………………………（页码）</w:t>
      </w:r>
    </w:p>
    <w:p>
      <w:pPr>
        <w:shd w:val="clear" w:color="auto" w:fill="auto"/>
        <w:spacing w:line="360" w:lineRule="auto"/>
        <w:outlineLvl w:val="0"/>
        <w:rPr>
          <w:rFonts w:hint="eastAsia" w:ascii="宋体" w:hAnsi="宋体" w:cs="宋体"/>
          <w:color w:val="000000"/>
          <w:kern w:val="0"/>
          <w:sz w:val="24"/>
          <w:highlight w:val="none"/>
        </w:rPr>
      </w:pPr>
      <w:r>
        <w:rPr>
          <w:rFonts w:hint="eastAsia" w:ascii="宋体" w:hAnsi="宋体" w:cs="宋体"/>
          <w:color w:val="000000"/>
          <w:kern w:val="0"/>
          <w:sz w:val="24"/>
          <w:highlight w:val="none"/>
        </w:rPr>
        <w:t>（3）中小企业声明函………………………………………………（页码）</w:t>
      </w:r>
    </w:p>
    <w:p>
      <w:pPr>
        <w:shd w:val="clear" w:color="auto" w:fill="auto"/>
        <w:spacing w:line="360" w:lineRule="auto"/>
        <w:ind w:left="2" w:firstLine="480" w:firstLineChars="200"/>
        <w:rPr>
          <w:rFonts w:hint="eastAsia" w:ascii="宋体" w:hAnsi="宋体" w:cs="宋体"/>
          <w:color w:val="000000"/>
          <w:sz w:val="24"/>
          <w:highlight w:val="none"/>
        </w:rPr>
      </w:pPr>
    </w:p>
    <w:p>
      <w:pPr>
        <w:shd w:val="clear" w:color="auto" w:fill="auto"/>
        <w:spacing w:line="360" w:lineRule="auto"/>
        <w:ind w:left="2" w:firstLine="480" w:firstLineChars="200"/>
        <w:rPr>
          <w:rFonts w:hint="eastAsia" w:ascii="宋体" w:hAnsi="宋体" w:cs="宋体"/>
          <w:color w:val="000000"/>
          <w:sz w:val="24"/>
          <w:highlight w:val="none"/>
        </w:rPr>
      </w:pPr>
    </w:p>
    <w:p>
      <w:pPr>
        <w:shd w:val="clear" w:color="auto" w:fill="auto"/>
        <w:spacing w:line="360" w:lineRule="auto"/>
        <w:ind w:left="2" w:firstLine="480" w:firstLineChars="200"/>
        <w:rPr>
          <w:rFonts w:hint="eastAsia" w:ascii="宋体" w:hAnsi="宋体" w:cs="宋体"/>
          <w:color w:val="000000"/>
          <w:sz w:val="24"/>
          <w:highlight w:val="none"/>
        </w:rPr>
      </w:pPr>
    </w:p>
    <w:p>
      <w:pPr>
        <w:shd w:val="clear" w:color="auto" w:fill="auto"/>
        <w:spacing w:line="360" w:lineRule="auto"/>
        <w:ind w:left="2" w:firstLine="480" w:firstLineChars="200"/>
        <w:rPr>
          <w:rFonts w:hint="eastAsia" w:ascii="宋体" w:hAnsi="宋体" w:cs="宋体"/>
          <w:color w:val="000000"/>
          <w:sz w:val="24"/>
          <w:highlight w:val="none"/>
        </w:rPr>
      </w:pPr>
    </w:p>
    <w:p>
      <w:pPr>
        <w:shd w:val="clear" w:color="auto" w:fill="auto"/>
        <w:spacing w:line="360" w:lineRule="auto"/>
        <w:ind w:left="2" w:firstLine="480" w:firstLineChars="200"/>
        <w:rPr>
          <w:rFonts w:hint="eastAsia" w:ascii="宋体" w:hAnsi="宋体" w:cs="宋体"/>
          <w:color w:val="000000"/>
          <w:sz w:val="24"/>
          <w:highlight w:val="none"/>
        </w:rPr>
      </w:pPr>
    </w:p>
    <w:p>
      <w:pPr>
        <w:shd w:val="clear" w:color="auto" w:fill="auto"/>
        <w:snapToGrid w:val="0"/>
        <w:spacing w:line="360" w:lineRule="auto"/>
        <w:jc w:val="center"/>
        <w:outlineLvl w:val="0"/>
        <w:rPr>
          <w:rFonts w:hint="eastAsia" w:ascii="宋体" w:hAnsi="宋体" w:cs="宋体"/>
          <w:b/>
          <w:color w:val="000000"/>
          <w:kern w:val="0"/>
          <w:sz w:val="32"/>
          <w:szCs w:val="32"/>
          <w:highlight w:val="none"/>
        </w:rPr>
      </w:pPr>
    </w:p>
    <w:p>
      <w:pPr>
        <w:shd w:val="clear" w:color="auto" w:fill="auto"/>
        <w:snapToGrid w:val="0"/>
        <w:spacing w:line="360" w:lineRule="auto"/>
        <w:jc w:val="center"/>
        <w:outlineLvl w:val="0"/>
        <w:rPr>
          <w:rFonts w:hint="eastAsia" w:ascii="宋体" w:hAnsi="宋体" w:cs="宋体"/>
          <w:b/>
          <w:color w:val="000000"/>
          <w:kern w:val="0"/>
          <w:sz w:val="32"/>
          <w:szCs w:val="32"/>
          <w:highlight w:val="none"/>
        </w:rPr>
      </w:pPr>
    </w:p>
    <w:p>
      <w:pPr>
        <w:shd w:val="clear" w:color="auto" w:fill="auto"/>
        <w:snapToGrid w:val="0"/>
        <w:spacing w:line="360" w:lineRule="auto"/>
        <w:jc w:val="center"/>
        <w:outlineLvl w:val="0"/>
        <w:rPr>
          <w:rFonts w:hint="eastAsia" w:ascii="宋体" w:hAnsi="宋体" w:cs="宋体"/>
          <w:b/>
          <w:color w:val="000000"/>
          <w:kern w:val="0"/>
          <w:sz w:val="32"/>
          <w:szCs w:val="32"/>
          <w:highlight w:val="none"/>
        </w:rPr>
      </w:pPr>
    </w:p>
    <w:p>
      <w:pPr>
        <w:shd w:val="clear" w:color="auto" w:fill="auto"/>
        <w:snapToGrid w:val="0"/>
        <w:spacing w:line="360" w:lineRule="auto"/>
        <w:jc w:val="center"/>
        <w:outlineLvl w:val="0"/>
        <w:rPr>
          <w:rFonts w:hint="eastAsia" w:ascii="宋体" w:hAnsi="宋体" w:cs="宋体"/>
          <w:b/>
          <w:color w:val="000000"/>
          <w:kern w:val="0"/>
          <w:sz w:val="32"/>
          <w:szCs w:val="32"/>
          <w:highlight w:val="none"/>
        </w:rPr>
      </w:pPr>
    </w:p>
    <w:p>
      <w:pPr>
        <w:shd w:val="clear" w:color="auto" w:fill="auto"/>
        <w:snapToGrid w:val="0"/>
        <w:spacing w:line="360" w:lineRule="auto"/>
        <w:jc w:val="center"/>
        <w:outlineLvl w:val="0"/>
        <w:rPr>
          <w:rFonts w:hint="eastAsia" w:ascii="宋体" w:hAnsi="宋体" w:cs="宋体"/>
          <w:b/>
          <w:color w:val="000000"/>
          <w:kern w:val="0"/>
          <w:sz w:val="32"/>
          <w:szCs w:val="32"/>
          <w:highlight w:val="none"/>
        </w:rPr>
      </w:pPr>
    </w:p>
    <w:p>
      <w:pPr>
        <w:shd w:val="clear" w:color="auto" w:fill="auto"/>
        <w:snapToGrid w:val="0"/>
        <w:spacing w:line="360" w:lineRule="auto"/>
        <w:jc w:val="center"/>
        <w:outlineLvl w:val="0"/>
        <w:rPr>
          <w:rFonts w:hint="eastAsia" w:ascii="宋体" w:hAnsi="宋体" w:cs="宋体"/>
          <w:b/>
          <w:color w:val="000000"/>
          <w:kern w:val="0"/>
          <w:sz w:val="32"/>
          <w:szCs w:val="32"/>
          <w:highlight w:val="none"/>
        </w:rPr>
      </w:pPr>
    </w:p>
    <w:p>
      <w:pPr>
        <w:shd w:val="clear" w:color="auto" w:fill="auto"/>
        <w:snapToGrid w:val="0"/>
        <w:spacing w:line="360" w:lineRule="auto"/>
        <w:jc w:val="center"/>
        <w:outlineLvl w:val="0"/>
        <w:rPr>
          <w:rFonts w:hint="eastAsia" w:ascii="宋体" w:hAnsi="宋体" w:cs="宋体"/>
          <w:b/>
          <w:color w:val="000000"/>
          <w:kern w:val="0"/>
          <w:sz w:val="32"/>
          <w:szCs w:val="32"/>
          <w:highlight w:val="none"/>
        </w:rPr>
      </w:pPr>
    </w:p>
    <w:p>
      <w:pPr>
        <w:shd w:val="clear" w:color="auto" w:fill="auto"/>
        <w:snapToGrid w:val="0"/>
        <w:spacing w:line="360" w:lineRule="auto"/>
        <w:jc w:val="center"/>
        <w:outlineLvl w:val="0"/>
        <w:rPr>
          <w:rFonts w:hint="eastAsia" w:ascii="宋体" w:hAnsi="宋体" w:cs="宋体"/>
          <w:b/>
          <w:color w:val="000000"/>
          <w:kern w:val="0"/>
          <w:sz w:val="32"/>
          <w:szCs w:val="32"/>
          <w:highlight w:val="none"/>
        </w:rPr>
      </w:pPr>
    </w:p>
    <w:p>
      <w:pPr>
        <w:shd w:val="clear" w:color="auto" w:fill="auto"/>
        <w:snapToGrid w:val="0"/>
        <w:spacing w:line="360" w:lineRule="auto"/>
        <w:jc w:val="center"/>
        <w:outlineLvl w:val="0"/>
        <w:rPr>
          <w:rFonts w:hint="eastAsia" w:ascii="宋体" w:hAnsi="宋体" w:cs="宋体"/>
          <w:b/>
          <w:color w:val="000000"/>
          <w:kern w:val="0"/>
          <w:sz w:val="32"/>
          <w:szCs w:val="32"/>
          <w:highlight w:val="none"/>
        </w:rPr>
      </w:pPr>
    </w:p>
    <w:p>
      <w:pPr>
        <w:shd w:val="clear" w:color="auto" w:fill="auto"/>
        <w:snapToGrid w:val="0"/>
        <w:spacing w:line="360" w:lineRule="auto"/>
        <w:jc w:val="center"/>
        <w:outlineLvl w:val="0"/>
        <w:rPr>
          <w:rFonts w:hint="eastAsia" w:ascii="宋体" w:hAnsi="宋体" w:cs="宋体"/>
          <w:b/>
          <w:color w:val="000000"/>
          <w:kern w:val="0"/>
          <w:sz w:val="32"/>
          <w:szCs w:val="32"/>
          <w:highlight w:val="none"/>
        </w:rPr>
      </w:pPr>
    </w:p>
    <w:p>
      <w:pPr>
        <w:shd w:val="clear" w:color="auto" w:fill="auto"/>
        <w:snapToGrid w:val="0"/>
        <w:spacing w:line="360" w:lineRule="auto"/>
        <w:jc w:val="center"/>
        <w:outlineLvl w:val="0"/>
        <w:rPr>
          <w:rFonts w:hint="eastAsia" w:ascii="宋体" w:hAnsi="宋体" w:cs="宋体"/>
          <w:b/>
          <w:color w:val="000000"/>
          <w:kern w:val="0"/>
          <w:sz w:val="32"/>
          <w:szCs w:val="32"/>
          <w:highlight w:val="none"/>
        </w:rPr>
      </w:pPr>
    </w:p>
    <w:p>
      <w:pPr>
        <w:shd w:val="clear" w:color="auto" w:fill="auto"/>
        <w:snapToGrid w:val="0"/>
        <w:spacing w:line="360" w:lineRule="auto"/>
        <w:jc w:val="center"/>
        <w:outlineLvl w:val="0"/>
        <w:rPr>
          <w:rFonts w:hint="eastAsia" w:ascii="宋体" w:hAnsi="宋体" w:cs="宋体"/>
          <w:b/>
          <w:color w:val="000000"/>
          <w:kern w:val="0"/>
          <w:sz w:val="32"/>
          <w:szCs w:val="32"/>
          <w:highlight w:val="none"/>
        </w:rPr>
      </w:pPr>
    </w:p>
    <w:p>
      <w:pPr>
        <w:shd w:val="clear" w:color="auto" w:fill="auto"/>
        <w:snapToGrid w:val="0"/>
        <w:spacing w:line="360" w:lineRule="auto"/>
        <w:jc w:val="center"/>
        <w:outlineLvl w:val="0"/>
        <w:rPr>
          <w:rFonts w:hint="eastAsia" w:ascii="宋体" w:hAnsi="宋体" w:cs="宋体"/>
          <w:b/>
          <w:color w:val="000000"/>
          <w:kern w:val="0"/>
          <w:sz w:val="32"/>
          <w:szCs w:val="32"/>
          <w:highlight w:val="none"/>
        </w:rPr>
      </w:pPr>
    </w:p>
    <w:p>
      <w:pPr>
        <w:shd w:val="clear" w:color="auto" w:fill="auto"/>
        <w:snapToGrid w:val="0"/>
        <w:spacing w:line="360" w:lineRule="auto"/>
        <w:jc w:val="center"/>
        <w:outlineLvl w:val="0"/>
        <w:rPr>
          <w:rFonts w:hint="eastAsia" w:ascii="宋体" w:hAnsi="宋体" w:cs="宋体"/>
          <w:b/>
          <w:color w:val="000000"/>
          <w:kern w:val="0"/>
          <w:sz w:val="32"/>
          <w:szCs w:val="32"/>
          <w:highlight w:val="none"/>
        </w:rPr>
      </w:pPr>
    </w:p>
    <w:p>
      <w:pPr>
        <w:shd w:val="clear" w:color="auto" w:fill="auto"/>
        <w:snapToGrid w:val="0"/>
        <w:spacing w:line="360" w:lineRule="auto"/>
        <w:jc w:val="center"/>
        <w:outlineLvl w:val="0"/>
        <w:rPr>
          <w:rFonts w:hint="eastAsia" w:ascii="宋体" w:hAnsi="宋体" w:cs="宋体"/>
          <w:b/>
          <w:color w:val="000000"/>
          <w:kern w:val="0"/>
          <w:sz w:val="32"/>
          <w:szCs w:val="32"/>
          <w:highlight w:val="none"/>
        </w:rPr>
      </w:pPr>
    </w:p>
    <w:p>
      <w:pPr>
        <w:shd w:val="clear" w:color="auto" w:fill="auto"/>
        <w:snapToGrid w:val="0"/>
        <w:spacing w:line="360" w:lineRule="auto"/>
        <w:jc w:val="center"/>
        <w:outlineLvl w:val="0"/>
        <w:rPr>
          <w:rFonts w:hint="eastAsia" w:ascii="宋体" w:hAnsi="宋体" w:cs="宋体"/>
          <w:b/>
          <w:color w:val="000000"/>
          <w:sz w:val="32"/>
          <w:szCs w:val="32"/>
          <w:highlight w:val="none"/>
        </w:rPr>
      </w:pPr>
      <w:r>
        <w:rPr>
          <w:rFonts w:hint="eastAsia" w:ascii="宋体" w:hAnsi="宋体" w:cs="宋体"/>
          <w:b/>
          <w:color w:val="000000"/>
          <w:kern w:val="0"/>
          <w:sz w:val="32"/>
          <w:szCs w:val="32"/>
          <w:highlight w:val="none"/>
        </w:rPr>
        <w:t>一、投标响应</w:t>
      </w:r>
      <w:r>
        <w:rPr>
          <w:rFonts w:hint="eastAsia" w:ascii="宋体" w:hAnsi="宋体" w:cs="宋体"/>
          <w:b/>
          <w:color w:val="000000"/>
          <w:sz w:val="32"/>
          <w:szCs w:val="32"/>
          <w:highlight w:val="none"/>
        </w:rPr>
        <w:t>函</w:t>
      </w:r>
    </w:p>
    <w:p>
      <w:pPr>
        <w:shd w:val="clear" w:color="auto" w:fill="auto"/>
        <w:snapToGrid w:val="0"/>
        <w:spacing w:line="360" w:lineRule="auto"/>
        <w:rPr>
          <w:rFonts w:hint="eastAsia" w:ascii="宋体" w:hAnsi="宋体" w:cs="宋体"/>
          <w:color w:val="000000"/>
          <w:sz w:val="24"/>
          <w:highlight w:val="none"/>
        </w:rPr>
      </w:pPr>
      <w:r>
        <w:rPr>
          <w:rFonts w:hint="eastAsia" w:ascii="宋体" w:hAnsi="宋体" w:cs="宋体"/>
          <w:color w:val="000000"/>
          <w:sz w:val="24"/>
          <w:highlight w:val="none"/>
        </w:rPr>
        <w:t>XXX（单位名称或采购机构名称）：</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kern w:val="0"/>
          <w:sz w:val="24"/>
          <w:highlight w:val="none"/>
          <w:u w:val="single"/>
          <w:lang w:val="zh-CN"/>
        </w:rPr>
        <w:t xml:space="preserve">                         </w:t>
      </w:r>
      <w:r>
        <w:rPr>
          <w:rFonts w:hint="eastAsia" w:ascii="宋体" w:hAnsi="宋体" w:cs="宋体"/>
          <w:color w:val="000000"/>
          <w:sz w:val="24"/>
          <w:highlight w:val="none"/>
        </w:rPr>
        <w:t>(投标人全称)授权</w:t>
      </w:r>
      <w:r>
        <w:rPr>
          <w:rFonts w:hint="eastAsia" w:ascii="宋体" w:hAnsi="宋体" w:cs="宋体"/>
          <w:color w:val="000000"/>
          <w:kern w:val="0"/>
          <w:sz w:val="24"/>
          <w:highlight w:val="none"/>
          <w:u w:val="single"/>
          <w:lang w:val="zh-CN"/>
        </w:rPr>
        <w:t xml:space="preserve">                    </w:t>
      </w:r>
      <w:r>
        <w:rPr>
          <w:rFonts w:hint="eastAsia" w:ascii="宋体" w:hAnsi="宋体" w:cs="宋体"/>
          <w:color w:val="000000"/>
          <w:sz w:val="24"/>
          <w:highlight w:val="none"/>
        </w:rPr>
        <w:t>(全权代表姓名)</w:t>
      </w:r>
      <w:r>
        <w:rPr>
          <w:rFonts w:hint="eastAsia" w:ascii="宋体" w:hAnsi="宋体" w:cs="宋体"/>
          <w:color w:val="000000"/>
          <w:kern w:val="0"/>
          <w:sz w:val="24"/>
          <w:highlight w:val="none"/>
          <w:u w:val="single"/>
          <w:lang w:val="zh-CN"/>
        </w:rPr>
        <w:t xml:space="preserve">              </w:t>
      </w:r>
      <w:r>
        <w:rPr>
          <w:rFonts w:hint="eastAsia" w:ascii="宋体" w:hAnsi="宋体" w:cs="宋体"/>
          <w:color w:val="000000"/>
          <w:sz w:val="24"/>
          <w:highlight w:val="none"/>
        </w:rPr>
        <w:t>(职务、职称)为全权代表，参加贵方组织的XXXXXX项目【招标编号：          】招标的有关活动，并对此项目进行投标。为此：</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1、我方同意在投标人</w:t>
      </w:r>
      <w:r>
        <w:rPr>
          <w:rFonts w:hint="eastAsia" w:ascii="宋体" w:hAnsi="宋体" w:cs="宋体"/>
          <w:color w:val="000000"/>
          <w:kern w:val="44"/>
          <w:sz w:val="24"/>
          <w:highlight w:val="none"/>
        </w:rPr>
        <w:t>投标人须知</w:t>
      </w:r>
      <w:r>
        <w:rPr>
          <w:rFonts w:hint="eastAsia" w:ascii="宋体" w:hAnsi="宋体" w:cs="宋体"/>
          <w:color w:val="000000"/>
          <w:sz w:val="24"/>
          <w:highlight w:val="none"/>
        </w:rPr>
        <w:t>规定的开标日期起遵守本投标文件中的承诺且在投标有效期满之前均具有约束力。</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2、我方承诺已经具备《中华人民共和国政府采购法》中规定的参加政府采购活动的供应商应当具备的条件：</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(1)具有独立承担民事责任的能力；</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(2)遵守国家法律、行政法规，具有良好的信誉和商业道德；</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(3)具有履行合同的能力和良好的履行合同记录；</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(4)良好的资金、财务状况；</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(5)产品及生产所需装备符合中国政府规定的相应技术标准和环保标准；</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(6)没有违反政府采购法规、政策的记录；</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(7)没有发生重大经济纠纷和走私犯罪记录。</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3、我方中标后拟在中标后将</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工作分包，分包承担主体是</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，我方承诺分包承担主体具备相应资质条件</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，且不再次分包。（不再将工作进行分包或本项目不允许分包的，下划线处填写“/”。）</w:t>
      </w:r>
    </w:p>
    <w:p>
      <w:pPr>
        <w:pStyle w:val="32"/>
        <w:shd w:val="clear" w:color="auto" w:fill="auto"/>
        <w:snapToGrid w:val="0"/>
        <w:spacing w:line="360" w:lineRule="auto"/>
        <w:ind w:firstLine="480" w:firstLineChars="200"/>
        <w:rPr>
          <w:rFonts w:hint="eastAsia" w:hAnsi="宋体" w:cs="宋体"/>
          <w:color w:val="000000"/>
          <w:sz w:val="24"/>
          <w:highlight w:val="none"/>
        </w:rPr>
      </w:pPr>
      <w:r>
        <w:rPr>
          <w:rFonts w:hint="eastAsia" w:hAnsi="宋体" w:cs="宋体"/>
          <w:color w:val="000000"/>
          <w:sz w:val="24"/>
          <w:highlight w:val="none"/>
        </w:rPr>
        <w:t>4、提供</w:t>
      </w:r>
      <w:r>
        <w:rPr>
          <w:rFonts w:hint="eastAsia" w:hAnsi="宋体" w:cs="宋体"/>
          <w:color w:val="000000"/>
          <w:kern w:val="44"/>
          <w:sz w:val="24"/>
          <w:highlight w:val="none"/>
        </w:rPr>
        <w:t>投标人须知</w:t>
      </w:r>
      <w:r>
        <w:rPr>
          <w:rFonts w:hint="eastAsia" w:hAnsi="宋体" w:cs="宋体"/>
          <w:color w:val="000000"/>
          <w:sz w:val="24"/>
          <w:highlight w:val="none"/>
        </w:rPr>
        <w:t>规定的全部投标文件，包括</w:t>
      </w:r>
      <w:r>
        <w:rPr>
          <w:rFonts w:hint="eastAsia" w:hAnsi="宋体" w:cs="宋体"/>
          <w:b/>
          <w:color w:val="000000"/>
          <w:sz w:val="24"/>
          <w:szCs w:val="24"/>
          <w:highlight w:val="none"/>
        </w:rPr>
        <w:t>资格文件，报价文件，商务技术文件</w:t>
      </w:r>
      <w:r>
        <w:rPr>
          <w:rFonts w:hint="eastAsia" w:hAnsi="宋体" w:cs="宋体"/>
          <w:color w:val="000000"/>
          <w:kern w:val="44"/>
          <w:sz w:val="24"/>
          <w:highlight w:val="none"/>
        </w:rPr>
        <w:t>（见投标须知前附表所述）。</w:t>
      </w:r>
      <w:r>
        <w:rPr>
          <w:rFonts w:hint="eastAsia" w:hAnsi="宋体" w:cs="宋体"/>
          <w:color w:val="000000"/>
          <w:sz w:val="24"/>
          <w:highlight w:val="none"/>
        </w:rPr>
        <w:t>具体内容为：</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(1)投标(开标)一览表；</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(2)投标</w:t>
      </w:r>
      <w:r>
        <w:rPr>
          <w:rFonts w:hint="eastAsia" w:ascii="宋体" w:hAnsi="宋体" w:cs="宋体"/>
          <w:color w:val="000000"/>
          <w:kern w:val="0"/>
          <w:sz w:val="24"/>
          <w:highlight w:val="none"/>
          <w:lang w:val="zh-CN"/>
        </w:rPr>
        <w:t>技术文件和</w:t>
      </w:r>
      <w:r>
        <w:rPr>
          <w:rFonts w:hint="eastAsia" w:ascii="宋体" w:hAnsi="宋体" w:cs="宋体"/>
          <w:color w:val="000000"/>
          <w:sz w:val="24"/>
          <w:highlight w:val="none"/>
          <w:lang w:val="zh-CN"/>
        </w:rPr>
        <w:t>商务文件</w:t>
      </w:r>
      <w:r>
        <w:rPr>
          <w:rFonts w:hint="eastAsia" w:ascii="宋体" w:hAnsi="宋体" w:cs="宋体"/>
          <w:color w:val="000000"/>
          <w:sz w:val="24"/>
          <w:highlight w:val="none"/>
        </w:rPr>
        <w:t>；</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(3)</w:t>
      </w:r>
      <w:r>
        <w:rPr>
          <w:rFonts w:hint="eastAsia" w:ascii="宋体" w:hAnsi="宋体" w:cs="宋体"/>
          <w:color w:val="000000"/>
          <w:kern w:val="44"/>
          <w:sz w:val="24"/>
          <w:highlight w:val="none"/>
        </w:rPr>
        <w:t>投标人须知</w:t>
      </w:r>
      <w:r>
        <w:rPr>
          <w:rFonts w:hint="eastAsia" w:ascii="宋体" w:hAnsi="宋体" w:cs="宋体"/>
          <w:color w:val="000000"/>
          <w:sz w:val="24"/>
          <w:highlight w:val="none"/>
        </w:rPr>
        <w:t>要求投标人提交的全部文件；</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(4)按招标文件要求提供和交付的货物和服务的投标报价详见投标(开标)一览表；</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(5)保证忠实地执行双方所签订的合同，并承担合同规定的责任和义务；</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(6)保证遵守招标文件中的其他有关规定。</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5、我方承诺投标有效期从提交投标文件的截止之日起</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天，不少于招标文件中载明的投标有效期（从提交投标文件的截止之日起90天）。</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6、我方完全理解贵方不一定要接受最低价的投标。</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7、我方愿意向贵方提供任何与该项投标有关的数据、情况和技术资料。若贵方需要，我方愿意提供我方作出的一切承诺的证明材料。</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8、我方已详细审核全部招标文件，包括招标文件修改书(如果有)、参考资料及有关附件，确认无误。</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9、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a)提供虚假材料谋取中标、成交的；</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b)采取不正当手段诋毁、排挤其他供应商的；</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c)与采购人、其它供应商或者采购机构恶意串通的；</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d)向采购人、采购机构行贿或者提供其他不正当利益的；</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e)在招标采购过程中与采购人进行协商谈判的；</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f)拒绝有关部门监督检查或提供虚假情况的。</w:t>
      </w:r>
    </w:p>
    <w:p>
      <w:pPr>
        <w:shd w:val="clear" w:color="auto" w:fill="auto"/>
        <w:snapToGrid w:val="0"/>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供应商有前款第a)至e)项情形之一的，中标、成交无效。</w:t>
      </w:r>
    </w:p>
    <w:p>
      <w:pPr>
        <w:shd w:val="clear" w:color="auto" w:fill="auto"/>
        <w:spacing w:line="360" w:lineRule="auto"/>
        <w:ind w:firstLine="3600" w:firstLineChars="1500"/>
        <w:rPr>
          <w:rFonts w:hint="eastAsia" w:ascii="宋体" w:hAnsi="宋体" w:cs="宋体"/>
          <w:color w:val="000000"/>
          <w:sz w:val="24"/>
          <w:highlight w:val="none"/>
        </w:rPr>
      </w:pPr>
      <w:r>
        <w:rPr>
          <w:rFonts w:hint="eastAsia" w:ascii="宋体" w:hAnsi="宋体" w:cs="宋体"/>
          <w:color w:val="000000"/>
          <w:sz w:val="24"/>
          <w:highlight w:val="none"/>
        </w:rPr>
        <w:t>投标人名称（公章）：</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 xml:space="preserve">                         </w:t>
      </w:r>
    </w:p>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 xml:space="preserve">     日期：  年   月   日</w:t>
      </w:r>
    </w:p>
    <w:p>
      <w:pPr>
        <w:shd w:val="clear" w:color="auto" w:fill="auto"/>
        <w:snapToGrid w:val="0"/>
        <w:spacing w:line="360" w:lineRule="auto"/>
        <w:ind w:left="420" w:leftChars="200" w:firstLine="4200" w:firstLineChars="1750"/>
        <w:rPr>
          <w:rFonts w:hint="eastAsia" w:ascii="宋体" w:hAnsi="宋体" w:cs="宋体"/>
          <w:color w:val="000000"/>
          <w:kern w:val="0"/>
          <w:sz w:val="24"/>
          <w:highlight w:val="none"/>
          <w:u w:val="single"/>
          <w:lang w:val="zh-CN"/>
        </w:rPr>
      </w:pPr>
    </w:p>
    <w:p>
      <w:pPr>
        <w:shd w:val="clear" w:color="auto" w:fill="auto"/>
        <w:snapToGrid w:val="0"/>
        <w:spacing w:line="360" w:lineRule="auto"/>
        <w:rPr>
          <w:rFonts w:hint="eastAsia" w:ascii="宋体" w:hAnsi="宋体" w:cs="宋体"/>
          <w:color w:val="000000"/>
          <w:sz w:val="24"/>
          <w:highlight w:val="none"/>
        </w:rPr>
      </w:pPr>
      <w:r>
        <w:rPr>
          <w:rFonts w:hint="eastAsia" w:ascii="宋体" w:hAnsi="宋体" w:cs="宋体"/>
          <w:b/>
          <w:color w:val="000000"/>
          <w:kern w:val="0"/>
          <w:sz w:val="24"/>
          <w:highlight w:val="none"/>
          <w:lang w:val="zh-CN"/>
        </w:rPr>
        <w:t>注：未按照本投标响应函要求填报的将被视为非实质性响应投标，从而可能导致该投标被拒绝。</w:t>
      </w:r>
    </w:p>
    <w:p>
      <w:pPr>
        <w:pStyle w:val="587"/>
        <w:keepNext w:val="0"/>
        <w:pageBreakBefore w:val="0"/>
        <w:shd w:val="clear" w:color="auto" w:fill="auto"/>
        <w:tabs>
          <w:tab w:val="clear" w:pos="720"/>
        </w:tabs>
        <w:snapToGrid w:val="0"/>
        <w:ind w:firstLine="640"/>
        <w:outlineLvl w:val="9"/>
        <w:rPr>
          <w:rFonts w:hint="eastAsia" w:ascii="宋体" w:hAnsi="宋体" w:eastAsia="宋体" w:cs="宋体"/>
          <w:color w:val="000000"/>
          <w:kern w:val="2"/>
          <w:sz w:val="32"/>
          <w:szCs w:val="32"/>
          <w:highlight w:val="none"/>
        </w:rPr>
        <w:sectPr>
          <w:headerReference r:id="rId10" w:type="first"/>
          <w:footerReference r:id="rId13" w:type="first"/>
          <w:headerReference r:id="rId8" w:type="default"/>
          <w:footerReference r:id="rId11" w:type="default"/>
          <w:headerReference r:id="rId9" w:type="even"/>
          <w:footerReference r:id="rId12" w:type="even"/>
          <w:pgSz w:w="11906" w:h="16838"/>
          <w:pgMar w:top="1247" w:right="1418" w:bottom="1276" w:left="1418" w:header="851" w:footer="992" w:gutter="0"/>
          <w:cols w:space="720" w:num="1"/>
          <w:titlePg/>
          <w:docGrid w:linePitch="312" w:charSpace="0"/>
        </w:sectPr>
      </w:pPr>
    </w:p>
    <w:p>
      <w:pPr>
        <w:pStyle w:val="587"/>
        <w:keepNext w:val="0"/>
        <w:pageBreakBefore w:val="0"/>
        <w:shd w:val="clear" w:color="auto" w:fill="auto"/>
        <w:tabs>
          <w:tab w:val="clear" w:pos="720"/>
        </w:tabs>
        <w:snapToGrid w:val="0"/>
        <w:ind w:firstLine="640"/>
        <w:outlineLvl w:val="9"/>
        <w:rPr>
          <w:rFonts w:hint="eastAsia" w:ascii="宋体" w:hAnsi="宋体" w:eastAsia="宋体" w:cs="宋体"/>
          <w:color w:val="000000"/>
          <w:kern w:val="2"/>
          <w:sz w:val="32"/>
          <w:szCs w:val="32"/>
          <w:highlight w:val="none"/>
        </w:rPr>
      </w:pPr>
      <w:r>
        <w:rPr>
          <w:rFonts w:hint="eastAsia" w:ascii="宋体" w:hAnsi="宋体" w:eastAsia="宋体" w:cs="宋体"/>
          <w:color w:val="000000"/>
          <w:kern w:val="2"/>
          <w:sz w:val="32"/>
          <w:szCs w:val="32"/>
          <w:highlight w:val="none"/>
        </w:rPr>
        <w:t>二、投标(开标)一览表</w:t>
      </w:r>
    </w:p>
    <w:p>
      <w:pPr>
        <w:shd w:val="clear" w:color="auto" w:fill="auto"/>
        <w:snapToGrid w:val="0"/>
        <w:spacing w:line="360" w:lineRule="auto"/>
        <w:rPr>
          <w:rFonts w:hint="eastAsia" w:ascii="宋体" w:hAnsi="宋体" w:cs="宋体"/>
          <w:color w:val="000000"/>
          <w:kern w:val="0"/>
          <w:sz w:val="24"/>
          <w:highlight w:val="none"/>
        </w:rPr>
      </w:pPr>
      <w:bookmarkStart w:id="456" w:name="_Toc86217005"/>
      <w:r>
        <w:rPr>
          <w:rFonts w:hint="eastAsia" w:ascii="宋体" w:hAnsi="宋体" w:cs="宋体"/>
          <w:color w:val="000000"/>
          <w:sz w:val="24"/>
          <w:highlight w:val="none"/>
        </w:rPr>
        <w:t>XXX（单位名称或采购机构名称）</w:t>
      </w:r>
      <w:r>
        <w:rPr>
          <w:rFonts w:hint="eastAsia" w:ascii="宋体" w:hAnsi="宋体" w:cs="宋体"/>
          <w:color w:val="000000"/>
          <w:kern w:val="0"/>
          <w:sz w:val="24"/>
          <w:highlight w:val="none"/>
          <w:lang w:val="zh-CN"/>
        </w:rPr>
        <w:t>：</w:t>
      </w:r>
    </w:p>
    <w:p>
      <w:pPr>
        <w:shd w:val="clear" w:color="auto" w:fill="auto"/>
        <w:snapToGrid w:val="0"/>
        <w:spacing w:line="360" w:lineRule="auto"/>
        <w:ind w:firstLine="482"/>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按你方招标文件要求，我们，本投标文件签字方，谨此向你方发出要约如下：如你方接受本投标，我方承诺按照如下投标(开标)一览表的价格完成</w:t>
      </w:r>
      <w:r>
        <w:rPr>
          <w:rFonts w:hint="eastAsia" w:ascii="宋体" w:hAnsi="宋体" w:cs="宋体"/>
          <w:color w:val="000000"/>
          <w:sz w:val="24"/>
          <w:highlight w:val="none"/>
        </w:rPr>
        <w:t>XXXXXX项目</w:t>
      </w:r>
      <w:r>
        <w:rPr>
          <w:rFonts w:hint="eastAsia" w:ascii="宋体" w:hAnsi="宋体" w:cs="宋体"/>
          <w:color w:val="000000"/>
          <w:kern w:val="0"/>
          <w:sz w:val="24"/>
          <w:highlight w:val="none"/>
          <w:lang w:val="zh-CN"/>
        </w:rPr>
        <w:t>【招标文件编号：</w:t>
      </w:r>
      <w:r>
        <w:rPr>
          <w:rFonts w:hint="eastAsia" w:ascii="宋体" w:hAnsi="宋体" w:cs="宋体"/>
          <w:color w:val="000000"/>
          <w:sz w:val="24"/>
          <w:highlight w:val="none"/>
        </w:rPr>
        <w:t xml:space="preserve">                    】的实施</w:t>
      </w:r>
      <w:r>
        <w:rPr>
          <w:rFonts w:hint="eastAsia" w:ascii="宋体" w:hAnsi="宋体" w:cs="宋体"/>
          <w:color w:val="000000"/>
          <w:kern w:val="0"/>
          <w:sz w:val="24"/>
          <w:highlight w:val="none"/>
          <w:lang w:val="zh-CN"/>
        </w:rPr>
        <w:t>。</w:t>
      </w:r>
    </w:p>
    <w:p>
      <w:pPr>
        <w:shd w:val="clear" w:color="auto" w:fill="auto"/>
        <w:spacing w:line="360" w:lineRule="auto"/>
        <w:jc w:val="center"/>
        <w:rPr>
          <w:rFonts w:hint="eastAsia" w:ascii="宋体" w:hAnsi="宋体" w:cs="宋体"/>
          <w:b/>
          <w:color w:val="000000"/>
          <w:kern w:val="0"/>
          <w:sz w:val="24"/>
          <w:highlight w:val="none"/>
          <w:lang w:val="zh-CN"/>
        </w:rPr>
      </w:pPr>
      <w:r>
        <w:rPr>
          <w:rFonts w:hint="eastAsia" w:ascii="宋体" w:hAnsi="宋体" w:cs="宋体"/>
          <w:b/>
          <w:color w:val="000000"/>
          <w:kern w:val="0"/>
          <w:sz w:val="24"/>
          <w:highlight w:val="none"/>
          <w:lang w:val="zh-CN"/>
        </w:rPr>
        <w:t>投标(开标)一览表(单位均为人民币元)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175"/>
        <w:gridCol w:w="1347"/>
        <w:gridCol w:w="2760"/>
        <w:gridCol w:w="1920"/>
        <w:gridCol w:w="1733"/>
        <w:gridCol w:w="1867"/>
        <w:gridCol w:w="3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392" w:type="dxa"/>
            <w:noWrap w:val="0"/>
            <w:vAlign w:val="center"/>
          </w:tcPr>
          <w:p>
            <w:pPr>
              <w:shd w:val="clear" w:color="auto" w:fill="auto"/>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序号</w:t>
            </w:r>
          </w:p>
        </w:tc>
        <w:tc>
          <w:tcPr>
            <w:tcW w:w="1175" w:type="dxa"/>
            <w:noWrap w:val="0"/>
            <w:vAlign w:val="center"/>
          </w:tcPr>
          <w:p>
            <w:pPr>
              <w:shd w:val="clear" w:color="auto" w:fill="auto"/>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名称</w:t>
            </w:r>
          </w:p>
        </w:tc>
        <w:tc>
          <w:tcPr>
            <w:tcW w:w="1347" w:type="dxa"/>
            <w:noWrap w:val="0"/>
            <w:vAlign w:val="top"/>
          </w:tcPr>
          <w:p>
            <w:pPr>
              <w:shd w:val="clear" w:color="auto" w:fill="auto"/>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品牌</w:t>
            </w:r>
          </w:p>
          <w:p>
            <w:pPr>
              <w:shd w:val="clear" w:color="auto" w:fill="auto"/>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（如果有）</w:t>
            </w:r>
          </w:p>
        </w:tc>
        <w:tc>
          <w:tcPr>
            <w:tcW w:w="2760" w:type="dxa"/>
            <w:noWrap w:val="0"/>
            <w:vAlign w:val="center"/>
          </w:tcPr>
          <w:p>
            <w:pPr>
              <w:shd w:val="clear" w:color="auto" w:fill="auto"/>
              <w:spacing w:line="360" w:lineRule="auto"/>
              <w:rPr>
                <w:rFonts w:hint="eastAsia" w:ascii="宋体" w:hAnsi="宋体" w:cs="宋体"/>
                <w:b/>
                <w:color w:val="000000"/>
                <w:sz w:val="24"/>
                <w:highlight w:val="none"/>
              </w:rPr>
            </w:pPr>
            <w:r>
              <w:rPr>
                <w:rFonts w:hint="eastAsia" w:ascii="宋体" w:hAnsi="宋体" w:cs="宋体"/>
                <w:b/>
                <w:color w:val="000000"/>
                <w:sz w:val="24"/>
                <w:highlight w:val="none"/>
              </w:rPr>
              <w:t>规格型号或具体服务</w:t>
            </w:r>
          </w:p>
        </w:tc>
        <w:tc>
          <w:tcPr>
            <w:tcW w:w="1920" w:type="dxa"/>
            <w:noWrap w:val="0"/>
            <w:vAlign w:val="center"/>
          </w:tcPr>
          <w:p>
            <w:pPr>
              <w:shd w:val="clear" w:color="auto" w:fill="auto"/>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数量</w:t>
            </w:r>
          </w:p>
        </w:tc>
        <w:tc>
          <w:tcPr>
            <w:tcW w:w="1733" w:type="dxa"/>
            <w:noWrap w:val="0"/>
            <w:vAlign w:val="center"/>
          </w:tcPr>
          <w:p>
            <w:pPr>
              <w:shd w:val="clear" w:color="auto" w:fill="auto"/>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单价</w:t>
            </w:r>
          </w:p>
        </w:tc>
        <w:tc>
          <w:tcPr>
            <w:tcW w:w="1867" w:type="dxa"/>
            <w:noWrap w:val="0"/>
            <w:vAlign w:val="center"/>
          </w:tcPr>
          <w:p>
            <w:pPr>
              <w:shd w:val="clear" w:color="auto" w:fill="auto"/>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总价</w:t>
            </w:r>
          </w:p>
        </w:tc>
        <w:tc>
          <w:tcPr>
            <w:tcW w:w="3373" w:type="dxa"/>
            <w:noWrap w:val="0"/>
            <w:vAlign w:val="center"/>
          </w:tcPr>
          <w:p>
            <w:pPr>
              <w:shd w:val="clear" w:color="auto" w:fill="auto"/>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服务要求（年限）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92" w:type="dxa"/>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1</w:t>
            </w:r>
          </w:p>
        </w:tc>
        <w:tc>
          <w:tcPr>
            <w:tcW w:w="1175"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1347"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2760"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1920"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1733" w:type="dxa"/>
            <w:noWrap w:val="0"/>
            <w:vAlign w:val="center"/>
          </w:tcPr>
          <w:p>
            <w:pPr>
              <w:shd w:val="clear" w:color="auto" w:fill="auto"/>
              <w:spacing w:line="360" w:lineRule="auto"/>
              <w:jc w:val="center"/>
              <w:rPr>
                <w:rFonts w:hint="eastAsia" w:ascii="宋体" w:hAnsi="宋体" w:cs="宋体"/>
                <w:color w:val="000000"/>
                <w:sz w:val="24"/>
                <w:highlight w:val="none"/>
              </w:rPr>
            </w:pPr>
          </w:p>
        </w:tc>
        <w:tc>
          <w:tcPr>
            <w:tcW w:w="1867" w:type="dxa"/>
            <w:noWrap w:val="0"/>
            <w:vAlign w:val="center"/>
          </w:tcPr>
          <w:p>
            <w:pPr>
              <w:shd w:val="clear" w:color="auto" w:fill="auto"/>
              <w:spacing w:line="360" w:lineRule="auto"/>
              <w:jc w:val="center"/>
              <w:rPr>
                <w:rFonts w:hint="eastAsia" w:ascii="宋体" w:hAnsi="宋体" w:cs="宋体"/>
                <w:color w:val="000000"/>
                <w:sz w:val="24"/>
                <w:highlight w:val="none"/>
              </w:rPr>
            </w:pPr>
          </w:p>
        </w:tc>
        <w:tc>
          <w:tcPr>
            <w:tcW w:w="3373" w:type="dxa"/>
            <w:noWrap w:val="0"/>
            <w:vAlign w:val="center"/>
          </w:tcPr>
          <w:p>
            <w:pPr>
              <w:shd w:val="clear" w:color="auto" w:fill="auto"/>
              <w:spacing w:line="360" w:lineRule="auto"/>
              <w:jc w:val="center"/>
              <w:rPr>
                <w:rFonts w:hint="eastAsia"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92" w:type="dxa"/>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2</w:t>
            </w:r>
          </w:p>
        </w:tc>
        <w:tc>
          <w:tcPr>
            <w:tcW w:w="1175"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1347"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2760"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1920"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1733" w:type="dxa"/>
            <w:noWrap w:val="0"/>
            <w:vAlign w:val="center"/>
          </w:tcPr>
          <w:p>
            <w:pPr>
              <w:shd w:val="clear" w:color="auto" w:fill="auto"/>
              <w:spacing w:line="360" w:lineRule="auto"/>
              <w:jc w:val="center"/>
              <w:rPr>
                <w:rFonts w:hint="eastAsia" w:ascii="宋体" w:hAnsi="宋体" w:cs="宋体"/>
                <w:color w:val="000000"/>
                <w:sz w:val="24"/>
                <w:highlight w:val="none"/>
              </w:rPr>
            </w:pPr>
          </w:p>
        </w:tc>
        <w:tc>
          <w:tcPr>
            <w:tcW w:w="1867" w:type="dxa"/>
            <w:noWrap w:val="0"/>
            <w:vAlign w:val="center"/>
          </w:tcPr>
          <w:p>
            <w:pPr>
              <w:shd w:val="clear" w:color="auto" w:fill="auto"/>
              <w:spacing w:line="360" w:lineRule="auto"/>
              <w:jc w:val="center"/>
              <w:rPr>
                <w:rFonts w:hint="eastAsia" w:ascii="宋体" w:hAnsi="宋体" w:cs="宋体"/>
                <w:color w:val="000000"/>
                <w:sz w:val="24"/>
                <w:highlight w:val="none"/>
              </w:rPr>
            </w:pPr>
          </w:p>
        </w:tc>
        <w:tc>
          <w:tcPr>
            <w:tcW w:w="3373" w:type="dxa"/>
            <w:noWrap w:val="0"/>
            <w:vAlign w:val="center"/>
          </w:tcPr>
          <w:p>
            <w:pPr>
              <w:shd w:val="clear" w:color="auto" w:fill="auto"/>
              <w:spacing w:line="360" w:lineRule="auto"/>
              <w:jc w:val="center"/>
              <w:rPr>
                <w:rFonts w:hint="eastAsia"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92" w:type="dxa"/>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3</w:t>
            </w:r>
          </w:p>
        </w:tc>
        <w:tc>
          <w:tcPr>
            <w:tcW w:w="1175"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1347"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2760"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1920"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1733" w:type="dxa"/>
            <w:noWrap w:val="0"/>
            <w:vAlign w:val="center"/>
          </w:tcPr>
          <w:p>
            <w:pPr>
              <w:shd w:val="clear" w:color="auto" w:fill="auto"/>
              <w:spacing w:line="360" w:lineRule="auto"/>
              <w:jc w:val="center"/>
              <w:rPr>
                <w:rFonts w:hint="eastAsia" w:ascii="宋体" w:hAnsi="宋体" w:cs="宋体"/>
                <w:color w:val="000000"/>
                <w:sz w:val="24"/>
                <w:highlight w:val="none"/>
              </w:rPr>
            </w:pPr>
          </w:p>
        </w:tc>
        <w:tc>
          <w:tcPr>
            <w:tcW w:w="1867" w:type="dxa"/>
            <w:noWrap w:val="0"/>
            <w:vAlign w:val="center"/>
          </w:tcPr>
          <w:p>
            <w:pPr>
              <w:shd w:val="clear" w:color="auto" w:fill="auto"/>
              <w:spacing w:line="360" w:lineRule="auto"/>
              <w:jc w:val="center"/>
              <w:rPr>
                <w:rFonts w:hint="eastAsia" w:ascii="宋体" w:hAnsi="宋体" w:cs="宋体"/>
                <w:color w:val="000000"/>
                <w:sz w:val="24"/>
                <w:highlight w:val="none"/>
              </w:rPr>
            </w:pPr>
          </w:p>
        </w:tc>
        <w:tc>
          <w:tcPr>
            <w:tcW w:w="3373" w:type="dxa"/>
            <w:noWrap w:val="0"/>
            <w:vAlign w:val="center"/>
          </w:tcPr>
          <w:p>
            <w:pPr>
              <w:shd w:val="clear" w:color="auto" w:fill="auto"/>
              <w:spacing w:line="360" w:lineRule="auto"/>
              <w:jc w:val="center"/>
              <w:rPr>
                <w:rFonts w:hint="eastAsia"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92" w:type="dxa"/>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4</w:t>
            </w:r>
          </w:p>
        </w:tc>
        <w:tc>
          <w:tcPr>
            <w:tcW w:w="1175"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1347"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2760"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1920"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1733" w:type="dxa"/>
            <w:noWrap w:val="0"/>
            <w:vAlign w:val="center"/>
          </w:tcPr>
          <w:p>
            <w:pPr>
              <w:shd w:val="clear" w:color="auto" w:fill="auto"/>
              <w:spacing w:line="360" w:lineRule="auto"/>
              <w:jc w:val="center"/>
              <w:rPr>
                <w:rFonts w:hint="eastAsia" w:ascii="宋体" w:hAnsi="宋体" w:cs="宋体"/>
                <w:color w:val="000000"/>
                <w:sz w:val="24"/>
                <w:highlight w:val="none"/>
              </w:rPr>
            </w:pPr>
          </w:p>
        </w:tc>
        <w:tc>
          <w:tcPr>
            <w:tcW w:w="1867" w:type="dxa"/>
            <w:noWrap w:val="0"/>
            <w:vAlign w:val="center"/>
          </w:tcPr>
          <w:p>
            <w:pPr>
              <w:shd w:val="clear" w:color="auto" w:fill="auto"/>
              <w:spacing w:line="360" w:lineRule="auto"/>
              <w:jc w:val="center"/>
              <w:rPr>
                <w:rFonts w:hint="eastAsia" w:ascii="宋体" w:hAnsi="宋体" w:cs="宋体"/>
                <w:color w:val="000000"/>
                <w:sz w:val="24"/>
                <w:highlight w:val="none"/>
              </w:rPr>
            </w:pPr>
          </w:p>
        </w:tc>
        <w:tc>
          <w:tcPr>
            <w:tcW w:w="3373" w:type="dxa"/>
            <w:noWrap w:val="0"/>
            <w:vAlign w:val="center"/>
          </w:tcPr>
          <w:p>
            <w:pPr>
              <w:shd w:val="clear" w:color="auto" w:fill="auto"/>
              <w:spacing w:line="360" w:lineRule="auto"/>
              <w:jc w:val="center"/>
              <w:rPr>
                <w:rFonts w:hint="eastAsia"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92" w:type="dxa"/>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5</w:t>
            </w:r>
          </w:p>
        </w:tc>
        <w:tc>
          <w:tcPr>
            <w:tcW w:w="1175"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1347"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2760"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1920"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1733" w:type="dxa"/>
            <w:noWrap w:val="0"/>
            <w:vAlign w:val="center"/>
          </w:tcPr>
          <w:p>
            <w:pPr>
              <w:shd w:val="clear" w:color="auto" w:fill="auto"/>
              <w:spacing w:line="360" w:lineRule="auto"/>
              <w:jc w:val="center"/>
              <w:rPr>
                <w:rFonts w:hint="eastAsia" w:ascii="宋体" w:hAnsi="宋体" w:cs="宋体"/>
                <w:color w:val="000000"/>
                <w:sz w:val="24"/>
                <w:highlight w:val="none"/>
              </w:rPr>
            </w:pPr>
          </w:p>
        </w:tc>
        <w:tc>
          <w:tcPr>
            <w:tcW w:w="1867" w:type="dxa"/>
            <w:noWrap w:val="0"/>
            <w:vAlign w:val="center"/>
          </w:tcPr>
          <w:p>
            <w:pPr>
              <w:shd w:val="clear" w:color="auto" w:fill="auto"/>
              <w:spacing w:line="360" w:lineRule="auto"/>
              <w:jc w:val="center"/>
              <w:rPr>
                <w:rFonts w:hint="eastAsia" w:ascii="宋体" w:hAnsi="宋体" w:cs="宋体"/>
                <w:color w:val="000000"/>
                <w:sz w:val="24"/>
                <w:highlight w:val="none"/>
              </w:rPr>
            </w:pPr>
          </w:p>
        </w:tc>
        <w:tc>
          <w:tcPr>
            <w:tcW w:w="3373" w:type="dxa"/>
            <w:noWrap w:val="0"/>
            <w:vAlign w:val="center"/>
          </w:tcPr>
          <w:p>
            <w:pPr>
              <w:shd w:val="clear" w:color="auto" w:fill="auto"/>
              <w:spacing w:line="360" w:lineRule="auto"/>
              <w:jc w:val="center"/>
              <w:rPr>
                <w:rFonts w:hint="eastAsia"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674" w:type="dxa"/>
            <w:gridSpan w:val="4"/>
            <w:noWrap w:val="0"/>
            <w:vAlign w:val="center"/>
          </w:tcPr>
          <w:p>
            <w:pPr>
              <w:shd w:val="clear" w:color="auto" w:fill="auto"/>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投标报价（小写）</w:t>
            </w:r>
          </w:p>
        </w:tc>
        <w:tc>
          <w:tcPr>
            <w:tcW w:w="8893" w:type="dxa"/>
            <w:gridSpan w:val="4"/>
            <w:noWrap w:val="0"/>
            <w:vAlign w:val="center"/>
          </w:tcPr>
          <w:p>
            <w:pPr>
              <w:shd w:val="clear" w:color="auto" w:fill="auto"/>
              <w:spacing w:line="360" w:lineRule="auto"/>
              <w:jc w:val="center"/>
              <w:rPr>
                <w:rFonts w:hint="eastAsia"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7" w:hRule="atLeast"/>
        </w:trPr>
        <w:tc>
          <w:tcPr>
            <w:tcW w:w="5674" w:type="dxa"/>
            <w:gridSpan w:val="4"/>
            <w:noWrap w:val="0"/>
            <w:vAlign w:val="center"/>
          </w:tcPr>
          <w:p>
            <w:pPr>
              <w:shd w:val="clear" w:color="auto" w:fill="auto"/>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投标报价（大写）</w:t>
            </w:r>
          </w:p>
        </w:tc>
        <w:tc>
          <w:tcPr>
            <w:tcW w:w="8893" w:type="dxa"/>
            <w:gridSpan w:val="4"/>
            <w:noWrap w:val="0"/>
            <w:vAlign w:val="center"/>
          </w:tcPr>
          <w:p>
            <w:pPr>
              <w:shd w:val="clear" w:color="auto" w:fill="auto"/>
              <w:spacing w:line="360" w:lineRule="auto"/>
              <w:jc w:val="center"/>
              <w:rPr>
                <w:rFonts w:hint="eastAsia" w:ascii="宋体" w:hAnsi="宋体" w:cs="宋体"/>
                <w:color w:val="000000"/>
                <w:sz w:val="24"/>
                <w:highlight w:val="none"/>
              </w:rPr>
            </w:pPr>
          </w:p>
        </w:tc>
      </w:tr>
    </w:tbl>
    <w:p>
      <w:pPr>
        <w:shd w:val="clear" w:color="auto" w:fill="auto"/>
        <w:snapToGrid w:val="0"/>
        <w:spacing w:line="360" w:lineRule="auto"/>
        <w:ind w:left="480"/>
        <w:rPr>
          <w:rFonts w:hint="eastAsia" w:ascii="宋体" w:hAnsi="宋体" w:cs="宋体"/>
          <w:b/>
          <w:color w:val="000000"/>
          <w:kern w:val="0"/>
          <w:sz w:val="24"/>
          <w:highlight w:val="none"/>
          <w:lang w:val="zh-CN"/>
        </w:rPr>
      </w:pPr>
      <w:r>
        <w:rPr>
          <w:rFonts w:hint="eastAsia" w:ascii="宋体" w:hAnsi="宋体" w:cs="宋体"/>
          <w:b/>
          <w:color w:val="000000"/>
          <w:kern w:val="0"/>
          <w:sz w:val="24"/>
          <w:highlight w:val="none"/>
          <w:lang w:val="zh-CN"/>
        </w:rPr>
        <w:t>注：</w:t>
      </w:r>
    </w:p>
    <w:p>
      <w:pPr>
        <w:shd w:val="clear" w:color="auto" w:fill="auto"/>
        <w:spacing w:line="360" w:lineRule="auto"/>
        <w:ind w:left="-2" w:leftChars="-1" w:firstLine="480" w:firstLineChars="200"/>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1、投标人需按本表格式填写，不得自行更改。</w:t>
      </w:r>
    </w:p>
    <w:p>
      <w:pPr>
        <w:shd w:val="clear" w:color="auto" w:fill="auto"/>
        <w:snapToGrid w:val="0"/>
        <w:spacing w:line="360" w:lineRule="auto"/>
        <w:ind w:left="480"/>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2、有关本项目实施所涉及的一切费用（详见前附表）均计入报价。</w:t>
      </w:r>
      <w:r>
        <w:rPr>
          <w:rFonts w:hint="eastAsia" w:ascii="宋体" w:hAnsi="宋体" w:cs="宋体"/>
          <w:b/>
          <w:bCs/>
          <w:color w:val="000000"/>
          <w:kern w:val="0"/>
          <w:sz w:val="24"/>
          <w:highlight w:val="none"/>
          <w:lang w:val="zh-CN"/>
        </w:rPr>
        <w:t>采购人将以合同形式有偿取得货物或服务，不接受投标人给予的赠品、回扣或者与采购无关的其他商品、服务，各项明细费用请按实填写（不得出现“0元”“免费赠送”等形式的无偿报价）。</w:t>
      </w:r>
    </w:p>
    <w:p>
      <w:pPr>
        <w:shd w:val="clear" w:color="auto" w:fill="auto"/>
        <w:snapToGrid w:val="0"/>
        <w:spacing w:line="360" w:lineRule="auto"/>
        <w:ind w:firstLine="480" w:firstLineChars="200"/>
        <w:jc w:val="left"/>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3、以上表格要求细分项目及报价，在“规格型号或具体服务</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”一栏中，货物类项目填写规格型号，服务类项目填写具体服务。</w:t>
      </w:r>
    </w:p>
    <w:p>
      <w:pPr>
        <w:shd w:val="clear" w:color="auto" w:fill="auto"/>
        <w:snapToGrid w:val="0"/>
        <w:spacing w:line="360" w:lineRule="auto"/>
        <w:ind w:firstLine="480" w:firstLineChars="200"/>
        <w:jc w:val="left"/>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4、特别提示：采购机构将对项目名称和项目编号，中标供应商名称、地址和中标金额，主要中标标的的名称、规格型号、数量、单价、服务要求等予以公示。</w:t>
      </w:r>
    </w:p>
    <w:p>
      <w:pPr>
        <w:shd w:val="clear" w:color="auto" w:fill="auto"/>
        <w:spacing w:line="360" w:lineRule="auto"/>
        <w:ind w:firstLine="480" w:firstLineChars="200"/>
        <w:rPr>
          <w:rFonts w:hint="eastAsia" w:ascii="宋体" w:hAnsi="宋体" w:cs="宋体"/>
          <w:color w:val="000000"/>
          <w:kern w:val="0"/>
          <w:sz w:val="24"/>
          <w:highlight w:val="none"/>
        </w:rPr>
      </w:pPr>
      <w:r>
        <w:rPr>
          <w:rFonts w:hint="eastAsia" w:ascii="宋体" w:hAnsi="宋体" w:cs="宋体"/>
          <w:color w:val="000000"/>
          <w:kern w:val="0"/>
          <w:sz w:val="24"/>
          <w:highlight w:val="none"/>
        </w:rPr>
        <w:t>5、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hd w:val="clear" w:color="auto" w:fill="auto"/>
        <w:spacing w:line="360" w:lineRule="auto"/>
        <w:ind w:firstLine="480" w:firstLineChars="200"/>
        <w:rPr>
          <w:rFonts w:hint="eastAsia" w:ascii="宋体" w:hAnsi="宋体" w:cs="宋体"/>
          <w:color w:val="000000"/>
          <w:kern w:val="0"/>
          <w:sz w:val="24"/>
          <w:highlight w:val="none"/>
          <w:lang w:val="zh-CN"/>
        </w:rPr>
      </w:pPr>
      <w:r>
        <w:rPr>
          <w:rFonts w:hint="eastAsia" w:ascii="宋体" w:hAnsi="宋体" w:cs="宋体"/>
          <w:color w:val="000000"/>
          <w:kern w:val="0"/>
          <w:sz w:val="24"/>
          <w:highlight w:val="none"/>
        </w:rPr>
        <w:t xml:space="preserve"> </w:t>
      </w:r>
    </w:p>
    <w:p>
      <w:pPr>
        <w:shd w:val="clear" w:color="auto" w:fill="auto"/>
        <w:snapToGrid w:val="0"/>
        <w:spacing w:line="360" w:lineRule="auto"/>
        <w:ind w:firstLine="482" w:firstLineChars="200"/>
        <w:jc w:val="right"/>
        <w:rPr>
          <w:rFonts w:hint="eastAsia" w:ascii="宋体" w:hAnsi="宋体" w:cs="宋体"/>
          <w:b/>
          <w:color w:val="000000"/>
          <w:kern w:val="0"/>
          <w:sz w:val="24"/>
          <w:highlight w:val="none"/>
        </w:rPr>
      </w:pPr>
    </w:p>
    <w:p>
      <w:pPr>
        <w:shd w:val="clear" w:color="auto" w:fill="auto"/>
        <w:spacing w:line="360" w:lineRule="auto"/>
        <w:ind w:right="960" w:firstLine="10440" w:firstLineChars="4350"/>
        <w:rPr>
          <w:rFonts w:hint="eastAsia" w:ascii="宋体" w:hAnsi="宋体" w:cs="宋体"/>
          <w:color w:val="000000"/>
          <w:sz w:val="24"/>
          <w:highlight w:val="none"/>
        </w:rPr>
      </w:pPr>
      <w:r>
        <w:rPr>
          <w:rFonts w:hint="eastAsia" w:ascii="宋体" w:hAnsi="宋体" w:cs="宋体"/>
          <w:color w:val="000000"/>
          <w:sz w:val="24"/>
          <w:highlight w:val="none"/>
        </w:rPr>
        <w:t>投标人名称（公章）：</w:t>
      </w:r>
    </w:p>
    <w:p>
      <w:pPr>
        <w:shd w:val="clear" w:color="auto" w:fill="auto"/>
        <w:spacing w:line="360" w:lineRule="auto"/>
        <w:jc w:val="right"/>
        <w:rPr>
          <w:rFonts w:hint="eastAsia" w:ascii="宋体" w:hAnsi="宋体" w:cs="宋体"/>
          <w:color w:val="000000"/>
          <w:sz w:val="24"/>
          <w:highlight w:val="none"/>
        </w:rPr>
      </w:pPr>
      <w:r>
        <w:rPr>
          <w:rFonts w:hint="eastAsia" w:ascii="宋体" w:hAnsi="宋体" w:cs="宋体"/>
          <w:color w:val="000000"/>
          <w:sz w:val="24"/>
          <w:highlight w:val="none"/>
        </w:rPr>
        <w:t>日期：  年   月   日</w:t>
      </w:r>
    </w:p>
    <w:bookmarkEnd w:id="456"/>
    <w:p>
      <w:pPr>
        <w:shd w:val="clear" w:color="auto" w:fill="auto"/>
        <w:spacing w:line="360" w:lineRule="auto"/>
        <w:outlineLvl w:val="0"/>
        <w:rPr>
          <w:rFonts w:hint="eastAsia" w:ascii="宋体" w:hAnsi="宋体" w:cs="宋体"/>
          <w:color w:val="000000"/>
          <w:sz w:val="24"/>
          <w:szCs w:val="36"/>
          <w:highlight w:val="none"/>
          <w:lang w:val="zh-CN"/>
        </w:rPr>
      </w:pPr>
    </w:p>
    <w:p>
      <w:pPr>
        <w:shd w:val="clear" w:color="auto" w:fill="auto"/>
        <w:spacing w:line="360" w:lineRule="auto"/>
        <w:jc w:val="center"/>
        <w:outlineLvl w:val="0"/>
        <w:rPr>
          <w:rFonts w:hint="eastAsia" w:ascii="宋体" w:hAnsi="宋体" w:cs="宋体"/>
          <w:color w:val="000000"/>
          <w:sz w:val="36"/>
          <w:szCs w:val="36"/>
          <w:highlight w:val="none"/>
          <w:lang w:val="zh-CN"/>
        </w:rPr>
      </w:pPr>
    </w:p>
    <w:p>
      <w:pPr>
        <w:shd w:val="clear" w:color="auto" w:fill="auto"/>
        <w:spacing w:line="360" w:lineRule="auto"/>
        <w:jc w:val="center"/>
        <w:outlineLvl w:val="0"/>
        <w:rPr>
          <w:rFonts w:hint="eastAsia" w:ascii="宋体" w:hAnsi="宋体" w:cs="宋体"/>
          <w:color w:val="000000"/>
          <w:sz w:val="36"/>
          <w:szCs w:val="36"/>
          <w:highlight w:val="none"/>
          <w:lang w:val="zh-CN"/>
        </w:rPr>
        <w:sectPr>
          <w:pgSz w:w="16838" w:h="11906" w:orient="landscape"/>
          <w:pgMar w:top="1418" w:right="1276" w:bottom="1418" w:left="1247" w:header="851" w:footer="992" w:gutter="0"/>
          <w:cols w:space="720" w:num="1"/>
          <w:titlePg/>
          <w:docGrid w:linePitch="312" w:charSpace="0"/>
        </w:sectPr>
      </w:pPr>
    </w:p>
    <w:p>
      <w:pPr>
        <w:pStyle w:val="587"/>
        <w:keepNext w:val="0"/>
        <w:pageBreakBefore w:val="0"/>
        <w:shd w:val="clear" w:color="auto" w:fill="auto"/>
        <w:tabs>
          <w:tab w:val="clear" w:pos="720"/>
        </w:tabs>
        <w:snapToGrid w:val="0"/>
        <w:ind w:firstLine="640"/>
        <w:outlineLvl w:val="9"/>
        <w:rPr>
          <w:rFonts w:hint="eastAsia" w:ascii="宋体" w:hAnsi="宋体" w:eastAsia="宋体" w:cs="宋体"/>
          <w:color w:val="000000"/>
          <w:kern w:val="2"/>
          <w:sz w:val="32"/>
          <w:szCs w:val="32"/>
          <w:highlight w:val="none"/>
        </w:rPr>
      </w:pPr>
      <w:r>
        <w:rPr>
          <w:rFonts w:hint="eastAsia" w:ascii="宋体" w:hAnsi="宋体" w:eastAsia="宋体" w:cs="宋体"/>
          <w:color w:val="000000"/>
          <w:kern w:val="2"/>
          <w:sz w:val="32"/>
          <w:szCs w:val="32"/>
          <w:highlight w:val="none"/>
        </w:rPr>
        <w:t>三、中小企业声明函</w:t>
      </w:r>
    </w:p>
    <w:p>
      <w:pPr>
        <w:widowControl/>
        <w:shd w:val="clear" w:color="auto" w:fill="auto"/>
        <w:jc w:val="left"/>
        <w:rPr>
          <w:rFonts w:hint="eastAsia" w:ascii="宋体" w:hAnsi="宋体" w:cs="宋体"/>
          <w:color w:val="000000"/>
          <w:highlight w:val="none"/>
        </w:rPr>
      </w:pPr>
    </w:p>
    <w:p>
      <w:pPr>
        <w:widowControl/>
        <w:shd w:val="clear" w:color="auto" w:fill="auto"/>
        <w:ind w:firstLine="2891" w:firstLineChars="800"/>
        <w:jc w:val="left"/>
        <w:rPr>
          <w:rFonts w:hint="eastAsia" w:ascii="宋体" w:hAnsi="宋体" w:cs="宋体"/>
          <w:color w:val="000000"/>
          <w:highlight w:val="none"/>
        </w:rPr>
      </w:pPr>
      <w:r>
        <w:rPr>
          <w:rFonts w:hint="eastAsia" w:ascii="宋体" w:hAnsi="宋体" w:cs="宋体"/>
          <w:b/>
          <w:color w:val="000000"/>
          <w:kern w:val="0"/>
          <w:sz w:val="36"/>
          <w:szCs w:val="36"/>
          <w:highlight w:val="none"/>
          <w:lang w:bidi="ar"/>
        </w:rPr>
        <w:t xml:space="preserve">中小企业声明函（货物） </w:t>
      </w:r>
    </w:p>
    <w:p>
      <w:pPr>
        <w:widowControl/>
        <w:shd w:val="clear" w:color="auto" w:fill="auto"/>
        <w:ind w:firstLine="930" w:firstLineChars="300"/>
        <w:jc w:val="left"/>
        <w:rPr>
          <w:rFonts w:hint="eastAsia" w:ascii="宋体" w:hAnsi="宋体" w:cs="宋体"/>
          <w:color w:val="000000"/>
          <w:kern w:val="0"/>
          <w:sz w:val="31"/>
          <w:szCs w:val="31"/>
          <w:highlight w:val="none"/>
          <w:lang w:bidi="ar"/>
        </w:rPr>
      </w:pPr>
    </w:p>
    <w:p>
      <w:pPr>
        <w:widowControl/>
        <w:shd w:val="clear" w:color="auto" w:fill="auto"/>
        <w:ind w:firstLine="930" w:firstLineChars="300"/>
        <w:jc w:val="left"/>
        <w:rPr>
          <w:rFonts w:hint="eastAsia" w:ascii="宋体" w:hAnsi="宋体" w:cs="宋体"/>
          <w:color w:val="000000"/>
          <w:highlight w:val="none"/>
        </w:rPr>
      </w:pPr>
      <w:r>
        <w:rPr>
          <w:rFonts w:hint="eastAsia" w:ascii="宋体" w:hAnsi="宋体" w:cs="宋体"/>
          <w:color w:val="000000"/>
          <w:kern w:val="0"/>
          <w:sz w:val="31"/>
          <w:szCs w:val="31"/>
          <w:highlight w:val="none"/>
          <w:lang w:bidi="ar"/>
        </w:rPr>
        <w:t>本公司（联合体）郑重声明，根据《政府采购促进中小企业发展管理办法》（财库﹝2020﹞46 号）的规定，本公司（联合体）参加</w:t>
      </w:r>
      <w:r>
        <w:rPr>
          <w:rFonts w:hint="eastAsia" w:ascii="宋体" w:hAnsi="宋体" w:cs="宋体"/>
          <w:color w:val="000000"/>
          <w:kern w:val="0"/>
          <w:sz w:val="32"/>
          <w:szCs w:val="32"/>
          <w:highlight w:val="none"/>
          <w:u w:val="single"/>
          <w:lang w:bidi="ar"/>
        </w:rPr>
        <w:t>（单位名称）</w:t>
      </w:r>
      <w:r>
        <w:rPr>
          <w:rFonts w:hint="eastAsia" w:ascii="宋体" w:hAnsi="宋体" w:cs="宋体"/>
          <w:color w:val="000000"/>
          <w:kern w:val="0"/>
          <w:sz w:val="31"/>
          <w:szCs w:val="31"/>
          <w:highlight w:val="none"/>
          <w:lang w:bidi="ar"/>
        </w:rPr>
        <w:t>的</w:t>
      </w:r>
      <w:r>
        <w:rPr>
          <w:rFonts w:hint="eastAsia" w:ascii="宋体" w:hAnsi="宋体" w:cs="宋体"/>
          <w:color w:val="000000"/>
          <w:kern w:val="0"/>
          <w:sz w:val="32"/>
          <w:szCs w:val="32"/>
          <w:highlight w:val="none"/>
          <w:u w:val="single"/>
          <w:lang w:bidi="ar"/>
        </w:rPr>
        <w:t>（项目名称）</w:t>
      </w:r>
      <w:r>
        <w:rPr>
          <w:rFonts w:hint="eastAsia" w:ascii="宋体" w:hAnsi="宋体" w:cs="宋体"/>
          <w:color w:val="000000"/>
          <w:kern w:val="0"/>
          <w:sz w:val="31"/>
          <w:szCs w:val="31"/>
          <w:highlight w:val="none"/>
          <w:lang w:bidi="ar"/>
        </w:rPr>
        <w:t xml:space="preserve">采购活动，提供的货物全部由符合政策要求的中小企业制造。相关企业（含联合体中的中小企业、签订分包意向协议的中小企业） 的具体情况如下： </w:t>
      </w:r>
    </w:p>
    <w:p>
      <w:pPr>
        <w:widowControl/>
        <w:shd w:val="clear" w:color="auto" w:fill="auto"/>
        <w:jc w:val="left"/>
        <w:rPr>
          <w:rFonts w:hint="eastAsia" w:ascii="宋体" w:hAnsi="宋体" w:cs="宋体"/>
          <w:color w:val="000000"/>
          <w:highlight w:val="none"/>
        </w:rPr>
      </w:pPr>
      <w:r>
        <w:rPr>
          <w:rFonts w:hint="eastAsia" w:ascii="宋体" w:hAnsi="宋体" w:cs="宋体"/>
          <w:color w:val="000000"/>
          <w:kern w:val="0"/>
          <w:sz w:val="31"/>
          <w:szCs w:val="31"/>
          <w:highlight w:val="none"/>
          <w:lang w:bidi="ar"/>
        </w:rPr>
        <w:t xml:space="preserve">1. </w:t>
      </w:r>
      <w:r>
        <w:rPr>
          <w:rFonts w:hint="eastAsia" w:ascii="宋体" w:hAnsi="宋体" w:cs="宋体"/>
          <w:color w:val="000000"/>
          <w:kern w:val="0"/>
          <w:sz w:val="32"/>
          <w:szCs w:val="32"/>
          <w:highlight w:val="none"/>
          <w:u w:val="single"/>
          <w:lang w:bidi="ar"/>
        </w:rPr>
        <w:t xml:space="preserve">（标的名称） </w:t>
      </w:r>
      <w:r>
        <w:rPr>
          <w:rFonts w:hint="eastAsia" w:ascii="宋体" w:hAnsi="宋体" w:cs="宋体"/>
          <w:color w:val="000000"/>
          <w:kern w:val="0"/>
          <w:sz w:val="31"/>
          <w:szCs w:val="31"/>
          <w:highlight w:val="none"/>
          <w:lang w:bidi="ar"/>
        </w:rPr>
        <w:t>，属于</w:t>
      </w:r>
      <w:r>
        <w:rPr>
          <w:rFonts w:hint="eastAsia" w:ascii="宋体" w:hAnsi="宋体" w:cs="宋体"/>
          <w:color w:val="000000"/>
          <w:kern w:val="0"/>
          <w:sz w:val="32"/>
          <w:szCs w:val="32"/>
          <w:highlight w:val="none"/>
          <w:u w:val="single"/>
          <w:lang w:bidi="ar"/>
        </w:rPr>
        <w:t>（采购文件中明确的所属行业）</w:t>
      </w:r>
      <w:r>
        <w:rPr>
          <w:rFonts w:hint="eastAsia" w:ascii="宋体" w:hAnsi="宋体" w:cs="宋体"/>
          <w:color w:val="000000"/>
          <w:kern w:val="0"/>
          <w:sz w:val="32"/>
          <w:szCs w:val="32"/>
          <w:highlight w:val="none"/>
          <w:lang w:bidi="ar"/>
        </w:rPr>
        <w:t>行业</w:t>
      </w:r>
      <w:r>
        <w:rPr>
          <w:rFonts w:hint="eastAsia" w:ascii="宋体" w:hAnsi="宋体" w:cs="宋体"/>
          <w:color w:val="000000"/>
          <w:kern w:val="0"/>
          <w:sz w:val="31"/>
          <w:szCs w:val="31"/>
          <w:highlight w:val="none"/>
          <w:lang w:bidi="ar"/>
        </w:rPr>
        <w:t>；制造商为</w:t>
      </w:r>
      <w:r>
        <w:rPr>
          <w:rFonts w:hint="eastAsia" w:ascii="宋体" w:hAnsi="宋体" w:cs="宋体"/>
          <w:color w:val="000000"/>
          <w:kern w:val="0"/>
          <w:sz w:val="32"/>
          <w:szCs w:val="32"/>
          <w:highlight w:val="none"/>
          <w:u w:val="single"/>
          <w:lang w:bidi="ar"/>
        </w:rPr>
        <w:t>（企业名称）</w:t>
      </w:r>
      <w:r>
        <w:rPr>
          <w:rFonts w:hint="eastAsia" w:ascii="宋体" w:hAnsi="宋体" w:cs="宋体"/>
          <w:color w:val="000000"/>
          <w:kern w:val="0"/>
          <w:sz w:val="31"/>
          <w:szCs w:val="31"/>
          <w:highlight w:val="none"/>
          <w:lang w:bidi="ar"/>
        </w:rPr>
        <w:t>，从业人员</w:t>
      </w:r>
      <w:r>
        <w:rPr>
          <w:rFonts w:hint="eastAsia" w:ascii="宋体" w:hAnsi="宋体" w:cs="宋体"/>
          <w:color w:val="000000"/>
          <w:kern w:val="0"/>
          <w:sz w:val="31"/>
          <w:szCs w:val="31"/>
          <w:highlight w:val="none"/>
          <w:u w:val="single"/>
          <w:lang w:bidi="ar"/>
        </w:rPr>
        <w:t xml:space="preserve">   </w:t>
      </w:r>
      <w:r>
        <w:rPr>
          <w:rFonts w:hint="eastAsia" w:ascii="宋体" w:hAnsi="宋体" w:cs="宋体"/>
          <w:color w:val="000000"/>
          <w:kern w:val="0"/>
          <w:sz w:val="31"/>
          <w:szCs w:val="31"/>
          <w:highlight w:val="none"/>
          <w:lang w:bidi="ar"/>
        </w:rPr>
        <w:t>人，营业收入为</w:t>
      </w:r>
      <w:r>
        <w:rPr>
          <w:rFonts w:hint="eastAsia" w:ascii="宋体" w:hAnsi="宋体" w:cs="宋体"/>
          <w:color w:val="000000"/>
          <w:kern w:val="0"/>
          <w:sz w:val="31"/>
          <w:szCs w:val="31"/>
          <w:highlight w:val="none"/>
          <w:u w:val="single"/>
          <w:lang w:bidi="ar"/>
        </w:rPr>
        <w:t xml:space="preserve">    </w:t>
      </w:r>
      <w:r>
        <w:rPr>
          <w:rFonts w:hint="eastAsia" w:ascii="宋体" w:hAnsi="宋体" w:cs="宋体"/>
          <w:color w:val="000000"/>
          <w:kern w:val="0"/>
          <w:sz w:val="31"/>
          <w:szCs w:val="31"/>
          <w:highlight w:val="none"/>
          <w:lang w:bidi="ar"/>
        </w:rPr>
        <w:t>万元，资产总额为</w:t>
      </w:r>
      <w:r>
        <w:rPr>
          <w:rFonts w:hint="eastAsia" w:ascii="宋体" w:hAnsi="宋体" w:cs="宋体"/>
          <w:color w:val="000000"/>
          <w:kern w:val="0"/>
          <w:sz w:val="31"/>
          <w:szCs w:val="31"/>
          <w:highlight w:val="none"/>
          <w:u w:val="single"/>
          <w:lang w:bidi="ar"/>
        </w:rPr>
        <w:t xml:space="preserve">    </w:t>
      </w:r>
      <w:r>
        <w:rPr>
          <w:rFonts w:hint="eastAsia" w:ascii="宋体" w:hAnsi="宋体" w:cs="宋体"/>
          <w:color w:val="000000"/>
          <w:kern w:val="0"/>
          <w:sz w:val="31"/>
          <w:szCs w:val="31"/>
          <w:highlight w:val="none"/>
          <w:lang w:bidi="ar"/>
        </w:rPr>
        <w:t>万元</w:t>
      </w:r>
      <w:r>
        <w:rPr>
          <w:rFonts w:hint="eastAsia" w:ascii="宋体" w:hAnsi="宋体" w:cs="宋体"/>
          <w:color w:val="000000"/>
          <w:kern w:val="0"/>
          <w:sz w:val="16"/>
          <w:szCs w:val="16"/>
          <w:highlight w:val="none"/>
          <w:lang w:bidi="ar"/>
        </w:rPr>
        <w:t>1</w:t>
      </w:r>
      <w:r>
        <w:rPr>
          <w:rFonts w:hint="eastAsia" w:ascii="宋体" w:hAnsi="宋体" w:cs="宋体"/>
          <w:color w:val="000000"/>
          <w:kern w:val="0"/>
          <w:sz w:val="31"/>
          <w:szCs w:val="31"/>
          <w:highlight w:val="none"/>
          <w:lang w:bidi="ar"/>
        </w:rPr>
        <w:t>，属于</w:t>
      </w:r>
      <w:r>
        <w:rPr>
          <w:rFonts w:hint="eastAsia" w:ascii="宋体" w:hAnsi="宋体" w:cs="宋体"/>
          <w:color w:val="000000"/>
          <w:kern w:val="0"/>
          <w:sz w:val="32"/>
          <w:szCs w:val="32"/>
          <w:highlight w:val="none"/>
          <w:u w:val="single"/>
          <w:lang w:bidi="ar"/>
        </w:rPr>
        <w:t>（中型企业、小 型企业、微型企业）</w:t>
      </w:r>
      <w:r>
        <w:rPr>
          <w:rFonts w:hint="eastAsia" w:ascii="宋体" w:hAnsi="宋体" w:cs="宋体"/>
          <w:color w:val="000000"/>
          <w:kern w:val="0"/>
          <w:sz w:val="31"/>
          <w:szCs w:val="31"/>
          <w:highlight w:val="none"/>
          <w:lang w:bidi="ar"/>
        </w:rPr>
        <w:t xml:space="preserve">； </w:t>
      </w:r>
    </w:p>
    <w:p>
      <w:pPr>
        <w:widowControl/>
        <w:shd w:val="clear" w:color="auto" w:fill="auto"/>
        <w:jc w:val="left"/>
        <w:rPr>
          <w:rFonts w:hint="eastAsia" w:ascii="宋体" w:hAnsi="宋体" w:cs="宋体"/>
          <w:color w:val="000000"/>
          <w:highlight w:val="none"/>
        </w:rPr>
      </w:pPr>
      <w:r>
        <w:rPr>
          <w:rFonts w:hint="eastAsia" w:ascii="宋体" w:hAnsi="宋体" w:cs="宋体"/>
          <w:color w:val="000000"/>
          <w:kern w:val="0"/>
          <w:sz w:val="31"/>
          <w:szCs w:val="31"/>
          <w:highlight w:val="none"/>
          <w:lang w:bidi="ar"/>
        </w:rPr>
        <w:t>2.</w:t>
      </w:r>
      <w:r>
        <w:rPr>
          <w:rFonts w:hint="eastAsia" w:ascii="宋体" w:hAnsi="宋体" w:cs="宋体"/>
          <w:color w:val="000000"/>
          <w:kern w:val="0"/>
          <w:sz w:val="31"/>
          <w:szCs w:val="31"/>
          <w:highlight w:val="none"/>
          <w:u w:val="single"/>
          <w:lang w:bidi="ar"/>
        </w:rPr>
        <w:t xml:space="preserve"> </w:t>
      </w:r>
      <w:r>
        <w:rPr>
          <w:rFonts w:hint="eastAsia" w:ascii="宋体" w:hAnsi="宋体" w:cs="宋体"/>
          <w:color w:val="000000"/>
          <w:kern w:val="0"/>
          <w:sz w:val="32"/>
          <w:szCs w:val="32"/>
          <w:highlight w:val="none"/>
          <w:u w:val="single"/>
          <w:lang w:bidi="ar"/>
        </w:rPr>
        <w:t>（标的名称）</w:t>
      </w:r>
      <w:r>
        <w:rPr>
          <w:rFonts w:hint="eastAsia" w:ascii="宋体" w:hAnsi="宋体" w:cs="宋体"/>
          <w:color w:val="000000"/>
          <w:kern w:val="0"/>
          <w:sz w:val="32"/>
          <w:szCs w:val="32"/>
          <w:highlight w:val="none"/>
          <w:lang w:bidi="ar"/>
        </w:rPr>
        <w:t xml:space="preserve"> </w:t>
      </w:r>
      <w:r>
        <w:rPr>
          <w:rFonts w:hint="eastAsia" w:ascii="宋体" w:hAnsi="宋体" w:cs="宋体"/>
          <w:color w:val="000000"/>
          <w:kern w:val="0"/>
          <w:sz w:val="31"/>
          <w:szCs w:val="31"/>
          <w:highlight w:val="none"/>
          <w:lang w:bidi="ar"/>
        </w:rPr>
        <w:t>，属于</w:t>
      </w:r>
      <w:r>
        <w:rPr>
          <w:rFonts w:hint="eastAsia" w:ascii="宋体" w:hAnsi="宋体" w:cs="宋体"/>
          <w:color w:val="000000"/>
          <w:kern w:val="0"/>
          <w:sz w:val="32"/>
          <w:szCs w:val="32"/>
          <w:highlight w:val="none"/>
          <w:u w:val="single"/>
          <w:lang w:bidi="ar"/>
        </w:rPr>
        <w:t xml:space="preserve">（采购文件中明确的所属行业） </w:t>
      </w:r>
      <w:r>
        <w:rPr>
          <w:rFonts w:hint="eastAsia" w:ascii="宋体" w:hAnsi="宋体" w:cs="宋体"/>
          <w:color w:val="000000"/>
          <w:kern w:val="0"/>
          <w:sz w:val="32"/>
          <w:szCs w:val="32"/>
          <w:highlight w:val="none"/>
          <w:lang w:bidi="ar"/>
        </w:rPr>
        <w:t>行业</w:t>
      </w:r>
      <w:r>
        <w:rPr>
          <w:rFonts w:hint="eastAsia" w:ascii="宋体" w:hAnsi="宋体" w:cs="宋体"/>
          <w:color w:val="000000"/>
          <w:kern w:val="0"/>
          <w:sz w:val="31"/>
          <w:szCs w:val="31"/>
          <w:highlight w:val="none"/>
          <w:lang w:bidi="ar"/>
        </w:rPr>
        <w:t>；制造商为</w:t>
      </w:r>
      <w:r>
        <w:rPr>
          <w:rFonts w:hint="eastAsia" w:ascii="宋体" w:hAnsi="宋体" w:cs="宋体"/>
          <w:color w:val="000000"/>
          <w:kern w:val="0"/>
          <w:sz w:val="32"/>
          <w:szCs w:val="32"/>
          <w:highlight w:val="none"/>
          <w:u w:val="single"/>
          <w:lang w:bidi="ar"/>
        </w:rPr>
        <w:t>（企业名称）</w:t>
      </w:r>
      <w:r>
        <w:rPr>
          <w:rFonts w:hint="eastAsia" w:ascii="宋体" w:hAnsi="宋体" w:cs="宋体"/>
          <w:color w:val="000000"/>
          <w:kern w:val="0"/>
          <w:sz w:val="31"/>
          <w:szCs w:val="31"/>
          <w:highlight w:val="none"/>
          <w:lang w:bidi="ar"/>
        </w:rPr>
        <w:t>，从业人员</w:t>
      </w:r>
      <w:r>
        <w:rPr>
          <w:rFonts w:hint="eastAsia" w:ascii="宋体" w:hAnsi="宋体" w:cs="宋体"/>
          <w:color w:val="000000"/>
          <w:kern w:val="0"/>
          <w:sz w:val="31"/>
          <w:szCs w:val="31"/>
          <w:highlight w:val="none"/>
          <w:u w:val="single"/>
          <w:lang w:bidi="ar"/>
        </w:rPr>
        <w:t xml:space="preserve">    </w:t>
      </w:r>
      <w:r>
        <w:rPr>
          <w:rFonts w:hint="eastAsia" w:ascii="宋体" w:hAnsi="宋体" w:cs="宋体"/>
          <w:color w:val="000000"/>
          <w:kern w:val="0"/>
          <w:sz w:val="31"/>
          <w:szCs w:val="31"/>
          <w:highlight w:val="none"/>
          <w:lang w:bidi="ar"/>
        </w:rPr>
        <w:t>人，营业收入为</w:t>
      </w:r>
      <w:r>
        <w:rPr>
          <w:rFonts w:hint="eastAsia" w:ascii="宋体" w:hAnsi="宋体" w:cs="宋体"/>
          <w:color w:val="000000"/>
          <w:kern w:val="0"/>
          <w:sz w:val="31"/>
          <w:szCs w:val="31"/>
          <w:highlight w:val="none"/>
          <w:u w:val="single"/>
          <w:lang w:bidi="ar"/>
        </w:rPr>
        <w:t xml:space="preserve">   </w:t>
      </w:r>
      <w:r>
        <w:rPr>
          <w:rFonts w:hint="eastAsia" w:ascii="宋体" w:hAnsi="宋体" w:cs="宋体"/>
          <w:color w:val="000000"/>
          <w:kern w:val="0"/>
          <w:sz w:val="31"/>
          <w:szCs w:val="31"/>
          <w:highlight w:val="none"/>
          <w:lang w:bidi="ar"/>
        </w:rPr>
        <w:t>万元，资产总额为</w:t>
      </w:r>
      <w:r>
        <w:rPr>
          <w:rFonts w:hint="eastAsia" w:ascii="宋体" w:hAnsi="宋体" w:cs="宋体"/>
          <w:color w:val="000000"/>
          <w:kern w:val="0"/>
          <w:sz w:val="31"/>
          <w:szCs w:val="31"/>
          <w:highlight w:val="none"/>
          <w:u w:val="single"/>
          <w:lang w:bidi="ar"/>
        </w:rPr>
        <w:t xml:space="preserve">   </w:t>
      </w:r>
      <w:r>
        <w:rPr>
          <w:rFonts w:hint="eastAsia" w:ascii="宋体" w:hAnsi="宋体" w:cs="宋体"/>
          <w:color w:val="000000"/>
          <w:kern w:val="0"/>
          <w:sz w:val="31"/>
          <w:szCs w:val="31"/>
          <w:highlight w:val="none"/>
          <w:lang w:bidi="ar"/>
        </w:rPr>
        <w:t>万元，属于</w:t>
      </w:r>
      <w:r>
        <w:rPr>
          <w:rFonts w:hint="eastAsia" w:ascii="宋体" w:hAnsi="宋体" w:cs="宋体"/>
          <w:color w:val="000000"/>
          <w:kern w:val="0"/>
          <w:sz w:val="32"/>
          <w:szCs w:val="32"/>
          <w:highlight w:val="none"/>
          <w:u w:val="single"/>
          <w:lang w:bidi="ar"/>
        </w:rPr>
        <w:t>（中型企业、小型企业、微型企业）</w:t>
      </w:r>
      <w:r>
        <w:rPr>
          <w:rFonts w:hint="eastAsia" w:ascii="宋体" w:hAnsi="宋体" w:cs="宋体"/>
          <w:color w:val="000000"/>
          <w:kern w:val="0"/>
          <w:sz w:val="31"/>
          <w:szCs w:val="31"/>
          <w:highlight w:val="none"/>
          <w:lang w:bidi="ar"/>
        </w:rPr>
        <w:t xml:space="preserve">； </w:t>
      </w:r>
    </w:p>
    <w:p>
      <w:pPr>
        <w:widowControl/>
        <w:shd w:val="clear" w:color="auto" w:fill="auto"/>
        <w:jc w:val="left"/>
        <w:rPr>
          <w:rFonts w:hint="eastAsia" w:ascii="宋体" w:hAnsi="宋体" w:cs="宋体"/>
          <w:color w:val="000000"/>
          <w:highlight w:val="none"/>
        </w:rPr>
      </w:pPr>
      <w:r>
        <w:rPr>
          <w:rFonts w:hint="eastAsia" w:ascii="宋体" w:hAnsi="宋体" w:cs="宋体"/>
          <w:color w:val="000000"/>
          <w:kern w:val="0"/>
          <w:sz w:val="31"/>
          <w:szCs w:val="31"/>
          <w:highlight w:val="none"/>
          <w:lang w:bidi="ar"/>
        </w:rPr>
        <w:t>……</w:t>
      </w:r>
    </w:p>
    <w:p>
      <w:pPr>
        <w:widowControl/>
        <w:shd w:val="clear" w:color="auto" w:fill="auto"/>
        <w:jc w:val="left"/>
        <w:rPr>
          <w:rFonts w:hint="eastAsia" w:ascii="宋体" w:hAnsi="宋体" w:cs="宋体"/>
          <w:color w:val="000000"/>
          <w:highlight w:val="none"/>
        </w:rPr>
      </w:pPr>
      <w:r>
        <w:rPr>
          <w:rFonts w:hint="eastAsia" w:ascii="宋体" w:hAnsi="宋体" w:cs="宋体"/>
          <w:color w:val="000000"/>
          <w:kern w:val="0"/>
          <w:sz w:val="31"/>
          <w:szCs w:val="31"/>
          <w:highlight w:val="none"/>
          <w:lang w:bidi="ar"/>
        </w:rPr>
        <w:t>以上企业，不属于大企业的分支机构，不存在控股股东为大企业的情形，也不存在与大企业的负责人为同一人的情形。</w:t>
      </w:r>
    </w:p>
    <w:p>
      <w:pPr>
        <w:widowControl/>
        <w:shd w:val="clear" w:color="auto" w:fill="auto"/>
        <w:jc w:val="left"/>
        <w:rPr>
          <w:rFonts w:hint="eastAsia" w:ascii="宋体" w:hAnsi="宋体" w:cs="宋体"/>
          <w:color w:val="000000"/>
          <w:highlight w:val="none"/>
        </w:rPr>
      </w:pPr>
      <w:r>
        <w:rPr>
          <w:rFonts w:hint="eastAsia" w:ascii="宋体" w:hAnsi="宋体" w:cs="宋体"/>
          <w:color w:val="000000"/>
          <w:kern w:val="0"/>
          <w:sz w:val="31"/>
          <w:szCs w:val="31"/>
          <w:highlight w:val="none"/>
          <w:lang w:bidi="ar"/>
        </w:rPr>
        <w:t xml:space="preserve">本企业对上述声明内容的真实性负责。如有虚假，将依法承担相应责任。 </w:t>
      </w:r>
    </w:p>
    <w:p>
      <w:pPr>
        <w:widowControl/>
        <w:shd w:val="clear" w:color="auto" w:fill="auto"/>
        <w:jc w:val="center"/>
        <w:rPr>
          <w:rFonts w:hint="eastAsia" w:ascii="宋体" w:hAnsi="宋体" w:cs="宋体"/>
          <w:color w:val="000000"/>
          <w:highlight w:val="none"/>
        </w:rPr>
      </w:pPr>
      <w:r>
        <w:rPr>
          <w:rFonts w:hint="eastAsia" w:ascii="宋体" w:hAnsi="宋体" w:cs="宋体"/>
          <w:color w:val="000000"/>
          <w:kern w:val="0"/>
          <w:sz w:val="31"/>
          <w:szCs w:val="31"/>
          <w:highlight w:val="none"/>
          <w:lang w:bidi="ar"/>
        </w:rPr>
        <w:t xml:space="preserve">                               企业名称（盖章）： </w:t>
      </w:r>
    </w:p>
    <w:p>
      <w:pPr>
        <w:widowControl/>
        <w:shd w:val="clear" w:color="auto" w:fill="auto"/>
        <w:jc w:val="center"/>
        <w:rPr>
          <w:rFonts w:hint="eastAsia" w:ascii="宋体" w:hAnsi="宋体" w:cs="宋体"/>
          <w:color w:val="000000"/>
          <w:highlight w:val="none"/>
        </w:rPr>
      </w:pPr>
      <w:r>
        <w:rPr>
          <w:rFonts w:hint="eastAsia" w:ascii="宋体" w:hAnsi="宋体" w:cs="宋体"/>
          <w:color w:val="000000"/>
          <w:kern w:val="0"/>
          <w:sz w:val="31"/>
          <w:szCs w:val="31"/>
          <w:highlight w:val="none"/>
          <w:lang w:bidi="ar"/>
        </w:rPr>
        <w:t xml:space="preserve">                    日 期： </w:t>
      </w:r>
    </w:p>
    <w:p>
      <w:pPr>
        <w:shd w:val="clear" w:color="auto" w:fill="auto"/>
        <w:spacing w:line="360" w:lineRule="auto"/>
        <w:ind w:right="420"/>
        <w:rPr>
          <w:rFonts w:hint="eastAsia" w:ascii="宋体" w:hAnsi="宋体" w:cs="宋体"/>
          <w:b/>
          <w:color w:val="000000"/>
          <w:sz w:val="24"/>
          <w:highlight w:val="none"/>
        </w:rPr>
      </w:pPr>
    </w:p>
    <w:p>
      <w:pPr>
        <w:shd w:val="clear" w:color="auto" w:fill="auto"/>
        <w:spacing w:line="360" w:lineRule="auto"/>
        <w:ind w:right="420"/>
        <w:rPr>
          <w:rFonts w:hint="eastAsia" w:ascii="宋体" w:hAnsi="宋体" w:cs="宋体"/>
          <w:b/>
          <w:color w:val="000000"/>
          <w:sz w:val="24"/>
          <w:highlight w:val="none"/>
        </w:rPr>
      </w:pPr>
      <w:r>
        <w:rPr>
          <w:rFonts w:hint="eastAsia" w:ascii="宋体" w:hAnsi="宋体" w:cs="宋体"/>
          <w:b/>
          <w:color w:val="000000"/>
          <w:sz w:val="24"/>
          <w:highlight w:val="none"/>
        </w:rPr>
        <w:t>从业人员、营业收入、资产总额填报上一年度数据，无上一年度数据的新成立企业可不填报。</w:t>
      </w:r>
    </w:p>
    <w:p>
      <w:pPr>
        <w:shd w:val="clear" w:color="auto" w:fill="auto"/>
        <w:spacing w:line="360" w:lineRule="auto"/>
        <w:ind w:right="420"/>
        <w:rPr>
          <w:rFonts w:hint="eastAsia" w:ascii="宋体" w:hAnsi="宋体" w:cs="宋体"/>
          <w:b/>
          <w:color w:val="000000"/>
          <w:sz w:val="24"/>
          <w:highlight w:val="none"/>
        </w:rPr>
      </w:pPr>
    </w:p>
    <w:p>
      <w:pPr>
        <w:shd w:val="clear" w:color="auto" w:fill="auto"/>
        <w:spacing w:line="360" w:lineRule="auto"/>
        <w:ind w:right="420"/>
        <w:rPr>
          <w:rFonts w:hint="eastAsia" w:ascii="宋体" w:hAnsi="宋体" w:cs="宋体"/>
          <w:b/>
          <w:color w:val="000000"/>
          <w:sz w:val="24"/>
          <w:highlight w:val="none"/>
        </w:rPr>
      </w:pPr>
    </w:p>
    <w:p>
      <w:pPr>
        <w:shd w:val="clear" w:color="auto" w:fill="auto"/>
        <w:spacing w:line="360" w:lineRule="auto"/>
        <w:ind w:right="420"/>
        <w:rPr>
          <w:rFonts w:hint="eastAsia" w:ascii="宋体" w:hAnsi="宋体" w:cs="宋体"/>
          <w:b/>
          <w:color w:val="000000"/>
          <w:sz w:val="24"/>
          <w:highlight w:val="none"/>
        </w:rPr>
      </w:pPr>
    </w:p>
    <w:p>
      <w:pPr>
        <w:shd w:val="clear" w:color="auto" w:fill="auto"/>
        <w:spacing w:line="360" w:lineRule="auto"/>
        <w:ind w:right="420"/>
        <w:rPr>
          <w:rFonts w:hint="eastAsia" w:ascii="宋体" w:hAnsi="宋体" w:cs="宋体"/>
          <w:b/>
          <w:color w:val="000000"/>
          <w:sz w:val="24"/>
          <w:highlight w:val="none"/>
        </w:rPr>
      </w:pPr>
    </w:p>
    <w:p>
      <w:pPr>
        <w:widowControl/>
        <w:shd w:val="clear" w:color="auto" w:fill="auto"/>
        <w:ind w:firstLine="1084" w:firstLineChars="300"/>
        <w:jc w:val="left"/>
        <w:rPr>
          <w:rFonts w:hint="eastAsia" w:ascii="宋体" w:hAnsi="宋体" w:cs="宋体"/>
          <w:b/>
          <w:color w:val="000000"/>
          <w:kern w:val="0"/>
          <w:sz w:val="36"/>
          <w:szCs w:val="36"/>
          <w:highlight w:val="none"/>
          <w:lang w:bidi="ar"/>
        </w:rPr>
      </w:pPr>
    </w:p>
    <w:p>
      <w:pPr>
        <w:widowControl/>
        <w:shd w:val="clear" w:color="auto" w:fill="auto"/>
        <w:ind w:firstLine="1807" w:firstLineChars="500"/>
        <w:jc w:val="left"/>
        <w:rPr>
          <w:rFonts w:hint="eastAsia" w:ascii="宋体" w:hAnsi="宋体" w:cs="宋体"/>
          <w:b/>
          <w:color w:val="000000"/>
          <w:kern w:val="0"/>
          <w:sz w:val="36"/>
          <w:szCs w:val="36"/>
          <w:highlight w:val="none"/>
          <w:lang w:bidi="ar"/>
        </w:rPr>
      </w:pPr>
    </w:p>
    <w:p>
      <w:pPr>
        <w:widowControl/>
        <w:shd w:val="clear" w:color="auto" w:fill="auto"/>
        <w:ind w:firstLine="1807" w:firstLineChars="500"/>
        <w:jc w:val="left"/>
        <w:rPr>
          <w:rFonts w:hint="eastAsia" w:ascii="宋体" w:hAnsi="宋体" w:cs="宋体"/>
          <w:b/>
          <w:color w:val="000000"/>
          <w:kern w:val="0"/>
          <w:sz w:val="36"/>
          <w:szCs w:val="36"/>
          <w:highlight w:val="none"/>
          <w:lang w:bidi="ar"/>
        </w:rPr>
      </w:pPr>
    </w:p>
    <w:p>
      <w:pPr>
        <w:widowControl/>
        <w:shd w:val="clear" w:color="auto" w:fill="auto"/>
        <w:ind w:firstLine="1807" w:firstLineChars="500"/>
        <w:jc w:val="left"/>
        <w:rPr>
          <w:rFonts w:hint="eastAsia" w:ascii="宋体" w:hAnsi="宋体" w:cs="宋体"/>
          <w:color w:val="000000"/>
          <w:highlight w:val="none"/>
        </w:rPr>
      </w:pPr>
      <w:r>
        <w:rPr>
          <w:rFonts w:hint="eastAsia" w:ascii="宋体" w:hAnsi="宋体" w:cs="宋体"/>
          <w:b/>
          <w:color w:val="000000"/>
          <w:kern w:val="0"/>
          <w:sz w:val="36"/>
          <w:szCs w:val="36"/>
          <w:highlight w:val="none"/>
          <w:lang w:bidi="ar"/>
        </w:rPr>
        <w:t xml:space="preserve">中小企业声明函（工程、服务） </w:t>
      </w:r>
    </w:p>
    <w:p>
      <w:pPr>
        <w:widowControl/>
        <w:shd w:val="clear" w:color="auto" w:fill="auto"/>
        <w:ind w:firstLine="930" w:firstLineChars="300"/>
        <w:jc w:val="left"/>
        <w:rPr>
          <w:rFonts w:hint="eastAsia" w:ascii="宋体" w:hAnsi="宋体" w:cs="宋体"/>
          <w:color w:val="000000"/>
          <w:kern w:val="0"/>
          <w:sz w:val="31"/>
          <w:szCs w:val="31"/>
          <w:highlight w:val="none"/>
          <w:lang w:bidi="ar"/>
        </w:rPr>
      </w:pPr>
    </w:p>
    <w:p>
      <w:pPr>
        <w:widowControl/>
        <w:shd w:val="clear" w:color="auto" w:fill="auto"/>
        <w:ind w:firstLine="930" w:firstLineChars="300"/>
        <w:jc w:val="left"/>
        <w:rPr>
          <w:rFonts w:hint="eastAsia" w:ascii="宋体" w:hAnsi="宋体" w:cs="宋体"/>
          <w:color w:val="000000"/>
          <w:highlight w:val="none"/>
        </w:rPr>
      </w:pPr>
      <w:r>
        <w:rPr>
          <w:rFonts w:hint="eastAsia" w:ascii="宋体" w:hAnsi="宋体" w:cs="宋体"/>
          <w:color w:val="000000"/>
          <w:kern w:val="0"/>
          <w:sz w:val="31"/>
          <w:szCs w:val="31"/>
          <w:highlight w:val="none"/>
          <w:lang w:bidi="ar"/>
        </w:rPr>
        <w:t>本公司（联合体）郑重声明，根据《政府采购促进中小企业发展管理办法》（财库﹝2020﹞46 号）的规定，本公司（联合体）参加</w:t>
      </w:r>
      <w:r>
        <w:rPr>
          <w:rFonts w:hint="eastAsia" w:ascii="宋体" w:hAnsi="宋体" w:cs="宋体"/>
          <w:color w:val="000000"/>
          <w:kern w:val="0"/>
          <w:sz w:val="32"/>
          <w:szCs w:val="32"/>
          <w:highlight w:val="none"/>
          <w:u w:val="single"/>
          <w:lang w:bidi="ar"/>
        </w:rPr>
        <w:t>（单位名称）</w:t>
      </w:r>
      <w:r>
        <w:rPr>
          <w:rFonts w:hint="eastAsia" w:ascii="宋体" w:hAnsi="宋体" w:cs="宋体"/>
          <w:color w:val="000000"/>
          <w:kern w:val="0"/>
          <w:sz w:val="31"/>
          <w:szCs w:val="31"/>
          <w:highlight w:val="none"/>
          <w:lang w:bidi="ar"/>
        </w:rPr>
        <w:t>的</w:t>
      </w:r>
      <w:r>
        <w:rPr>
          <w:rFonts w:hint="eastAsia" w:ascii="宋体" w:hAnsi="宋体" w:cs="宋体"/>
          <w:color w:val="000000"/>
          <w:kern w:val="0"/>
          <w:sz w:val="32"/>
          <w:szCs w:val="32"/>
          <w:highlight w:val="none"/>
          <w:u w:val="single"/>
          <w:lang w:bidi="ar"/>
        </w:rPr>
        <w:t>（项目名称）</w:t>
      </w:r>
      <w:r>
        <w:rPr>
          <w:rFonts w:hint="eastAsia" w:ascii="宋体" w:hAnsi="宋体" w:cs="宋体"/>
          <w:color w:val="000000"/>
          <w:kern w:val="0"/>
          <w:sz w:val="31"/>
          <w:szCs w:val="31"/>
          <w:highlight w:val="none"/>
          <w:lang w:bidi="ar"/>
        </w:rPr>
        <w:t>采购活动，工程的施工单位全部为符合政策要求的中小企业（或者：服务全部由符合政策要求的中小企业承接）。相关企业（含联合体中的中小企业、签订分包意向协议的中小企业）的具体情 况如下：</w:t>
      </w:r>
    </w:p>
    <w:p>
      <w:pPr>
        <w:widowControl/>
        <w:shd w:val="clear" w:color="auto" w:fill="auto"/>
        <w:jc w:val="left"/>
        <w:rPr>
          <w:rFonts w:hint="eastAsia" w:ascii="宋体" w:hAnsi="宋体" w:cs="宋体"/>
          <w:color w:val="000000"/>
          <w:highlight w:val="none"/>
        </w:rPr>
      </w:pPr>
      <w:r>
        <w:rPr>
          <w:rFonts w:hint="eastAsia" w:ascii="宋体" w:hAnsi="宋体" w:cs="宋体"/>
          <w:color w:val="000000"/>
          <w:kern w:val="0"/>
          <w:sz w:val="31"/>
          <w:szCs w:val="31"/>
          <w:highlight w:val="none"/>
          <w:lang w:bidi="ar"/>
        </w:rPr>
        <w:t xml:space="preserve">1. </w:t>
      </w:r>
      <w:r>
        <w:rPr>
          <w:rFonts w:hint="eastAsia" w:ascii="宋体" w:hAnsi="宋体" w:cs="宋体"/>
          <w:color w:val="000000"/>
          <w:kern w:val="0"/>
          <w:sz w:val="32"/>
          <w:szCs w:val="32"/>
          <w:highlight w:val="none"/>
          <w:u w:val="single"/>
          <w:lang w:bidi="ar"/>
        </w:rPr>
        <w:t>（标的名称）</w:t>
      </w:r>
      <w:r>
        <w:rPr>
          <w:rFonts w:hint="eastAsia" w:ascii="宋体" w:hAnsi="宋体" w:cs="宋体"/>
          <w:color w:val="000000"/>
          <w:kern w:val="0"/>
          <w:sz w:val="32"/>
          <w:szCs w:val="32"/>
          <w:highlight w:val="none"/>
          <w:lang w:bidi="ar"/>
        </w:rPr>
        <w:t xml:space="preserve"> </w:t>
      </w:r>
      <w:r>
        <w:rPr>
          <w:rFonts w:hint="eastAsia" w:ascii="宋体" w:hAnsi="宋体" w:cs="宋体"/>
          <w:color w:val="000000"/>
          <w:kern w:val="0"/>
          <w:sz w:val="31"/>
          <w:szCs w:val="31"/>
          <w:highlight w:val="none"/>
          <w:lang w:bidi="ar"/>
        </w:rPr>
        <w:t>，属于</w:t>
      </w:r>
      <w:r>
        <w:rPr>
          <w:rFonts w:hint="eastAsia" w:ascii="宋体" w:hAnsi="宋体" w:cs="宋体"/>
          <w:color w:val="000000"/>
          <w:kern w:val="0"/>
          <w:sz w:val="32"/>
          <w:szCs w:val="32"/>
          <w:highlight w:val="none"/>
          <w:u w:val="single"/>
          <w:lang w:bidi="ar"/>
        </w:rPr>
        <w:t>（采购文件中明确的所属行业）</w:t>
      </w:r>
      <w:r>
        <w:rPr>
          <w:rFonts w:hint="eastAsia" w:ascii="宋体" w:hAnsi="宋体" w:cs="宋体"/>
          <w:color w:val="000000"/>
          <w:kern w:val="0"/>
          <w:sz w:val="31"/>
          <w:szCs w:val="31"/>
          <w:highlight w:val="none"/>
          <w:lang w:bidi="ar"/>
        </w:rPr>
        <w:t>；承建（承接）企业为</w:t>
      </w:r>
      <w:r>
        <w:rPr>
          <w:rFonts w:hint="eastAsia" w:ascii="宋体" w:hAnsi="宋体" w:cs="宋体"/>
          <w:color w:val="000000"/>
          <w:kern w:val="0"/>
          <w:sz w:val="32"/>
          <w:szCs w:val="32"/>
          <w:highlight w:val="none"/>
          <w:u w:val="single"/>
          <w:lang w:bidi="ar"/>
        </w:rPr>
        <w:t>（企业名称）</w:t>
      </w:r>
      <w:r>
        <w:rPr>
          <w:rFonts w:hint="eastAsia" w:ascii="宋体" w:hAnsi="宋体" w:cs="宋体"/>
          <w:color w:val="000000"/>
          <w:kern w:val="0"/>
          <w:sz w:val="31"/>
          <w:szCs w:val="31"/>
          <w:highlight w:val="none"/>
          <w:lang w:bidi="ar"/>
        </w:rPr>
        <w:t>，从业人员</w:t>
      </w:r>
      <w:r>
        <w:rPr>
          <w:rFonts w:hint="eastAsia" w:ascii="宋体" w:hAnsi="宋体" w:cs="宋体"/>
          <w:color w:val="000000"/>
          <w:kern w:val="0"/>
          <w:sz w:val="31"/>
          <w:szCs w:val="31"/>
          <w:highlight w:val="none"/>
          <w:u w:val="single"/>
          <w:lang w:bidi="ar"/>
        </w:rPr>
        <w:t xml:space="preserve">    </w:t>
      </w:r>
      <w:r>
        <w:rPr>
          <w:rFonts w:hint="eastAsia" w:ascii="宋体" w:hAnsi="宋体" w:cs="宋体"/>
          <w:color w:val="000000"/>
          <w:kern w:val="0"/>
          <w:sz w:val="31"/>
          <w:szCs w:val="31"/>
          <w:highlight w:val="none"/>
          <w:lang w:bidi="ar"/>
        </w:rPr>
        <w:t>人，营业收入为</w:t>
      </w:r>
      <w:r>
        <w:rPr>
          <w:rFonts w:hint="eastAsia" w:ascii="宋体" w:hAnsi="宋体" w:cs="宋体"/>
          <w:color w:val="000000"/>
          <w:kern w:val="0"/>
          <w:sz w:val="31"/>
          <w:szCs w:val="31"/>
          <w:highlight w:val="none"/>
          <w:u w:val="single"/>
          <w:lang w:bidi="ar"/>
        </w:rPr>
        <w:t xml:space="preserve">   </w:t>
      </w:r>
      <w:r>
        <w:rPr>
          <w:rFonts w:hint="eastAsia" w:ascii="宋体" w:hAnsi="宋体" w:cs="宋体"/>
          <w:color w:val="000000"/>
          <w:kern w:val="0"/>
          <w:sz w:val="31"/>
          <w:szCs w:val="31"/>
          <w:highlight w:val="none"/>
          <w:lang w:bidi="ar"/>
        </w:rPr>
        <w:t>万元，资产总额为</w:t>
      </w:r>
      <w:r>
        <w:rPr>
          <w:rFonts w:hint="eastAsia" w:ascii="宋体" w:hAnsi="宋体" w:cs="宋体"/>
          <w:color w:val="000000"/>
          <w:kern w:val="0"/>
          <w:sz w:val="31"/>
          <w:szCs w:val="31"/>
          <w:highlight w:val="none"/>
          <w:u w:val="single"/>
          <w:lang w:bidi="ar"/>
        </w:rPr>
        <w:t xml:space="preserve">    </w:t>
      </w:r>
      <w:r>
        <w:rPr>
          <w:rFonts w:hint="eastAsia" w:ascii="宋体" w:hAnsi="宋体" w:cs="宋体"/>
          <w:color w:val="000000"/>
          <w:kern w:val="0"/>
          <w:sz w:val="31"/>
          <w:szCs w:val="31"/>
          <w:highlight w:val="none"/>
          <w:lang w:bidi="ar"/>
        </w:rPr>
        <w:t>万元</w:t>
      </w:r>
      <w:r>
        <w:rPr>
          <w:rFonts w:hint="eastAsia" w:ascii="宋体" w:hAnsi="宋体" w:cs="宋体"/>
          <w:color w:val="000000"/>
          <w:kern w:val="0"/>
          <w:sz w:val="16"/>
          <w:szCs w:val="16"/>
          <w:highlight w:val="none"/>
          <w:lang w:bidi="ar"/>
        </w:rPr>
        <w:t>1</w:t>
      </w:r>
      <w:r>
        <w:rPr>
          <w:rFonts w:hint="eastAsia" w:ascii="宋体" w:hAnsi="宋体" w:cs="宋体"/>
          <w:color w:val="000000"/>
          <w:kern w:val="0"/>
          <w:sz w:val="31"/>
          <w:szCs w:val="31"/>
          <w:highlight w:val="none"/>
          <w:lang w:bidi="ar"/>
        </w:rPr>
        <w:t>，属于</w:t>
      </w:r>
      <w:r>
        <w:rPr>
          <w:rFonts w:hint="eastAsia" w:ascii="宋体" w:hAnsi="宋体" w:cs="宋体"/>
          <w:color w:val="000000"/>
          <w:kern w:val="0"/>
          <w:sz w:val="32"/>
          <w:szCs w:val="32"/>
          <w:highlight w:val="none"/>
          <w:lang w:bidi="ar"/>
        </w:rPr>
        <w:t>（中型企业、小型企业、微型企业）</w:t>
      </w:r>
      <w:r>
        <w:rPr>
          <w:rFonts w:hint="eastAsia" w:ascii="宋体" w:hAnsi="宋体" w:cs="宋体"/>
          <w:color w:val="000000"/>
          <w:kern w:val="0"/>
          <w:sz w:val="31"/>
          <w:szCs w:val="31"/>
          <w:highlight w:val="none"/>
          <w:lang w:bidi="ar"/>
        </w:rPr>
        <w:t xml:space="preserve">； </w:t>
      </w:r>
    </w:p>
    <w:p>
      <w:pPr>
        <w:widowControl/>
        <w:shd w:val="clear" w:color="auto" w:fill="auto"/>
        <w:jc w:val="left"/>
        <w:rPr>
          <w:rFonts w:hint="eastAsia" w:ascii="宋体" w:hAnsi="宋体" w:cs="宋体"/>
          <w:color w:val="000000"/>
          <w:highlight w:val="none"/>
          <w:u w:val="single"/>
        </w:rPr>
      </w:pPr>
      <w:r>
        <w:rPr>
          <w:rFonts w:hint="eastAsia" w:ascii="宋体" w:hAnsi="宋体" w:cs="宋体"/>
          <w:color w:val="000000"/>
          <w:kern w:val="0"/>
          <w:sz w:val="31"/>
          <w:szCs w:val="31"/>
          <w:highlight w:val="none"/>
          <w:lang w:bidi="ar"/>
        </w:rPr>
        <w:t xml:space="preserve">2. </w:t>
      </w:r>
      <w:r>
        <w:rPr>
          <w:rFonts w:hint="eastAsia" w:ascii="宋体" w:hAnsi="宋体" w:cs="宋体"/>
          <w:color w:val="000000"/>
          <w:kern w:val="0"/>
          <w:sz w:val="32"/>
          <w:szCs w:val="32"/>
          <w:highlight w:val="none"/>
          <w:u w:val="single"/>
          <w:lang w:bidi="ar"/>
        </w:rPr>
        <w:t>（标的名称）</w:t>
      </w:r>
      <w:r>
        <w:rPr>
          <w:rFonts w:hint="eastAsia" w:ascii="宋体" w:hAnsi="宋体" w:cs="宋体"/>
          <w:color w:val="000000"/>
          <w:kern w:val="0"/>
          <w:sz w:val="32"/>
          <w:szCs w:val="32"/>
          <w:highlight w:val="none"/>
          <w:lang w:bidi="ar"/>
        </w:rPr>
        <w:t xml:space="preserve"> </w:t>
      </w:r>
      <w:r>
        <w:rPr>
          <w:rFonts w:hint="eastAsia" w:ascii="宋体" w:hAnsi="宋体" w:cs="宋体"/>
          <w:color w:val="000000"/>
          <w:kern w:val="0"/>
          <w:sz w:val="31"/>
          <w:szCs w:val="31"/>
          <w:highlight w:val="none"/>
          <w:lang w:bidi="ar"/>
        </w:rPr>
        <w:t>，属于</w:t>
      </w:r>
      <w:r>
        <w:rPr>
          <w:rFonts w:hint="eastAsia" w:ascii="宋体" w:hAnsi="宋体" w:cs="宋体"/>
          <w:color w:val="000000"/>
          <w:kern w:val="0"/>
          <w:sz w:val="32"/>
          <w:szCs w:val="32"/>
          <w:highlight w:val="none"/>
          <w:u w:val="single"/>
          <w:lang w:bidi="ar"/>
        </w:rPr>
        <w:t>（采购文件中明确的所属行业）</w:t>
      </w:r>
      <w:r>
        <w:rPr>
          <w:rFonts w:hint="eastAsia" w:ascii="宋体" w:hAnsi="宋体" w:cs="宋体"/>
          <w:color w:val="000000"/>
          <w:kern w:val="0"/>
          <w:sz w:val="31"/>
          <w:szCs w:val="31"/>
          <w:highlight w:val="none"/>
          <w:lang w:bidi="ar"/>
        </w:rPr>
        <w:t>； 承建（承接）企业为</w:t>
      </w:r>
      <w:r>
        <w:rPr>
          <w:rFonts w:hint="eastAsia" w:ascii="宋体" w:hAnsi="宋体" w:cs="宋体"/>
          <w:color w:val="000000"/>
          <w:kern w:val="0"/>
          <w:sz w:val="32"/>
          <w:szCs w:val="32"/>
          <w:highlight w:val="none"/>
          <w:u w:val="single"/>
          <w:lang w:bidi="ar"/>
        </w:rPr>
        <w:t>（企业名称）</w:t>
      </w:r>
      <w:r>
        <w:rPr>
          <w:rFonts w:hint="eastAsia" w:ascii="宋体" w:hAnsi="宋体" w:cs="宋体"/>
          <w:color w:val="000000"/>
          <w:kern w:val="0"/>
          <w:sz w:val="31"/>
          <w:szCs w:val="31"/>
          <w:highlight w:val="none"/>
          <w:lang w:bidi="ar"/>
        </w:rPr>
        <w:t>，从业人员</w:t>
      </w:r>
      <w:r>
        <w:rPr>
          <w:rFonts w:hint="eastAsia" w:ascii="宋体" w:hAnsi="宋体" w:cs="宋体"/>
          <w:color w:val="000000"/>
          <w:kern w:val="0"/>
          <w:sz w:val="31"/>
          <w:szCs w:val="31"/>
          <w:highlight w:val="none"/>
          <w:u w:val="single"/>
          <w:lang w:bidi="ar"/>
        </w:rPr>
        <w:t xml:space="preserve">   </w:t>
      </w:r>
      <w:r>
        <w:rPr>
          <w:rFonts w:hint="eastAsia" w:ascii="宋体" w:hAnsi="宋体" w:cs="宋体"/>
          <w:color w:val="000000"/>
          <w:kern w:val="0"/>
          <w:sz w:val="31"/>
          <w:szCs w:val="31"/>
          <w:highlight w:val="none"/>
          <w:lang w:bidi="ar"/>
        </w:rPr>
        <w:t>人，营业收入为</w:t>
      </w:r>
      <w:r>
        <w:rPr>
          <w:rFonts w:hint="eastAsia" w:ascii="宋体" w:hAnsi="宋体" w:cs="宋体"/>
          <w:color w:val="000000"/>
          <w:kern w:val="0"/>
          <w:sz w:val="31"/>
          <w:szCs w:val="31"/>
          <w:highlight w:val="none"/>
          <w:u w:val="single"/>
          <w:lang w:bidi="ar"/>
        </w:rPr>
        <w:t xml:space="preserve">   </w:t>
      </w:r>
      <w:r>
        <w:rPr>
          <w:rFonts w:hint="eastAsia" w:ascii="宋体" w:hAnsi="宋体" w:cs="宋体"/>
          <w:color w:val="000000"/>
          <w:kern w:val="0"/>
          <w:sz w:val="31"/>
          <w:szCs w:val="31"/>
          <w:highlight w:val="none"/>
          <w:lang w:bidi="ar"/>
        </w:rPr>
        <w:t>万元，资产总额为</w:t>
      </w:r>
      <w:r>
        <w:rPr>
          <w:rFonts w:hint="eastAsia" w:ascii="宋体" w:hAnsi="宋体" w:cs="宋体"/>
          <w:color w:val="000000"/>
          <w:kern w:val="0"/>
          <w:sz w:val="31"/>
          <w:szCs w:val="31"/>
          <w:highlight w:val="none"/>
          <w:u w:val="single"/>
          <w:lang w:bidi="ar"/>
        </w:rPr>
        <w:t xml:space="preserve">    </w:t>
      </w:r>
      <w:r>
        <w:rPr>
          <w:rFonts w:hint="eastAsia" w:ascii="宋体" w:hAnsi="宋体" w:cs="宋体"/>
          <w:color w:val="000000"/>
          <w:kern w:val="0"/>
          <w:sz w:val="31"/>
          <w:szCs w:val="31"/>
          <w:highlight w:val="none"/>
          <w:lang w:bidi="ar"/>
        </w:rPr>
        <w:t>万元，属于</w:t>
      </w:r>
      <w:r>
        <w:rPr>
          <w:rFonts w:hint="eastAsia" w:ascii="宋体" w:hAnsi="宋体" w:cs="宋体"/>
          <w:color w:val="000000"/>
          <w:kern w:val="0"/>
          <w:sz w:val="32"/>
          <w:szCs w:val="32"/>
          <w:highlight w:val="none"/>
          <w:u w:val="single"/>
          <w:lang w:bidi="ar"/>
        </w:rPr>
        <w:t>（中型企业、 小型企业、微型企业）</w:t>
      </w:r>
      <w:r>
        <w:rPr>
          <w:rFonts w:hint="eastAsia" w:ascii="宋体" w:hAnsi="宋体" w:cs="宋体"/>
          <w:color w:val="000000"/>
          <w:kern w:val="0"/>
          <w:sz w:val="31"/>
          <w:szCs w:val="31"/>
          <w:highlight w:val="none"/>
          <w:u w:val="single"/>
          <w:lang w:bidi="ar"/>
        </w:rPr>
        <w:t xml:space="preserve">； </w:t>
      </w:r>
    </w:p>
    <w:p>
      <w:pPr>
        <w:widowControl/>
        <w:shd w:val="clear" w:color="auto" w:fill="auto"/>
        <w:jc w:val="left"/>
        <w:rPr>
          <w:rFonts w:hint="eastAsia" w:ascii="宋体" w:hAnsi="宋体" w:cs="宋体"/>
          <w:color w:val="000000"/>
          <w:highlight w:val="none"/>
        </w:rPr>
      </w:pPr>
      <w:r>
        <w:rPr>
          <w:rFonts w:hint="eastAsia" w:ascii="宋体" w:hAnsi="宋体" w:cs="宋体"/>
          <w:color w:val="000000"/>
          <w:kern w:val="0"/>
          <w:sz w:val="31"/>
          <w:szCs w:val="31"/>
          <w:highlight w:val="none"/>
          <w:lang w:bidi="ar"/>
        </w:rPr>
        <w:t>……</w:t>
      </w:r>
    </w:p>
    <w:p>
      <w:pPr>
        <w:widowControl/>
        <w:shd w:val="clear" w:color="auto" w:fill="auto"/>
        <w:jc w:val="left"/>
        <w:rPr>
          <w:rFonts w:hint="eastAsia" w:ascii="宋体" w:hAnsi="宋体" w:cs="宋体"/>
          <w:color w:val="000000"/>
          <w:highlight w:val="none"/>
        </w:rPr>
      </w:pPr>
      <w:r>
        <w:rPr>
          <w:rFonts w:hint="eastAsia" w:ascii="宋体" w:hAnsi="宋体" w:cs="宋体"/>
          <w:color w:val="000000"/>
          <w:kern w:val="0"/>
          <w:sz w:val="31"/>
          <w:szCs w:val="31"/>
          <w:highlight w:val="none"/>
          <w:lang w:bidi="ar"/>
        </w:rPr>
        <w:t>以上企业，不属于大企业的分支机构，不存在控股股东为大企业的情形，也不存在与大企业的负责人为同一人的情形。</w:t>
      </w:r>
    </w:p>
    <w:p>
      <w:pPr>
        <w:widowControl/>
        <w:shd w:val="clear" w:color="auto" w:fill="auto"/>
        <w:jc w:val="left"/>
        <w:rPr>
          <w:rFonts w:hint="eastAsia" w:ascii="宋体" w:hAnsi="宋体" w:cs="宋体"/>
          <w:color w:val="000000"/>
          <w:highlight w:val="none"/>
        </w:rPr>
      </w:pPr>
      <w:r>
        <w:rPr>
          <w:rFonts w:hint="eastAsia" w:ascii="宋体" w:hAnsi="宋体" w:cs="宋体"/>
          <w:color w:val="000000"/>
          <w:kern w:val="0"/>
          <w:sz w:val="31"/>
          <w:szCs w:val="31"/>
          <w:highlight w:val="none"/>
          <w:lang w:bidi="ar"/>
        </w:rPr>
        <w:t xml:space="preserve">本企业对上述声明内容的真实性负责。如有虚假，将依法承担相应责任。 </w:t>
      </w:r>
    </w:p>
    <w:p>
      <w:pPr>
        <w:widowControl/>
        <w:shd w:val="clear" w:color="auto" w:fill="auto"/>
        <w:ind w:firstLine="4960" w:firstLineChars="1600"/>
        <w:jc w:val="left"/>
        <w:rPr>
          <w:rFonts w:hint="eastAsia" w:ascii="宋体" w:hAnsi="宋体" w:cs="宋体"/>
          <w:color w:val="000000"/>
          <w:highlight w:val="none"/>
        </w:rPr>
      </w:pPr>
      <w:r>
        <w:rPr>
          <w:rFonts w:hint="eastAsia" w:ascii="宋体" w:hAnsi="宋体" w:cs="宋体"/>
          <w:color w:val="000000"/>
          <w:kern w:val="0"/>
          <w:sz w:val="31"/>
          <w:szCs w:val="31"/>
          <w:highlight w:val="none"/>
          <w:lang w:bidi="ar"/>
        </w:rPr>
        <w:t xml:space="preserve">企业名称（盖章）： </w:t>
      </w:r>
    </w:p>
    <w:p>
      <w:pPr>
        <w:widowControl/>
        <w:shd w:val="clear" w:color="auto" w:fill="auto"/>
        <w:ind w:firstLine="4960" w:firstLineChars="1600"/>
        <w:jc w:val="left"/>
        <w:rPr>
          <w:rFonts w:hint="eastAsia" w:ascii="宋体" w:hAnsi="宋体" w:cs="宋体"/>
          <w:color w:val="000000"/>
          <w:highlight w:val="none"/>
        </w:rPr>
      </w:pPr>
      <w:r>
        <w:rPr>
          <w:rFonts w:hint="eastAsia" w:ascii="宋体" w:hAnsi="宋体" w:cs="宋体"/>
          <w:color w:val="000000"/>
          <w:kern w:val="0"/>
          <w:sz w:val="31"/>
          <w:szCs w:val="31"/>
          <w:highlight w:val="none"/>
          <w:lang w:bidi="ar"/>
        </w:rPr>
        <w:t xml:space="preserve">日 期： </w:t>
      </w:r>
    </w:p>
    <w:p>
      <w:pPr>
        <w:shd w:val="clear" w:color="auto" w:fill="auto"/>
        <w:spacing w:line="360" w:lineRule="auto"/>
        <w:ind w:right="420"/>
        <w:rPr>
          <w:rFonts w:hint="eastAsia" w:ascii="宋体" w:hAnsi="宋体" w:cs="宋体"/>
          <w:b/>
          <w:color w:val="000000"/>
          <w:sz w:val="24"/>
          <w:highlight w:val="none"/>
        </w:rPr>
      </w:pPr>
    </w:p>
    <w:p>
      <w:pPr>
        <w:shd w:val="clear" w:color="auto" w:fill="auto"/>
        <w:spacing w:line="360" w:lineRule="auto"/>
        <w:ind w:right="420"/>
        <w:rPr>
          <w:rFonts w:hint="eastAsia" w:ascii="宋体" w:hAnsi="宋体" w:cs="宋体"/>
          <w:b/>
          <w:color w:val="000000"/>
          <w:sz w:val="24"/>
          <w:highlight w:val="none"/>
        </w:rPr>
      </w:pPr>
      <w:r>
        <w:rPr>
          <w:rFonts w:hint="eastAsia" w:ascii="宋体" w:hAnsi="宋体" w:cs="宋体"/>
          <w:b/>
          <w:color w:val="000000"/>
          <w:sz w:val="24"/>
          <w:highlight w:val="none"/>
        </w:rPr>
        <w:t>从业人员、营业收入、资产总额填报上一年度数据，无上一年度数据的新成立企业可不填报。</w:t>
      </w:r>
    </w:p>
    <w:p>
      <w:pPr>
        <w:shd w:val="clear" w:color="auto" w:fill="auto"/>
        <w:spacing w:line="360" w:lineRule="auto"/>
        <w:ind w:right="420"/>
        <w:rPr>
          <w:rFonts w:hint="eastAsia" w:ascii="宋体" w:hAnsi="宋体" w:cs="宋体"/>
          <w:color w:val="000000"/>
          <w:sz w:val="24"/>
          <w:highlight w:val="none"/>
        </w:rPr>
      </w:pPr>
    </w:p>
    <w:p>
      <w:pPr>
        <w:shd w:val="clear" w:color="auto" w:fill="auto"/>
        <w:spacing w:line="360" w:lineRule="auto"/>
        <w:ind w:right="420"/>
        <w:rPr>
          <w:rFonts w:hint="eastAsia" w:ascii="宋体" w:hAnsi="宋体" w:cs="宋体"/>
          <w:color w:val="000000"/>
          <w:sz w:val="24"/>
          <w:highlight w:val="none"/>
        </w:rPr>
      </w:pPr>
      <w:r>
        <w:rPr>
          <w:rFonts w:hint="eastAsia" w:ascii="宋体" w:hAnsi="宋体" w:cs="宋体"/>
          <w:color w:val="000000"/>
          <w:sz w:val="24"/>
          <w:highlight w:val="none"/>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hd w:val="clear" w:color="auto" w:fill="auto"/>
        <w:spacing w:line="360" w:lineRule="auto"/>
        <w:jc w:val="center"/>
        <w:outlineLvl w:val="0"/>
        <w:rPr>
          <w:rFonts w:hint="eastAsia" w:ascii="宋体" w:hAnsi="宋体" w:cs="宋体"/>
          <w:color w:val="000000"/>
          <w:sz w:val="36"/>
          <w:szCs w:val="36"/>
          <w:highlight w:val="none"/>
        </w:rPr>
        <w:sectPr>
          <w:pgSz w:w="11906" w:h="16838"/>
          <w:pgMar w:top="1247" w:right="1418" w:bottom="1276" w:left="1418" w:header="851" w:footer="992" w:gutter="0"/>
          <w:cols w:space="720" w:num="1"/>
          <w:titlePg/>
          <w:docGrid w:linePitch="312" w:charSpace="0"/>
        </w:sectPr>
      </w:pPr>
    </w:p>
    <w:p>
      <w:pPr>
        <w:shd w:val="clear" w:color="auto" w:fill="auto"/>
        <w:spacing w:line="360" w:lineRule="auto"/>
        <w:jc w:val="center"/>
        <w:outlineLvl w:val="0"/>
        <w:rPr>
          <w:rFonts w:hint="eastAsia" w:ascii="宋体" w:hAnsi="宋体" w:cs="宋体"/>
          <w:b/>
          <w:color w:val="000000"/>
          <w:kern w:val="0"/>
          <w:sz w:val="36"/>
          <w:szCs w:val="36"/>
          <w:highlight w:val="none"/>
        </w:rPr>
      </w:pPr>
      <w:r>
        <w:rPr>
          <w:rFonts w:hint="eastAsia" w:ascii="宋体" w:hAnsi="宋体" w:cs="宋体"/>
          <w:color w:val="000000"/>
          <w:sz w:val="36"/>
          <w:szCs w:val="36"/>
          <w:highlight w:val="none"/>
          <w:lang w:val="zh-CN"/>
        </w:rPr>
        <w:t>▲</w:t>
      </w:r>
      <w:r>
        <w:rPr>
          <w:rFonts w:hint="eastAsia" w:ascii="宋体" w:hAnsi="宋体" w:cs="宋体"/>
          <w:b/>
          <w:color w:val="000000"/>
          <w:kern w:val="0"/>
          <w:sz w:val="36"/>
          <w:szCs w:val="36"/>
          <w:highlight w:val="none"/>
        </w:rPr>
        <w:t>商务技术文件部分</w:t>
      </w:r>
    </w:p>
    <w:p>
      <w:pPr>
        <w:shd w:val="clear" w:color="auto" w:fill="auto"/>
        <w:spacing w:line="360" w:lineRule="auto"/>
        <w:jc w:val="center"/>
        <w:outlineLvl w:val="0"/>
        <w:rPr>
          <w:rFonts w:hint="eastAsia" w:ascii="宋体" w:hAnsi="宋体" w:cs="宋体"/>
          <w:b/>
          <w:color w:val="000000"/>
          <w:kern w:val="0"/>
          <w:sz w:val="24"/>
          <w:highlight w:val="none"/>
        </w:rPr>
      </w:pPr>
    </w:p>
    <w:p>
      <w:pPr>
        <w:shd w:val="clear" w:color="auto" w:fill="auto"/>
        <w:spacing w:line="360" w:lineRule="auto"/>
        <w:jc w:val="center"/>
        <w:outlineLvl w:val="0"/>
        <w:rPr>
          <w:rFonts w:hint="eastAsia" w:ascii="宋体" w:hAnsi="宋体" w:cs="宋体"/>
          <w:b/>
          <w:color w:val="000000"/>
          <w:kern w:val="0"/>
          <w:sz w:val="28"/>
          <w:szCs w:val="28"/>
          <w:highlight w:val="none"/>
        </w:rPr>
      </w:pPr>
      <w:r>
        <w:rPr>
          <w:rFonts w:hint="eastAsia" w:ascii="宋体" w:hAnsi="宋体" w:cs="宋体"/>
          <w:b/>
          <w:color w:val="000000"/>
          <w:kern w:val="0"/>
          <w:sz w:val="28"/>
          <w:szCs w:val="28"/>
          <w:highlight w:val="none"/>
        </w:rPr>
        <w:t>目录</w:t>
      </w:r>
    </w:p>
    <w:p>
      <w:pPr>
        <w:pStyle w:val="448"/>
        <w:shd w:val="clear" w:color="auto" w:fill="auto"/>
        <w:spacing w:line="360" w:lineRule="auto"/>
        <w:rPr>
          <w:rFonts w:hint="eastAsia" w:ascii="宋体" w:hAnsi="宋体" w:eastAsia="宋体" w:cs="宋体"/>
          <w:color w:val="000000"/>
          <w:highlight w:val="none"/>
        </w:rPr>
      </w:pPr>
      <w:r>
        <w:rPr>
          <w:rFonts w:hint="eastAsia" w:ascii="宋体" w:hAnsi="宋体" w:eastAsia="宋体" w:cs="宋体"/>
          <w:color w:val="000000"/>
          <w:highlight w:val="none"/>
        </w:rPr>
        <w:t>（1）营业执照(或事业法人登记证或其他工商等登记证明材料)复印件（投标人为 然人的，提供自然人的身份证明）………………………………………（页码）</w:t>
      </w:r>
    </w:p>
    <w:p>
      <w:pPr>
        <w:pStyle w:val="448"/>
        <w:shd w:val="clear" w:color="auto" w:fill="auto"/>
        <w:spacing w:line="360" w:lineRule="auto"/>
        <w:rPr>
          <w:rFonts w:hint="eastAsia" w:ascii="宋体" w:hAnsi="宋体" w:eastAsia="宋体" w:cs="宋体"/>
          <w:color w:val="000000"/>
          <w:highlight w:val="none"/>
        </w:rPr>
      </w:pPr>
      <w:r>
        <w:rPr>
          <w:rFonts w:hint="eastAsia" w:ascii="宋体" w:hAnsi="宋体" w:eastAsia="宋体" w:cs="宋体"/>
          <w:color w:val="000000"/>
          <w:highlight w:val="none"/>
        </w:rPr>
        <w:t>（2）法定代表人授权书 ………………………………………………（页码）</w:t>
      </w:r>
    </w:p>
    <w:p>
      <w:pPr>
        <w:pStyle w:val="448"/>
        <w:shd w:val="clear" w:color="auto" w:fill="auto"/>
        <w:spacing w:line="360" w:lineRule="auto"/>
        <w:rPr>
          <w:rFonts w:hint="eastAsia" w:ascii="宋体" w:hAnsi="宋体" w:eastAsia="宋体" w:cs="宋体"/>
          <w:color w:val="000000"/>
          <w:highlight w:val="none"/>
        </w:rPr>
      </w:pPr>
      <w:r>
        <w:rPr>
          <w:rFonts w:hint="eastAsia" w:ascii="宋体" w:hAnsi="宋体" w:eastAsia="宋体" w:cs="宋体"/>
          <w:color w:val="000000"/>
          <w:highlight w:val="none"/>
        </w:rPr>
        <w:t>（3）法定代表人及其授权代表的身份证（复印件）…………………（页码）</w:t>
      </w:r>
    </w:p>
    <w:p>
      <w:pPr>
        <w:pStyle w:val="448"/>
        <w:shd w:val="clear" w:color="auto" w:fill="auto"/>
        <w:spacing w:line="360" w:lineRule="auto"/>
        <w:rPr>
          <w:rFonts w:hint="eastAsia" w:ascii="宋体" w:hAnsi="宋体" w:eastAsia="宋体" w:cs="宋体"/>
          <w:color w:val="000000"/>
          <w:highlight w:val="none"/>
        </w:rPr>
      </w:pPr>
      <w:r>
        <w:rPr>
          <w:rFonts w:hint="eastAsia" w:ascii="宋体" w:hAnsi="宋体" w:eastAsia="宋体" w:cs="宋体"/>
          <w:color w:val="000000"/>
          <w:highlight w:val="none"/>
        </w:rPr>
        <w:t>（4）联合体协议</w:t>
      </w:r>
      <w:r>
        <w:rPr>
          <w:rFonts w:hint="eastAsia" w:ascii="宋体" w:hAnsi="宋体" w:eastAsia="宋体" w:cs="宋体"/>
          <w:color w:val="000000"/>
          <w:highlight w:val="none"/>
          <w:lang w:val="zh-CN"/>
        </w:rPr>
        <w:t>… ……………………………………………………</w:t>
      </w:r>
      <w:r>
        <w:rPr>
          <w:rFonts w:hint="eastAsia" w:ascii="宋体" w:hAnsi="宋体" w:eastAsia="宋体" w:cs="宋体"/>
          <w:color w:val="000000"/>
          <w:highlight w:val="none"/>
        </w:rPr>
        <w:t>（页码）</w:t>
      </w:r>
    </w:p>
    <w:p>
      <w:pPr>
        <w:pStyle w:val="448"/>
        <w:shd w:val="clear" w:color="auto" w:fill="auto"/>
        <w:spacing w:line="360" w:lineRule="auto"/>
        <w:rPr>
          <w:rFonts w:hint="eastAsia" w:ascii="宋体" w:hAnsi="宋体" w:eastAsia="宋体" w:cs="宋体"/>
          <w:color w:val="000000"/>
          <w:highlight w:val="none"/>
        </w:rPr>
      </w:pPr>
      <w:r>
        <w:rPr>
          <w:rFonts w:hint="eastAsia" w:ascii="宋体" w:hAnsi="宋体" w:eastAsia="宋体" w:cs="宋体"/>
          <w:color w:val="000000"/>
          <w:highlight w:val="none"/>
        </w:rPr>
        <w:t>（5）资信文件复印件…</w:t>
      </w:r>
      <w:r>
        <w:rPr>
          <w:rFonts w:hint="eastAsia" w:ascii="宋体" w:hAnsi="宋体" w:eastAsia="宋体" w:cs="宋体"/>
          <w:color w:val="000000"/>
          <w:highlight w:val="none"/>
          <w:lang w:val="zh-CN"/>
        </w:rPr>
        <w:t>…………………………………………………</w:t>
      </w:r>
      <w:r>
        <w:rPr>
          <w:rFonts w:hint="eastAsia" w:ascii="宋体" w:hAnsi="宋体" w:eastAsia="宋体" w:cs="宋体"/>
          <w:color w:val="000000"/>
          <w:highlight w:val="none"/>
        </w:rPr>
        <w:t>（页码）</w:t>
      </w:r>
    </w:p>
    <w:p>
      <w:pPr>
        <w:pStyle w:val="448"/>
        <w:shd w:val="clear" w:color="auto" w:fill="auto"/>
        <w:spacing w:line="360" w:lineRule="auto"/>
        <w:rPr>
          <w:rFonts w:hint="eastAsia" w:ascii="宋体" w:hAnsi="宋体" w:eastAsia="宋体" w:cs="宋体"/>
          <w:color w:val="000000"/>
          <w:highlight w:val="none"/>
        </w:rPr>
      </w:pPr>
      <w:r>
        <w:rPr>
          <w:rFonts w:hint="eastAsia" w:ascii="宋体" w:hAnsi="宋体" w:eastAsia="宋体" w:cs="宋体"/>
          <w:color w:val="000000"/>
          <w:highlight w:val="none"/>
        </w:rPr>
        <w:t>（6）</w:t>
      </w:r>
      <w:r>
        <w:rPr>
          <w:rFonts w:hint="eastAsia" w:ascii="宋体" w:hAnsi="宋体" w:eastAsia="宋体" w:cs="宋体"/>
          <w:color w:val="000000"/>
          <w:highlight w:val="none"/>
          <w:lang w:val="zh-CN"/>
        </w:rPr>
        <w:t>主要业绩证明… …………………………………………………</w:t>
      </w:r>
      <w:r>
        <w:rPr>
          <w:rFonts w:hint="eastAsia" w:ascii="宋体" w:hAnsi="宋体" w:eastAsia="宋体" w:cs="宋体"/>
          <w:color w:val="000000"/>
          <w:highlight w:val="none"/>
        </w:rPr>
        <w:t>（页码）</w:t>
      </w:r>
    </w:p>
    <w:p>
      <w:pPr>
        <w:pStyle w:val="448"/>
        <w:shd w:val="clear" w:color="auto" w:fill="auto"/>
        <w:spacing w:line="360" w:lineRule="auto"/>
        <w:rPr>
          <w:rFonts w:hint="eastAsia" w:ascii="宋体" w:hAnsi="宋体" w:eastAsia="宋体" w:cs="宋体"/>
          <w:color w:val="000000"/>
          <w:highlight w:val="none"/>
        </w:rPr>
      </w:pPr>
      <w:bookmarkStart w:id="457" w:name="OLE_LINK6"/>
      <w:bookmarkStart w:id="458" w:name="OLE_LINK7"/>
      <w:bookmarkStart w:id="459" w:name="OLE_LINK5"/>
      <w:r>
        <w:rPr>
          <w:rFonts w:hint="eastAsia" w:ascii="宋体" w:hAnsi="宋体" w:eastAsia="宋体" w:cs="宋体"/>
          <w:color w:val="000000"/>
          <w:highlight w:val="none"/>
        </w:rPr>
        <w:t>（7）其他商务文件或说明</w:t>
      </w:r>
      <w:r>
        <w:rPr>
          <w:rFonts w:hint="eastAsia" w:ascii="宋体" w:hAnsi="宋体" w:eastAsia="宋体" w:cs="宋体"/>
          <w:color w:val="000000"/>
          <w:highlight w:val="none"/>
          <w:lang w:val="zh-CN"/>
        </w:rPr>
        <w:t>………………………………………………</w:t>
      </w:r>
      <w:r>
        <w:rPr>
          <w:rFonts w:hint="eastAsia" w:ascii="宋体" w:hAnsi="宋体" w:eastAsia="宋体" w:cs="宋体"/>
          <w:color w:val="000000"/>
          <w:highlight w:val="none"/>
        </w:rPr>
        <w:t>（页码）</w:t>
      </w:r>
      <w:bookmarkEnd w:id="457"/>
      <w:bookmarkEnd w:id="458"/>
    </w:p>
    <w:bookmarkEnd w:id="459"/>
    <w:p>
      <w:pPr>
        <w:shd w:val="clear" w:color="auto" w:fill="auto"/>
        <w:spacing w:line="360" w:lineRule="auto"/>
        <w:ind w:firstLine="480" w:firstLineChars="200"/>
        <w:outlineLvl w:val="0"/>
        <w:rPr>
          <w:rFonts w:hint="eastAsia" w:ascii="宋体" w:hAnsi="宋体" w:cs="宋体"/>
          <w:color w:val="000000"/>
          <w:kern w:val="0"/>
          <w:sz w:val="24"/>
          <w:highlight w:val="none"/>
        </w:rPr>
      </w:pPr>
      <w:r>
        <w:rPr>
          <w:rFonts w:hint="eastAsia" w:ascii="宋体" w:hAnsi="宋体" w:cs="宋体"/>
          <w:color w:val="000000"/>
          <w:kern w:val="0"/>
          <w:sz w:val="24"/>
          <w:highlight w:val="none"/>
        </w:rPr>
        <w:t>（8）技术解决方案……………………………………………………（页码）</w:t>
      </w:r>
    </w:p>
    <w:p>
      <w:pPr>
        <w:shd w:val="clear" w:color="auto" w:fill="auto"/>
        <w:spacing w:line="360" w:lineRule="auto"/>
        <w:ind w:firstLine="480" w:firstLineChars="200"/>
        <w:outlineLvl w:val="0"/>
        <w:rPr>
          <w:rFonts w:hint="eastAsia" w:ascii="宋体" w:hAnsi="宋体" w:cs="宋体"/>
          <w:color w:val="000000"/>
          <w:kern w:val="0"/>
          <w:sz w:val="24"/>
          <w:highlight w:val="none"/>
        </w:rPr>
      </w:pPr>
      <w:r>
        <w:rPr>
          <w:rFonts w:hint="eastAsia" w:ascii="宋体" w:hAnsi="宋体" w:cs="宋体"/>
          <w:color w:val="000000"/>
          <w:kern w:val="0"/>
          <w:sz w:val="24"/>
          <w:highlight w:val="none"/>
        </w:rPr>
        <w:t>（9）技术偏离说明表…………………………………………………（页码）</w:t>
      </w:r>
    </w:p>
    <w:p>
      <w:pPr>
        <w:shd w:val="clear" w:color="auto" w:fill="auto"/>
        <w:spacing w:line="360" w:lineRule="auto"/>
        <w:ind w:firstLine="480" w:firstLineChars="200"/>
        <w:outlineLvl w:val="0"/>
        <w:rPr>
          <w:rFonts w:hint="eastAsia" w:ascii="宋体" w:hAnsi="宋体" w:cs="宋体"/>
          <w:color w:val="000000"/>
          <w:kern w:val="0"/>
          <w:sz w:val="24"/>
          <w:highlight w:val="none"/>
        </w:rPr>
      </w:pPr>
      <w:r>
        <w:rPr>
          <w:rFonts w:hint="eastAsia" w:ascii="宋体" w:hAnsi="宋体" w:cs="宋体"/>
          <w:color w:val="000000"/>
          <w:kern w:val="0"/>
          <w:sz w:val="24"/>
          <w:highlight w:val="none"/>
        </w:rPr>
        <w:t>（10）组织实施方案……………………………………………………（页码）</w:t>
      </w:r>
    </w:p>
    <w:p>
      <w:pPr>
        <w:shd w:val="clear" w:color="auto" w:fill="auto"/>
        <w:spacing w:line="360" w:lineRule="auto"/>
        <w:ind w:firstLine="480" w:firstLineChars="200"/>
        <w:rPr>
          <w:rFonts w:hint="eastAsia" w:ascii="宋体" w:hAnsi="宋体" w:cs="宋体"/>
          <w:color w:val="000000"/>
          <w:kern w:val="0"/>
          <w:sz w:val="24"/>
          <w:highlight w:val="none"/>
        </w:rPr>
      </w:pPr>
      <w:r>
        <w:rPr>
          <w:rFonts w:hint="eastAsia" w:ascii="宋体" w:hAnsi="宋体" w:cs="宋体"/>
          <w:color w:val="000000"/>
          <w:kern w:val="0"/>
          <w:sz w:val="24"/>
          <w:highlight w:val="none"/>
        </w:rPr>
        <w:t>（11）售后服务方案……………………………………………………（页码）</w:t>
      </w:r>
    </w:p>
    <w:p>
      <w:pPr>
        <w:shd w:val="clear" w:color="auto" w:fill="auto"/>
        <w:spacing w:line="360" w:lineRule="auto"/>
        <w:ind w:firstLine="480" w:firstLineChars="200"/>
        <w:rPr>
          <w:rFonts w:hint="eastAsia" w:ascii="宋体" w:hAnsi="宋体" w:cs="宋体"/>
          <w:color w:val="000000"/>
          <w:kern w:val="0"/>
          <w:sz w:val="24"/>
          <w:highlight w:val="none"/>
        </w:rPr>
      </w:pPr>
      <w:r>
        <w:rPr>
          <w:rFonts w:hint="eastAsia" w:ascii="宋体" w:hAnsi="宋体" w:cs="宋体"/>
          <w:color w:val="000000"/>
          <w:kern w:val="0"/>
          <w:sz w:val="24"/>
          <w:highlight w:val="none"/>
        </w:rPr>
        <w:t>（12）项目小组人员名单………………………………………………（页码）</w:t>
      </w:r>
    </w:p>
    <w:p>
      <w:pPr>
        <w:shd w:val="clear" w:color="auto" w:fill="auto"/>
        <w:spacing w:line="360" w:lineRule="auto"/>
        <w:ind w:firstLine="480" w:firstLineChars="200"/>
        <w:rPr>
          <w:rFonts w:hint="eastAsia" w:ascii="宋体" w:hAnsi="宋体" w:cs="宋体"/>
          <w:color w:val="000000"/>
          <w:kern w:val="0"/>
          <w:sz w:val="24"/>
          <w:highlight w:val="none"/>
        </w:rPr>
      </w:pPr>
      <w:r>
        <w:rPr>
          <w:rFonts w:hint="eastAsia" w:ascii="宋体" w:hAnsi="宋体" w:cs="宋体"/>
          <w:color w:val="000000"/>
          <w:kern w:val="0"/>
          <w:sz w:val="24"/>
          <w:highlight w:val="none"/>
        </w:rPr>
        <w:t>（13）</w:t>
      </w:r>
      <w:r>
        <w:rPr>
          <w:rFonts w:hint="eastAsia" w:ascii="宋体" w:hAnsi="宋体" w:cs="宋体"/>
          <w:color w:val="000000"/>
          <w:kern w:val="0"/>
          <w:sz w:val="24"/>
          <w:highlight w:val="none"/>
          <w:lang w:val="zh-CN"/>
        </w:rPr>
        <w:t>优惠条件及特殊承诺……………………………………………</w:t>
      </w:r>
      <w:r>
        <w:rPr>
          <w:rFonts w:hint="eastAsia" w:ascii="宋体" w:hAnsi="宋体" w:cs="宋体"/>
          <w:color w:val="000000"/>
          <w:kern w:val="0"/>
          <w:sz w:val="24"/>
          <w:highlight w:val="none"/>
        </w:rPr>
        <w:t>（页码）</w:t>
      </w:r>
    </w:p>
    <w:p>
      <w:pPr>
        <w:shd w:val="clear" w:color="auto" w:fill="auto"/>
        <w:spacing w:line="360" w:lineRule="auto"/>
        <w:ind w:firstLine="480" w:firstLineChars="200"/>
        <w:rPr>
          <w:rFonts w:hint="eastAsia" w:ascii="宋体" w:hAnsi="宋体" w:cs="宋体"/>
          <w:color w:val="000000"/>
          <w:kern w:val="0"/>
          <w:sz w:val="24"/>
          <w:highlight w:val="none"/>
        </w:rPr>
      </w:pPr>
      <w:r>
        <w:rPr>
          <w:rFonts w:hint="eastAsia" w:ascii="宋体" w:hAnsi="宋体" w:cs="宋体"/>
          <w:color w:val="000000"/>
          <w:kern w:val="0"/>
          <w:sz w:val="24"/>
          <w:highlight w:val="none"/>
        </w:rPr>
        <w:t>（14）</w:t>
      </w:r>
      <w:r>
        <w:rPr>
          <w:rFonts w:hint="eastAsia" w:ascii="宋体" w:hAnsi="宋体" w:cs="宋体"/>
          <w:color w:val="000000"/>
          <w:kern w:val="0"/>
          <w:sz w:val="24"/>
          <w:highlight w:val="none"/>
          <w:lang w:val="zh-CN"/>
        </w:rPr>
        <w:t>备品备件及供选择的配套零部件清单…………………………</w:t>
      </w:r>
      <w:r>
        <w:rPr>
          <w:rFonts w:hint="eastAsia" w:ascii="宋体" w:hAnsi="宋体" w:cs="宋体"/>
          <w:color w:val="000000"/>
          <w:kern w:val="0"/>
          <w:sz w:val="24"/>
          <w:highlight w:val="none"/>
        </w:rPr>
        <w:t>（页码）</w:t>
      </w:r>
    </w:p>
    <w:p>
      <w:pPr>
        <w:shd w:val="clear" w:color="auto" w:fill="auto"/>
        <w:spacing w:line="360" w:lineRule="auto"/>
        <w:ind w:firstLine="480" w:firstLineChars="200"/>
        <w:rPr>
          <w:rFonts w:hint="eastAsia" w:ascii="宋体" w:hAnsi="宋体" w:cs="宋体"/>
          <w:color w:val="000000"/>
          <w:kern w:val="0"/>
          <w:sz w:val="24"/>
          <w:highlight w:val="none"/>
        </w:rPr>
      </w:pPr>
      <w:r>
        <w:rPr>
          <w:rFonts w:hint="eastAsia" w:ascii="宋体" w:hAnsi="宋体" w:cs="宋体"/>
          <w:color w:val="000000"/>
          <w:kern w:val="0"/>
          <w:sz w:val="24"/>
          <w:highlight w:val="none"/>
        </w:rPr>
        <w:t>（15）</w:t>
      </w:r>
      <w:r>
        <w:rPr>
          <w:rFonts w:hint="eastAsia" w:ascii="宋体" w:hAnsi="宋体" w:cs="宋体"/>
          <w:color w:val="000000"/>
          <w:kern w:val="0"/>
          <w:sz w:val="24"/>
          <w:highlight w:val="none"/>
          <w:lang w:val="zh-CN"/>
        </w:rPr>
        <w:t>培训计划…………………………………………………………</w:t>
      </w:r>
      <w:r>
        <w:rPr>
          <w:rFonts w:hint="eastAsia" w:ascii="宋体" w:hAnsi="宋体" w:cs="宋体"/>
          <w:color w:val="000000"/>
          <w:kern w:val="0"/>
          <w:sz w:val="24"/>
          <w:highlight w:val="none"/>
        </w:rPr>
        <w:t>（页码）</w:t>
      </w:r>
    </w:p>
    <w:p>
      <w:pPr>
        <w:shd w:val="clear" w:color="auto" w:fill="auto"/>
        <w:spacing w:line="360" w:lineRule="auto"/>
        <w:ind w:firstLine="480" w:firstLineChars="200"/>
        <w:rPr>
          <w:rFonts w:hint="eastAsia" w:ascii="宋体" w:hAnsi="宋体" w:cs="宋体"/>
          <w:b/>
          <w:bCs/>
          <w:color w:val="000000"/>
          <w:sz w:val="24"/>
          <w:highlight w:val="none"/>
        </w:rPr>
      </w:pPr>
      <w:r>
        <w:rPr>
          <w:rFonts w:hint="eastAsia" w:ascii="宋体" w:hAnsi="宋体" w:cs="宋体"/>
          <w:color w:val="000000"/>
          <w:kern w:val="0"/>
          <w:sz w:val="24"/>
          <w:highlight w:val="none"/>
        </w:rPr>
        <w:t>（16）</w:t>
      </w:r>
      <w:r>
        <w:rPr>
          <w:rFonts w:hint="eastAsia" w:ascii="宋体" w:hAnsi="宋体" w:cs="宋体"/>
          <w:color w:val="000000"/>
          <w:kern w:val="0"/>
          <w:sz w:val="24"/>
          <w:highlight w:val="none"/>
          <w:lang w:val="zh-CN"/>
        </w:rPr>
        <w:t>认为需要的其他技术文件或说明………………………………</w:t>
      </w:r>
      <w:r>
        <w:rPr>
          <w:rFonts w:hint="eastAsia" w:ascii="宋体" w:hAnsi="宋体" w:cs="宋体"/>
          <w:color w:val="000000"/>
          <w:kern w:val="0"/>
          <w:sz w:val="24"/>
          <w:highlight w:val="none"/>
        </w:rPr>
        <w:t>（页码）</w:t>
      </w:r>
    </w:p>
    <w:p>
      <w:pPr>
        <w:shd w:val="clear" w:color="auto" w:fill="auto"/>
        <w:spacing w:line="360" w:lineRule="auto"/>
        <w:ind w:firstLine="480" w:firstLineChars="200"/>
        <w:rPr>
          <w:rFonts w:hint="eastAsia" w:ascii="宋体" w:hAnsi="宋体" w:cs="宋体"/>
          <w:color w:val="000000"/>
          <w:kern w:val="0"/>
          <w:sz w:val="24"/>
          <w:highlight w:val="none"/>
        </w:rPr>
      </w:pPr>
      <w:r>
        <w:rPr>
          <w:rFonts w:hint="eastAsia" w:ascii="宋体" w:hAnsi="宋体" w:cs="宋体"/>
          <w:color w:val="000000"/>
          <w:kern w:val="0"/>
          <w:sz w:val="24"/>
          <w:highlight w:val="none"/>
        </w:rPr>
        <w:t>（17）</w:t>
      </w:r>
      <w:r>
        <w:rPr>
          <w:rFonts w:hint="eastAsia" w:ascii="宋体" w:hAnsi="宋体" w:cs="宋体"/>
          <w:color w:val="000000"/>
          <w:kern w:val="0"/>
          <w:sz w:val="24"/>
          <w:highlight w:val="none"/>
          <w:lang w:val="zh-CN"/>
        </w:rPr>
        <w:t>关于对招标文件中商务、合同有关条款的拒绝声明…………</w:t>
      </w:r>
      <w:r>
        <w:rPr>
          <w:rFonts w:hint="eastAsia" w:ascii="宋体" w:hAnsi="宋体" w:cs="宋体"/>
          <w:color w:val="000000"/>
          <w:kern w:val="0"/>
          <w:sz w:val="24"/>
          <w:highlight w:val="none"/>
        </w:rPr>
        <w:t>（页码）</w:t>
      </w:r>
    </w:p>
    <w:p>
      <w:pPr>
        <w:shd w:val="clear" w:color="auto" w:fill="auto"/>
        <w:spacing w:line="360" w:lineRule="auto"/>
        <w:ind w:firstLine="480" w:firstLineChars="200"/>
        <w:rPr>
          <w:rFonts w:hint="eastAsia" w:ascii="宋体" w:hAnsi="宋体" w:cs="宋体"/>
          <w:color w:val="000000"/>
          <w:kern w:val="0"/>
          <w:sz w:val="24"/>
          <w:highlight w:val="none"/>
        </w:rPr>
      </w:pPr>
    </w:p>
    <w:p>
      <w:pPr>
        <w:shd w:val="clear" w:color="auto" w:fill="auto"/>
        <w:spacing w:line="360" w:lineRule="auto"/>
        <w:ind w:firstLine="480" w:firstLineChars="200"/>
        <w:rPr>
          <w:rFonts w:hint="eastAsia" w:ascii="宋体" w:hAnsi="宋体" w:cs="宋体"/>
          <w:color w:val="000000"/>
          <w:kern w:val="0"/>
          <w:sz w:val="24"/>
          <w:highlight w:val="none"/>
        </w:rPr>
      </w:pPr>
    </w:p>
    <w:p>
      <w:pPr>
        <w:shd w:val="clear" w:color="auto" w:fill="auto"/>
        <w:spacing w:line="360" w:lineRule="auto"/>
        <w:rPr>
          <w:rFonts w:hint="eastAsia" w:ascii="宋体" w:hAnsi="宋体" w:cs="宋体"/>
          <w:b/>
          <w:bCs/>
          <w:color w:val="000000"/>
          <w:sz w:val="24"/>
          <w:highlight w:val="none"/>
        </w:rPr>
      </w:pPr>
      <w:r>
        <w:rPr>
          <w:rFonts w:hint="eastAsia" w:ascii="宋体" w:hAnsi="宋体" w:cs="宋体"/>
          <w:b/>
          <w:bCs/>
          <w:color w:val="000000"/>
          <w:sz w:val="24"/>
          <w:highlight w:val="none"/>
        </w:rPr>
        <w:t>注：以上目录是基本格式要求，各投标人可根据自身情况进一步细化。</w:t>
      </w:r>
    </w:p>
    <w:p>
      <w:pPr>
        <w:shd w:val="clear" w:color="auto" w:fill="auto"/>
        <w:snapToGrid w:val="0"/>
        <w:spacing w:line="360" w:lineRule="auto"/>
        <w:jc w:val="center"/>
        <w:rPr>
          <w:rFonts w:hint="eastAsia" w:ascii="宋体" w:hAnsi="宋体" w:cs="宋体"/>
          <w:b/>
          <w:color w:val="000000"/>
          <w:kern w:val="0"/>
          <w:sz w:val="32"/>
          <w:szCs w:val="32"/>
          <w:highlight w:val="none"/>
          <w:lang w:val="zh-CN"/>
        </w:rPr>
      </w:pPr>
    </w:p>
    <w:p>
      <w:pPr>
        <w:shd w:val="clear" w:color="auto" w:fill="auto"/>
        <w:snapToGrid w:val="0"/>
        <w:spacing w:line="360" w:lineRule="auto"/>
        <w:jc w:val="center"/>
        <w:rPr>
          <w:rFonts w:hint="eastAsia" w:ascii="宋体" w:hAnsi="宋体" w:cs="宋体"/>
          <w:b/>
          <w:color w:val="000000"/>
          <w:kern w:val="0"/>
          <w:sz w:val="32"/>
          <w:szCs w:val="32"/>
          <w:highlight w:val="none"/>
          <w:lang w:val="zh-CN"/>
        </w:rPr>
      </w:pPr>
    </w:p>
    <w:p>
      <w:pPr>
        <w:shd w:val="clear" w:color="auto" w:fill="auto"/>
        <w:snapToGrid w:val="0"/>
        <w:spacing w:line="360" w:lineRule="auto"/>
        <w:jc w:val="center"/>
        <w:rPr>
          <w:rFonts w:hint="eastAsia" w:ascii="宋体" w:hAnsi="宋体" w:cs="宋体"/>
          <w:b/>
          <w:color w:val="000000"/>
          <w:kern w:val="0"/>
          <w:sz w:val="32"/>
          <w:szCs w:val="32"/>
          <w:highlight w:val="none"/>
          <w:lang w:val="zh-CN"/>
        </w:rPr>
      </w:pPr>
    </w:p>
    <w:p>
      <w:pPr>
        <w:shd w:val="clear" w:color="auto" w:fill="auto"/>
        <w:snapToGrid w:val="0"/>
        <w:spacing w:line="360" w:lineRule="auto"/>
        <w:jc w:val="center"/>
        <w:rPr>
          <w:rFonts w:hint="eastAsia" w:ascii="宋体" w:hAnsi="宋体" w:cs="宋体"/>
          <w:b/>
          <w:color w:val="000000"/>
          <w:kern w:val="0"/>
          <w:sz w:val="32"/>
          <w:szCs w:val="32"/>
          <w:highlight w:val="none"/>
          <w:lang w:val="zh-CN"/>
        </w:rPr>
      </w:pPr>
    </w:p>
    <w:p>
      <w:pPr>
        <w:shd w:val="clear" w:color="auto" w:fill="auto"/>
        <w:snapToGrid w:val="0"/>
        <w:spacing w:line="360" w:lineRule="auto"/>
        <w:jc w:val="center"/>
        <w:rPr>
          <w:rFonts w:hint="eastAsia" w:ascii="宋体" w:hAnsi="宋体" w:cs="宋体"/>
          <w:b/>
          <w:color w:val="000000"/>
          <w:kern w:val="0"/>
          <w:sz w:val="32"/>
          <w:szCs w:val="32"/>
          <w:highlight w:val="none"/>
          <w:lang w:val="zh-CN"/>
        </w:rPr>
      </w:pPr>
    </w:p>
    <w:p>
      <w:pPr>
        <w:shd w:val="clear" w:color="auto" w:fill="auto"/>
        <w:spacing w:line="360" w:lineRule="auto"/>
        <w:jc w:val="center"/>
        <w:rPr>
          <w:rFonts w:hint="eastAsia" w:ascii="宋体" w:hAnsi="宋体" w:cs="宋体"/>
          <w:b/>
          <w:color w:val="000000"/>
          <w:sz w:val="30"/>
          <w:szCs w:val="30"/>
          <w:highlight w:val="none"/>
        </w:rPr>
      </w:pPr>
      <w:r>
        <w:rPr>
          <w:rFonts w:hint="eastAsia" w:ascii="宋体" w:hAnsi="宋体" w:cs="宋体"/>
          <w:b/>
          <w:color w:val="000000"/>
          <w:kern w:val="0"/>
          <w:sz w:val="32"/>
          <w:szCs w:val="32"/>
          <w:highlight w:val="none"/>
          <w:lang w:val="zh-CN"/>
        </w:rPr>
        <w:t>一、</w:t>
      </w:r>
      <w:r>
        <w:rPr>
          <w:rFonts w:hint="eastAsia" w:ascii="宋体" w:hAnsi="宋体" w:cs="宋体"/>
          <w:b/>
          <w:color w:val="000000"/>
          <w:sz w:val="30"/>
          <w:szCs w:val="30"/>
          <w:highlight w:val="none"/>
        </w:rPr>
        <w:t>营业执照(或事业法人登记证或其他工商等登记证明材料)复印件（投标人为自然人的，提供自然人的身份证明）</w:t>
      </w:r>
    </w:p>
    <w:p>
      <w:pPr>
        <w:shd w:val="clear" w:color="auto" w:fill="auto"/>
        <w:snapToGrid w:val="0"/>
        <w:spacing w:line="360" w:lineRule="auto"/>
        <w:jc w:val="center"/>
        <w:rPr>
          <w:rFonts w:hint="eastAsia" w:ascii="宋体" w:hAnsi="宋体" w:cs="宋体"/>
          <w:b/>
          <w:color w:val="000000"/>
          <w:kern w:val="0"/>
          <w:sz w:val="32"/>
          <w:szCs w:val="32"/>
          <w:highlight w:val="none"/>
          <w:lang w:val="zh-CN"/>
        </w:rPr>
      </w:pPr>
    </w:p>
    <w:p>
      <w:pPr>
        <w:shd w:val="clear" w:color="auto" w:fill="auto"/>
        <w:snapToGrid w:val="0"/>
        <w:spacing w:line="360" w:lineRule="auto"/>
        <w:ind w:firstLine="2570" w:firstLineChars="800"/>
        <w:rPr>
          <w:rFonts w:hint="eastAsia" w:ascii="宋体" w:hAnsi="宋体" w:cs="宋体"/>
          <w:b/>
          <w:color w:val="000000"/>
          <w:kern w:val="0"/>
          <w:sz w:val="32"/>
          <w:szCs w:val="32"/>
          <w:highlight w:val="none"/>
          <w:lang w:val="zh-CN"/>
        </w:rPr>
      </w:pPr>
      <w:r>
        <w:rPr>
          <w:rFonts w:hint="eastAsia" w:ascii="宋体" w:hAnsi="宋体" w:cs="宋体"/>
          <w:b/>
          <w:color w:val="000000"/>
          <w:kern w:val="0"/>
          <w:sz w:val="32"/>
          <w:szCs w:val="32"/>
          <w:highlight w:val="none"/>
          <w:lang w:val="zh-CN"/>
        </w:rPr>
        <w:br w:type="page"/>
      </w:r>
      <w:r>
        <w:rPr>
          <w:rFonts w:hint="eastAsia" w:ascii="宋体" w:hAnsi="宋体" w:cs="宋体"/>
          <w:b/>
          <w:color w:val="000000"/>
          <w:kern w:val="0"/>
          <w:sz w:val="32"/>
          <w:szCs w:val="32"/>
          <w:highlight w:val="none"/>
          <w:lang w:val="zh-CN"/>
        </w:rPr>
        <w:t>二、法定代表人授权书</w:t>
      </w:r>
    </w:p>
    <w:p>
      <w:pPr>
        <w:shd w:val="clear" w:color="auto" w:fill="auto"/>
        <w:snapToGrid w:val="0"/>
        <w:spacing w:line="360" w:lineRule="auto"/>
        <w:rPr>
          <w:rFonts w:hint="eastAsia" w:ascii="宋体" w:hAnsi="宋体" w:cs="宋体"/>
          <w:color w:val="000000"/>
          <w:kern w:val="0"/>
          <w:sz w:val="24"/>
          <w:highlight w:val="none"/>
        </w:rPr>
      </w:pPr>
      <w:r>
        <w:rPr>
          <w:rFonts w:hint="eastAsia" w:ascii="宋体" w:hAnsi="宋体" w:cs="宋体"/>
          <w:color w:val="000000"/>
          <w:sz w:val="24"/>
          <w:highlight w:val="none"/>
        </w:rPr>
        <w:t>XXX（采购单位名称）</w:t>
      </w:r>
      <w:r>
        <w:rPr>
          <w:rFonts w:hint="eastAsia" w:ascii="宋体" w:hAnsi="宋体" w:cs="宋体"/>
          <w:color w:val="000000"/>
          <w:kern w:val="0"/>
          <w:sz w:val="24"/>
          <w:highlight w:val="none"/>
          <w:lang w:val="zh-CN"/>
        </w:rPr>
        <w:t>：</w:t>
      </w:r>
    </w:p>
    <w:p>
      <w:pPr>
        <w:shd w:val="clear" w:color="auto" w:fill="auto"/>
        <w:snapToGrid w:val="0"/>
        <w:spacing w:line="360" w:lineRule="auto"/>
        <w:ind w:firstLine="576"/>
        <w:rPr>
          <w:rFonts w:hint="eastAsia" w:ascii="宋体" w:hAnsi="宋体" w:cs="宋体"/>
          <w:color w:val="000000"/>
          <w:kern w:val="0"/>
          <w:sz w:val="24"/>
          <w:highlight w:val="none"/>
        </w:rPr>
      </w:pPr>
      <w:r>
        <w:rPr>
          <w:rFonts w:hint="eastAsia" w:ascii="宋体" w:hAnsi="宋体" w:cs="宋体"/>
          <w:color w:val="000000"/>
          <w:sz w:val="24"/>
          <w:highlight w:val="none"/>
        </w:rPr>
        <w:t>我</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系</w:t>
      </w:r>
      <w:r>
        <w:rPr>
          <w:rFonts w:hint="eastAsia" w:ascii="宋体" w:hAnsi="宋体" w:cs="宋体"/>
          <w:color w:val="000000"/>
          <w:kern w:val="0"/>
          <w:sz w:val="24"/>
          <w:highlight w:val="none"/>
          <w:lang w:val="zh-CN"/>
        </w:rPr>
        <w:t>我公司</w:t>
      </w:r>
      <w:r>
        <w:rPr>
          <w:rFonts w:hint="eastAsia" w:ascii="宋体" w:hAnsi="宋体" w:cs="宋体"/>
          <w:color w:val="000000"/>
          <w:sz w:val="24"/>
          <w:highlight w:val="none"/>
        </w:rPr>
        <w:t>法定代表人，</w:t>
      </w:r>
      <w:r>
        <w:rPr>
          <w:rFonts w:hint="eastAsia" w:ascii="宋体" w:hAnsi="宋体" w:cs="宋体"/>
          <w:color w:val="000000"/>
          <w:kern w:val="0"/>
          <w:sz w:val="24"/>
          <w:highlight w:val="none"/>
          <w:lang w:val="zh-CN"/>
        </w:rPr>
        <w:t>委派我公司</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先生/女士(其在本公司的职务是：</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 xml:space="preserve"> ，联系电话：</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手机：</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传真：</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)，代表我公司全权处理</w:t>
      </w:r>
      <w:r>
        <w:rPr>
          <w:rFonts w:hint="eastAsia" w:ascii="宋体" w:hAnsi="宋体" w:cs="宋体"/>
          <w:color w:val="000000"/>
          <w:sz w:val="24"/>
          <w:highlight w:val="none"/>
        </w:rPr>
        <w:t>XXXXXX项目</w:t>
      </w:r>
      <w:r>
        <w:rPr>
          <w:rFonts w:hint="eastAsia" w:ascii="宋体" w:hAnsi="宋体" w:cs="宋体"/>
          <w:color w:val="000000"/>
          <w:kern w:val="0"/>
          <w:sz w:val="24"/>
          <w:highlight w:val="none"/>
          <w:lang w:val="zh-CN"/>
        </w:rPr>
        <w:t>【编号：           】政府采购投标的一切事项，若中标则全权代表本公司签订相关合同，并负责处理合同履行等事宜。</w:t>
      </w:r>
    </w:p>
    <w:p>
      <w:pPr>
        <w:shd w:val="clear" w:color="auto" w:fill="auto"/>
        <w:snapToGrid w:val="0"/>
        <w:spacing w:line="360" w:lineRule="auto"/>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本授权书有效期：自   年 月  日起至  年  月  日止。</w:t>
      </w:r>
    </w:p>
    <w:p>
      <w:pPr>
        <w:shd w:val="clear" w:color="auto" w:fill="auto"/>
        <w:snapToGrid w:val="0"/>
        <w:spacing w:line="360" w:lineRule="auto"/>
        <w:rPr>
          <w:rFonts w:hint="eastAsia" w:ascii="宋体" w:hAnsi="宋体" w:cs="宋体"/>
          <w:color w:val="000000"/>
          <w:kern w:val="0"/>
          <w:sz w:val="24"/>
          <w:highlight w:val="none"/>
        </w:rPr>
      </w:pPr>
      <w:r>
        <w:rPr>
          <w:rFonts w:hint="eastAsia" w:ascii="宋体" w:hAnsi="宋体" w:cs="宋体"/>
          <w:color w:val="000000"/>
          <w:kern w:val="0"/>
          <w:sz w:val="24"/>
          <w:highlight w:val="none"/>
          <w:lang w:val="zh-CN"/>
        </w:rPr>
        <w:t xml:space="preserve">    特此告知。</w:t>
      </w:r>
    </w:p>
    <w:p>
      <w:pPr>
        <w:shd w:val="clear" w:color="auto" w:fill="auto"/>
        <w:snapToGrid w:val="0"/>
        <w:spacing w:line="360" w:lineRule="auto"/>
        <w:rPr>
          <w:rFonts w:hint="eastAsia" w:ascii="宋体" w:hAnsi="宋体" w:cs="宋体"/>
          <w:color w:val="000000"/>
          <w:kern w:val="0"/>
          <w:sz w:val="24"/>
          <w:highlight w:val="none"/>
        </w:rPr>
      </w:pPr>
      <w:r>
        <w:rPr>
          <w:rFonts w:hint="eastAsia" w:ascii="宋体" w:hAnsi="宋体" w:cs="宋体"/>
          <w:color w:val="000000"/>
          <w:kern w:val="0"/>
          <w:sz w:val="24"/>
          <w:highlight w:val="none"/>
          <w:lang w:val="zh-CN"/>
        </w:rPr>
        <w:t xml:space="preserve">                                                  投标人名称(公章)：</w:t>
      </w:r>
    </w:p>
    <w:p>
      <w:pPr>
        <w:shd w:val="clear" w:color="auto" w:fill="auto"/>
        <w:snapToGrid w:val="0"/>
        <w:spacing w:line="360" w:lineRule="auto"/>
        <w:rPr>
          <w:rFonts w:hint="eastAsia" w:ascii="宋体" w:hAnsi="宋体" w:cs="宋体"/>
          <w:color w:val="000000"/>
          <w:kern w:val="0"/>
          <w:sz w:val="24"/>
          <w:highlight w:val="none"/>
        </w:rPr>
      </w:pPr>
      <w:r>
        <w:rPr>
          <w:rFonts w:hint="eastAsia" w:ascii="宋体" w:hAnsi="宋体" w:cs="宋体"/>
          <w:color w:val="000000"/>
          <w:kern w:val="0"/>
          <w:sz w:val="24"/>
          <w:highlight w:val="none"/>
          <w:lang w:val="zh-CN"/>
        </w:rPr>
        <w:t xml:space="preserve">                                                 </w:t>
      </w:r>
    </w:p>
    <w:p>
      <w:pPr>
        <w:shd w:val="clear" w:color="auto" w:fill="auto"/>
        <w:snapToGrid w:val="0"/>
        <w:spacing w:line="360" w:lineRule="auto"/>
        <w:ind w:right="240"/>
        <w:jc w:val="right"/>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签发日期：  年  月   日</w:t>
      </w:r>
    </w:p>
    <w:p>
      <w:pPr>
        <w:shd w:val="clear" w:color="auto" w:fill="auto"/>
        <w:snapToGrid w:val="0"/>
        <w:spacing w:line="360" w:lineRule="auto"/>
        <w:jc w:val="center"/>
        <w:rPr>
          <w:rFonts w:hint="eastAsia" w:ascii="宋体" w:hAnsi="宋体" w:cs="宋体"/>
          <w:b/>
          <w:color w:val="000000"/>
          <w:kern w:val="0"/>
          <w:sz w:val="32"/>
          <w:szCs w:val="32"/>
          <w:highlight w:val="none"/>
          <w:lang w:val="zh-CN"/>
        </w:rPr>
      </w:pPr>
    </w:p>
    <w:p>
      <w:pPr>
        <w:shd w:val="clear" w:color="auto" w:fill="auto"/>
        <w:snapToGrid w:val="0"/>
        <w:spacing w:line="360" w:lineRule="auto"/>
        <w:jc w:val="center"/>
        <w:rPr>
          <w:rFonts w:hint="eastAsia" w:ascii="宋体" w:hAnsi="宋体" w:cs="宋体"/>
          <w:b/>
          <w:color w:val="000000"/>
          <w:kern w:val="0"/>
          <w:sz w:val="32"/>
          <w:szCs w:val="32"/>
          <w:highlight w:val="none"/>
          <w:lang w:val="zh-CN"/>
        </w:rPr>
      </w:pPr>
    </w:p>
    <w:p>
      <w:pPr>
        <w:shd w:val="clear" w:color="auto" w:fill="auto"/>
        <w:snapToGrid w:val="0"/>
        <w:spacing w:line="360" w:lineRule="auto"/>
        <w:jc w:val="center"/>
        <w:rPr>
          <w:rFonts w:hint="eastAsia" w:ascii="宋体" w:hAnsi="宋体" w:cs="宋体"/>
          <w:b/>
          <w:color w:val="000000"/>
          <w:kern w:val="0"/>
          <w:sz w:val="32"/>
          <w:szCs w:val="32"/>
          <w:highlight w:val="none"/>
          <w:lang w:val="zh-CN"/>
        </w:rPr>
      </w:pPr>
      <w:r>
        <w:rPr>
          <w:rFonts w:hint="eastAsia" w:ascii="宋体" w:hAnsi="宋体" w:cs="宋体"/>
          <w:b/>
          <w:color w:val="000000"/>
          <w:kern w:val="0"/>
          <w:sz w:val="32"/>
          <w:szCs w:val="32"/>
          <w:highlight w:val="none"/>
          <w:lang w:val="zh-CN"/>
        </w:rPr>
        <w:t>联合体投标授权书（适用联合体投标）</w:t>
      </w:r>
    </w:p>
    <w:p>
      <w:pPr>
        <w:shd w:val="clear" w:color="auto" w:fill="auto"/>
        <w:snapToGrid w:val="0"/>
        <w:spacing w:line="360" w:lineRule="auto"/>
        <w:ind w:firstLine="576"/>
        <w:rPr>
          <w:rFonts w:hint="eastAsia" w:ascii="宋体" w:hAnsi="宋体" w:cs="宋体"/>
          <w:color w:val="000000"/>
          <w:kern w:val="0"/>
          <w:sz w:val="24"/>
          <w:highlight w:val="none"/>
        </w:rPr>
      </w:pPr>
      <w:r>
        <w:rPr>
          <w:rFonts w:hint="eastAsia" w:ascii="宋体" w:hAnsi="宋体" w:cs="宋体"/>
          <w:color w:val="000000"/>
          <w:kern w:val="0"/>
          <w:sz w:val="24"/>
          <w:highlight w:val="none"/>
          <w:lang w:val="zh-CN"/>
        </w:rPr>
        <w:t>兹委派</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公司</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先生/女士(其在该公司的职务是：</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 xml:space="preserve"> ，联系电话：</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手机：</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传真：</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公司</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先生/女士(其在该公司的职务是：</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 xml:space="preserve"> ，联系电话：</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手机：</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传真：</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)；……，代表本联合体全权处理</w:t>
      </w:r>
      <w:r>
        <w:rPr>
          <w:rFonts w:hint="eastAsia" w:ascii="宋体" w:hAnsi="宋体" w:cs="宋体"/>
          <w:color w:val="000000"/>
          <w:sz w:val="24"/>
          <w:highlight w:val="none"/>
        </w:rPr>
        <w:t>XXXXXX项目</w:t>
      </w:r>
      <w:r>
        <w:rPr>
          <w:rFonts w:hint="eastAsia" w:ascii="宋体" w:hAnsi="宋体" w:cs="宋体"/>
          <w:color w:val="000000"/>
          <w:kern w:val="0"/>
          <w:sz w:val="24"/>
          <w:highlight w:val="none"/>
          <w:lang w:val="zh-CN"/>
        </w:rPr>
        <w:t>【编号：XXXXXXXXXX】政府采购投标的一切事项，若中标则全权代表本联合体签订相关合同，并负责处理合同履行等事宜。</w:t>
      </w:r>
    </w:p>
    <w:p>
      <w:pPr>
        <w:shd w:val="clear" w:color="auto" w:fill="auto"/>
        <w:snapToGrid w:val="0"/>
        <w:spacing w:line="360" w:lineRule="auto"/>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本授权书有效期：自   年 月  日起至  年  月  日止。</w:t>
      </w:r>
    </w:p>
    <w:p>
      <w:pPr>
        <w:shd w:val="clear" w:color="auto" w:fill="auto"/>
        <w:snapToGrid w:val="0"/>
        <w:spacing w:line="360" w:lineRule="auto"/>
        <w:rPr>
          <w:rFonts w:hint="eastAsia" w:ascii="宋体" w:hAnsi="宋体" w:cs="宋体"/>
          <w:color w:val="000000"/>
          <w:kern w:val="0"/>
          <w:sz w:val="24"/>
          <w:highlight w:val="none"/>
        </w:rPr>
      </w:pPr>
      <w:r>
        <w:rPr>
          <w:rFonts w:hint="eastAsia" w:ascii="宋体" w:hAnsi="宋体" w:cs="宋体"/>
          <w:color w:val="000000"/>
          <w:kern w:val="0"/>
          <w:sz w:val="24"/>
          <w:highlight w:val="none"/>
          <w:lang w:val="zh-CN"/>
        </w:rPr>
        <w:t xml:space="preserve">    特此告知。</w:t>
      </w:r>
    </w:p>
    <w:p>
      <w:pPr>
        <w:shd w:val="clear" w:color="auto" w:fill="auto"/>
        <w:snapToGrid w:val="0"/>
        <w:spacing w:line="360" w:lineRule="auto"/>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w:t>
      </w:r>
    </w:p>
    <w:p>
      <w:pPr>
        <w:shd w:val="clear" w:color="auto" w:fill="auto"/>
        <w:snapToGrid w:val="0"/>
        <w:spacing w:line="360" w:lineRule="auto"/>
        <w:ind w:firstLine="576"/>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单位：            （公章）         单位：          （公章）</w:t>
      </w:r>
    </w:p>
    <w:p>
      <w:pPr>
        <w:shd w:val="clear" w:color="auto" w:fill="auto"/>
        <w:snapToGrid w:val="0"/>
        <w:spacing w:line="360" w:lineRule="auto"/>
        <w:ind w:firstLine="576"/>
        <w:rPr>
          <w:rFonts w:hint="eastAsia" w:ascii="宋体" w:hAnsi="宋体" w:cs="宋体"/>
          <w:color w:val="000000"/>
          <w:kern w:val="0"/>
          <w:sz w:val="24"/>
          <w:highlight w:val="none"/>
        </w:rPr>
      </w:pP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 xml:space="preserve"> </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日期</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年</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日期</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年</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w:t>
      </w:r>
    </w:p>
    <w:p>
      <w:pPr>
        <w:shd w:val="clear" w:color="auto" w:fill="auto"/>
        <w:snapToGrid w:val="0"/>
        <w:spacing w:line="360" w:lineRule="auto"/>
        <w:ind w:firstLine="576"/>
        <w:rPr>
          <w:rFonts w:hint="eastAsia" w:ascii="宋体" w:hAnsi="宋体" w:cs="宋体"/>
          <w:color w:val="000000"/>
          <w:kern w:val="0"/>
          <w:sz w:val="24"/>
          <w:highlight w:val="none"/>
          <w:lang w:val="zh-CN"/>
        </w:rPr>
      </w:pPr>
      <w:r>
        <w:rPr>
          <w:rFonts w:hint="eastAsia" w:ascii="宋体" w:hAnsi="宋体" w:cs="宋体"/>
          <w:color w:val="000000"/>
          <w:kern w:val="0"/>
          <w:sz w:val="24"/>
          <w:highlight w:val="none"/>
        </w:rPr>
        <w:br w:type="page"/>
      </w:r>
      <w:r>
        <w:rPr>
          <w:rFonts w:hint="eastAsia" w:ascii="宋体" w:hAnsi="宋体" w:cs="宋体"/>
          <w:b/>
          <w:bCs/>
          <w:color w:val="000000"/>
          <w:sz w:val="30"/>
          <w:szCs w:val="30"/>
          <w:highlight w:val="none"/>
        </w:rPr>
        <w:t>三、</w:t>
      </w:r>
      <w:r>
        <w:rPr>
          <w:rFonts w:hint="eastAsia" w:ascii="宋体" w:hAnsi="宋体" w:cs="宋体"/>
          <w:b/>
          <w:color w:val="000000"/>
          <w:sz w:val="30"/>
          <w:szCs w:val="30"/>
          <w:highlight w:val="none"/>
        </w:rPr>
        <w:t>法定代表人及其授权代表的身份证（复印件）</w:t>
      </w:r>
    </w:p>
    <w:p>
      <w:pPr>
        <w:pStyle w:val="258"/>
        <w:shd w:val="clear" w:color="auto" w:fill="auto"/>
        <w:spacing w:line="360" w:lineRule="auto"/>
        <w:rPr>
          <w:rFonts w:hint="eastAsia" w:hAnsi="宋体" w:cs="宋体"/>
          <w:bCs/>
          <w:color w:val="000000"/>
          <w:sz w:val="24"/>
          <w:highlight w:val="none"/>
        </w:rPr>
      </w:pPr>
      <w:r>
        <w:rPr>
          <w:rFonts w:hint="eastAsia" w:hAnsi="宋体" w:cs="宋体"/>
          <w:bCs/>
          <w:color w:val="000000"/>
          <w:sz w:val="24"/>
          <w:highlight w:val="none"/>
          <w:lang w:eastAsia="zh-CN"/>
        </w:rPr>
        <w:t>法定代表</w:t>
      </w:r>
      <w:r>
        <w:rPr>
          <w:rFonts w:hint="eastAsia" w:hAnsi="宋体" w:cs="宋体"/>
          <w:bCs/>
          <w:color w:val="000000"/>
          <w:sz w:val="24"/>
          <w:highlight w:val="none"/>
        </w:rPr>
        <w:t>人身份证件：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812" w:hRule="atLeast"/>
          <w:jc w:val="center"/>
        </w:trPr>
        <w:tc>
          <w:tcPr>
            <w:tcW w:w="9207" w:type="dxa"/>
            <w:noWrap w:val="0"/>
            <w:vAlign w:val="top"/>
          </w:tcPr>
          <w:p>
            <w:pPr>
              <w:pStyle w:val="258"/>
              <w:shd w:val="clear" w:color="auto" w:fill="auto"/>
              <w:spacing w:line="360" w:lineRule="auto"/>
              <w:rPr>
                <w:rFonts w:hint="eastAsia" w:hAnsi="宋体" w:cs="宋体"/>
                <w:bCs/>
                <w:color w:val="000000"/>
                <w:sz w:val="24"/>
                <w:highlight w:val="none"/>
                <w:lang w:eastAsia="zh-CN"/>
              </w:rPr>
            </w:pPr>
            <w:r>
              <w:rPr>
                <w:rFonts w:hint="eastAsia" w:hAnsi="宋体" w:cs="宋体"/>
                <w:bCs/>
                <w:color w:val="000000"/>
                <w:sz w:val="24"/>
                <w:highlight w:val="none"/>
                <w:lang w:eastAsia="zh-CN"/>
              </w:rPr>
              <w:t>正面：                                 反面：</w:t>
            </w:r>
          </w:p>
          <w:p>
            <w:pPr>
              <w:pStyle w:val="258"/>
              <w:shd w:val="clear" w:color="auto" w:fill="auto"/>
              <w:spacing w:line="360" w:lineRule="auto"/>
              <w:rPr>
                <w:rFonts w:hint="eastAsia" w:hAnsi="宋体" w:cs="宋体"/>
                <w:bCs/>
                <w:color w:val="000000"/>
                <w:sz w:val="24"/>
                <w:highlight w:val="none"/>
                <w:lang w:eastAsia="zh-CN"/>
              </w:rPr>
            </w:pPr>
          </w:p>
        </w:tc>
      </w:tr>
    </w:tbl>
    <w:p>
      <w:pPr>
        <w:pStyle w:val="258"/>
        <w:shd w:val="clear" w:color="auto" w:fill="auto"/>
        <w:spacing w:line="360" w:lineRule="auto"/>
        <w:rPr>
          <w:rFonts w:hint="eastAsia" w:hAnsi="宋体" w:cs="宋体"/>
          <w:bCs/>
          <w:color w:val="000000"/>
          <w:sz w:val="24"/>
          <w:highlight w:val="none"/>
        </w:rPr>
      </w:pPr>
      <w:r>
        <w:rPr>
          <w:rFonts w:hint="eastAsia" w:hAnsi="宋体" w:cs="宋体"/>
          <w:bCs/>
          <w:color w:val="000000"/>
          <w:sz w:val="24"/>
          <w:highlight w:val="none"/>
        </w:rPr>
        <w:t>授权代表身份证件：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noWrap w:val="0"/>
            <w:vAlign w:val="top"/>
          </w:tcPr>
          <w:p>
            <w:pPr>
              <w:pStyle w:val="258"/>
              <w:shd w:val="clear" w:color="auto" w:fill="auto"/>
              <w:spacing w:line="360" w:lineRule="auto"/>
              <w:rPr>
                <w:rFonts w:hint="eastAsia" w:hAnsi="宋体" w:cs="宋体"/>
                <w:bCs/>
                <w:color w:val="000000"/>
                <w:sz w:val="24"/>
                <w:highlight w:val="none"/>
                <w:lang w:eastAsia="zh-CN"/>
              </w:rPr>
            </w:pPr>
            <w:r>
              <w:rPr>
                <w:rFonts w:hint="eastAsia" w:hAnsi="宋体" w:cs="宋体"/>
                <w:bCs/>
                <w:color w:val="000000"/>
                <w:sz w:val="24"/>
                <w:highlight w:val="none"/>
                <w:lang w:eastAsia="zh-CN"/>
              </w:rPr>
              <w:t>正面：                                 反面：</w:t>
            </w:r>
          </w:p>
          <w:p>
            <w:pPr>
              <w:pStyle w:val="258"/>
              <w:shd w:val="clear" w:color="auto" w:fill="auto"/>
              <w:spacing w:line="360" w:lineRule="auto"/>
              <w:rPr>
                <w:rFonts w:hint="eastAsia" w:hAnsi="宋体" w:cs="宋体"/>
                <w:bCs/>
                <w:color w:val="000000"/>
                <w:sz w:val="24"/>
                <w:highlight w:val="none"/>
                <w:lang w:eastAsia="zh-CN"/>
              </w:rPr>
            </w:pPr>
          </w:p>
        </w:tc>
      </w:tr>
    </w:tbl>
    <w:p>
      <w:pPr>
        <w:shd w:val="clear" w:color="auto" w:fill="auto"/>
        <w:snapToGrid w:val="0"/>
        <w:spacing w:line="360" w:lineRule="auto"/>
        <w:ind w:firstLine="576"/>
        <w:jc w:val="right"/>
        <w:rPr>
          <w:rFonts w:hint="eastAsia" w:ascii="宋体" w:hAnsi="宋体" w:cs="宋体"/>
          <w:color w:val="000000"/>
          <w:kern w:val="0"/>
          <w:sz w:val="24"/>
          <w:highlight w:val="none"/>
          <w:lang w:val="zh-CN"/>
        </w:rPr>
      </w:pPr>
    </w:p>
    <w:p>
      <w:pPr>
        <w:shd w:val="clear" w:color="auto" w:fill="auto"/>
        <w:snapToGrid w:val="0"/>
        <w:spacing w:line="360" w:lineRule="auto"/>
        <w:ind w:firstLine="576"/>
        <w:jc w:val="center"/>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投标人名称(公章)：</w:t>
      </w:r>
    </w:p>
    <w:p>
      <w:pPr>
        <w:shd w:val="clear" w:color="auto" w:fill="auto"/>
        <w:snapToGrid w:val="0"/>
        <w:spacing w:line="360" w:lineRule="auto"/>
        <w:ind w:firstLine="576"/>
        <w:jc w:val="center"/>
        <w:rPr>
          <w:rFonts w:hint="eastAsia" w:ascii="宋体" w:hAnsi="宋体" w:cs="宋体"/>
          <w:color w:val="000000"/>
          <w:kern w:val="0"/>
          <w:sz w:val="24"/>
          <w:highlight w:val="none"/>
        </w:rPr>
      </w:pPr>
      <w:r>
        <w:rPr>
          <w:rFonts w:hint="eastAsia" w:ascii="宋体" w:hAnsi="宋体" w:cs="宋体"/>
          <w:color w:val="000000"/>
          <w:kern w:val="0"/>
          <w:sz w:val="24"/>
          <w:highlight w:val="none"/>
          <w:lang w:val="zh-CN"/>
        </w:rPr>
        <w:t xml:space="preserve">                             </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 xml:space="preserve">              日期：  年  月</w:t>
      </w:r>
      <w:r>
        <w:rPr>
          <w:rFonts w:hint="eastAsia" w:ascii="宋体" w:hAnsi="宋体" w:cs="宋体"/>
          <w:color w:val="000000"/>
          <w:kern w:val="0"/>
          <w:sz w:val="24"/>
          <w:highlight w:val="none"/>
        </w:rPr>
        <w:t xml:space="preserve">   日</w:t>
      </w:r>
    </w:p>
    <w:p>
      <w:pPr>
        <w:shd w:val="clear" w:color="auto" w:fill="auto"/>
        <w:snapToGrid w:val="0"/>
        <w:spacing w:before="50" w:after="50" w:line="360" w:lineRule="auto"/>
        <w:jc w:val="center"/>
        <w:rPr>
          <w:rFonts w:hint="eastAsia" w:ascii="宋体" w:hAnsi="宋体" w:cs="宋体"/>
          <w:b/>
          <w:color w:val="000000"/>
          <w:sz w:val="30"/>
          <w:szCs w:val="30"/>
          <w:highlight w:val="none"/>
        </w:rPr>
      </w:pPr>
    </w:p>
    <w:p>
      <w:pPr>
        <w:shd w:val="clear" w:color="auto" w:fill="auto"/>
        <w:snapToGrid w:val="0"/>
        <w:spacing w:before="50" w:after="50" w:line="360" w:lineRule="auto"/>
        <w:jc w:val="center"/>
        <w:rPr>
          <w:rFonts w:hint="eastAsia" w:ascii="宋体" w:hAnsi="宋体" w:cs="宋体"/>
          <w:b/>
          <w:color w:val="000000"/>
          <w:sz w:val="30"/>
          <w:szCs w:val="30"/>
          <w:highlight w:val="none"/>
        </w:rPr>
      </w:pPr>
    </w:p>
    <w:p>
      <w:pPr>
        <w:shd w:val="clear" w:color="auto" w:fill="auto"/>
        <w:snapToGrid w:val="0"/>
        <w:spacing w:before="50" w:after="50" w:line="360" w:lineRule="auto"/>
        <w:jc w:val="center"/>
        <w:rPr>
          <w:rFonts w:hint="eastAsia" w:ascii="宋体" w:hAnsi="宋体" w:cs="宋体"/>
          <w:b/>
          <w:color w:val="000000"/>
          <w:sz w:val="30"/>
          <w:szCs w:val="30"/>
          <w:highlight w:val="none"/>
        </w:rPr>
      </w:pPr>
      <w:r>
        <w:rPr>
          <w:rFonts w:hint="eastAsia" w:ascii="宋体" w:hAnsi="宋体" w:cs="宋体"/>
          <w:b/>
          <w:color w:val="000000"/>
          <w:sz w:val="30"/>
          <w:szCs w:val="30"/>
          <w:highlight w:val="none"/>
        </w:rPr>
        <w:t>四、联合体协议</w:t>
      </w:r>
    </w:p>
    <w:p>
      <w:pPr>
        <w:shd w:val="clear" w:color="auto" w:fill="auto"/>
        <w:snapToGrid w:val="0"/>
        <w:spacing w:line="360" w:lineRule="auto"/>
        <w:ind w:firstLine="576"/>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甲方：</w:t>
      </w:r>
    </w:p>
    <w:p>
      <w:pPr>
        <w:shd w:val="clear" w:color="auto" w:fill="auto"/>
        <w:snapToGrid w:val="0"/>
        <w:spacing w:line="360" w:lineRule="auto"/>
        <w:ind w:firstLine="576"/>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乙方：</w:t>
      </w:r>
    </w:p>
    <w:p>
      <w:pPr>
        <w:shd w:val="clear" w:color="auto" w:fill="auto"/>
        <w:snapToGrid w:val="0"/>
        <w:spacing w:line="360" w:lineRule="auto"/>
        <w:ind w:firstLine="576"/>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w:t>
      </w:r>
    </w:p>
    <w:p>
      <w:pPr>
        <w:shd w:val="clear" w:color="auto" w:fill="auto"/>
        <w:snapToGrid w:val="0"/>
        <w:spacing w:line="360" w:lineRule="auto"/>
        <w:ind w:firstLine="576"/>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各方经协商一致，决定组成一个联合体，以一个投标人的身份就XXXXXXXX（采购机构名称）组织实施的</w:t>
      </w:r>
      <w:r>
        <w:rPr>
          <w:rFonts w:hint="eastAsia" w:ascii="宋体" w:hAnsi="宋体" w:cs="宋体"/>
          <w:color w:val="000000"/>
          <w:sz w:val="24"/>
          <w:highlight w:val="none"/>
        </w:rPr>
        <w:t>XXXXXX项目</w:t>
      </w:r>
      <w:r>
        <w:rPr>
          <w:rFonts w:hint="eastAsia" w:ascii="宋体" w:hAnsi="宋体" w:cs="宋体"/>
          <w:color w:val="000000"/>
          <w:kern w:val="0"/>
          <w:sz w:val="24"/>
          <w:highlight w:val="none"/>
          <w:lang w:val="zh-CN"/>
        </w:rPr>
        <w:t>（XXXXXXXXXXXX）共同投标。</w:t>
      </w:r>
    </w:p>
    <w:p>
      <w:pPr>
        <w:shd w:val="clear" w:color="auto" w:fill="auto"/>
        <w:snapToGrid w:val="0"/>
        <w:spacing w:line="360" w:lineRule="auto"/>
        <w:ind w:firstLine="576"/>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一、各方一致决定，</w:t>
      </w:r>
      <w:r>
        <w:rPr>
          <w:rFonts w:hint="eastAsia" w:ascii="宋体" w:hAnsi="宋体" w:cs="宋体"/>
          <w:color w:val="000000"/>
          <w:sz w:val="24"/>
          <w:highlight w:val="none"/>
        </w:rPr>
        <w:t>指定</w:t>
      </w:r>
      <w:r>
        <w:rPr>
          <w:rFonts w:hint="eastAsia" w:ascii="宋体" w:hAnsi="宋体" w:cs="宋体"/>
          <w:color w:val="000000"/>
          <w:highlight w:val="none"/>
          <w:u w:val="single"/>
        </w:rPr>
        <w:t xml:space="preserve">   </w:t>
      </w:r>
      <w:r>
        <w:rPr>
          <w:rFonts w:hint="eastAsia" w:ascii="宋体" w:hAnsi="宋体" w:cs="宋体"/>
          <w:color w:val="000000"/>
          <w:sz w:val="24"/>
          <w:highlight w:val="none"/>
        </w:rPr>
        <w:t>方牵头人，代表所有联合体成员负责投标和合同实施阶段的主办、协调工作</w:t>
      </w:r>
      <w:r>
        <w:rPr>
          <w:rFonts w:hint="eastAsia" w:ascii="宋体" w:hAnsi="宋体" w:cs="宋体"/>
          <w:color w:val="000000"/>
          <w:kern w:val="0"/>
          <w:sz w:val="24"/>
          <w:highlight w:val="none"/>
          <w:lang w:val="zh-CN"/>
        </w:rPr>
        <w:t>。</w:t>
      </w:r>
    </w:p>
    <w:p>
      <w:pPr>
        <w:shd w:val="clear" w:color="auto" w:fill="auto"/>
        <w:snapToGrid w:val="0"/>
        <w:spacing w:line="360" w:lineRule="auto"/>
        <w:ind w:firstLine="576"/>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二、</w:t>
      </w:r>
      <w:r>
        <w:rPr>
          <w:rFonts w:hint="eastAsia" w:ascii="宋体" w:hAnsi="宋体" w:cs="宋体"/>
          <w:color w:val="000000"/>
          <w:sz w:val="24"/>
          <w:highlight w:val="none"/>
        </w:rPr>
        <w:t>所有联合体成员各方的授权书，授权书载明的</w:t>
      </w:r>
      <w:r>
        <w:rPr>
          <w:rFonts w:hint="eastAsia" w:ascii="宋体" w:hAnsi="宋体" w:cs="宋体"/>
          <w:color w:val="000000"/>
          <w:kern w:val="0"/>
          <w:sz w:val="24"/>
          <w:highlight w:val="none"/>
          <w:lang w:val="zh-CN"/>
        </w:rPr>
        <w:t>授权代表根据招标文件规定及投标内容而对采购人、采购机构所作的任何合法承诺，包括书面澄清及相应等均对联合投标各方产生约束力。</w:t>
      </w:r>
    </w:p>
    <w:p>
      <w:pPr>
        <w:shd w:val="clear" w:color="auto" w:fill="auto"/>
        <w:snapToGrid w:val="0"/>
        <w:spacing w:line="360" w:lineRule="auto"/>
        <w:ind w:firstLine="576"/>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三、本次联合投标中，分工如下：甲方承担的工作和义务为：</w:t>
      </w:r>
      <w:r>
        <w:rPr>
          <w:rFonts w:hint="eastAsia" w:ascii="宋体" w:hAnsi="宋体" w:cs="宋体"/>
          <w:color w:val="000000"/>
          <w:highlight w:val="none"/>
          <w:u w:val="single"/>
        </w:rPr>
        <w:t xml:space="preserve">             </w:t>
      </w:r>
      <w:r>
        <w:rPr>
          <w:rFonts w:hint="eastAsia" w:ascii="宋体" w:hAnsi="宋体" w:cs="宋体"/>
          <w:color w:val="000000"/>
          <w:kern w:val="0"/>
          <w:sz w:val="24"/>
          <w:highlight w:val="none"/>
          <w:lang w:val="zh-CN"/>
        </w:rPr>
        <w:t>；乙方承担的工作和义务为：</w:t>
      </w:r>
      <w:r>
        <w:rPr>
          <w:rFonts w:hint="eastAsia" w:ascii="宋体" w:hAnsi="宋体" w:cs="宋体"/>
          <w:color w:val="000000"/>
          <w:highlight w:val="none"/>
          <w:u w:val="single"/>
        </w:rPr>
        <w:t xml:space="preserve">            </w:t>
      </w:r>
      <w:r>
        <w:rPr>
          <w:rFonts w:hint="eastAsia" w:ascii="宋体" w:hAnsi="宋体" w:cs="宋体"/>
          <w:color w:val="000000"/>
          <w:kern w:val="0"/>
          <w:sz w:val="24"/>
          <w:highlight w:val="none"/>
          <w:lang w:val="zh-CN"/>
        </w:rPr>
        <w:t xml:space="preserve"> ；……</w:t>
      </w:r>
    </w:p>
    <w:p>
      <w:pPr>
        <w:shd w:val="clear" w:color="auto" w:fill="auto"/>
        <w:snapToGrid w:val="0"/>
        <w:spacing w:line="360" w:lineRule="auto"/>
        <w:ind w:firstLine="576"/>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四、如果中标，</w:t>
      </w:r>
      <w:r>
        <w:rPr>
          <w:rFonts w:hint="eastAsia" w:ascii="宋体" w:hAnsi="宋体" w:cs="宋体"/>
          <w:color w:val="000000"/>
          <w:sz w:val="24"/>
          <w:highlight w:val="none"/>
        </w:rPr>
        <w:t>联合体各成员方共同与采购人签订合同，并就采购合同约定的事项对采购人承担连带责任。</w:t>
      </w:r>
    </w:p>
    <w:p>
      <w:pPr>
        <w:shd w:val="clear" w:color="auto" w:fill="auto"/>
        <w:snapToGrid w:val="0"/>
        <w:spacing w:line="360" w:lineRule="auto"/>
        <w:ind w:firstLine="576"/>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五、有关本次联合投标的其他事宜：</w:t>
      </w:r>
    </w:p>
    <w:p>
      <w:pPr>
        <w:shd w:val="clear" w:color="auto" w:fill="auto"/>
        <w:snapToGrid w:val="0"/>
        <w:spacing w:line="360" w:lineRule="auto"/>
        <w:ind w:firstLine="576"/>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1、联合体各方不再单独参加或者与其他供应商另外组成联合体参加同一合同项下的政府采购活动。</w:t>
      </w:r>
    </w:p>
    <w:p>
      <w:pPr>
        <w:shd w:val="clear" w:color="auto" w:fill="auto"/>
        <w:snapToGrid w:val="0"/>
        <w:spacing w:line="360" w:lineRule="auto"/>
        <w:ind w:firstLine="576"/>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2、联合体中有同类资质的各方按照联合体分工承担相同工作的，按照资质等级较低的供应商确定资质等级。</w:t>
      </w:r>
    </w:p>
    <w:p>
      <w:pPr>
        <w:shd w:val="clear" w:color="auto" w:fill="auto"/>
        <w:snapToGrid w:val="0"/>
        <w:spacing w:line="360" w:lineRule="auto"/>
        <w:ind w:firstLine="576"/>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3、本协议提交采购人、采购机构后，联合体各方不得以任何形式对上述内容进行修改或撤销。</w:t>
      </w:r>
    </w:p>
    <w:p>
      <w:pPr>
        <w:shd w:val="clear" w:color="auto" w:fill="auto"/>
        <w:snapToGrid w:val="0"/>
        <w:spacing w:line="360" w:lineRule="auto"/>
        <w:ind w:firstLine="576"/>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甲方单位：            （公章）          乙方单位：          （公章）</w:t>
      </w:r>
    </w:p>
    <w:p>
      <w:pPr>
        <w:shd w:val="clear" w:color="auto" w:fill="auto"/>
        <w:snapToGrid w:val="0"/>
        <w:spacing w:line="360" w:lineRule="auto"/>
        <w:ind w:firstLine="576"/>
        <w:rPr>
          <w:rFonts w:hint="eastAsia" w:ascii="宋体" w:hAnsi="宋体" w:cs="宋体"/>
          <w:color w:val="000000"/>
          <w:kern w:val="0"/>
          <w:sz w:val="24"/>
          <w:highlight w:val="none"/>
          <w:lang w:val="zh-CN"/>
        </w:rPr>
      </w:pP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 xml:space="preserve">     日期：    年   月   日                 日期：    年   月   日</w:t>
      </w:r>
    </w:p>
    <w:p>
      <w:pPr>
        <w:shd w:val="clear" w:color="auto" w:fill="auto"/>
        <w:snapToGrid w:val="0"/>
        <w:spacing w:line="360" w:lineRule="auto"/>
        <w:ind w:firstLine="576"/>
        <w:rPr>
          <w:rFonts w:hint="eastAsia" w:ascii="宋体" w:hAnsi="宋体" w:cs="宋体"/>
          <w:color w:val="000000"/>
          <w:kern w:val="0"/>
          <w:sz w:val="24"/>
          <w:highlight w:val="none"/>
          <w:lang w:val="zh-CN"/>
        </w:rPr>
      </w:pPr>
    </w:p>
    <w:p>
      <w:pPr>
        <w:shd w:val="clear" w:color="auto" w:fill="auto"/>
        <w:snapToGrid w:val="0"/>
        <w:spacing w:line="360" w:lineRule="auto"/>
        <w:ind w:firstLine="576"/>
        <w:rPr>
          <w:rFonts w:hint="eastAsia" w:ascii="宋体" w:hAnsi="宋体" w:cs="宋体"/>
          <w:color w:val="000000"/>
          <w:kern w:val="0"/>
          <w:sz w:val="24"/>
          <w:highlight w:val="none"/>
          <w:lang w:val="zh-CN"/>
        </w:rPr>
      </w:pPr>
    </w:p>
    <w:p>
      <w:pPr>
        <w:shd w:val="clear" w:color="auto" w:fill="auto"/>
        <w:spacing w:line="360" w:lineRule="auto"/>
        <w:rPr>
          <w:rFonts w:hint="eastAsia" w:ascii="宋体" w:hAnsi="宋体" w:cs="宋体"/>
          <w:b/>
          <w:color w:val="000000"/>
          <w:sz w:val="32"/>
          <w:szCs w:val="32"/>
          <w:highlight w:val="none"/>
        </w:rPr>
      </w:pPr>
    </w:p>
    <w:p>
      <w:pPr>
        <w:shd w:val="clear" w:color="auto" w:fill="auto"/>
        <w:spacing w:line="360" w:lineRule="auto"/>
        <w:jc w:val="center"/>
        <w:rPr>
          <w:rFonts w:hint="eastAsia" w:ascii="宋体" w:hAnsi="宋体" w:cs="宋体"/>
          <w:b/>
          <w:color w:val="000000"/>
          <w:sz w:val="32"/>
          <w:szCs w:val="32"/>
          <w:highlight w:val="none"/>
        </w:rPr>
      </w:pPr>
      <w:r>
        <w:rPr>
          <w:rFonts w:hint="eastAsia" w:ascii="宋体" w:hAnsi="宋体" w:cs="宋体"/>
          <w:b/>
          <w:color w:val="000000"/>
          <w:sz w:val="32"/>
          <w:szCs w:val="32"/>
          <w:highlight w:val="none"/>
        </w:rPr>
        <w:br w:type="page"/>
      </w:r>
      <w:r>
        <w:rPr>
          <w:rFonts w:hint="eastAsia" w:ascii="宋体" w:hAnsi="宋体" w:cs="宋体"/>
          <w:b/>
          <w:color w:val="000000"/>
          <w:sz w:val="32"/>
          <w:szCs w:val="32"/>
          <w:highlight w:val="none"/>
        </w:rPr>
        <w:t>五、资信文件复印件</w:t>
      </w:r>
    </w:p>
    <w:p>
      <w:pPr>
        <w:shd w:val="clear" w:color="auto" w:fill="auto"/>
        <w:spacing w:line="360" w:lineRule="auto"/>
        <w:jc w:val="center"/>
        <w:rPr>
          <w:rFonts w:hint="eastAsia" w:ascii="宋体" w:hAnsi="宋体" w:cs="宋体"/>
          <w:b/>
          <w:bCs/>
          <w:color w:val="000000"/>
          <w:sz w:val="32"/>
          <w:szCs w:val="32"/>
          <w:highlight w:val="none"/>
        </w:rPr>
      </w:pPr>
      <w:r>
        <w:rPr>
          <w:rFonts w:hint="eastAsia" w:ascii="宋体" w:hAnsi="宋体" w:cs="宋体"/>
          <w:color w:val="000000"/>
          <w:sz w:val="24"/>
          <w:highlight w:val="none"/>
        </w:rPr>
        <w:t>（由投标人根据采购需求及招标文件要求自行编制）</w:t>
      </w:r>
    </w:p>
    <w:p>
      <w:pPr>
        <w:shd w:val="clear" w:color="auto" w:fill="auto"/>
        <w:spacing w:line="360" w:lineRule="auto"/>
        <w:jc w:val="center"/>
        <w:rPr>
          <w:rFonts w:hint="eastAsia" w:ascii="宋体" w:hAnsi="宋体" w:cs="宋体"/>
          <w:b/>
          <w:bCs/>
          <w:color w:val="000000"/>
          <w:sz w:val="32"/>
          <w:szCs w:val="32"/>
          <w:highlight w:val="none"/>
        </w:rPr>
      </w:pPr>
    </w:p>
    <w:p>
      <w:pPr>
        <w:shd w:val="clear" w:color="auto" w:fill="auto"/>
        <w:spacing w:line="360" w:lineRule="auto"/>
        <w:jc w:val="center"/>
        <w:rPr>
          <w:rFonts w:hint="eastAsia" w:ascii="宋体" w:hAnsi="宋体" w:cs="宋体"/>
          <w:b/>
          <w:bCs/>
          <w:color w:val="000000"/>
          <w:sz w:val="32"/>
          <w:szCs w:val="32"/>
          <w:highlight w:val="none"/>
        </w:rPr>
      </w:pPr>
      <w:r>
        <w:rPr>
          <w:rFonts w:hint="eastAsia" w:ascii="宋体" w:hAnsi="宋体" w:cs="宋体"/>
          <w:b/>
          <w:bCs/>
          <w:color w:val="000000"/>
          <w:sz w:val="32"/>
          <w:szCs w:val="32"/>
          <w:highlight w:val="none"/>
        </w:rPr>
        <w:t>六、</w:t>
      </w:r>
      <w:r>
        <w:rPr>
          <w:rFonts w:hint="eastAsia" w:ascii="宋体" w:hAnsi="宋体" w:cs="宋体"/>
          <w:b/>
          <w:color w:val="000000"/>
          <w:kern w:val="0"/>
          <w:sz w:val="32"/>
          <w:szCs w:val="32"/>
          <w:highlight w:val="none"/>
          <w:lang w:val="zh-CN"/>
        </w:rPr>
        <w:t>主要业绩证明</w:t>
      </w:r>
    </w:p>
    <w:p>
      <w:pPr>
        <w:shd w:val="clear" w:color="auto" w:fill="auto"/>
        <w:autoSpaceDE w:val="0"/>
        <w:autoSpaceDN w:val="0"/>
        <w:spacing w:line="360" w:lineRule="auto"/>
        <w:ind w:firstLine="120"/>
        <w:rPr>
          <w:rFonts w:hint="eastAsia" w:ascii="宋体" w:hAnsi="宋体" w:cs="宋体"/>
          <w:b/>
          <w:color w:val="000000"/>
          <w:sz w:val="24"/>
          <w:highlight w:val="none"/>
        </w:rPr>
      </w:pPr>
      <w:r>
        <w:rPr>
          <w:rFonts w:hint="eastAsia" w:ascii="宋体" w:hAnsi="宋体" w:cs="宋体"/>
          <w:b/>
          <w:color w:val="000000"/>
          <w:sz w:val="24"/>
          <w:highlight w:val="none"/>
        </w:rPr>
        <w:t>附表:相关项目业绩一览表（格式仅供参考，投标人可自行编制）</w:t>
      </w:r>
    </w:p>
    <w:tbl>
      <w:tblPr>
        <w:tblStyle w:val="62"/>
        <w:tblW w:w="4997" w:type="pct"/>
        <w:tblInd w:w="0" w:type="dxa"/>
        <w:tblLayout w:type="autofit"/>
        <w:tblCellMar>
          <w:top w:w="0" w:type="dxa"/>
          <w:left w:w="108" w:type="dxa"/>
          <w:bottom w:w="0" w:type="dxa"/>
          <w:right w:w="108" w:type="dxa"/>
        </w:tblCellMar>
      </w:tblPr>
      <w:tblGrid>
        <w:gridCol w:w="2041"/>
        <w:gridCol w:w="1538"/>
        <w:gridCol w:w="1296"/>
        <w:gridCol w:w="1309"/>
        <w:gridCol w:w="1718"/>
        <w:gridCol w:w="1378"/>
      </w:tblGrid>
      <w:tr>
        <w:tblPrEx>
          <w:tblCellMar>
            <w:top w:w="0" w:type="dxa"/>
            <w:left w:w="108" w:type="dxa"/>
            <w:bottom w:w="0" w:type="dxa"/>
            <w:right w:w="108" w:type="dxa"/>
          </w:tblCellMar>
        </w:tblPrEx>
        <w:trPr>
          <w:wBefore w:w="0" w:type="auto"/>
          <w:wAfter w:w="0" w:type="auto"/>
          <w:trHeight w:val="1177" w:hRule="atLeast"/>
        </w:trPr>
        <w:tc>
          <w:tcPr>
            <w:tcW w:w="1099" w:type="pct"/>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项目名称</w:t>
            </w:r>
          </w:p>
        </w:tc>
        <w:tc>
          <w:tcPr>
            <w:tcW w:w="828" w:type="pct"/>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简要描述</w:t>
            </w:r>
          </w:p>
        </w:tc>
        <w:tc>
          <w:tcPr>
            <w:tcW w:w="698" w:type="pct"/>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项目</w:t>
            </w:r>
          </w:p>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投资</w:t>
            </w:r>
          </w:p>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（万元）</w:t>
            </w:r>
          </w:p>
        </w:tc>
        <w:tc>
          <w:tcPr>
            <w:tcW w:w="705" w:type="pct"/>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开竣工日期</w:t>
            </w:r>
          </w:p>
        </w:tc>
        <w:tc>
          <w:tcPr>
            <w:tcW w:w="925" w:type="pct"/>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项目地址与建设单位联系电话</w:t>
            </w:r>
          </w:p>
        </w:tc>
        <w:tc>
          <w:tcPr>
            <w:tcW w:w="742" w:type="pct"/>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所在页码</w:t>
            </w:r>
          </w:p>
        </w:tc>
      </w:tr>
      <w:tr>
        <w:tblPrEx>
          <w:tblCellMar>
            <w:top w:w="0" w:type="dxa"/>
            <w:left w:w="108" w:type="dxa"/>
            <w:bottom w:w="0" w:type="dxa"/>
            <w:right w:w="108" w:type="dxa"/>
          </w:tblCellMar>
        </w:tblPrEx>
        <w:trPr>
          <w:wBefore w:w="0" w:type="auto"/>
          <w:wAfter w:w="0" w:type="auto"/>
          <w:trHeight w:val="894" w:hRule="atLeast"/>
        </w:trPr>
        <w:tc>
          <w:tcPr>
            <w:tcW w:w="1099"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828"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698"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705"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925"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742"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r>
      <w:tr>
        <w:tblPrEx>
          <w:tblCellMar>
            <w:top w:w="0" w:type="dxa"/>
            <w:left w:w="108" w:type="dxa"/>
            <w:bottom w:w="0" w:type="dxa"/>
            <w:right w:w="108" w:type="dxa"/>
          </w:tblCellMar>
        </w:tblPrEx>
        <w:trPr>
          <w:wBefore w:w="0" w:type="auto"/>
          <w:wAfter w:w="0" w:type="auto"/>
          <w:trHeight w:val="920" w:hRule="atLeast"/>
        </w:trPr>
        <w:tc>
          <w:tcPr>
            <w:tcW w:w="1099"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828"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698"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705"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925"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742"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r>
      <w:tr>
        <w:tblPrEx>
          <w:tblCellMar>
            <w:top w:w="0" w:type="dxa"/>
            <w:left w:w="108" w:type="dxa"/>
            <w:bottom w:w="0" w:type="dxa"/>
            <w:right w:w="108" w:type="dxa"/>
          </w:tblCellMar>
        </w:tblPrEx>
        <w:trPr>
          <w:wBefore w:w="0" w:type="auto"/>
          <w:wAfter w:w="0" w:type="auto"/>
          <w:trHeight w:val="933" w:hRule="atLeast"/>
        </w:trPr>
        <w:tc>
          <w:tcPr>
            <w:tcW w:w="1099"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828"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698"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705"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925"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742"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r>
      <w:tr>
        <w:tblPrEx>
          <w:tblCellMar>
            <w:top w:w="0" w:type="dxa"/>
            <w:left w:w="108" w:type="dxa"/>
            <w:bottom w:w="0" w:type="dxa"/>
            <w:right w:w="108" w:type="dxa"/>
          </w:tblCellMar>
        </w:tblPrEx>
        <w:trPr>
          <w:wBefore w:w="0" w:type="auto"/>
          <w:wAfter w:w="0" w:type="auto"/>
          <w:trHeight w:val="933" w:hRule="atLeast"/>
        </w:trPr>
        <w:tc>
          <w:tcPr>
            <w:tcW w:w="1099"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828"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698"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705"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925"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742"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r>
      <w:tr>
        <w:tblPrEx>
          <w:tblCellMar>
            <w:top w:w="0" w:type="dxa"/>
            <w:left w:w="108" w:type="dxa"/>
            <w:bottom w:w="0" w:type="dxa"/>
            <w:right w:w="108" w:type="dxa"/>
          </w:tblCellMar>
        </w:tblPrEx>
        <w:trPr>
          <w:wBefore w:w="0" w:type="auto"/>
          <w:wAfter w:w="0" w:type="auto"/>
          <w:trHeight w:val="927" w:hRule="atLeast"/>
        </w:trPr>
        <w:tc>
          <w:tcPr>
            <w:tcW w:w="1099"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828"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698"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705"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925"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742" w:type="pct"/>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r>
    </w:tbl>
    <w:p>
      <w:pPr>
        <w:shd w:val="clear" w:color="auto" w:fill="auto"/>
        <w:autoSpaceDE w:val="0"/>
        <w:autoSpaceDN w:val="0"/>
        <w:spacing w:line="360" w:lineRule="auto"/>
        <w:rPr>
          <w:rFonts w:hint="eastAsia" w:ascii="宋体" w:hAnsi="宋体" w:cs="宋体"/>
          <w:color w:val="000000"/>
          <w:sz w:val="24"/>
          <w:highlight w:val="none"/>
        </w:rPr>
      </w:pPr>
      <w:r>
        <w:rPr>
          <w:rFonts w:hint="eastAsia" w:ascii="宋体" w:hAnsi="宋体" w:cs="宋体"/>
          <w:b/>
          <w:color w:val="000000"/>
          <w:sz w:val="24"/>
          <w:highlight w:val="none"/>
        </w:rPr>
        <w:t>注： 可随表提交相应的合同复印件</w:t>
      </w:r>
    </w:p>
    <w:p>
      <w:pPr>
        <w:shd w:val="clear" w:color="auto" w:fill="auto"/>
        <w:autoSpaceDE w:val="0"/>
        <w:autoSpaceDN w:val="0"/>
        <w:spacing w:line="360" w:lineRule="auto"/>
        <w:ind w:firstLine="4560" w:firstLineChars="1900"/>
        <w:rPr>
          <w:rFonts w:hint="eastAsia" w:ascii="宋体" w:hAnsi="宋体" w:cs="宋体"/>
          <w:color w:val="000000"/>
          <w:kern w:val="0"/>
          <w:sz w:val="24"/>
          <w:highlight w:val="none"/>
        </w:rPr>
      </w:pPr>
      <w:r>
        <w:rPr>
          <w:rFonts w:hint="eastAsia" w:ascii="宋体" w:hAnsi="宋体" w:cs="宋体"/>
          <w:color w:val="000000"/>
          <w:kern w:val="0"/>
          <w:sz w:val="24"/>
          <w:highlight w:val="none"/>
        </w:rPr>
        <w:t xml:space="preserve">投标人名称（公章）：                       </w:t>
      </w:r>
    </w:p>
    <w:p>
      <w:pPr>
        <w:shd w:val="clear" w:color="auto" w:fill="auto"/>
        <w:autoSpaceDE w:val="0"/>
        <w:autoSpaceDN w:val="0"/>
        <w:spacing w:line="360" w:lineRule="auto"/>
        <w:rPr>
          <w:rFonts w:hint="eastAsia" w:ascii="宋体" w:hAnsi="宋体" w:cs="宋体"/>
          <w:color w:val="000000"/>
          <w:kern w:val="0"/>
          <w:sz w:val="24"/>
          <w:highlight w:val="none"/>
        </w:rPr>
      </w:pPr>
      <w:r>
        <w:rPr>
          <w:rFonts w:hint="eastAsia" w:ascii="宋体" w:hAnsi="宋体" w:cs="宋体"/>
          <w:color w:val="000000"/>
          <w:kern w:val="0"/>
          <w:sz w:val="24"/>
          <w:highlight w:val="none"/>
        </w:rPr>
        <w:t xml:space="preserve">                                                        </w:t>
      </w:r>
    </w:p>
    <w:p>
      <w:pPr>
        <w:shd w:val="clear" w:color="auto" w:fill="auto"/>
        <w:spacing w:line="360" w:lineRule="auto"/>
        <w:rPr>
          <w:rFonts w:hint="eastAsia" w:ascii="宋体" w:hAnsi="宋体" w:cs="宋体"/>
          <w:color w:val="000000"/>
          <w:kern w:val="0"/>
          <w:sz w:val="24"/>
          <w:highlight w:val="none"/>
        </w:rPr>
      </w:pPr>
      <w:r>
        <w:rPr>
          <w:rFonts w:hint="eastAsia" w:ascii="宋体" w:hAnsi="宋体" w:cs="宋体"/>
          <w:color w:val="000000"/>
          <w:kern w:val="0"/>
          <w:sz w:val="24"/>
          <w:highlight w:val="none"/>
        </w:rPr>
        <w:t xml:space="preserve">                                      日期：  年  月   日</w:t>
      </w:r>
    </w:p>
    <w:p>
      <w:pPr>
        <w:shd w:val="clear" w:color="auto" w:fill="auto"/>
        <w:spacing w:line="360" w:lineRule="auto"/>
        <w:rPr>
          <w:rFonts w:hint="eastAsia" w:ascii="宋体" w:hAnsi="宋体" w:cs="宋体"/>
          <w:color w:val="000000"/>
          <w:kern w:val="0"/>
          <w:sz w:val="24"/>
          <w:highlight w:val="none"/>
        </w:rPr>
      </w:pPr>
    </w:p>
    <w:p>
      <w:pPr>
        <w:shd w:val="clear" w:color="auto" w:fill="auto"/>
        <w:spacing w:line="360" w:lineRule="auto"/>
        <w:rPr>
          <w:rFonts w:hint="eastAsia" w:ascii="宋体" w:hAnsi="宋体" w:cs="宋体"/>
          <w:color w:val="000000"/>
          <w:kern w:val="0"/>
          <w:sz w:val="24"/>
          <w:highlight w:val="none"/>
        </w:rPr>
      </w:pPr>
    </w:p>
    <w:p>
      <w:pPr>
        <w:shd w:val="clear" w:color="auto" w:fill="auto"/>
        <w:spacing w:line="360" w:lineRule="auto"/>
        <w:jc w:val="center"/>
        <w:rPr>
          <w:rFonts w:hint="eastAsia" w:ascii="宋体" w:hAnsi="宋体" w:cs="宋体"/>
          <w:b/>
          <w:bCs/>
          <w:color w:val="000000"/>
          <w:sz w:val="32"/>
          <w:szCs w:val="32"/>
          <w:highlight w:val="none"/>
        </w:rPr>
      </w:pPr>
    </w:p>
    <w:p>
      <w:pPr>
        <w:shd w:val="clear" w:color="auto" w:fill="auto"/>
        <w:spacing w:line="360" w:lineRule="auto"/>
        <w:jc w:val="center"/>
        <w:rPr>
          <w:rFonts w:hint="eastAsia" w:ascii="宋体" w:hAnsi="宋体" w:cs="宋体"/>
          <w:b/>
          <w:bCs/>
          <w:color w:val="000000"/>
          <w:sz w:val="32"/>
          <w:szCs w:val="32"/>
          <w:highlight w:val="none"/>
        </w:rPr>
      </w:pPr>
    </w:p>
    <w:p>
      <w:pPr>
        <w:shd w:val="clear" w:color="auto" w:fill="auto"/>
        <w:spacing w:line="360" w:lineRule="auto"/>
        <w:jc w:val="center"/>
        <w:rPr>
          <w:rFonts w:hint="eastAsia" w:ascii="宋体" w:hAnsi="宋体" w:cs="宋体"/>
          <w:b/>
          <w:bCs/>
          <w:color w:val="000000"/>
          <w:sz w:val="32"/>
          <w:szCs w:val="32"/>
          <w:highlight w:val="none"/>
        </w:rPr>
      </w:pPr>
      <w:r>
        <w:rPr>
          <w:rFonts w:hint="eastAsia" w:ascii="宋体" w:hAnsi="宋体" w:cs="宋体"/>
          <w:b/>
          <w:bCs/>
          <w:color w:val="000000"/>
          <w:sz w:val="32"/>
          <w:szCs w:val="32"/>
          <w:highlight w:val="none"/>
        </w:rPr>
        <w:br w:type="page"/>
      </w:r>
      <w:r>
        <w:rPr>
          <w:rFonts w:hint="eastAsia" w:ascii="宋体" w:hAnsi="宋体" w:cs="宋体"/>
          <w:b/>
          <w:bCs/>
          <w:color w:val="000000"/>
          <w:sz w:val="32"/>
          <w:szCs w:val="32"/>
          <w:highlight w:val="none"/>
        </w:rPr>
        <w:t>七、</w:t>
      </w:r>
      <w:bookmarkStart w:id="460" w:name="OLE_LINK16"/>
      <w:bookmarkStart w:id="461" w:name="OLE_LINK17"/>
      <w:r>
        <w:rPr>
          <w:rFonts w:hint="eastAsia" w:ascii="宋体" w:hAnsi="宋体" w:cs="宋体"/>
          <w:b/>
          <w:bCs/>
          <w:color w:val="000000"/>
          <w:sz w:val="32"/>
          <w:szCs w:val="32"/>
          <w:highlight w:val="none"/>
        </w:rPr>
        <w:t>其他商务文件或说明</w:t>
      </w:r>
    </w:p>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w:t>
      </w:r>
      <w:bookmarkStart w:id="462" w:name="OLE_LINK11"/>
      <w:bookmarkStart w:id="463" w:name="OLE_LINK10"/>
      <w:r>
        <w:rPr>
          <w:rFonts w:hint="eastAsia" w:ascii="宋体" w:hAnsi="宋体" w:cs="宋体"/>
          <w:color w:val="000000"/>
          <w:sz w:val="24"/>
          <w:highlight w:val="none"/>
        </w:rPr>
        <w:t>其他商务文件或说明由投标人根据采购需求及招标文件要求自行编制</w:t>
      </w:r>
      <w:bookmarkEnd w:id="462"/>
      <w:bookmarkEnd w:id="463"/>
      <w:r>
        <w:rPr>
          <w:rFonts w:hint="eastAsia" w:ascii="宋体" w:hAnsi="宋体" w:cs="宋体"/>
          <w:color w:val="000000"/>
          <w:sz w:val="24"/>
          <w:highlight w:val="none"/>
        </w:rPr>
        <w:t>）</w:t>
      </w:r>
    </w:p>
    <w:bookmarkEnd w:id="460"/>
    <w:bookmarkEnd w:id="461"/>
    <w:p>
      <w:pPr>
        <w:shd w:val="clear" w:color="auto" w:fill="auto"/>
        <w:spacing w:line="360" w:lineRule="auto"/>
        <w:jc w:val="center"/>
        <w:rPr>
          <w:rFonts w:hint="eastAsia" w:ascii="宋体" w:hAnsi="宋体" w:cs="宋体"/>
          <w:color w:val="000000"/>
          <w:sz w:val="24"/>
          <w:highlight w:val="none"/>
        </w:rPr>
      </w:pPr>
    </w:p>
    <w:p>
      <w:pPr>
        <w:shd w:val="clear" w:color="auto" w:fill="auto"/>
        <w:autoSpaceDE w:val="0"/>
        <w:autoSpaceDN w:val="0"/>
        <w:spacing w:line="360" w:lineRule="auto"/>
        <w:ind w:firstLine="4800" w:firstLineChars="2000"/>
        <w:rPr>
          <w:rFonts w:hint="eastAsia" w:ascii="宋体" w:hAnsi="宋体" w:cs="宋体"/>
          <w:color w:val="000000"/>
          <w:kern w:val="0"/>
          <w:sz w:val="24"/>
          <w:highlight w:val="none"/>
        </w:rPr>
      </w:pPr>
      <w:r>
        <w:rPr>
          <w:rFonts w:hint="eastAsia" w:ascii="宋体" w:hAnsi="宋体" w:cs="宋体"/>
          <w:color w:val="000000"/>
          <w:kern w:val="0"/>
          <w:sz w:val="24"/>
          <w:highlight w:val="none"/>
          <w:lang w:val="zh-CN"/>
        </w:rPr>
        <w:t xml:space="preserve">投标人名称（公章）：      </w:t>
      </w:r>
    </w:p>
    <w:p>
      <w:pPr>
        <w:shd w:val="clear" w:color="auto" w:fill="auto"/>
        <w:autoSpaceDE w:val="0"/>
        <w:autoSpaceDN w:val="0"/>
        <w:spacing w:line="360" w:lineRule="auto"/>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 xml:space="preserve"> </w:t>
      </w:r>
    </w:p>
    <w:p>
      <w:pPr>
        <w:shd w:val="clear" w:color="auto" w:fill="auto"/>
        <w:spacing w:line="360" w:lineRule="auto"/>
        <w:ind w:firstLine="1070" w:firstLineChars="446"/>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日期：  年  月   日</w:t>
      </w:r>
    </w:p>
    <w:p>
      <w:pPr>
        <w:shd w:val="clear" w:color="auto" w:fill="auto"/>
        <w:spacing w:line="360" w:lineRule="auto"/>
        <w:rPr>
          <w:rFonts w:hint="eastAsia" w:ascii="宋体" w:hAnsi="宋体" w:cs="宋体"/>
          <w:b/>
          <w:bCs/>
          <w:color w:val="000000"/>
          <w:kern w:val="0"/>
          <w:sz w:val="24"/>
          <w:highlight w:val="none"/>
        </w:rPr>
      </w:pPr>
    </w:p>
    <w:p>
      <w:pPr>
        <w:shd w:val="clear" w:color="auto" w:fill="auto"/>
        <w:spacing w:line="360" w:lineRule="auto"/>
        <w:jc w:val="center"/>
        <w:rPr>
          <w:rFonts w:hint="eastAsia" w:ascii="宋体" w:hAnsi="宋体" w:cs="宋体"/>
          <w:b/>
          <w:bCs/>
          <w:color w:val="000000"/>
          <w:sz w:val="32"/>
          <w:szCs w:val="32"/>
          <w:highlight w:val="none"/>
        </w:rPr>
        <w:sectPr>
          <w:pgSz w:w="11906" w:h="16838"/>
          <w:pgMar w:top="1247" w:right="1418" w:bottom="1276" w:left="1418" w:header="851" w:footer="992" w:gutter="0"/>
          <w:cols w:space="720" w:num="1"/>
          <w:titlePg/>
          <w:docGrid w:linePitch="312" w:charSpace="0"/>
        </w:sectPr>
      </w:pPr>
    </w:p>
    <w:p>
      <w:pPr>
        <w:shd w:val="clear" w:color="auto" w:fill="auto"/>
        <w:spacing w:line="360" w:lineRule="auto"/>
        <w:jc w:val="center"/>
        <w:rPr>
          <w:rFonts w:hint="eastAsia" w:ascii="宋体" w:hAnsi="宋体" w:cs="宋体"/>
          <w:b/>
          <w:bCs/>
          <w:color w:val="000000"/>
          <w:sz w:val="32"/>
          <w:szCs w:val="32"/>
          <w:highlight w:val="none"/>
        </w:rPr>
      </w:pPr>
      <w:r>
        <w:rPr>
          <w:rFonts w:hint="eastAsia" w:ascii="宋体" w:hAnsi="宋体" w:cs="宋体"/>
          <w:b/>
          <w:color w:val="000000"/>
          <w:sz w:val="32"/>
          <w:szCs w:val="32"/>
          <w:highlight w:val="none"/>
        </w:rPr>
        <w:t>八</w:t>
      </w:r>
      <w:r>
        <w:rPr>
          <w:rFonts w:hint="eastAsia" w:ascii="宋体" w:hAnsi="宋体" w:cs="宋体"/>
          <w:b/>
          <w:bCs/>
          <w:color w:val="000000"/>
          <w:sz w:val="32"/>
          <w:szCs w:val="32"/>
          <w:highlight w:val="none"/>
        </w:rPr>
        <w:t>、技术解决方案</w:t>
      </w:r>
    </w:p>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（由投标人根据采购需求及招标文件要求自行编制）</w:t>
      </w:r>
    </w:p>
    <w:p>
      <w:pPr>
        <w:shd w:val="clear" w:color="auto" w:fill="auto"/>
        <w:spacing w:line="360" w:lineRule="auto"/>
        <w:jc w:val="center"/>
        <w:rPr>
          <w:rFonts w:hint="eastAsia" w:ascii="宋体" w:hAnsi="宋体" w:cs="宋体"/>
          <w:color w:val="000000"/>
          <w:sz w:val="24"/>
          <w:highlight w:val="none"/>
        </w:rPr>
      </w:pPr>
    </w:p>
    <w:p>
      <w:pPr>
        <w:shd w:val="clear" w:color="auto" w:fill="auto"/>
        <w:autoSpaceDE w:val="0"/>
        <w:autoSpaceDN w:val="0"/>
        <w:spacing w:line="360" w:lineRule="auto"/>
        <w:rPr>
          <w:rFonts w:hint="eastAsia" w:ascii="宋体" w:hAnsi="宋体" w:cs="宋体"/>
          <w:b/>
          <w:color w:val="000000"/>
          <w:kern w:val="0"/>
          <w:sz w:val="28"/>
          <w:szCs w:val="28"/>
          <w:highlight w:val="none"/>
        </w:rPr>
      </w:pPr>
    </w:p>
    <w:p>
      <w:pPr>
        <w:shd w:val="clear" w:color="auto" w:fill="auto"/>
        <w:snapToGrid w:val="0"/>
        <w:spacing w:line="360" w:lineRule="auto"/>
        <w:jc w:val="center"/>
        <w:rPr>
          <w:rFonts w:hint="eastAsia" w:ascii="宋体" w:hAnsi="宋体" w:cs="宋体"/>
          <w:b/>
          <w:color w:val="000000"/>
          <w:sz w:val="32"/>
          <w:szCs w:val="32"/>
          <w:highlight w:val="none"/>
        </w:rPr>
      </w:pPr>
      <w:r>
        <w:rPr>
          <w:rFonts w:hint="eastAsia" w:ascii="宋体" w:hAnsi="宋体" w:cs="宋体"/>
          <w:b/>
          <w:color w:val="000000"/>
          <w:sz w:val="32"/>
          <w:szCs w:val="32"/>
          <w:highlight w:val="none"/>
        </w:rPr>
        <w:t>投标产品规格配置清单</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pPr>
              <w:shd w:val="clear" w:color="auto" w:fill="auto"/>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序号</w:t>
            </w:r>
          </w:p>
        </w:tc>
        <w:tc>
          <w:tcPr>
            <w:tcW w:w="1531" w:type="dxa"/>
            <w:noWrap w:val="0"/>
            <w:vAlign w:val="center"/>
          </w:tcPr>
          <w:p>
            <w:pPr>
              <w:shd w:val="clear" w:color="auto" w:fill="auto"/>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设备名称</w:t>
            </w:r>
          </w:p>
        </w:tc>
        <w:tc>
          <w:tcPr>
            <w:tcW w:w="2160" w:type="dxa"/>
            <w:noWrap w:val="0"/>
            <w:vAlign w:val="center"/>
          </w:tcPr>
          <w:p>
            <w:pPr>
              <w:shd w:val="clear" w:color="auto" w:fill="auto"/>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投标品牌及型号</w:t>
            </w:r>
          </w:p>
        </w:tc>
        <w:tc>
          <w:tcPr>
            <w:tcW w:w="2340" w:type="dxa"/>
            <w:noWrap w:val="0"/>
            <w:vAlign w:val="center"/>
          </w:tcPr>
          <w:p>
            <w:pPr>
              <w:shd w:val="clear" w:color="auto" w:fill="auto"/>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规格配置详细说明</w:t>
            </w:r>
          </w:p>
        </w:tc>
        <w:tc>
          <w:tcPr>
            <w:tcW w:w="1080" w:type="dxa"/>
            <w:noWrap w:val="0"/>
            <w:vAlign w:val="center"/>
          </w:tcPr>
          <w:p>
            <w:pPr>
              <w:shd w:val="clear" w:color="auto" w:fill="auto"/>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数量</w:t>
            </w:r>
          </w:p>
        </w:tc>
        <w:tc>
          <w:tcPr>
            <w:tcW w:w="1332" w:type="dxa"/>
            <w:noWrap w:val="0"/>
            <w:vAlign w:val="center"/>
          </w:tcPr>
          <w:p>
            <w:pPr>
              <w:shd w:val="clear" w:color="auto" w:fill="auto"/>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1</w:t>
            </w:r>
          </w:p>
        </w:tc>
        <w:tc>
          <w:tcPr>
            <w:tcW w:w="1531"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2160"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2340" w:type="dxa"/>
            <w:noWrap w:val="0"/>
            <w:vAlign w:val="center"/>
          </w:tcPr>
          <w:p>
            <w:pPr>
              <w:shd w:val="clear" w:color="auto" w:fill="auto"/>
              <w:spacing w:line="360" w:lineRule="auto"/>
              <w:jc w:val="center"/>
              <w:rPr>
                <w:rFonts w:hint="eastAsia" w:ascii="宋体" w:hAnsi="宋体" w:cs="宋体"/>
                <w:color w:val="000000"/>
                <w:sz w:val="24"/>
                <w:highlight w:val="none"/>
              </w:rPr>
            </w:pPr>
          </w:p>
        </w:tc>
        <w:tc>
          <w:tcPr>
            <w:tcW w:w="1080" w:type="dxa"/>
            <w:noWrap w:val="0"/>
            <w:vAlign w:val="center"/>
          </w:tcPr>
          <w:p>
            <w:pPr>
              <w:shd w:val="clear" w:color="auto" w:fill="auto"/>
              <w:spacing w:line="360" w:lineRule="auto"/>
              <w:jc w:val="center"/>
              <w:rPr>
                <w:rFonts w:hint="eastAsia" w:ascii="宋体" w:hAnsi="宋体" w:cs="宋体"/>
                <w:color w:val="000000"/>
                <w:sz w:val="24"/>
                <w:highlight w:val="none"/>
              </w:rPr>
            </w:pPr>
          </w:p>
        </w:tc>
        <w:tc>
          <w:tcPr>
            <w:tcW w:w="1332" w:type="dxa"/>
            <w:noWrap w:val="0"/>
            <w:vAlign w:val="center"/>
          </w:tcPr>
          <w:p>
            <w:pPr>
              <w:shd w:val="clear" w:color="auto" w:fill="auto"/>
              <w:spacing w:line="360" w:lineRule="auto"/>
              <w:jc w:val="center"/>
              <w:rPr>
                <w:rFonts w:hint="eastAsia"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2</w:t>
            </w:r>
          </w:p>
        </w:tc>
        <w:tc>
          <w:tcPr>
            <w:tcW w:w="1531"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2160"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2340" w:type="dxa"/>
            <w:noWrap w:val="0"/>
            <w:vAlign w:val="center"/>
          </w:tcPr>
          <w:p>
            <w:pPr>
              <w:shd w:val="clear" w:color="auto" w:fill="auto"/>
              <w:spacing w:line="360" w:lineRule="auto"/>
              <w:jc w:val="center"/>
              <w:rPr>
                <w:rFonts w:hint="eastAsia" w:ascii="宋体" w:hAnsi="宋体" w:cs="宋体"/>
                <w:color w:val="000000"/>
                <w:sz w:val="24"/>
                <w:highlight w:val="none"/>
              </w:rPr>
            </w:pPr>
          </w:p>
        </w:tc>
        <w:tc>
          <w:tcPr>
            <w:tcW w:w="1080" w:type="dxa"/>
            <w:noWrap w:val="0"/>
            <w:vAlign w:val="center"/>
          </w:tcPr>
          <w:p>
            <w:pPr>
              <w:shd w:val="clear" w:color="auto" w:fill="auto"/>
              <w:spacing w:line="360" w:lineRule="auto"/>
              <w:jc w:val="center"/>
              <w:rPr>
                <w:rFonts w:hint="eastAsia" w:ascii="宋体" w:hAnsi="宋体" w:cs="宋体"/>
                <w:color w:val="000000"/>
                <w:sz w:val="24"/>
                <w:highlight w:val="none"/>
              </w:rPr>
            </w:pPr>
          </w:p>
        </w:tc>
        <w:tc>
          <w:tcPr>
            <w:tcW w:w="1332" w:type="dxa"/>
            <w:noWrap w:val="0"/>
            <w:vAlign w:val="center"/>
          </w:tcPr>
          <w:p>
            <w:pPr>
              <w:shd w:val="clear" w:color="auto" w:fill="auto"/>
              <w:spacing w:line="360" w:lineRule="auto"/>
              <w:jc w:val="center"/>
              <w:rPr>
                <w:rFonts w:hint="eastAsia"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3</w:t>
            </w:r>
          </w:p>
        </w:tc>
        <w:tc>
          <w:tcPr>
            <w:tcW w:w="1531"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2160" w:type="dxa"/>
            <w:noWrap w:val="0"/>
            <w:vAlign w:val="center"/>
          </w:tcPr>
          <w:p>
            <w:pPr>
              <w:shd w:val="clear" w:color="auto" w:fill="auto"/>
              <w:snapToGrid w:val="0"/>
              <w:spacing w:line="360" w:lineRule="auto"/>
              <w:jc w:val="center"/>
              <w:rPr>
                <w:rFonts w:hint="eastAsia" w:ascii="宋体" w:hAnsi="宋体" w:cs="宋体"/>
                <w:color w:val="000000"/>
                <w:sz w:val="24"/>
                <w:highlight w:val="none"/>
              </w:rPr>
            </w:pPr>
          </w:p>
        </w:tc>
        <w:tc>
          <w:tcPr>
            <w:tcW w:w="2340" w:type="dxa"/>
            <w:noWrap w:val="0"/>
            <w:vAlign w:val="center"/>
          </w:tcPr>
          <w:p>
            <w:pPr>
              <w:shd w:val="clear" w:color="auto" w:fill="auto"/>
              <w:spacing w:line="360" w:lineRule="auto"/>
              <w:jc w:val="center"/>
              <w:rPr>
                <w:rFonts w:hint="eastAsia" w:ascii="宋体" w:hAnsi="宋体" w:cs="宋体"/>
                <w:color w:val="000000"/>
                <w:sz w:val="24"/>
                <w:highlight w:val="none"/>
              </w:rPr>
            </w:pPr>
          </w:p>
        </w:tc>
        <w:tc>
          <w:tcPr>
            <w:tcW w:w="1080" w:type="dxa"/>
            <w:noWrap w:val="0"/>
            <w:vAlign w:val="center"/>
          </w:tcPr>
          <w:p>
            <w:pPr>
              <w:shd w:val="clear" w:color="auto" w:fill="auto"/>
              <w:spacing w:line="360" w:lineRule="auto"/>
              <w:jc w:val="center"/>
              <w:rPr>
                <w:rFonts w:hint="eastAsia" w:ascii="宋体" w:hAnsi="宋体" w:cs="宋体"/>
                <w:color w:val="000000"/>
                <w:sz w:val="24"/>
                <w:highlight w:val="none"/>
              </w:rPr>
            </w:pPr>
          </w:p>
        </w:tc>
        <w:tc>
          <w:tcPr>
            <w:tcW w:w="1332" w:type="dxa"/>
            <w:noWrap w:val="0"/>
            <w:vAlign w:val="center"/>
          </w:tcPr>
          <w:p>
            <w:pPr>
              <w:shd w:val="clear" w:color="auto" w:fill="auto"/>
              <w:spacing w:line="360" w:lineRule="auto"/>
              <w:jc w:val="center"/>
              <w:rPr>
                <w:rFonts w:hint="eastAsia" w:ascii="宋体" w:hAnsi="宋体" w:cs="宋体"/>
                <w:color w:val="000000"/>
                <w:sz w:val="24"/>
                <w:highlight w:val="none"/>
              </w:rPr>
            </w:pPr>
          </w:p>
        </w:tc>
      </w:tr>
    </w:tbl>
    <w:p>
      <w:pPr>
        <w:shd w:val="clear" w:color="auto" w:fill="auto"/>
        <w:autoSpaceDE w:val="0"/>
        <w:autoSpaceDN w:val="0"/>
        <w:spacing w:line="360" w:lineRule="auto"/>
        <w:rPr>
          <w:rFonts w:hint="eastAsia" w:ascii="宋体" w:hAnsi="宋体" w:cs="宋体"/>
          <w:b/>
          <w:color w:val="000000"/>
          <w:kern w:val="0"/>
          <w:sz w:val="28"/>
          <w:szCs w:val="28"/>
          <w:highlight w:val="none"/>
        </w:rPr>
      </w:pPr>
      <w:r>
        <w:rPr>
          <w:rFonts w:hint="eastAsia" w:ascii="宋体" w:hAnsi="宋体" w:cs="宋体"/>
          <w:b/>
          <w:color w:val="000000"/>
          <w:sz w:val="24"/>
          <w:highlight w:val="none"/>
        </w:rPr>
        <w:t>注：如果本项目涉及硬件设备采购，须在技术文件中提供此配置清单</w:t>
      </w:r>
      <w:r>
        <w:rPr>
          <w:rFonts w:hint="eastAsia" w:ascii="宋体" w:hAnsi="宋体" w:cs="宋体"/>
          <w:b/>
          <w:color w:val="000000"/>
          <w:sz w:val="28"/>
          <w:szCs w:val="28"/>
          <w:highlight w:val="none"/>
        </w:rPr>
        <w:t xml:space="preserve">。  </w:t>
      </w:r>
    </w:p>
    <w:p>
      <w:pPr>
        <w:shd w:val="clear" w:color="auto" w:fill="auto"/>
        <w:autoSpaceDE w:val="0"/>
        <w:autoSpaceDN w:val="0"/>
        <w:spacing w:line="360" w:lineRule="auto"/>
        <w:rPr>
          <w:rFonts w:hint="eastAsia" w:ascii="宋体" w:hAnsi="宋体" w:cs="宋体"/>
          <w:b/>
          <w:color w:val="000000"/>
          <w:kern w:val="0"/>
          <w:sz w:val="28"/>
          <w:szCs w:val="28"/>
          <w:highlight w:val="none"/>
        </w:rPr>
      </w:pPr>
    </w:p>
    <w:p>
      <w:pPr>
        <w:shd w:val="clear" w:color="auto" w:fill="auto"/>
        <w:autoSpaceDE w:val="0"/>
        <w:autoSpaceDN w:val="0"/>
        <w:spacing w:line="360" w:lineRule="auto"/>
        <w:ind w:firstLine="4560" w:firstLineChars="1900"/>
        <w:rPr>
          <w:rFonts w:hint="eastAsia" w:ascii="宋体" w:hAnsi="宋体" w:cs="宋体"/>
          <w:color w:val="000000"/>
          <w:kern w:val="0"/>
          <w:sz w:val="24"/>
          <w:highlight w:val="none"/>
        </w:rPr>
      </w:pPr>
      <w:r>
        <w:rPr>
          <w:rFonts w:hint="eastAsia" w:ascii="宋体" w:hAnsi="宋体" w:cs="宋体"/>
          <w:color w:val="000000"/>
          <w:kern w:val="0"/>
          <w:sz w:val="24"/>
          <w:highlight w:val="none"/>
        </w:rPr>
        <w:t>投标人名称（公章）：</w:t>
      </w:r>
    </w:p>
    <w:p>
      <w:pPr>
        <w:shd w:val="clear" w:color="auto" w:fill="auto"/>
        <w:autoSpaceDE w:val="0"/>
        <w:autoSpaceDN w:val="0"/>
        <w:spacing w:line="360" w:lineRule="auto"/>
        <w:rPr>
          <w:rFonts w:hint="eastAsia" w:ascii="宋体" w:hAnsi="宋体" w:cs="宋体"/>
          <w:color w:val="000000"/>
          <w:kern w:val="0"/>
          <w:sz w:val="24"/>
          <w:highlight w:val="none"/>
        </w:rPr>
      </w:pPr>
      <w:r>
        <w:rPr>
          <w:rFonts w:hint="eastAsia" w:ascii="宋体" w:hAnsi="宋体" w:cs="宋体"/>
          <w:color w:val="000000"/>
          <w:kern w:val="0"/>
          <w:sz w:val="24"/>
          <w:highlight w:val="none"/>
        </w:rPr>
        <w:t xml:space="preserve">                                     </w:t>
      </w:r>
    </w:p>
    <w:p>
      <w:pPr>
        <w:shd w:val="clear" w:color="auto" w:fill="auto"/>
        <w:spacing w:line="360" w:lineRule="auto"/>
        <w:jc w:val="center"/>
        <w:rPr>
          <w:rFonts w:hint="eastAsia" w:ascii="宋体" w:hAnsi="宋体" w:cs="宋体"/>
          <w:b/>
          <w:bCs/>
          <w:color w:val="000000"/>
          <w:kern w:val="0"/>
          <w:sz w:val="24"/>
          <w:highlight w:val="none"/>
          <w:lang w:val="zh-CN"/>
        </w:rPr>
      </w:pPr>
      <w:r>
        <w:rPr>
          <w:rFonts w:hint="eastAsia" w:ascii="宋体" w:hAnsi="宋体" w:cs="宋体"/>
          <w:color w:val="000000"/>
          <w:kern w:val="0"/>
          <w:sz w:val="24"/>
          <w:highlight w:val="none"/>
        </w:rPr>
        <w:t xml:space="preserve">                     日期：  年  月   日</w:t>
      </w:r>
    </w:p>
    <w:p>
      <w:pPr>
        <w:shd w:val="clear" w:color="auto" w:fill="auto"/>
        <w:tabs>
          <w:tab w:val="left" w:pos="2790"/>
          <w:tab w:val="center" w:pos="3835"/>
          <w:tab w:val="left" w:pos="4230"/>
          <w:tab w:val="left" w:pos="4695"/>
        </w:tabs>
        <w:autoSpaceDE w:val="0"/>
        <w:autoSpaceDN w:val="0"/>
        <w:spacing w:line="360" w:lineRule="auto"/>
        <w:ind w:right="1400"/>
        <w:jc w:val="left"/>
        <w:outlineLvl w:val="1"/>
        <w:rPr>
          <w:rFonts w:hint="eastAsia" w:ascii="宋体" w:hAnsi="宋体" w:cs="宋体"/>
          <w:b/>
          <w:bCs/>
          <w:color w:val="000000"/>
          <w:kern w:val="0"/>
          <w:sz w:val="24"/>
          <w:highlight w:val="none"/>
          <w:lang w:val="zh-CN"/>
        </w:rPr>
      </w:pPr>
      <w:r>
        <w:rPr>
          <w:rFonts w:hint="eastAsia" w:ascii="宋体" w:hAnsi="宋体" w:cs="宋体"/>
          <w:b/>
          <w:bCs/>
          <w:color w:val="000000"/>
          <w:kern w:val="0"/>
          <w:sz w:val="24"/>
          <w:highlight w:val="none"/>
          <w:lang w:val="zh-CN"/>
        </w:rPr>
        <w:tab/>
      </w:r>
      <w:r>
        <w:rPr>
          <w:rFonts w:hint="eastAsia" w:ascii="宋体" w:hAnsi="宋体" w:cs="宋体"/>
          <w:b/>
          <w:bCs/>
          <w:color w:val="000000"/>
          <w:kern w:val="0"/>
          <w:sz w:val="24"/>
          <w:highlight w:val="none"/>
          <w:lang w:val="zh-CN"/>
        </w:rPr>
        <w:tab/>
      </w:r>
      <w:r>
        <w:rPr>
          <w:rFonts w:hint="eastAsia" w:ascii="宋体" w:hAnsi="宋体" w:cs="宋体"/>
          <w:b/>
          <w:bCs/>
          <w:color w:val="000000"/>
          <w:kern w:val="0"/>
          <w:sz w:val="24"/>
          <w:highlight w:val="none"/>
          <w:lang w:val="zh-CN"/>
        </w:rPr>
        <w:t xml:space="preserve">                        </w:t>
      </w:r>
    </w:p>
    <w:p>
      <w:pPr>
        <w:shd w:val="clear" w:color="auto" w:fill="auto"/>
        <w:spacing w:line="360" w:lineRule="auto"/>
        <w:jc w:val="center"/>
        <w:rPr>
          <w:rFonts w:hint="eastAsia" w:ascii="宋体" w:hAnsi="宋体" w:cs="宋体"/>
          <w:b/>
          <w:bCs/>
          <w:color w:val="000000"/>
          <w:sz w:val="32"/>
          <w:szCs w:val="32"/>
          <w:highlight w:val="none"/>
        </w:rPr>
      </w:pPr>
      <w:r>
        <w:rPr>
          <w:rFonts w:hint="eastAsia" w:ascii="宋体" w:hAnsi="宋体" w:cs="宋体"/>
          <w:b/>
          <w:bCs/>
          <w:color w:val="000000"/>
          <w:sz w:val="32"/>
          <w:szCs w:val="32"/>
          <w:highlight w:val="none"/>
        </w:rPr>
        <w:t>九、技术偏离说明表</w:t>
      </w:r>
    </w:p>
    <w:p>
      <w:pPr>
        <w:shd w:val="clear" w:color="auto" w:fill="auto"/>
        <w:spacing w:line="360" w:lineRule="auto"/>
        <w:jc w:val="center"/>
        <w:rPr>
          <w:rFonts w:hint="eastAsia" w:ascii="宋体" w:hAnsi="宋体" w:cs="宋体"/>
          <w:b/>
          <w:bCs/>
          <w:color w:val="000000"/>
          <w:sz w:val="18"/>
          <w:szCs w:val="18"/>
          <w:highlight w:val="none"/>
        </w:rPr>
      </w:pPr>
    </w:p>
    <w:tbl>
      <w:tblPr>
        <w:tblStyle w:val="62"/>
        <w:tblW w:w="0" w:type="auto"/>
        <w:tblInd w:w="5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3"/>
        <w:gridCol w:w="1587"/>
        <w:gridCol w:w="2093"/>
        <w:gridCol w:w="2333"/>
        <w:gridCol w:w="1110"/>
        <w:gridCol w:w="130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auto"/>
          <w:wAfter w:w="0" w:type="auto"/>
        </w:trPr>
        <w:tc>
          <w:tcPr>
            <w:tcW w:w="693"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序号</w:t>
            </w:r>
          </w:p>
        </w:tc>
        <w:tc>
          <w:tcPr>
            <w:tcW w:w="1587"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名称</w:t>
            </w:r>
          </w:p>
        </w:tc>
        <w:tc>
          <w:tcPr>
            <w:tcW w:w="2093"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采购要求</w:t>
            </w:r>
          </w:p>
        </w:tc>
        <w:tc>
          <w:tcPr>
            <w:tcW w:w="2333"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投标响应</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偏离</w:t>
            </w:r>
          </w:p>
        </w:tc>
        <w:tc>
          <w:tcPr>
            <w:tcW w:w="1304"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auto"/>
          <w:wAfter w:w="0" w:type="auto"/>
        </w:trPr>
        <w:tc>
          <w:tcPr>
            <w:tcW w:w="693"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1</w:t>
            </w:r>
          </w:p>
        </w:tc>
        <w:tc>
          <w:tcPr>
            <w:tcW w:w="1587"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360" w:lineRule="auto"/>
              <w:jc w:val="center"/>
              <w:rPr>
                <w:rFonts w:hint="eastAsia" w:ascii="宋体" w:hAnsi="宋体" w:cs="宋体"/>
                <w:color w:val="000000"/>
                <w:sz w:val="24"/>
                <w:highlight w:val="none"/>
              </w:rPr>
            </w:pPr>
          </w:p>
        </w:tc>
        <w:tc>
          <w:tcPr>
            <w:tcW w:w="2093"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360" w:lineRule="auto"/>
              <w:jc w:val="center"/>
              <w:rPr>
                <w:rFonts w:hint="eastAsia" w:ascii="宋体" w:hAnsi="宋体" w:cs="宋体"/>
                <w:color w:val="000000"/>
                <w:sz w:val="24"/>
                <w:highlight w:val="none"/>
              </w:rPr>
            </w:pPr>
          </w:p>
        </w:tc>
        <w:tc>
          <w:tcPr>
            <w:tcW w:w="2333"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360" w:lineRule="auto"/>
              <w:jc w:val="center"/>
              <w:rPr>
                <w:rFonts w:hint="eastAsia" w:ascii="宋体" w:hAnsi="宋体" w:cs="宋体"/>
                <w:color w:val="000000"/>
                <w:sz w:val="24"/>
                <w:highlight w:val="none"/>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360" w:lineRule="auto"/>
              <w:jc w:val="center"/>
              <w:rPr>
                <w:rFonts w:hint="eastAsia" w:ascii="宋体" w:hAnsi="宋体" w:cs="宋体"/>
                <w:color w:val="000000"/>
                <w:sz w:val="24"/>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360" w:lineRule="auto"/>
              <w:jc w:val="center"/>
              <w:rPr>
                <w:rFonts w:hint="eastAsia"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auto"/>
          <w:wAfter w:w="0" w:type="auto"/>
        </w:trPr>
        <w:tc>
          <w:tcPr>
            <w:tcW w:w="693"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2</w:t>
            </w:r>
          </w:p>
        </w:tc>
        <w:tc>
          <w:tcPr>
            <w:tcW w:w="1587"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360" w:lineRule="auto"/>
              <w:jc w:val="center"/>
              <w:rPr>
                <w:rFonts w:hint="eastAsia" w:ascii="宋体" w:hAnsi="宋体" w:cs="宋体"/>
                <w:color w:val="000000"/>
                <w:sz w:val="24"/>
                <w:highlight w:val="none"/>
              </w:rPr>
            </w:pPr>
          </w:p>
        </w:tc>
        <w:tc>
          <w:tcPr>
            <w:tcW w:w="2093"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360" w:lineRule="auto"/>
              <w:jc w:val="center"/>
              <w:rPr>
                <w:rFonts w:hint="eastAsia" w:ascii="宋体" w:hAnsi="宋体" w:cs="宋体"/>
                <w:color w:val="000000"/>
                <w:sz w:val="24"/>
                <w:highlight w:val="none"/>
              </w:rPr>
            </w:pPr>
          </w:p>
        </w:tc>
        <w:tc>
          <w:tcPr>
            <w:tcW w:w="2333"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360" w:lineRule="auto"/>
              <w:jc w:val="center"/>
              <w:rPr>
                <w:rFonts w:hint="eastAsia" w:ascii="宋体" w:hAnsi="宋体" w:cs="宋体"/>
                <w:color w:val="000000"/>
                <w:sz w:val="24"/>
                <w:highlight w:val="none"/>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360" w:lineRule="auto"/>
              <w:jc w:val="center"/>
              <w:rPr>
                <w:rFonts w:hint="eastAsia" w:ascii="宋体" w:hAnsi="宋体" w:cs="宋体"/>
                <w:color w:val="000000"/>
                <w:sz w:val="24"/>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360" w:lineRule="auto"/>
              <w:jc w:val="center"/>
              <w:rPr>
                <w:rFonts w:hint="eastAsia"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auto"/>
          <w:wAfter w:w="0" w:type="auto"/>
        </w:trPr>
        <w:tc>
          <w:tcPr>
            <w:tcW w:w="693"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3</w:t>
            </w:r>
          </w:p>
        </w:tc>
        <w:tc>
          <w:tcPr>
            <w:tcW w:w="1587"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360" w:lineRule="auto"/>
              <w:jc w:val="center"/>
              <w:rPr>
                <w:rFonts w:hint="eastAsia" w:ascii="宋体" w:hAnsi="宋体" w:cs="宋体"/>
                <w:color w:val="000000"/>
                <w:sz w:val="24"/>
                <w:highlight w:val="none"/>
              </w:rPr>
            </w:pPr>
          </w:p>
        </w:tc>
        <w:tc>
          <w:tcPr>
            <w:tcW w:w="2093"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360" w:lineRule="auto"/>
              <w:jc w:val="center"/>
              <w:rPr>
                <w:rFonts w:hint="eastAsia" w:ascii="宋体" w:hAnsi="宋体" w:cs="宋体"/>
                <w:color w:val="000000"/>
                <w:sz w:val="24"/>
                <w:highlight w:val="none"/>
              </w:rPr>
            </w:pPr>
          </w:p>
        </w:tc>
        <w:tc>
          <w:tcPr>
            <w:tcW w:w="2333"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360" w:lineRule="auto"/>
              <w:jc w:val="center"/>
              <w:rPr>
                <w:rFonts w:hint="eastAsia" w:ascii="宋体" w:hAnsi="宋体" w:cs="宋体"/>
                <w:color w:val="000000"/>
                <w:sz w:val="24"/>
                <w:highlight w:val="none"/>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360" w:lineRule="auto"/>
              <w:jc w:val="center"/>
              <w:rPr>
                <w:rFonts w:hint="eastAsia" w:ascii="宋体" w:hAnsi="宋体" w:cs="宋体"/>
                <w:color w:val="000000"/>
                <w:sz w:val="24"/>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360" w:lineRule="auto"/>
              <w:jc w:val="center"/>
              <w:rPr>
                <w:rFonts w:hint="eastAsia" w:ascii="宋体" w:hAnsi="宋体" w:cs="宋体"/>
                <w:color w:val="000000"/>
                <w:sz w:val="24"/>
                <w:highlight w:val="none"/>
              </w:rPr>
            </w:pPr>
          </w:p>
        </w:tc>
      </w:tr>
    </w:tbl>
    <w:p>
      <w:pPr>
        <w:shd w:val="clear" w:color="auto" w:fill="auto"/>
        <w:autoSpaceDE w:val="0"/>
        <w:autoSpaceDN w:val="0"/>
        <w:spacing w:line="360" w:lineRule="auto"/>
        <w:ind w:firstLine="5040" w:firstLineChars="2100"/>
        <w:rPr>
          <w:rFonts w:hint="eastAsia" w:ascii="宋体" w:hAnsi="宋体" w:cs="宋体"/>
          <w:color w:val="000000"/>
          <w:kern w:val="0"/>
          <w:sz w:val="24"/>
          <w:highlight w:val="none"/>
          <w:lang w:val="zh-CN"/>
        </w:rPr>
      </w:pPr>
    </w:p>
    <w:p>
      <w:pPr>
        <w:shd w:val="clear" w:color="auto" w:fill="auto"/>
        <w:autoSpaceDE w:val="0"/>
        <w:autoSpaceDN w:val="0"/>
        <w:spacing w:line="360" w:lineRule="auto"/>
        <w:ind w:firstLine="5040" w:firstLineChars="2100"/>
        <w:rPr>
          <w:rFonts w:hint="eastAsia" w:ascii="宋体" w:hAnsi="宋体" w:cs="宋体"/>
          <w:color w:val="000000"/>
          <w:kern w:val="0"/>
          <w:sz w:val="24"/>
          <w:highlight w:val="none"/>
        </w:rPr>
      </w:pPr>
      <w:r>
        <w:rPr>
          <w:rFonts w:hint="eastAsia" w:ascii="宋体" w:hAnsi="宋体" w:cs="宋体"/>
          <w:color w:val="000000"/>
          <w:kern w:val="0"/>
          <w:sz w:val="24"/>
          <w:highlight w:val="none"/>
          <w:lang w:val="zh-CN"/>
        </w:rPr>
        <w:t xml:space="preserve">投标人名称（公章）：      </w:t>
      </w:r>
    </w:p>
    <w:p>
      <w:pPr>
        <w:shd w:val="clear" w:color="auto" w:fill="auto"/>
        <w:autoSpaceDE w:val="0"/>
        <w:autoSpaceDN w:val="0"/>
        <w:spacing w:line="360" w:lineRule="auto"/>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w:t>
      </w:r>
      <w:r>
        <w:rPr>
          <w:rFonts w:hint="eastAsia" w:ascii="宋体" w:hAnsi="宋体" w:cs="宋体"/>
          <w:color w:val="000000"/>
          <w:kern w:val="0"/>
          <w:sz w:val="24"/>
          <w:highlight w:val="none"/>
        </w:rPr>
        <w:t xml:space="preserve"> </w:t>
      </w:r>
    </w:p>
    <w:p>
      <w:pPr>
        <w:shd w:val="clear" w:color="auto" w:fill="auto"/>
        <w:spacing w:line="360" w:lineRule="auto"/>
        <w:jc w:val="center"/>
        <w:rPr>
          <w:rFonts w:hint="eastAsia" w:ascii="宋体" w:hAnsi="宋体" w:cs="宋体"/>
          <w:b/>
          <w:color w:val="000000"/>
          <w:sz w:val="24"/>
          <w:highlight w:val="none"/>
        </w:rPr>
      </w:pPr>
      <w:r>
        <w:rPr>
          <w:rFonts w:hint="eastAsia" w:ascii="宋体" w:hAnsi="宋体" w:cs="宋体"/>
          <w:color w:val="000000"/>
          <w:kern w:val="0"/>
          <w:sz w:val="24"/>
          <w:highlight w:val="none"/>
          <w:lang w:val="zh-CN"/>
        </w:rPr>
        <w:t xml:space="preserve">                            日期：  年  月   日</w:t>
      </w:r>
    </w:p>
    <w:p>
      <w:pPr>
        <w:shd w:val="clear" w:color="auto" w:fill="auto"/>
        <w:tabs>
          <w:tab w:val="left" w:pos="2790"/>
          <w:tab w:val="left" w:pos="4230"/>
        </w:tabs>
        <w:autoSpaceDE w:val="0"/>
        <w:autoSpaceDN w:val="0"/>
        <w:spacing w:line="360" w:lineRule="auto"/>
        <w:ind w:right="1400"/>
        <w:jc w:val="center"/>
        <w:outlineLvl w:val="1"/>
        <w:rPr>
          <w:rFonts w:hint="eastAsia" w:ascii="宋体" w:hAnsi="宋体" w:cs="宋体"/>
          <w:b/>
          <w:bCs/>
          <w:color w:val="000000"/>
          <w:kern w:val="0"/>
          <w:sz w:val="36"/>
          <w:szCs w:val="36"/>
          <w:highlight w:val="none"/>
          <w:lang w:val="zh-CN"/>
        </w:rPr>
      </w:pPr>
      <w:r>
        <w:rPr>
          <w:rFonts w:hint="eastAsia" w:ascii="宋体" w:hAnsi="宋体" w:cs="宋体"/>
          <w:b/>
          <w:bCs/>
          <w:color w:val="000000"/>
          <w:kern w:val="0"/>
          <w:sz w:val="36"/>
          <w:szCs w:val="36"/>
          <w:highlight w:val="none"/>
          <w:lang w:val="zh-CN"/>
        </w:rPr>
        <w:t xml:space="preserve"> </w:t>
      </w:r>
    </w:p>
    <w:p>
      <w:pPr>
        <w:shd w:val="clear" w:color="auto" w:fill="auto"/>
        <w:tabs>
          <w:tab w:val="left" w:pos="2790"/>
          <w:tab w:val="left" w:pos="4230"/>
        </w:tabs>
        <w:autoSpaceDE w:val="0"/>
        <w:autoSpaceDN w:val="0"/>
        <w:spacing w:line="360" w:lineRule="auto"/>
        <w:ind w:right="1400"/>
        <w:jc w:val="center"/>
        <w:outlineLvl w:val="1"/>
        <w:rPr>
          <w:rFonts w:hint="eastAsia" w:ascii="宋体" w:hAnsi="宋体" w:cs="宋体"/>
          <w:b/>
          <w:bCs/>
          <w:color w:val="000000"/>
          <w:kern w:val="0"/>
          <w:sz w:val="32"/>
          <w:szCs w:val="32"/>
          <w:highlight w:val="none"/>
          <w:lang w:val="zh-CN"/>
        </w:rPr>
      </w:pPr>
    </w:p>
    <w:p>
      <w:pPr>
        <w:shd w:val="clear" w:color="auto" w:fill="auto"/>
        <w:tabs>
          <w:tab w:val="left" w:pos="2790"/>
          <w:tab w:val="left" w:pos="4230"/>
        </w:tabs>
        <w:autoSpaceDE w:val="0"/>
        <w:autoSpaceDN w:val="0"/>
        <w:spacing w:line="360" w:lineRule="auto"/>
        <w:ind w:right="1400"/>
        <w:jc w:val="center"/>
        <w:outlineLvl w:val="1"/>
        <w:rPr>
          <w:rFonts w:hint="eastAsia" w:ascii="宋体" w:hAnsi="宋体" w:cs="宋体"/>
          <w:b/>
          <w:bCs/>
          <w:color w:val="000000"/>
          <w:kern w:val="0"/>
          <w:sz w:val="32"/>
          <w:szCs w:val="32"/>
          <w:highlight w:val="none"/>
          <w:lang w:val="zh-CN"/>
        </w:rPr>
      </w:pPr>
    </w:p>
    <w:p>
      <w:pPr>
        <w:shd w:val="clear" w:color="auto" w:fill="auto"/>
        <w:tabs>
          <w:tab w:val="left" w:pos="2790"/>
          <w:tab w:val="left" w:pos="4230"/>
        </w:tabs>
        <w:autoSpaceDE w:val="0"/>
        <w:autoSpaceDN w:val="0"/>
        <w:spacing w:line="360" w:lineRule="auto"/>
        <w:ind w:right="1400"/>
        <w:jc w:val="center"/>
        <w:outlineLvl w:val="1"/>
        <w:rPr>
          <w:rFonts w:hint="eastAsia" w:ascii="宋体" w:hAnsi="宋体" w:cs="宋体"/>
          <w:b/>
          <w:bCs/>
          <w:color w:val="000000"/>
          <w:kern w:val="0"/>
          <w:sz w:val="32"/>
          <w:szCs w:val="32"/>
          <w:highlight w:val="none"/>
          <w:lang w:val="zh-CN"/>
        </w:rPr>
      </w:pPr>
      <w:r>
        <w:rPr>
          <w:rFonts w:hint="eastAsia" w:ascii="宋体" w:hAnsi="宋体" w:cs="宋体"/>
          <w:b/>
          <w:bCs/>
          <w:color w:val="000000"/>
          <w:kern w:val="0"/>
          <w:sz w:val="32"/>
          <w:szCs w:val="32"/>
          <w:highlight w:val="none"/>
          <w:lang w:val="zh-CN"/>
        </w:rPr>
        <w:t>十、组织实施方案</w:t>
      </w:r>
    </w:p>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（由投标人根据采购需求及招标文件要求自行编制）</w:t>
      </w:r>
    </w:p>
    <w:p>
      <w:pPr>
        <w:shd w:val="clear" w:color="auto" w:fill="auto"/>
        <w:tabs>
          <w:tab w:val="left" w:pos="2790"/>
          <w:tab w:val="left" w:pos="4230"/>
        </w:tabs>
        <w:autoSpaceDE w:val="0"/>
        <w:autoSpaceDN w:val="0"/>
        <w:spacing w:line="360" w:lineRule="auto"/>
        <w:ind w:right="1400"/>
        <w:outlineLvl w:val="1"/>
        <w:rPr>
          <w:rFonts w:hint="eastAsia" w:ascii="宋体" w:hAnsi="宋体" w:cs="宋体"/>
          <w:b/>
          <w:bCs/>
          <w:color w:val="000000"/>
          <w:kern w:val="0"/>
          <w:sz w:val="24"/>
          <w:highlight w:val="none"/>
          <w:lang w:val="zh-CN"/>
        </w:rPr>
      </w:pPr>
    </w:p>
    <w:p>
      <w:pPr>
        <w:shd w:val="clear" w:color="auto" w:fill="auto"/>
        <w:autoSpaceDE w:val="0"/>
        <w:autoSpaceDN w:val="0"/>
        <w:spacing w:line="360" w:lineRule="auto"/>
        <w:ind w:firstLine="120"/>
        <w:rPr>
          <w:rFonts w:hint="eastAsia" w:ascii="宋体" w:hAnsi="宋体" w:cs="宋体"/>
          <w:b/>
          <w:color w:val="000000"/>
          <w:sz w:val="24"/>
          <w:highlight w:val="none"/>
        </w:rPr>
      </w:pPr>
      <w:r>
        <w:rPr>
          <w:rFonts w:hint="eastAsia" w:ascii="宋体" w:hAnsi="宋体" w:cs="宋体"/>
          <w:b/>
          <w:bCs/>
          <w:color w:val="000000"/>
          <w:kern w:val="0"/>
          <w:sz w:val="24"/>
          <w:highlight w:val="none"/>
          <w:lang w:val="zh-CN"/>
        </w:rPr>
        <w:t>附表:项目实施进度计划表</w:t>
      </w:r>
      <w:r>
        <w:rPr>
          <w:rFonts w:hint="eastAsia" w:ascii="宋体" w:hAnsi="宋体" w:cs="宋体"/>
          <w:b/>
          <w:color w:val="000000"/>
          <w:sz w:val="24"/>
          <w:highlight w:val="none"/>
        </w:rPr>
        <w:t>（格式仅供参考，投标人可自行编制）</w:t>
      </w:r>
    </w:p>
    <w:tbl>
      <w:tblPr>
        <w:tblStyle w:val="62"/>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0"/>
        <w:gridCol w:w="6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2740" w:type="dxa"/>
            <w:noWrap w:val="0"/>
            <w:vAlign w:val="center"/>
          </w:tcPr>
          <w:p>
            <w:pPr>
              <w:shd w:val="clear" w:color="auto" w:fill="auto"/>
              <w:spacing w:line="360" w:lineRule="auto"/>
              <w:ind w:firstLine="240" w:firstLineChars="100"/>
              <w:jc w:val="center"/>
              <w:rPr>
                <w:rFonts w:hint="eastAsia" w:ascii="宋体" w:hAnsi="宋体" w:cs="宋体"/>
                <w:color w:val="000000"/>
                <w:sz w:val="24"/>
                <w:highlight w:val="none"/>
              </w:rPr>
            </w:pPr>
            <w:r>
              <w:rPr>
                <w:rFonts w:hint="eastAsia" w:ascii="宋体" w:hAnsi="宋体" w:cs="宋体"/>
                <w:color w:val="000000"/>
                <w:sz w:val="24"/>
                <w:highlight w:val="none"/>
              </w:rPr>
              <w:t>日历天（单位：日）</w:t>
            </w:r>
          </w:p>
        </w:tc>
        <w:tc>
          <w:tcPr>
            <w:tcW w:w="6520" w:type="dxa"/>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0" w:type="dxa"/>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1-20</w:t>
            </w:r>
          </w:p>
        </w:tc>
        <w:tc>
          <w:tcPr>
            <w:tcW w:w="6520" w:type="dxa"/>
            <w:noWrap w:val="0"/>
            <w:vAlign w:val="top"/>
          </w:tcPr>
          <w:p>
            <w:pPr>
              <w:shd w:val="clear" w:color="auto" w:fill="auto"/>
              <w:spacing w:line="360" w:lineRule="auto"/>
              <w:rPr>
                <w:rFonts w:hint="eastAsia"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0" w:type="dxa"/>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21-40</w:t>
            </w:r>
          </w:p>
        </w:tc>
        <w:tc>
          <w:tcPr>
            <w:tcW w:w="6520" w:type="dxa"/>
            <w:noWrap w:val="0"/>
            <w:vAlign w:val="top"/>
          </w:tcPr>
          <w:p>
            <w:pPr>
              <w:shd w:val="clear" w:color="auto" w:fill="auto"/>
              <w:spacing w:line="360" w:lineRule="auto"/>
              <w:rPr>
                <w:rFonts w:hint="eastAsia"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0" w:type="dxa"/>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41-60</w:t>
            </w:r>
          </w:p>
        </w:tc>
        <w:tc>
          <w:tcPr>
            <w:tcW w:w="6520" w:type="dxa"/>
            <w:noWrap w:val="0"/>
            <w:vAlign w:val="top"/>
          </w:tcPr>
          <w:p>
            <w:pPr>
              <w:shd w:val="clear" w:color="auto" w:fill="auto"/>
              <w:spacing w:line="360" w:lineRule="auto"/>
              <w:rPr>
                <w:rFonts w:hint="eastAsia"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0" w:type="dxa"/>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w:t>
            </w:r>
          </w:p>
        </w:tc>
        <w:tc>
          <w:tcPr>
            <w:tcW w:w="6520" w:type="dxa"/>
            <w:noWrap w:val="0"/>
            <w:vAlign w:val="top"/>
          </w:tcPr>
          <w:p>
            <w:pPr>
              <w:shd w:val="clear" w:color="auto" w:fill="auto"/>
              <w:spacing w:line="360" w:lineRule="auto"/>
              <w:rPr>
                <w:rFonts w:hint="eastAsia"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0" w:type="dxa"/>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w:t>
            </w:r>
          </w:p>
        </w:tc>
        <w:tc>
          <w:tcPr>
            <w:tcW w:w="6520" w:type="dxa"/>
            <w:noWrap w:val="0"/>
            <w:vAlign w:val="top"/>
          </w:tcPr>
          <w:p>
            <w:pPr>
              <w:shd w:val="clear" w:color="auto" w:fill="auto"/>
              <w:spacing w:line="360" w:lineRule="auto"/>
              <w:rPr>
                <w:rFonts w:hint="eastAsia"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0" w:type="dxa"/>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w:t>
            </w:r>
          </w:p>
        </w:tc>
        <w:tc>
          <w:tcPr>
            <w:tcW w:w="6520" w:type="dxa"/>
            <w:noWrap w:val="0"/>
            <w:vAlign w:val="top"/>
          </w:tcPr>
          <w:p>
            <w:pPr>
              <w:shd w:val="clear" w:color="auto" w:fill="auto"/>
              <w:spacing w:line="360" w:lineRule="auto"/>
              <w:rPr>
                <w:rFonts w:hint="eastAsia" w:ascii="宋体" w:hAnsi="宋体" w:cs="宋体"/>
                <w:color w:val="000000"/>
                <w:sz w:val="24"/>
                <w:highlight w:val="none"/>
              </w:rPr>
            </w:pPr>
          </w:p>
        </w:tc>
      </w:tr>
    </w:tbl>
    <w:p>
      <w:pPr>
        <w:shd w:val="clear" w:color="auto" w:fill="auto"/>
        <w:autoSpaceDE w:val="0"/>
        <w:autoSpaceDN w:val="0"/>
        <w:spacing w:line="360" w:lineRule="auto"/>
        <w:rPr>
          <w:rFonts w:hint="eastAsia" w:ascii="宋体" w:hAnsi="宋体" w:cs="宋体"/>
          <w:color w:val="000000"/>
          <w:kern w:val="0"/>
          <w:sz w:val="24"/>
          <w:highlight w:val="none"/>
        </w:rPr>
      </w:pPr>
      <w:r>
        <w:rPr>
          <w:rFonts w:hint="eastAsia" w:ascii="宋体" w:hAnsi="宋体" w:cs="宋体"/>
          <w:b/>
          <w:color w:val="000000"/>
          <w:sz w:val="24"/>
          <w:highlight w:val="none"/>
        </w:rPr>
        <w:t xml:space="preserve"> </w:t>
      </w:r>
    </w:p>
    <w:p>
      <w:pPr>
        <w:shd w:val="clear" w:color="auto" w:fill="auto"/>
        <w:autoSpaceDE w:val="0"/>
        <w:autoSpaceDN w:val="0"/>
        <w:spacing w:line="360" w:lineRule="auto"/>
        <w:ind w:firstLine="5160" w:firstLineChars="2150"/>
        <w:rPr>
          <w:rFonts w:hint="eastAsia" w:ascii="宋体" w:hAnsi="宋体" w:cs="宋体"/>
          <w:color w:val="000000"/>
          <w:kern w:val="0"/>
          <w:sz w:val="24"/>
          <w:highlight w:val="none"/>
        </w:rPr>
      </w:pPr>
      <w:r>
        <w:rPr>
          <w:rFonts w:hint="eastAsia" w:ascii="宋体" w:hAnsi="宋体" w:cs="宋体"/>
          <w:color w:val="000000"/>
          <w:kern w:val="0"/>
          <w:sz w:val="24"/>
          <w:highlight w:val="none"/>
        </w:rPr>
        <w:t>投标人名称（公章）：</w:t>
      </w:r>
    </w:p>
    <w:p>
      <w:pPr>
        <w:shd w:val="clear" w:color="auto" w:fill="auto"/>
        <w:spacing w:line="360" w:lineRule="auto"/>
        <w:ind w:left="5040" w:hanging="5040" w:hangingChars="2100"/>
        <w:rPr>
          <w:rFonts w:hint="eastAsia" w:ascii="宋体" w:hAnsi="宋体" w:cs="宋体"/>
          <w:b/>
          <w:bCs/>
          <w:color w:val="000000"/>
          <w:sz w:val="24"/>
          <w:highlight w:val="none"/>
        </w:rPr>
      </w:pPr>
      <w:r>
        <w:rPr>
          <w:rFonts w:hint="eastAsia" w:ascii="宋体" w:hAnsi="宋体" w:cs="宋体"/>
          <w:color w:val="000000"/>
          <w:kern w:val="0"/>
          <w:sz w:val="24"/>
          <w:highlight w:val="none"/>
        </w:rPr>
        <w:t xml:space="preserve">                                                                           日期：  年  月   日</w:t>
      </w:r>
    </w:p>
    <w:p>
      <w:pPr>
        <w:shd w:val="clear" w:color="auto" w:fill="auto"/>
        <w:spacing w:line="360" w:lineRule="auto"/>
        <w:jc w:val="center"/>
        <w:rPr>
          <w:rFonts w:hint="eastAsia" w:ascii="宋体" w:hAnsi="宋体" w:cs="宋体"/>
          <w:b/>
          <w:bCs/>
          <w:color w:val="000000"/>
          <w:sz w:val="32"/>
          <w:szCs w:val="32"/>
          <w:highlight w:val="none"/>
        </w:rPr>
      </w:pPr>
    </w:p>
    <w:p>
      <w:pPr>
        <w:shd w:val="clear" w:color="auto" w:fill="auto"/>
        <w:spacing w:line="360" w:lineRule="auto"/>
        <w:jc w:val="center"/>
        <w:rPr>
          <w:rFonts w:hint="eastAsia" w:ascii="宋体" w:hAnsi="宋体" w:cs="宋体"/>
          <w:b/>
          <w:bCs/>
          <w:color w:val="000000"/>
          <w:sz w:val="32"/>
          <w:szCs w:val="32"/>
          <w:highlight w:val="none"/>
        </w:rPr>
      </w:pPr>
    </w:p>
    <w:p>
      <w:pPr>
        <w:shd w:val="clear" w:color="auto" w:fill="auto"/>
        <w:spacing w:line="360" w:lineRule="auto"/>
        <w:rPr>
          <w:rFonts w:hint="eastAsia" w:ascii="宋体" w:hAnsi="宋体" w:cs="宋体"/>
          <w:b/>
          <w:bCs/>
          <w:color w:val="000000"/>
          <w:sz w:val="32"/>
          <w:szCs w:val="32"/>
          <w:highlight w:val="none"/>
        </w:rPr>
      </w:pPr>
    </w:p>
    <w:p>
      <w:pPr>
        <w:shd w:val="clear" w:color="auto" w:fill="auto"/>
        <w:spacing w:line="360" w:lineRule="auto"/>
        <w:jc w:val="center"/>
        <w:rPr>
          <w:rFonts w:hint="eastAsia" w:ascii="宋体" w:hAnsi="宋体" w:cs="宋体"/>
          <w:b/>
          <w:bCs/>
          <w:color w:val="000000"/>
          <w:sz w:val="32"/>
          <w:szCs w:val="32"/>
          <w:highlight w:val="none"/>
        </w:rPr>
      </w:pPr>
    </w:p>
    <w:p>
      <w:pPr>
        <w:shd w:val="clear" w:color="auto" w:fill="auto"/>
        <w:spacing w:line="360" w:lineRule="auto"/>
        <w:jc w:val="center"/>
        <w:rPr>
          <w:rFonts w:hint="eastAsia" w:ascii="宋体" w:hAnsi="宋体" w:cs="宋体"/>
          <w:b/>
          <w:bCs/>
          <w:color w:val="000000"/>
          <w:sz w:val="32"/>
          <w:szCs w:val="32"/>
          <w:highlight w:val="none"/>
        </w:rPr>
      </w:pPr>
    </w:p>
    <w:p>
      <w:pPr>
        <w:shd w:val="clear" w:color="auto" w:fill="auto"/>
        <w:spacing w:line="360" w:lineRule="auto"/>
        <w:jc w:val="center"/>
        <w:rPr>
          <w:rFonts w:hint="eastAsia" w:ascii="宋体" w:hAnsi="宋体" w:cs="宋体"/>
          <w:b/>
          <w:bCs/>
          <w:color w:val="000000"/>
          <w:sz w:val="32"/>
          <w:szCs w:val="32"/>
          <w:highlight w:val="none"/>
        </w:rPr>
      </w:pPr>
      <w:r>
        <w:rPr>
          <w:rFonts w:hint="eastAsia" w:ascii="宋体" w:hAnsi="宋体" w:cs="宋体"/>
          <w:b/>
          <w:bCs/>
          <w:color w:val="000000"/>
          <w:sz w:val="32"/>
          <w:szCs w:val="32"/>
          <w:highlight w:val="none"/>
        </w:rPr>
        <w:br w:type="page"/>
      </w:r>
      <w:r>
        <w:rPr>
          <w:rFonts w:hint="eastAsia" w:ascii="宋体" w:hAnsi="宋体" w:cs="宋体"/>
          <w:b/>
          <w:bCs/>
          <w:color w:val="000000"/>
          <w:sz w:val="32"/>
          <w:szCs w:val="32"/>
          <w:highlight w:val="none"/>
        </w:rPr>
        <w:t>十一、售后服务方案</w:t>
      </w:r>
    </w:p>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（由投标人根据采购需求及招标文件要求自行编制）</w:t>
      </w:r>
    </w:p>
    <w:p>
      <w:pPr>
        <w:shd w:val="clear" w:color="auto" w:fill="auto"/>
        <w:autoSpaceDE w:val="0"/>
        <w:autoSpaceDN w:val="0"/>
        <w:spacing w:line="360" w:lineRule="auto"/>
        <w:rPr>
          <w:rFonts w:hint="eastAsia" w:ascii="宋体" w:hAnsi="宋体" w:cs="宋体"/>
          <w:b/>
          <w:color w:val="000000"/>
          <w:sz w:val="24"/>
          <w:highlight w:val="none"/>
        </w:rPr>
      </w:pPr>
      <w:r>
        <w:rPr>
          <w:rFonts w:hint="eastAsia" w:ascii="宋体" w:hAnsi="宋体" w:cs="宋体"/>
          <w:b/>
          <w:color w:val="000000"/>
          <w:sz w:val="24"/>
          <w:highlight w:val="none"/>
        </w:rPr>
        <w:t>附表A:售后服务机构情况表（格式仅供参考，投标人可自行编制）</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245"/>
        <w:gridCol w:w="2904"/>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828" w:type="dxa"/>
            <w:noWrap w:val="0"/>
            <w:vAlign w:val="top"/>
          </w:tcPr>
          <w:p>
            <w:pPr>
              <w:shd w:val="clear" w:color="auto" w:fill="auto"/>
              <w:autoSpaceDE w:val="0"/>
              <w:autoSpaceDN w:val="0"/>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序号</w:t>
            </w:r>
          </w:p>
        </w:tc>
        <w:tc>
          <w:tcPr>
            <w:tcW w:w="2340" w:type="dxa"/>
            <w:noWrap w:val="0"/>
            <w:vAlign w:val="top"/>
          </w:tcPr>
          <w:p>
            <w:pPr>
              <w:shd w:val="clear" w:color="auto" w:fill="auto"/>
              <w:autoSpaceDE w:val="0"/>
              <w:autoSpaceDN w:val="0"/>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机构名称</w:t>
            </w:r>
          </w:p>
        </w:tc>
        <w:tc>
          <w:tcPr>
            <w:tcW w:w="1245" w:type="dxa"/>
            <w:noWrap w:val="0"/>
            <w:vAlign w:val="top"/>
          </w:tcPr>
          <w:p>
            <w:pPr>
              <w:shd w:val="clear" w:color="auto" w:fill="auto"/>
              <w:autoSpaceDE w:val="0"/>
              <w:autoSpaceDN w:val="0"/>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注册地址</w:t>
            </w:r>
          </w:p>
        </w:tc>
        <w:tc>
          <w:tcPr>
            <w:tcW w:w="2904" w:type="dxa"/>
            <w:noWrap w:val="0"/>
            <w:vAlign w:val="top"/>
          </w:tcPr>
          <w:p>
            <w:pPr>
              <w:shd w:val="clear" w:color="auto" w:fill="auto"/>
              <w:autoSpaceDE w:val="0"/>
              <w:autoSpaceDN w:val="0"/>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服务技术人员数量</w:t>
            </w:r>
          </w:p>
        </w:tc>
        <w:tc>
          <w:tcPr>
            <w:tcW w:w="1627" w:type="dxa"/>
            <w:noWrap w:val="0"/>
            <w:vAlign w:val="top"/>
          </w:tcPr>
          <w:p>
            <w:pPr>
              <w:shd w:val="clear" w:color="auto" w:fill="auto"/>
              <w:autoSpaceDE w:val="0"/>
              <w:autoSpaceDN w:val="0"/>
              <w:spacing w:line="360" w:lineRule="auto"/>
              <w:jc w:val="center"/>
              <w:rPr>
                <w:rFonts w:hint="eastAsia" w:ascii="宋体" w:hAnsi="宋体" w:cs="宋体"/>
                <w:b/>
                <w:color w:val="000000"/>
                <w:sz w:val="24"/>
                <w:highlight w:val="none"/>
              </w:rPr>
            </w:pPr>
            <w:r>
              <w:rPr>
                <w:rFonts w:hint="eastAsia" w:ascii="宋体" w:hAnsi="宋体" w:cs="宋体"/>
                <w:b/>
                <w:color w:val="000000"/>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828" w:type="dxa"/>
            <w:noWrap w:val="0"/>
            <w:vAlign w:val="top"/>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1</w:t>
            </w:r>
          </w:p>
        </w:tc>
        <w:tc>
          <w:tcPr>
            <w:tcW w:w="2340" w:type="dxa"/>
            <w:noWrap w:val="0"/>
            <w:vAlign w:val="top"/>
          </w:tcPr>
          <w:p>
            <w:pPr>
              <w:shd w:val="clear" w:color="auto" w:fill="auto"/>
              <w:autoSpaceDE w:val="0"/>
              <w:autoSpaceDN w:val="0"/>
              <w:spacing w:line="360" w:lineRule="auto"/>
              <w:jc w:val="center"/>
              <w:rPr>
                <w:rFonts w:hint="eastAsia" w:ascii="宋体" w:hAnsi="宋体" w:cs="宋体"/>
                <w:color w:val="000000"/>
                <w:sz w:val="24"/>
                <w:highlight w:val="none"/>
              </w:rPr>
            </w:pPr>
          </w:p>
        </w:tc>
        <w:tc>
          <w:tcPr>
            <w:tcW w:w="1245" w:type="dxa"/>
            <w:noWrap w:val="0"/>
            <w:vAlign w:val="top"/>
          </w:tcPr>
          <w:p>
            <w:pPr>
              <w:shd w:val="clear" w:color="auto" w:fill="auto"/>
              <w:autoSpaceDE w:val="0"/>
              <w:autoSpaceDN w:val="0"/>
              <w:spacing w:line="360" w:lineRule="auto"/>
              <w:jc w:val="center"/>
              <w:rPr>
                <w:rFonts w:hint="eastAsia" w:ascii="宋体" w:hAnsi="宋体" w:cs="宋体"/>
                <w:color w:val="000000"/>
                <w:sz w:val="24"/>
                <w:highlight w:val="none"/>
              </w:rPr>
            </w:pPr>
          </w:p>
        </w:tc>
        <w:tc>
          <w:tcPr>
            <w:tcW w:w="2904" w:type="dxa"/>
            <w:noWrap w:val="0"/>
            <w:vAlign w:val="top"/>
          </w:tcPr>
          <w:p>
            <w:pPr>
              <w:shd w:val="clear" w:color="auto" w:fill="auto"/>
              <w:autoSpaceDE w:val="0"/>
              <w:autoSpaceDN w:val="0"/>
              <w:spacing w:line="360" w:lineRule="auto"/>
              <w:jc w:val="center"/>
              <w:rPr>
                <w:rFonts w:hint="eastAsia" w:ascii="宋体" w:hAnsi="宋体" w:cs="宋体"/>
                <w:color w:val="000000"/>
                <w:sz w:val="24"/>
                <w:highlight w:val="none"/>
              </w:rPr>
            </w:pPr>
          </w:p>
        </w:tc>
        <w:tc>
          <w:tcPr>
            <w:tcW w:w="1627" w:type="dxa"/>
            <w:noWrap w:val="0"/>
            <w:vAlign w:val="top"/>
          </w:tcPr>
          <w:p>
            <w:pPr>
              <w:shd w:val="clear" w:color="auto" w:fill="auto"/>
              <w:autoSpaceDE w:val="0"/>
              <w:autoSpaceDN w:val="0"/>
              <w:spacing w:line="360" w:lineRule="auto"/>
              <w:jc w:val="center"/>
              <w:rPr>
                <w:rFonts w:hint="eastAsia"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828" w:type="dxa"/>
            <w:noWrap w:val="0"/>
            <w:vAlign w:val="top"/>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2</w:t>
            </w:r>
          </w:p>
        </w:tc>
        <w:tc>
          <w:tcPr>
            <w:tcW w:w="2340" w:type="dxa"/>
            <w:noWrap w:val="0"/>
            <w:vAlign w:val="top"/>
          </w:tcPr>
          <w:p>
            <w:pPr>
              <w:shd w:val="clear" w:color="auto" w:fill="auto"/>
              <w:autoSpaceDE w:val="0"/>
              <w:autoSpaceDN w:val="0"/>
              <w:spacing w:line="360" w:lineRule="auto"/>
              <w:jc w:val="center"/>
              <w:rPr>
                <w:rFonts w:hint="eastAsia" w:ascii="宋体" w:hAnsi="宋体" w:cs="宋体"/>
                <w:color w:val="000000"/>
                <w:sz w:val="24"/>
                <w:highlight w:val="none"/>
              </w:rPr>
            </w:pPr>
          </w:p>
        </w:tc>
        <w:tc>
          <w:tcPr>
            <w:tcW w:w="1245" w:type="dxa"/>
            <w:noWrap w:val="0"/>
            <w:vAlign w:val="top"/>
          </w:tcPr>
          <w:p>
            <w:pPr>
              <w:shd w:val="clear" w:color="auto" w:fill="auto"/>
              <w:autoSpaceDE w:val="0"/>
              <w:autoSpaceDN w:val="0"/>
              <w:spacing w:line="360" w:lineRule="auto"/>
              <w:jc w:val="center"/>
              <w:rPr>
                <w:rFonts w:hint="eastAsia" w:ascii="宋体" w:hAnsi="宋体" w:cs="宋体"/>
                <w:color w:val="000000"/>
                <w:sz w:val="24"/>
                <w:highlight w:val="none"/>
              </w:rPr>
            </w:pPr>
          </w:p>
        </w:tc>
        <w:tc>
          <w:tcPr>
            <w:tcW w:w="2904" w:type="dxa"/>
            <w:noWrap w:val="0"/>
            <w:vAlign w:val="top"/>
          </w:tcPr>
          <w:p>
            <w:pPr>
              <w:shd w:val="clear" w:color="auto" w:fill="auto"/>
              <w:autoSpaceDE w:val="0"/>
              <w:autoSpaceDN w:val="0"/>
              <w:spacing w:line="360" w:lineRule="auto"/>
              <w:jc w:val="center"/>
              <w:rPr>
                <w:rFonts w:hint="eastAsia" w:ascii="宋体" w:hAnsi="宋体" w:cs="宋体"/>
                <w:color w:val="000000"/>
                <w:sz w:val="24"/>
                <w:highlight w:val="none"/>
              </w:rPr>
            </w:pPr>
          </w:p>
        </w:tc>
        <w:tc>
          <w:tcPr>
            <w:tcW w:w="1627" w:type="dxa"/>
            <w:noWrap w:val="0"/>
            <w:vAlign w:val="top"/>
          </w:tcPr>
          <w:p>
            <w:pPr>
              <w:shd w:val="clear" w:color="auto" w:fill="auto"/>
              <w:autoSpaceDE w:val="0"/>
              <w:autoSpaceDN w:val="0"/>
              <w:spacing w:line="360" w:lineRule="auto"/>
              <w:jc w:val="center"/>
              <w:rPr>
                <w:rFonts w:hint="eastAsia"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828" w:type="dxa"/>
            <w:noWrap w:val="0"/>
            <w:vAlign w:val="top"/>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3</w:t>
            </w:r>
          </w:p>
        </w:tc>
        <w:tc>
          <w:tcPr>
            <w:tcW w:w="2340" w:type="dxa"/>
            <w:noWrap w:val="0"/>
            <w:vAlign w:val="top"/>
          </w:tcPr>
          <w:p>
            <w:pPr>
              <w:shd w:val="clear" w:color="auto" w:fill="auto"/>
              <w:autoSpaceDE w:val="0"/>
              <w:autoSpaceDN w:val="0"/>
              <w:spacing w:line="360" w:lineRule="auto"/>
              <w:jc w:val="center"/>
              <w:rPr>
                <w:rFonts w:hint="eastAsia" w:ascii="宋体" w:hAnsi="宋体" w:cs="宋体"/>
                <w:color w:val="000000"/>
                <w:sz w:val="24"/>
                <w:highlight w:val="none"/>
              </w:rPr>
            </w:pPr>
          </w:p>
        </w:tc>
        <w:tc>
          <w:tcPr>
            <w:tcW w:w="1245" w:type="dxa"/>
            <w:noWrap w:val="0"/>
            <w:vAlign w:val="top"/>
          </w:tcPr>
          <w:p>
            <w:pPr>
              <w:shd w:val="clear" w:color="auto" w:fill="auto"/>
              <w:autoSpaceDE w:val="0"/>
              <w:autoSpaceDN w:val="0"/>
              <w:spacing w:line="360" w:lineRule="auto"/>
              <w:jc w:val="center"/>
              <w:rPr>
                <w:rFonts w:hint="eastAsia" w:ascii="宋体" w:hAnsi="宋体" w:cs="宋体"/>
                <w:color w:val="000000"/>
                <w:sz w:val="24"/>
                <w:highlight w:val="none"/>
              </w:rPr>
            </w:pPr>
          </w:p>
        </w:tc>
        <w:tc>
          <w:tcPr>
            <w:tcW w:w="2904" w:type="dxa"/>
            <w:noWrap w:val="0"/>
            <w:vAlign w:val="top"/>
          </w:tcPr>
          <w:p>
            <w:pPr>
              <w:shd w:val="clear" w:color="auto" w:fill="auto"/>
              <w:autoSpaceDE w:val="0"/>
              <w:autoSpaceDN w:val="0"/>
              <w:spacing w:line="360" w:lineRule="auto"/>
              <w:jc w:val="center"/>
              <w:rPr>
                <w:rFonts w:hint="eastAsia" w:ascii="宋体" w:hAnsi="宋体" w:cs="宋体"/>
                <w:color w:val="000000"/>
                <w:sz w:val="24"/>
                <w:highlight w:val="none"/>
              </w:rPr>
            </w:pPr>
          </w:p>
        </w:tc>
        <w:tc>
          <w:tcPr>
            <w:tcW w:w="1627" w:type="dxa"/>
            <w:noWrap w:val="0"/>
            <w:vAlign w:val="top"/>
          </w:tcPr>
          <w:p>
            <w:pPr>
              <w:shd w:val="clear" w:color="auto" w:fill="auto"/>
              <w:autoSpaceDE w:val="0"/>
              <w:autoSpaceDN w:val="0"/>
              <w:spacing w:line="360" w:lineRule="auto"/>
              <w:jc w:val="center"/>
              <w:rPr>
                <w:rFonts w:hint="eastAsia" w:ascii="宋体" w:hAnsi="宋体" w:cs="宋体"/>
                <w:color w:val="000000"/>
                <w:sz w:val="24"/>
                <w:highlight w:val="none"/>
              </w:rPr>
            </w:pPr>
          </w:p>
        </w:tc>
      </w:tr>
    </w:tbl>
    <w:p>
      <w:pPr>
        <w:shd w:val="clear" w:color="auto" w:fill="auto"/>
        <w:autoSpaceDE w:val="0"/>
        <w:autoSpaceDN w:val="0"/>
        <w:spacing w:line="360" w:lineRule="auto"/>
        <w:rPr>
          <w:rFonts w:hint="eastAsia" w:ascii="宋体" w:hAnsi="宋体" w:cs="宋体"/>
          <w:b/>
          <w:color w:val="000000"/>
          <w:sz w:val="24"/>
          <w:highlight w:val="none"/>
        </w:rPr>
      </w:pPr>
      <w:r>
        <w:rPr>
          <w:rFonts w:hint="eastAsia" w:ascii="宋体" w:hAnsi="宋体" w:cs="宋体"/>
          <w:b/>
          <w:color w:val="000000"/>
          <w:sz w:val="24"/>
          <w:highlight w:val="none"/>
        </w:rPr>
        <w:t xml:space="preserve">注：关于项目涉及的所有售后服务机构均在本表注明，包括投标人本单位和符合条件的第三方服务机构；    </w:t>
      </w:r>
    </w:p>
    <w:p>
      <w:pPr>
        <w:shd w:val="clear" w:color="auto" w:fill="auto"/>
        <w:autoSpaceDE w:val="0"/>
        <w:autoSpaceDN w:val="0"/>
        <w:spacing w:line="360" w:lineRule="auto"/>
        <w:rPr>
          <w:rFonts w:hint="eastAsia" w:ascii="宋体" w:hAnsi="宋体" w:cs="宋体"/>
          <w:color w:val="000000"/>
          <w:kern w:val="0"/>
          <w:sz w:val="24"/>
          <w:highlight w:val="none"/>
        </w:rPr>
      </w:pPr>
    </w:p>
    <w:p>
      <w:pPr>
        <w:shd w:val="clear" w:color="auto" w:fill="auto"/>
        <w:autoSpaceDE w:val="0"/>
        <w:autoSpaceDN w:val="0"/>
        <w:spacing w:line="360" w:lineRule="auto"/>
        <w:rPr>
          <w:rFonts w:hint="eastAsia" w:ascii="宋体" w:hAnsi="宋体" w:cs="宋体"/>
          <w:color w:val="000000"/>
          <w:kern w:val="0"/>
          <w:sz w:val="24"/>
          <w:highlight w:val="none"/>
        </w:rPr>
      </w:pPr>
      <w:r>
        <w:rPr>
          <w:rFonts w:hint="eastAsia" w:ascii="宋体" w:hAnsi="宋体" w:cs="宋体"/>
          <w:b/>
          <w:color w:val="000000"/>
          <w:kern w:val="0"/>
          <w:sz w:val="24"/>
          <w:highlight w:val="none"/>
        </w:rPr>
        <w:t>附表B：售后服务人员情况表</w:t>
      </w:r>
      <w:r>
        <w:rPr>
          <w:rFonts w:hint="eastAsia" w:ascii="宋体" w:hAnsi="宋体" w:cs="宋体"/>
          <w:b/>
          <w:color w:val="000000"/>
          <w:sz w:val="24"/>
          <w:highlight w:val="none"/>
        </w:rPr>
        <w:t>（格式仅供参考，投标人可自行编制）</w:t>
      </w:r>
    </w:p>
    <w:tbl>
      <w:tblPr>
        <w:tblStyle w:val="62"/>
        <w:tblW w:w="0" w:type="auto"/>
        <w:jc w:val="center"/>
        <w:tblLayout w:type="fixed"/>
        <w:tblCellMar>
          <w:top w:w="0" w:type="dxa"/>
          <w:left w:w="108" w:type="dxa"/>
          <w:bottom w:w="0" w:type="dxa"/>
          <w:right w:w="108" w:type="dxa"/>
        </w:tblCellMar>
      </w:tblPr>
      <w:tblGrid>
        <w:gridCol w:w="646"/>
        <w:gridCol w:w="787"/>
        <w:gridCol w:w="412"/>
        <w:gridCol w:w="900"/>
        <w:gridCol w:w="1080"/>
        <w:gridCol w:w="1080"/>
        <w:gridCol w:w="1080"/>
        <w:gridCol w:w="1260"/>
        <w:gridCol w:w="900"/>
        <w:gridCol w:w="1111"/>
      </w:tblGrid>
      <w:tr>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序号</w:t>
            </w:r>
          </w:p>
          <w:p>
            <w:pPr>
              <w:shd w:val="clear" w:color="auto" w:fill="auto"/>
              <w:autoSpaceDE w:val="0"/>
              <w:autoSpaceDN w:val="0"/>
              <w:spacing w:line="360" w:lineRule="auto"/>
              <w:jc w:val="center"/>
              <w:rPr>
                <w:rFonts w:hint="eastAsia" w:ascii="宋体" w:hAnsi="宋体" w:cs="宋体"/>
                <w:color w:val="0000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到达现场时间</w:t>
            </w:r>
          </w:p>
        </w:tc>
      </w:tr>
      <w:tr>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1</w:t>
            </w:r>
          </w:p>
        </w:tc>
        <w:tc>
          <w:tcPr>
            <w:tcW w:w="787"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r>
      <w:tr>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2</w:t>
            </w:r>
          </w:p>
        </w:tc>
        <w:tc>
          <w:tcPr>
            <w:tcW w:w="787"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r>
      <w:tr>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3</w:t>
            </w:r>
          </w:p>
        </w:tc>
        <w:tc>
          <w:tcPr>
            <w:tcW w:w="787"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r>
    </w:tbl>
    <w:p>
      <w:pPr>
        <w:shd w:val="clear" w:color="auto" w:fill="auto"/>
        <w:autoSpaceDE w:val="0"/>
        <w:autoSpaceDN w:val="0"/>
        <w:spacing w:line="360" w:lineRule="auto"/>
        <w:rPr>
          <w:rFonts w:hint="eastAsia" w:ascii="宋体" w:hAnsi="宋体" w:cs="宋体"/>
          <w:color w:val="000000"/>
          <w:kern w:val="0"/>
          <w:sz w:val="24"/>
          <w:highlight w:val="none"/>
        </w:rPr>
      </w:pPr>
    </w:p>
    <w:p>
      <w:pPr>
        <w:shd w:val="clear" w:color="auto" w:fill="auto"/>
        <w:autoSpaceDE w:val="0"/>
        <w:autoSpaceDN w:val="0"/>
        <w:spacing w:line="360" w:lineRule="auto"/>
        <w:ind w:firstLine="4440" w:firstLineChars="1850"/>
        <w:rPr>
          <w:rFonts w:hint="eastAsia" w:ascii="宋体" w:hAnsi="宋体" w:cs="宋体"/>
          <w:color w:val="000000"/>
          <w:kern w:val="0"/>
          <w:sz w:val="24"/>
          <w:highlight w:val="none"/>
        </w:rPr>
      </w:pPr>
      <w:r>
        <w:rPr>
          <w:rFonts w:hint="eastAsia" w:ascii="宋体" w:hAnsi="宋体" w:cs="宋体"/>
          <w:color w:val="000000"/>
          <w:kern w:val="0"/>
          <w:sz w:val="24"/>
          <w:highlight w:val="none"/>
        </w:rPr>
        <w:t>投标人名称（公章）：</w:t>
      </w:r>
    </w:p>
    <w:p>
      <w:pPr>
        <w:shd w:val="clear" w:color="auto" w:fill="auto"/>
        <w:autoSpaceDE w:val="0"/>
        <w:autoSpaceDN w:val="0"/>
        <w:spacing w:line="360" w:lineRule="auto"/>
        <w:rPr>
          <w:rFonts w:hint="eastAsia" w:ascii="宋体" w:hAnsi="宋体" w:cs="宋体"/>
          <w:color w:val="000000"/>
          <w:kern w:val="0"/>
          <w:sz w:val="24"/>
          <w:highlight w:val="none"/>
        </w:rPr>
      </w:pPr>
      <w:r>
        <w:rPr>
          <w:rFonts w:hint="eastAsia" w:ascii="宋体" w:hAnsi="宋体" w:cs="宋体"/>
          <w:color w:val="000000"/>
          <w:kern w:val="0"/>
          <w:sz w:val="24"/>
          <w:highlight w:val="none"/>
        </w:rPr>
        <w:t xml:space="preserve">                                     </w:t>
      </w:r>
    </w:p>
    <w:p>
      <w:pPr>
        <w:shd w:val="clear" w:color="auto" w:fill="auto"/>
        <w:spacing w:line="360" w:lineRule="auto"/>
        <w:rPr>
          <w:rFonts w:hint="eastAsia" w:ascii="宋体" w:hAnsi="宋体" w:cs="宋体"/>
          <w:b/>
          <w:bCs/>
          <w:color w:val="000000"/>
          <w:sz w:val="24"/>
          <w:highlight w:val="none"/>
        </w:rPr>
      </w:pPr>
      <w:r>
        <w:rPr>
          <w:rFonts w:hint="eastAsia" w:ascii="宋体" w:hAnsi="宋体" w:cs="宋体"/>
          <w:color w:val="000000"/>
          <w:kern w:val="0"/>
          <w:sz w:val="24"/>
          <w:highlight w:val="none"/>
        </w:rPr>
        <w:t xml:space="preserve">                                     日期：  年  月   日</w:t>
      </w:r>
    </w:p>
    <w:p>
      <w:pPr>
        <w:shd w:val="clear" w:color="auto" w:fill="auto"/>
        <w:spacing w:line="360" w:lineRule="auto"/>
        <w:jc w:val="center"/>
        <w:rPr>
          <w:rFonts w:hint="eastAsia" w:ascii="宋体" w:hAnsi="宋体" w:cs="宋体"/>
          <w:b/>
          <w:bCs/>
          <w:color w:val="000000"/>
          <w:sz w:val="24"/>
          <w:highlight w:val="none"/>
        </w:rPr>
      </w:pPr>
    </w:p>
    <w:p>
      <w:pPr>
        <w:shd w:val="clear" w:color="auto" w:fill="auto"/>
        <w:spacing w:line="360" w:lineRule="auto"/>
        <w:jc w:val="center"/>
        <w:rPr>
          <w:rFonts w:hint="eastAsia" w:ascii="宋体" w:hAnsi="宋体" w:cs="宋体"/>
          <w:b/>
          <w:bCs/>
          <w:color w:val="000000"/>
          <w:sz w:val="32"/>
          <w:szCs w:val="32"/>
          <w:highlight w:val="none"/>
        </w:rPr>
      </w:pPr>
    </w:p>
    <w:p>
      <w:pPr>
        <w:shd w:val="clear" w:color="auto" w:fill="auto"/>
        <w:spacing w:line="360" w:lineRule="auto"/>
        <w:jc w:val="center"/>
        <w:rPr>
          <w:rFonts w:hint="eastAsia" w:ascii="宋体" w:hAnsi="宋体" w:cs="宋体"/>
          <w:b/>
          <w:bCs/>
          <w:color w:val="000000"/>
          <w:sz w:val="32"/>
          <w:szCs w:val="32"/>
          <w:highlight w:val="none"/>
        </w:rPr>
      </w:pPr>
      <w:r>
        <w:rPr>
          <w:rFonts w:hint="eastAsia" w:ascii="宋体" w:hAnsi="宋体" w:cs="宋体"/>
          <w:b/>
          <w:bCs/>
          <w:color w:val="000000"/>
          <w:sz w:val="32"/>
          <w:szCs w:val="32"/>
          <w:highlight w:val="none"/>
        </w:rPr>
        <w:br w:type="page"/>
      </w:r>
      <w:r>
        <w:rPr>
          <w:rFonts w:hint="eastAsia" w:ascii="宋体" w:hAnsi="宋体" w:cs="宋体"/>
          <w:b/>
          <w:bCs/>
          <w:color w:val="000000"/>
          <w:sz w:val="32"/>
          <w:szCs w:val="32"/>
          <w:highlight w:val="none"/>
        </w:rPr>
        <w:t>十二、项目小组人员名单</w:t>
      </w:r>
    </w:p>
    <w:p>
      <w:pPr>
        <w:shd w:val="clear" w:color="auto" w:fill="auto"/>
        <w:spacing w:line="360" w:lineRule="auto"/>
        <w:jc w:val="center"/>
        <w:rPr>
          <w:rFonts w:hint="eastAsia" w:ascii="宋体" w:hAnsi="宋体" w:cs="宋体"/>
          <w:b/>
          <w:bCs/>
          <w:color w:val="000000"/>
          <w:sz w:val="24"/>
          <w:highlight w:val="none"/>
        </w:rPr>
      </w:pPr>
      <w:r>
        <w:rPr>
          <w:rFonts w:hint="eastAsia" w:ascii="宋体" w:hAnsi="宋体" w:cs="宋体"/>
          <w:color w:val="000000"/>
          <w:sz w:val="24"/>
          <w:highlight w:val="none"/>
        </w:rPr>
        <w:t>（由投标人根据采购需求及招标文件要求自行编制）</w:t>
      </w:r>
    </w:p>
    <w:p>
      <w:pPr>
        <w:keepNext/>
        <w:shd w:val="clear" w:color="auto" w:fill="auto"/>
        <w:autoSpaceDE w:val="0"/>
        <w:autoSpaceDN w:val="0"/>
        <w:spacing w:line="360" w:lineRule="auto"/>
        <w:ind w:firstLine="477"/>
        <w:rPr>
          <w:rFonts w:hint="eastAsia" w:ascii="宋体" w:hAnsi="宋体" w:cs="宋体"/>
          <w:b/>
          <w:color w:val="000000"/>
          <w:sz w:val="24"/>
          <w:highlight w:val="none"/>
        </w:rPr>
      </w:pPr>
      <w:r>
        <w:rPr>
          <w:rFonts w:hint="eastAsia" w:ascii="宋体" w:hAnsi="宋体" w:cs="宋体"/>
          <w:b/>
          <w:color w:val="000000"/>
          <w:sz w:val="24"/>
          <w:highlight w:val="none"/>
        </w:rPr>
        <w:t>附表A:本项目的项目经理情况表（格式仅供参考，投标人可自行编制）</w:t>
      </w:r>
    </w:p>
    <w:tbl>
      <w:tblPr>
        <w:tblStyle w:val="62"/>
        <w:tblW w:w="0" w:type="auto"/>
        <w:tblInd w:w="0" w:type="dxa"/>
        <w:tblLayout w:type="fixed"/>
        <w:tblCellMar>
          <w:top w:w="0" w:type="dxa"/>
          <w:left w:w="108" w:type="dxa"/>
          <w:bottom w:w="0" w:type="dxa"/>
          <w:right w:w="108" w:type="dxa"/>
        </w:tblCellMar>
      </w:tblPr>
      <w:tblGrid>
        <w:gridCol w:w="2061"/>
        <w:gridCol w:w="2561"/>
        <w:gridCol w:w="4000"/>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姓名</w:t>
            </w:r>
          </w:p>
        </w:tc>
        <w:tc>
          <w:tcPr>
            <w:tcW w:w="2561" w:type="dxa"/>
            <w:tcBorders>
              <w:top w:val="single" w:color="auto" w:sz="6" w:space="0"/>
              <w:left w:val="single" w:color="auto" w:sz="6" w:space="0"/>
              <w:bottom w:val="single" w:color="auto" w:sz="6" w:space="0"/>
              <w:right w:val="single" w:color="auto" w:sz="4"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p>
        </w:tc>
        <w:tc>
          <w:tcPr>
            <w:tcW w:w="400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rPr>
                <w:rFonts w:hint="eastAsia" w:ascii="宋体" w:hAnsi="宋体" w:cs="宋体"/>
                <w:color w:val="000000"/>
                <w:sz w:val="24"/>
                <w:highlight w:val="none"/>
              </w:rPr>
            </w:pPr>
            <w:r>
              <w:rPr>
                <w:rFonts w:hint="eastAsia" w:ascii="宋体" w:hAnsi="宋体" w:cs="宋体"/>
                <w:color w:val="000000"/>
                <w:sz w:val="24"/>
                <w:highlight w:val="none"/>
              </w:rPr>
              <w:t>投标截止时间前业绩及承担的主要工作情况，曾担任项目经理的项目</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性别</w:t>
            </w:r>
          </w:p>
        </w:tc>
        <w:tc>
          <w:tcPr>
            <w:tcW w:w="2561" w:type="dxa"/>
            <w:tcBorders>
              <w:top w:val="single" w:color="auto" w:sz="6" w:space="0"/>
              <w:left w:val="single" w:color="auto" w:sz="6" w:space="0"/>
              <w:bottom w:val="single" w:color="auto" w:sz="6" w:space="0"/>
              <w:right w:val="single" w:color="auto" w:sz="4"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p>
        </w:tc>
        <w:tc>
          <w:tcPr>
            <w:tcW w:w="4000" w:type="dxa"/>
            <w:vMerge w:val="restart"/>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年龄</w:t>
            </w:r>
          </w:p>
        </w:tc>
        <w:tc>
          <w:tcPr>
            <w:tcW w:w="2561" w:type="dxa"/>
            <w:tcBorders>
              <w:top w:val="single" w:color="auto" w:sz="6" w:space="0"/>
              <w:left w:val="single" w:color="auto" w:sz="6" w:space="0"/>
              <w:bottom w:val="single" w:color="auto" w:sz="6" w:space="0"/>
              <w:right w:val="single" w:color="auto" w:sz="4"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p>
        </w:tc>
        <w:tc>
          <w:tcPr>
            <w:tcW w:w="4000" w:type="dxa"/>
            <w:vMerge w:val="continue"/>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学历</w:t>
            </w:r>
          </w:p>
        </w:tc>
        <w:tc>
          <w:tcPr>
            <w:tcW w:w="2561" w:type="dxa"/>
            <w:tcBorders>
              <w:top w:val="single" w:color="auto" w:sz="6" w:space="0"/>
              <w:left w:val="single" w:color="auto" w:sz="6" w:space="0"/>
              <w:bottom w:val="single" w:color="auto" w:sz="6" w:space="0"/>
              <w:right w:val="single" w:color="auto" w:sz="4"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p>
        </w:tc>
        <w:tc>
          <w:tcPr>
            <w:tcW w:w="4000" w:type="dxa"/>
            <w:vMerge w:val="continue"/>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专业</w:t>
            </w:r>
          </w:p>
        </w:tc>
        <w:tc>
          <w:tcPr>
            <w:tcW w:w="2561" w:type="dxa"/>
            <w:tcBorders>
              <w:top w:val="single" w:color="auto" w:sz="6" w:space="0"/>
              <w:left w:val="single" w:color="auto" w:sz="6" w:space="0"/>
              <w:bottom w:val="single" w:color="auto" w:sz="6" w:space="0"/>
              <w:right w:val="single" w:color="auto" w:sz="4"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p>
        </w:tc>
        <w:tc>
          <w:tcPr>
            <w:tcW w:w="4000" w:type="dxa"/>
            <w:vMerge w:val="continue"/>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职称</w:t>
            </w:r>
          </w:p>
        </w:tc>
        <w:tc>
          <w:tcPr>
            <w:tcW w:w="2561" w:type="dxa"/>
            <w:tcBorders>
              <w:top w:val="single" w:color="auto" w:sz="6" w:space="0"/>
              <w:left w:val="single" w:color="auto" w:sz="6" w:space="0"/>
              <w:bottom w:val="single" w:color="auto" w:sz="6" w:space="0"/>
              <w:right w:val="single" w:color="auto" w:sz="4"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p>
        </w:tc>
        <w:tc>
          <w:tcPr>
            <w:tcW w:w="4000" w:type="dxa"/>
            <w:vMerge w:val="continue"/>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p>
        </w:tc>
      </w:tr>
    </w:tbl>
    <w:p>
      <w:pPr>
        <w:shd w:val="clear" w:color="auto" w:fill="auto"/>
        <w:autoSpaceDE w:val="0"/>
        <w:autoSpaceDN w:val="0"/>
        <w:spacing w:line="360" w:lineRule="auto"/>
        <w:rPr>
          <w:rFonts w:hint="eastAsia" w:ascii="宋体" w:hAnsi="宋体" w:cs="宋体"/>
          <w:b/>
          <w:color w:val="000000"/>
          <w:sz w:val="24"/>
          <w:highlight w:val="none"/>
        </w:rPr>
      </w:pPr>
      <w:r>
        <w:rPr>
          <w:rFonts w:hint="eastAsia" w:ascii="宋体" w:hAnsi="宋体" w:cs="宋体"/>
          <w:b/>
          <w:color w:val="000000"/>
          <w:sz w:val="24"/>
          <w:highlight w:val="none"/>
        </w:rPr>
        <w:t xml:space="preserve">注：可随表提交相应的证书复印件     </w:t>
      </w:r>
    </w:p>
    <w:p>
      <w:pPr>
        <w:shd w:val="clear" w:color="auto" w:fill="auto"/>
        <w:autoSpaceDE w:val="0"/>
        <w:autoSpaceDN w:val="0"/>
        <w:spacing w:line="360" w:lineRule="auto"/>
        <w:rPr>
          <w:rFonts w:hint="eastAsia" w:ascii="宋体" w:hAnsi="宋体" w:cs="宋体"/>
          <w:b/>
          <w:color w:val="000000"/>
          <w:sz w:val="24"/>
          <w:highlight w:val="none"/>
        </w:rPr>
      </w:pPr>
    </w:p>
    <w:p>
      <w:pPr>
        <w:shd w:val="clear" w:color="auto" w:fill="auto"/>
        <w:autoSpaceDE w:val="0"/>
        <w:autoSpaceDN w:val="0"/>
        <w:spacing w:line="360" w:lineRule="auto"/>
        <w:rPr>
          <w:rFonts w:hint="eastAsia" w:ascii="宋体" w:hAnsi="宋体" w:cs="宋体"/>
          <w:b/>
          <w:color w:val="000000"/>
          <w:sz w:val="24"/>
          <w:highlight w:val="none"/>
        </w:rPr>
      </w:pPr>
      <w:r>
        <w:rPr>
          <w:rFonts w:hint="eastAsia" w:ascii="宋体" w:hAnsi="宋体" w:cs="宋体"/>
          <w:b/>
          <w:color w:val="000000"/>
          <w:sz w:val="24"/>
          <w:highlight w:val="none"/>
        </w:rPr>
        <w:t>附表B:本项目的项目小组人员情况表（格式仅供参考，投标人可自行编制）</w:t>
      </w:r>
    </w:p>
    <w:tbl>
      <w:tblPr>
        <w:tblStyle w:val="6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rPr>
          <w:wBefore w:w="0" w:type="dxa"/>
          <w:wAfter w:w="0" w:type="dxa"/>
        </w:trPr>
        <w:tc>
          <w:tcPr>
            <w:tcW w:w="42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参与本项目的到位情况</w:t>
            </w:r>
          </w:p>
        </w:tc>
      </w:tr>
      <w:tr>
        <w:tblPrEx>
          <w:tblCellMar>
            <w:top w:w="0" w:type="dxa"/>
            <w:left w:w="108" w:type="dxa"/>
            <w:bottom w:w="0" w:type="dxa"/>
            <w:right w:w="108" w:type="dxa"/>
          </w:tblCellMar>
        </w:tblPrEx>
        <w:trPr>
          <w:wBefore w:w="0" w:type="dxa"/>
          <w:wAfter w:w="0" w:type="dxa"/>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1</w:t>
            </w:r>
          </w:p>
        </w:tc>
        <w:tc>
          <w:tcPr>
            <w:tcW w:w="787"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r>
      <w:tr>
        <w:tblPrEx>
          <w:tblCellMar>
            <w:top w:w="0" w:type="dxa"/>
            <w:left w:w="108" w:type="dxa"/>
            <w:bottom w:w="0" w:type="dxa"/>
            <w:right w:w="108" w:type="dxa"/>
          </w:tblCellMar>
        </w:tblPrEx>
        <w:trPr>
          <w:wBefore w:w="0" w:type="dxa"/>
          <w:wAfter w:w="0" w:type="dxa"/>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2</w:t>
            </w:r>
          </w:p>
        </w:tc>
        <w:tc>
          <w:tcPr>
            <w:tcW w:w="787"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r>
      <w:tr>
        <w:tblPrEx>
          <w:tblCellMar>
            <w:top w:w="0" w:type="dxa"/>
            <w:left w:w="108" w:type="dxa"/>
            <w:bottom w:w="0" w:type="dxa"/>
            <w:right w:w="108" w:type="dxa"/>
          </w:tblCellMar>
        </w:tblPrEx>
        <w:trPr>
          <w:wBefore w:w="0" w:type="dxa"/>
          <w:wAfter w:w="0" w:type="dxa"/>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3</w:t>
            </w:r>
          </w:p>
        </w:tc>
        <w:tc>
          <w:tcPr>
            <w:tcW w:w="787"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360" w:lineRule="auto"/>
              <w:rPr>
                <w:rFonts w:hint="eastAsia" w:ascii="宋体" w:hAnsi="宋体" w:cs="宋体"/>
                <w:color w:val="000000"/>
                <w:sz w:val="24"/>
                <w:highlight w:val="none"/>
              </w:rPr>
            </w:pPr>
          </w:p>
        </w:tc>
      </w:tr>
    </w:tbl>
    <w:p>
      <w:pPr>
        <w:shd w:val="clear" w:color="auto" w:fill="auto"/>
        <w:spacing w:line="360" w:lineRule="auto"/>
        <w:rPr>
          <w:rFonts w:hint="eastAsia" w:ascii="宋体" w:hAnsi="宋体" w:cs="宋体"/>
          <w:b/>
          <w:bCs/>
          <w:color w:val="000000"/>
          <w:sz w:val="24"/>
          <w:highlight w:val="none"/>
        </w:rPr>
      </w:pPr>
      <w:r>
        <w:rPr>
          <w:rFonts w:hint="eastAsia" w:ascii="宋体" w:hAnsi="宋体" w:cs="宋体"/>
          <w:b/>
          <w:color w:val="000000"/>
          <w:sz w:val="24"/>
          <w:highlight w:val="none"/>
        </w:rPr>
        <w:t>注：可随表提交相应的证书复印件</w:t>
      </w:r>
    </w:p>
    <w:p>
      <w:pPr>
        <w:shd w:val="clear" w:color="auto" w:fill="auto"/>
        <w:autoSpaceDE w:val="0"/>
        <w:autoSpaceDN w:val="0"/>
        <w:spacing w:line="360" w:lineRule="auto"/>
        <w:ind w:firstLine="4440" w:firstLineChars="1850"/>
        <w:rPr>
          <w:rFonts w:hint="eastAsia" w:ascii="宋体" w:hAnsi="宋体" w:cs="宋体"/>
          <w:color w:val="000000"/>
          <w:kern w:val="0"/>
          <w:sz w:val="24"/>
          <w:highlight w:val="none"/>
        </w:rPr>
      </w:pPr>
      <w:r>
        <w:rPr>
          <w:rFonts w:hint="eastAsia" w:ascii="宋体" w:hAnsi="宋体" w:cs="宋体"/>
          <w:color w:val="000000"/>
          <w:kern w:val="0"/>
          <w:sz w:val="24"/>
          <w:highlight w:val="none"/>
        </w:rPr>
        <w:t>投标人名称（公章）：</w:t>
      </w:r>
    </w:p>
    <w:p>
      <w:pPr>
        <w:shd w:val="clear" w:color="auto" w:fill="auto"/>
        <w:autoSpaceDE w:val="0"/>
        <w:autoSpaceDN w:val="0"/>
        <w:spacing w:line="360" w:lineRule="auto"/>
        <w:rPr>
          <w:rFonts w:hint="eastAsia" w:ascii="宋体" w:hAnsi="宋体" w:cs="宋体"/>
          <w:color w:val="000000"/>
          <w:kern w:val="0"/>
          <w:sz w:val="24"/>
          <w:highlight w:val="none"/>
        </w:rPr>
      </w:pPr>
      <w:r>
        <w:rPr>
          <w:rFonts w:hint="eastAsia" w:ascii="宋体" w:hAnsi="宋体" w:cs="宋体"/>
          <w:color w:val="000000"/>
          <w:kern w:val="0"/>
          <w:sz w:val="24"/>
          <w:highlight w:val="none"/>
        </w:rPr>
        <w:t xml:space="preserve">                                     </w:t>
      </w:r>
    </w:p>
    <w:p>
      <w:pPr>
        <w:shd w:val="clear" w:color="auto" w:fill="auto"/>
        <w:spacing w:line="360" w:lineRule="auto"/>
        <w:rPr>
          <w:rFonts w:hint="eastAsia" w:ascii="宋体" w:hAnsi="宋体" w:cs="宋体"/>
          <w:color w:val="000000"/>
          <w:kern w:val="0"/>
          <w:sz w:val="24"/>
          <w:highlight w:val="none"/>
        </w:rPr>
      </w:pPr>
      <w:r>
        <w:rPr>
          <w:rFonts w:hint="eastAsia" w:ascii="宋体" w:hAnsi="宋体" w:cs="宋体"/>
          <w:color w:val="000000"/>
          <w:kern w:val="0"/>
          <w:sz w:val="24"/>
          <w:highlight w:val="none"/>
        </w:rPr>
        <w:t xml:space="preserve">                                     日期：  年  月   日</w:t>
      </w:r>
    </w:p>
    <w:p>
      <w:pPr>
        <w:shd w:val="clear" w:color="auto" w:fill="auto"/>
        <w:spacing w:line="360" w:lineRule="auto"/>
        <w:jc w:val="center"/>
        <w:rPr>
          <w:rFonts w:hint="eastAsia" w:ascii="宋体" w:hAnsi="宋体" w:cs="宋体"/>
          <w:b/>
          <w:color w:val="000000"/>
          <w:kern w:val="0"/>
          <w:sz w:val="32"/>
          <w:szCs w:val="32"/>
          <w:highlight w:val="none"/>
          <w:lang w:val="zh-CN"/>
        </w:rPr>
      </w:pPr>
      <w:r>
        <w:rPr>
          <w:rFonts w:hint="eastAsia" w:ascii="宋体" w:hAnsi="宋体" w:cs="宋体"/>
          <w:b/>
          <w:bCs/>
          <w:color w:val="000000"/>
          <w:sz w:val="32"/>
          <w:szCs w:val="32"/>
          <w:highlight w:val="none"/>
        </w:rPr>
        <w:br w:type="page"/>
      </w:r>
      <w:r>
        <w:rPr>
          <w:rFonts w:hint="eastAsia" w:ascii="宋体" w:hAnsi="宋体" w:cs="宋体"/>
          <w:b/>
          <w:bCs/>
          <w:color w:val="000000"/>
          <w:sz w:val="32"/>
          <w:szCs w:val="32"/>
          <w:highlight w:val="none"/>
        </w:rPr>
        <w:t>十三、</w:t>
      </w:r>
      <w:r>
        <w:rPr>
          <w:rFonts w:hint="eastAsia" w:ascii="宋体" w:hAnsi="宋体" w:cs="宋体"/>
          <w:b/>
          <w:color w:val="000000"/>
          <w:kern w:val="0"/>
          <w:sz w:val="32"/>
          <w:szCs w:val="32"/>
          <w:highlight w:val="none"/>
          <w:lang w:val="zh-CN"/>
        </w:rPr>
        <w:t>优惠条件及特殊承诺</w:t>
      </w:r>
    </w:p>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（由投标人根据采购需求自行编制）</w:t>
      </w:r>
    </w:p>
    <w:p>
      <w:pPr>
        <w:shd w:val="clear" w:color="auto" w:fill="auto"/>
        <w:spacing w:line="360" w:lineRule="auto"/>
        <w:jc w:val="center"/>
        <w:rPr>
          <w:rFonts w:hint="eastAsia" w:ascii="宋体" w:hAnsi="宋体" w:cs="宋体"/>
          <w:color w:val="000000"/>
          <w:sz w:val="18"/>
          <w:szCs w:val="18"/>
          <w:highlight w:val="none"/>
        </w:rPr>
      </w:pPr>
    </w:p>
    <w:p>
      <w:pPr>
        <w:shd w:val="clear" w:color="auto" w:fill="auto"/>
        <w:autoSpaceDE w:val="0"/>
        <w:autoSpaceDN w:val="0"/>
        <w:spacing w:line="360" w:lineRule="auto"/>
        <w:ind w:firstLine="4440" w:firstLineChars="1850"/>
        <w:rPr>
          <w:rFonts w:hint="eastAsia" w:ascii="宋体" w:hAnsi="宋体" w:cs="宋体"/>
          <w:color w:val="000000"/>
          <w:kern w:val="0"/>
          <w:sz w:val="24"/>
          <w:highlight w:val="none"/>
        </w:rPr>
      </w:pPr>
      <w:r>
        <w:rPr>
          <w:rFonts w:hint="eastAsia" w:ascii="宋体" w:hAnsi="宋体" w:cs="宋体"/>
          <w:color w:val="000000"/>
          <w:kern w:val="0"/>
          <w:sz w:val="24"/>
          <w:highlight w:val="none"/>
        </w:rPr>
        <w:t>投标人名称（公章）：</w:t>
      </w:r>
    </w:p>
    <w:p>
      <w:pPr>
        <w:shd w:val="clear" w:color="auto" w:fill="auto"/>
        <w:autoSpaceDE w:val="0"/>
        <w:autoSpaceDN w:val="0"/>
        <w:spacing w:line="360" w:lineRule="auto"/>
        <w:rPr>
          <w:rFonts w:hint="eastAsia" w:ascii="宋体" w:hAnsi="宋体" w:cs="宋体"/>
          <w:color w:val="000000"/>
          <w:kern w:val="0"/>
          <w:sz w:val="24"/>
          <w:highlight w:val="none"/>
        </w:rPr>
      </w:pPr>
      <w:r>
        <w:rPr>
          <w:rFonts w:hint="eastAsia" w:ascii="宋体" w:hAnsi="宋体" w:cs="宋体"/>
          <w:color w:val="000000"/>
          <w:kern w:val="0"/>
          <w:sz w:val="24"/>
          <w:highlight w:val="none"/>
        </w:rPr>
        <w:t xml:space="preserve">                                      </w:t>
      </w:r>
    </w:p>
    <w:p>
      <w:pPr>
        <w:shd w:val="clear" w:color="auto" w:fill="auto"/>
        <w:spacing w:line="360" w:lineRule="auto"/>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 xml:space="preserve">                    日期：  年  月   日</w:t>
      </w:r>
    </w:p>
    <w:p>
      <w:pPr>
        <w:shd w:val="clear" w:color="auto" w:fill="auto"/>
        <w:spacing w:line="360" w:lineRule="auto"/>
        <w:jc w:val="center"/>
        <w:rPr>
          <w:rFonts w:hint="eastAsia" w:ascii="宋体" w:hAnsi="宋体" w:cs="宋体"/>
          <w:b/>
          <w:bCs/>
          <w:color w:val="000000"/>
          <w:sz w:val="18"/>
          <w:szCs w:val="18"/>
          <w:highlight w:val="none"/>
        </w:rPr>
      </w:pPr>
    </w:p>
    <w:p>
      <w:pPr>
        <w:shd w:val="clear" w:color="auto" w:fill="auto"/>
        <w:spacing w:line="360" w:lineRule="auto"/>
        <w:jc w:val="center"/>
        <w:rPr>
          <w:rFonts w:hint="eastAsia" w:ascii="宋体" w:hAnsi="宋体" w:cs="宋体"/>
          <w:b/>
          <w:color w:val="000000"/>
          <w:kern w:val="0"/>
          <w:sz w:val="32"/>
          <w:szCs w:val="32"/>
          <w:highlight w:val="none"/>
          <w:lang w:val="zh-CN"/>
        </w:rPr>
      </w:pPr>
      <w:r>
        <w:rPr>
          <w:rFonts w:hint="eastAsia" w:ascii="宋体" w:hAnsi="宋体" w:cs="宋体"/>
          <w:b/>
          <w:bCs/>
          <w:color w:val="000000"/>
          <w:sz w:val="32"/>
          <w:szCs w:val="32"/>
          <w:highlight w:val="none"/>
        </w:rPr>
        <w:t>十四、</w:t>
      </w:r>
      <w:r>
        <w:rPr>
          <w:rFonts w:hint="eastAsia" w:ascii="宋体" w:hAnsi="宋体" w:cs="宋体"/>
          <w:b/>
          <w:color w:val="000000"/>
          <w:kern w:val="0"/>
          <w:sz w:val="32"/>
          <w:szCs w:val="32"/>
          <w:highlight w:val="none"/>
          <w:lang w:val="zh-CN"/>
        </w:rPr>
        <w:t>备品备件及供选择的配套零部件清单</w:t>
      </w:r>
    </w:p>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（由投标人根据采购需求自行编制）</w:t>
      </w:r>
    </w:p>
    <w:p>
      <w:pPr>
        <w:shd w:val="clear" w:color="auto" w:fill="auto"/>
        <w:spacing w:line="360" w:lineRule="auto"/>
        <w:jc w:val="center"/>
        <w:rPr>
          <w:rFonts w:hint="eastAsia" w:ascii="宋体" w:hAnsi="宋体" w:cs="宋体"/>
          <w:b/>
          <w:bCs/>
          <w:color w:val="000000"/>
          <w:sz w:val="32"/>
          <w:szCs w:val="32"/>
          <w:highlight w:val="none"/>
        </w:rPr>
      </w:pPr>
    </w:p>
    <w:p>
      <w:pPr>
        <w:shd w:val="clear" w:color="auto" w:fill="auto"/>
        <w:spacing w:line="360" w:lineRule="auto"/>
        <w:jc w:val="center"/>
        <w:rPr>
          <w:rFonts w:hint="eastAsia" w:ascii="宋体" w:hAnsi="宋体" w:cs="宋体"/>
          <w:b/>
          <w:color w:val="000000"/>
          <w:kern w:val="0"/>
          <w:sz w:val="32"/>
          <w:szCs w:val="32"/>
          <w:highlight w:val="none"/>
          <w:lang w:val="zh-CN"/>
        </w:rPr>
      </w:pPr>
      <w:r>
        <w:rPr>
          <w:rFonts w:hint="eastAsia" w:ascii="宋体" w:hAnsi="宋体" w:cs="宋体"/>
          <w:b/>
          <w:bCs/>
          <w:color w:val="000000"/>
          <w:sz w:val="32"/>
          <w:szCs w:val="32"/>
          <w:highlight w:val="none"/>
        </w:rPr>
        <w:t>十五、</w:t>
      </w:r>
      <w:r>
        <w:rPr>
          <w:rFonts w:hint="eastAsia" w:ascii="宋体" w:hAnsi="宋体" w:cs="宋体"/>
          <w:b/>
          <w:color w:val="000000"/>
          <w:kern w:val="0"/>
          <w:sz w:val="32"/>
          <w:szCs w:val="32"/>
          <w:highlight w:val="none"/>
          <w:lang w:val="zh-CN"/>
        </w:rPr>
        <w:t>培训计划</w:t>
      </w:r>
    </w:p>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（由投标人根据采购需求自行编制）</w:t>
      </w:r>
    </w:p>
    <w:p>
      <w:pPr>
        <w:keepNext/>
        <w:shd w:val="clear" w:color="auto" w:fill="auto"/>
        <w:autoSpaceDE w:val="0"/>
        <w:autoSpaceDN w:val="0"/>
        <w:spacing w:line="360" w:lineRule="auto"/>
        <w:ind w:firstLine="477"/>
        <w:jc w:val="left"/>
        <w:rPr>
          <w:rFonts w:hint="eastAsia" w:ascii="宋体" w:hAnsi="宋体" w:cs="宋体"/>
          <w:b/>
          <w:color w:val="000000"/>
          <w:sz w:val="24"/>
          <w:highlight w:val="none"/>
        </w:rPr>
      </w:pPr>
      <w:r>
        <w:rPr>
          <w:rFonts w:hint="eastAsia" w:ascii="宋体" w:hAnsi="宋体" w:cs="宋体"/>
          <w:b/>
          <w:color w:val="000000"/>
          <w:sz w:val="24"/>
          <w:highlight w:val="none"/>
        </w:rPr>
        <w:t>附表: 培训日程及费用（格式仅供参考，投标人可自行编制）</w:t>
      </w:r>
    </w:p>
    <w:tbl>
      <w:tblPr>
        <w:tblStyle w:val="62"/>
        <w:tblW w:w="4996" w:type="pct"/>
        <w:tblInd w:w="0" w:type="dxa"/>
        <w:tblLayout w:type="autofit"/>
        <w:tblCellMar>
          <w:top w:w="0" w:type="dxa"/>
          <w:left w:w="120" w:type="dxa"/>
          <w:bottom w:w="0" w:type="dxa"/>
          <w:right w:w="120" w:type="dxa"/>
        </w:tblCellMar>
      </w:tblPr>
      <w:tblGrid>
        <w:gridCol w:w="1966"/>
        <w:gridCol w:w="1318"/>
        <w:gridCol w:w="1553"/>
        <w:gridCol w:w="1599"/>
        <w:gridCol w:w="1439"/>
        <w:gridCol w:w="1428"/>
      </w:tblGrid>
      <w:tr>
        <w:tblPrEx>
          <w:tblCellMar>
            <w:top w:w="0" w:type="dxa"/>
            <w:left w:w="120" w:type="dxa"/>
            <w:bottom w:w="0" w:type="dxa"/>
            <w:right w:w="120" w:type="dxa"/>
          </w:tblCellMar>
        </w:tblPrEx>
        <w:trPr>
          <w:wBefore w:w="0" w:type="auto"/>
          <w:wAfter w:w="0" w:type="auto"/>
          <w:trHeight w:val="764" w:hRule="atLeast"/>
        </w:trPr>
        <w:tc>
          <w:tcPr>
            <w:tcW w:w="1056" w:type="pct"/>
            <w:tcBorders>
              <w:top w:val="single" w:color="auto" w:sz="6" w:space="0"/>
              <w:left w:val="single" w:color="auto" w:sz="6" w:space="0"/>
              <w:bottom w:val="nil"/>
              <w:right w:val="nil"/>
            </w:tcBorders>
            <w:shd w:val="pct10" w:color="auto" w:fill="auto"/>
            <w:noWrap w:val="0"/>
            <w:vAlign w:val="center"/>
          </w:tcPr>
          <w:p>
            <w:pPr>
              <w:shd w:val="clear" w:color="auto" w:fill="auto"/>
              <w:tabs>
                <w:tab w:val="center" w:pos="1690"/>
              </w:tabs>
              <w:suppressAutoHyphens/>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课程名称</w:t>
            </w:r>
          </w:p>
        </w:tc>
        <w:tc>
          <w:tcPr>
            <w:tcW w:w="708" w:type="pct"/>
            <w:tcBorders>
              <w:top w:val="single" w:color="auto" w:sz="6" w:space="0"/>
              <w:left w:val="single" w:color="auto" w:sz="6" w:space="0"/>
              <w:bottom w:val="nil"/>
              <w:right w:val="nil"/>
            </w:tcBorders>
            <w:shd w:val="pct10" w:color="auto" w:fill="auto"/>
            <w:noWrap w:val="0"/>
            <w:vAlign w:val="center"/>
          </w:tcPr>
          <w:p>
            <w:pPr>
              <w:shd w:val="clear" w:color="auto" w:fill="auto"/>
              <w:tabs>
                <w:tab w:val="center" w:pos="595"/>
              </w:tabs>
              <w:suppressAutoHyphens/>
              <w:autoSpaceDE w:val="0"/>
              <w:autoSpaceDN w:val="0"/>
              <w:spacing w:line="360" w:lineRule="auto"/>
              <w:rPr>
                <w:rFonts w:hint="eastAsia" w:ascii="宋体" w:hAnsi="宋体" w:cs="宋体"/>
                <w:color w:val="000000"/>
                <w:sz w:val="24"/>
                <w:highlight w:val="none"/>
              </w:rPr>
            </w:pPr>
            <w:r>
              <w:rPr>
                <w:rFonts w:hint="eastAsia" w:ascii="宋体" w:hAnsi="宋体" w:cs="宋体"/>
                <w:color w:val="000000"/>
                <w:sz w:val="24"/>
                <w:highlight w:val="none"/>
              </w:rPr>
              <w:t>持续时间</w:t>
            </w:r>
          </w:p>
        </w:tc>
        <w:tc>
          <w:tcPr>
            <w:tcW w:w="834" w:type="pct"/>
            <w:tcBorders>
              <w:top w:val="single" w:color="auto" w:sz="6" w:space="0"/>
              <w:left w:val="single" w:color="auto" w:sz="6" w:space="0"/>
              <w:bottom w:val="nil"/>
              <w:right w:val="nil"/>
            </w:tcBorders>
            <w:shd w:val="pct10" w:color="auto" w:fill="auto"/>
            <w:noWrap w:val="0"/>
            <w:vAlign w:val="center"/>
          </w:tcPr>
          <w:p>
            <w:pPr>
              <w:shd w:val="clear" w:color="auto" w:fill="auto"/>
              <w:tabs>
                <w:tab w:val="center" w:pos="1028"/>
              </w:tabs>
              <w:suppressAutoHyphens/>
              <w:autoSpaceDE w:val="0"/>
              <w:autoSpaceDN w:val="0"/>
              <w:spacing w:line="360" w:lineRule="auto"/>
              <w:rPr>
                <w:rFonts w:hint="eastAsia" w:ascii="宋体" w:hAnsi="宋体" w:cs="宋体"/>
                <w:color w:val="000000"/>
                <w:sz w:val="24"/>
                <w:highlight w:val="none"/>
              </w:rPr>
            </w:pPr>
            <w:r>
              <w:rPr>
                <w:rFonts w:hint="eastAsia" w:ascii="宋体" w:hAnsi="宋体" w:cs="宋体"/>
                <w:color w:val="000000"/>
                <w:sz w:val="24"/>
                <w:highlight w:val="none"/>
              </w:rPr>
              <w:t>授课教师</w:t>
            </w:r>
          </w:p>
        </w:tc>
        <w:tc>
          <w:tcPr>
            <w:tcW w:w="859" w:type="pct"/>
            <w:tcBorders>
              <w:top w:val="single" w:color="auto" w:sz="6" w:space="0"/>
              <w:left w:val="single" w:color="auto" w:sz="6" w:space="0"/>
              <w:bottom w:val="nil"/>
              <w:right w:val="nil"/>
            </w:tcBorders>
            <w:shd w:val="pct10" w:color="auto" w:fill="auto"/>
            <w:noWrap w:val="0"/>
            <w:vAlign w:val="center"/>
          </w:tcPr>
          <w:p>
            <w:pPr>
              <w:shd w:val="clear" w:color="auto" w:fill="auto"/>
              <w:tabs>
                <w:tab w:val="center" w:pos="595"/>
              </w:tabs>
              <w:suppressAutoHyphens/>
              <w:autoSpaceDE w:val="0"/>
              <w:autoSpaceDN w:val="0"/>
              <w:spacing w:line="360" w:lineRule="auto"/>
              <w:rPr>
                <w:rFonts w:hint="eastAsia" w:ascii="宋体" w:hAnsi="宋体" w:cs="宋体"/>
                <w:color w:val="000000"/>
                <w:sz w:val="24"/>
                <w:highlight w:val="none"/>
              </w:rPr>
            </w:pPr>
            <w:r>
              <w:rPr>
                <w:rFonts w:hint="eastAsia" w:ascii="宋体" w:hAnsi="宋体" w:cs="宋体"/>
                <w:color w:val="000000"/>
                <w:sz w:val="24"/>
                <w:highlight w:val="none"/>
              </w:rPr>
              <w:t>培训对象</w:t>
            </w:r>
          </w:p>
        </w:tc>
        <w:tc>
          <w:tcPr>
            <w:tcW w:w="773" w:type="pct"/>
            <w:tcBorders>
              <w:top w:val="single" w:color="auto" w:sz="6" w:space="0"/>
              <w:left w:val="single" w:color="auto" w:sz="6" w:space="0"/>
              <w:bottom w:val="nil"/>
              <w:right w:val="nil"/>
            </w:tcBorders>
            <w:shd w:val="pct10" w:color="auto" w:fill="auto"/>
            <w:noWrap w:val="0"/>
            <w:vAlign w:val="center"/>
          </w:tcPr>
          <w:p>
            <w:pPr>
              <w:shd w:val="clear" w:color="auto" w:fill="auto"/>
              <w:tabs>
                <w:tab w:val="center" w:pos="520"/>
              </w:tabs>
              <w:suppressAutoHyphens/>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培训地点</w:t>
            </w:r>
          </w:p>
        </w:tc>
        <w:tc>
          <w:tcPr>
            <w:tcW w:w="767" w:type="pct"/>
            <w:tcBorders>
              <w:top w:val="single" w:color="auto" w:sz="6" w:space="0"/>
              <w:left w:val="single" w:color="auto" w:sz="6" w:space="0"/>
              <w:bottom w:val="nil"/>
              <w:right w:val="single" w:color="auto" w:sz="6" w:space="0"/>
            </w:tcBorders>
            <w:shd w:val="pct10" w:color="auto" w:fill="auto"/>
            <w:noWrap w:val="0"/>
            <w:vAlign w:val="center"/>
          </w:tcPr>
          <w:p>
            <w:pPr>
              <w:shd w:val="clear" w:color="auto" w:fill="auto"/>
              <w:suppressAutoHyphens/>
              <w:autoSpaceDE w:val="0"/>
              <w:autoSpaceDN w:val="0"/>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课程费用</w:t>
            </w:r>
          </w:p>
        </w:tc>
      </w:tr>
      <w:tr>
        <w:tblPrEx>
          <w:tblCellMar>
            <w:top w:w="0" w:type="dxa"/>
            <w:left w:w="120" w:type="dxa"/>
            <w:bottom w:w="0" w:type="dxa"/>
            <w:right w:w="120" w:type="dxa"/>
          </w:tblCellMar>
        </w:tblPrEx>
        <w:trPr>
          <w:wBefore w:w="0" w:type="auto"/>
          <w:wAfter w:w="0" w:type="auto"/>
          <w:trHeight w:val="281" w:hRule="atLeast"/>
        </w:trPr>
        <w:tc>
          <w:tcPr>
            <w:tcW w:w="1056" w:type="pct"/>
            <w:tcBorders>
              <w:top w:val="single" w:color="auto" w:sz="6" w:space="0"/>
              <w:left w:val="single" w:color="auto" w:sz="6" w:space="0"/>
              <w:bottom w:val="nil"/>
              <w:right w:val="nil"/>
            </w:tcBorders>
            <w:noWrap w:val="0"/>
            <w:vAlign w:val="top"/>
          </w:tcPr>
          <w:p>
            <w:pPr>
              <w:shd w:val="clear" w:color="auto" w:fill="auto"/>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cs="宋体"/>
                <w:color w:val="000000"/>
                <w:sz w:val="24"/>
                <w:highlight w:val="none"/>
              </w:rPr>
            </w:pPr>
          </w:p>
        </w:tc>
        <w:tc>
          <w:tcPr>
            <w:tcW w:w="708" w:type="pct"/>
            <w:tcBorders>
              <w:top w:val="single" w:color="auto" w:sz="6" w:space="0"/>
              <w:left w:val="single" w:color="auto" w:sz="6" w:space="0"/>
              <w:bottom w:val="nil"/>
              <w:right w:val="nil"/>
            </w:tcBorders>
            <w:noWrap w:val="0"/>
            <w:vAlign w:val="top"/>
          </w:tcPr>
          <w:p>
            <w:pPr>
              <w:shd w:val="clear" w:color="auto" w:fill="auto"/>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cs="宋体"/>
                <w:color w:val="000000"/>
                <w:sz w:val="24"/>
                <w:highlight w:val="none"/>
              </w:rPr>
            </w:pPr>
          </w:p>
        </w:tc>
        <w:tc>
          <w:tcPr>
            <w:tcW w:w="834" w:type="pct"/>
            <w:tcBorders>
              <w:top w:val="single" w:color="auto" w:sz="6" w:space="0"/>
              <w:left w:val="single" w:color="auto" w:sz="6" w:space="0"/>
              <w:bottom w:val="nil"/>
              <w:right w:val="nil"/>
            </w:tcBorders>
            <w:noWrap w:val="0"/>
            <w:vAlign w:val="top"/>
          </w:tcPr>
          <w:p>
            <w:pPr>
              <w:shd w:val="clear" w:color="auto" w:fill="auto"/>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cs="宋体"/>
                <w:color w:val="000000"/>
                <w:sz w:val="24"/>
                <w:highlight w:val="none"/>
              </w:rPr>
            </w:pPr>
          </w:p>
        </w:tc>
        <w:tc>
          <w:tcPr>
            <w:tcW w:w="859" w:type="pct"/>
            <w:tcBorders>
              <w:top w:val="single" w:color="auto" w:sz="6" w:space="0"/>
              <w:left w:val="single" w:color="auto" w:sz="6" w:space="0"/>
              <w:bottom w:val="nil"/>
              <w:right w:val="nil"/>
            </w:tcBorders>
            <w:noWrap w:val="0"/>
            <w:vAlign w:val="top"/>
          </w:tcPr>
          <w:p>
            <w:pPr>
              <w:shd w:val="clear" w:color="auto" w:fill="auto"/>
              <w:tabs>
                <w:tab w:val="left" w:pos="440"/>
                <w:tab w:val="left" w:pos="1154"/>
                <w:tab w:val="left" w:pos="1936"/>
                <w:tab w:val="left" w:pos="2368"/>
              </w:tabs>
              <w:suppressAutoHyphens/>
              <w:autoSpaceDE w:val="0"/>
              <w:autoSpaceDN w:val="0"/>
              <w:spacing w:line="360" w:lineRule="auto"/>
              <w:rPr>
                <w:rFonts w:hint="eastAsia" w:ascii="宋体" w:hAnsi="宋体" w:cs="宋体"/>
                <w:color w:val="000000"/>
                <w:sz w:val="24"/>
                <w:highlight w:val="none"/>
              </w:rPr>
            </w:pPr>
          </w:p>
        </w:tc>
        <w:tc>
          <w:tcPr>
            <w:tcW w:w="773" w:type="pct"/>
            <w:tcBorders>
              <w:top w:val="single" w:color="auto" w:sz="6" w:space="0"/>
              <w:left w:val="single" w:color="auto" w:sz="6" w:space="0"/>
              <w:bottom w:val="nil"/>
              <w:right w:val="nil"/>
            </w:tcBorders>
            <w:noWrap w:val="0"/>
            <w:vAlign w:val="top"/>
          </w:tcPr>
          <w:p>
            <w:pPr>
              <w:shd w:val="clear" w:color="auto" w:fill="auto"/>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cs="宋体"/>
                <w:color w:val="000000"/>
                <w:sz w:val="24"/>
                <w:highlight w:val="none"/>
              </w:rPr>
            </w:pPr>
          </w:p>
        </w:tc>
        <w:tc>
          <w:tcPr>
            <w:tcW w:w="767" w:type="pct"/>
            <w:tcBorders>
              <w:top w:val="single" w:color="auto" w:sz="6" w:space="0"/>
              <w:left w:val="single" w:color="auto" w:sz="6" w:space="0"/>
              <w:bottom w:val="nil"/>
              <w:right w:val="single" w:color="auto" w:sz="6" w:space="0"/>
            </w:tcBorders>
            <w:noWrap w:val="0"/>
            <w:vAlign w:val="top"/>
          </w:tcPr>
          <w:p>
            <w:pPr>
              <w:shd w:val="clear" w:color="auto" w:fill="auto"/>
              <w:suppressAutoHyphens/>
              <w:autoSpaceDE w:val="0"/>
              <w:autoSpaceDN w:val="0"/>
              <w:spacing w:line="360" w:lineRule="auto"/>
              <w:rPr>
                <w:rFonts w:hint="eastAsia" w:ascii="宋体" w:hAnsi="宋体" w:cs="宋体"/>
                <w:color w:val="000000"/>
                <w:sz w:val="24"/>
                <w:highlight w:val="none"/>
              </w:rPr>
            </w:pPr>
          </w:p>
        </w:tc>
      </w:tr>
      <w:tr>
        <w:tblPrEx>
          <w:tblCellMar>
            <w:top w:w="0" w:type="dxa"/>
            <w:left w:w="120" w:type="dxa"/>
            <w:bottom w:w="0" w:type="dxa"/>
            <w:right w:w="120" w:type="dxa"/>
          </w:tblCellMar>
        </w:tblPrEx>
        <w:trPr>
          <w:wBefore w:w="0" w:type="auto"/>
          <w:wAfter w:w="0" w:type="auto"/>
          <w:trHeight w:val="273" w:hRule="atLeast"/>
        </w:trPr>
        <w:tc>
          <w:tcPr>
            <w:tcW w:w="1056" w:type="pct"/>
            <w:tcBorders>
              <w:top w:val="single" w:color="auto" w:sz="6" w:space="0"/>
              <w:left w:val="single" w:color="auto" w:sz="6" w:space="0"/>
              <w:bottom w:val="nil"/>
              <w:right w:val="nil"/>
            </w:tcBorders>
            <w:noWrap w:val="0"/>
            <w:vAlign w:val="top"/>
          </w:tcPr>
          <w:p>
            <w:pPr>
              <w:shd w:val="clear" w:color="auto" w:fill="auto"/>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cs="宋体"/>
                <w:color w:val="000000"/>
                <w:sz w:val="24"/>
                <w:highlight w:val="none"/>
              </w:rPr>
            </w:pPr>
          </w:p>
        </w:tc>
        <w:tc>
          <w:tcPr>
            <w:tcW w:w="708" w:type="pct"/>
            <w:tcBorders>
              <w:top w:val="single" w:color="auto" w:sz="6" w:space="0"/>
              <w:left w:val="single" w:color="auto" w:sz="6" w:space="0"/>
              <w:bottom w:val="nil"/>
              <w:right w:val="nil"/>
            </w:tcBorders>
            <w:noWrap w:val="0"/>
            <w:vAlign w:val="top"/>
          </w:tcPr>
          <w:p>
            <w:pPr>
              <w:shd w:val="clear" w:color="auto" w:fill="auto"/>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cs="宋体"/>
                <w:color w:val="000000"/>
                <w:sz w:val="24"/>
                <w:highlight w:val="none"/>
              </w:rPr>
            </w:pPr>
          </w:p>
        </w:tc>
        <w:tc>
          <w:tcPr>
            <w:tcW w:w="834" w:type="pct"/>
            <w:tcBorders>
              <w:top w:val="single" w:color="auto" w:sz="6" w:space="0"/>
              <w:left w:val="single" w:color="auto" w:sz="6" w:space="0"/>
              <w:bottom w:val="nil"/>
              <w:right w:val="nil"/>
            </w:tcBorders>
            <w:noWrap w:val="0"/>
            <w:vAlign w:val="top"/>
          </w:tcPr>
          <w:p>
            <w:pPr>
              <w:shd w:val="clear" w:color="auto" w:fill="auto"/>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cs="宋体"/>
                <w:color w:val="000000"/>
                <w:sz w:val="24"/>
                <w:highlight w:val="none"/>
              </w:rPr>
            </w:pPr>
          </w:p>
        </w:tc>
        <w:tc>
          <w:tcPr>
            <w:tcW w:w="859" w:type="pct"/>
            <w:tcBorders>
              <w:top w:val="single" w:color="auto" w:sz="6" w:space="0"/>
              <w:left w:val="single" w:color="auto" w:sz="6" w:space="0"/>
              <w:bottom w:val="nil"/>
              <w:right w:val="nil"/>
            </w:tcBorders>
            <w:noWrap w:val="0"/>
            <w:vAlign w:val="top"/>
          </w:tcPr>
          <w:p>
            <w:pPr>
              <w:shd w:val="clear" w:color="auto" w:fill="auto"/>
              <w:tabs>
                <w:tab w:val="left" w:pos="440"/>
                <w:tab w:val="left" w:pos="1154"/>
                <w:tab w:val="left" w:pos="1936"/>
                <w:tab w:val="left" w:pos="2368"/>
              </w:tabs>
              <w:suppressAutoHyphens/>
              <w:autoSpaceDE w:val="0"/>
              <w:autoSpaceDN w:val="0"/>
              <w:spacing w:line="360" w:lineRule="auto"/>
              <w:rPr>
                <w:rFonts w:hint="eastAsia" w:ascii="宋体" w:hAnsi="宋体" w:cs="宋体"/>
                <w:color w:val="000000"/>
                <w:sz w:val="24"/>
                <w:highlight w:val="none"/>
              </w:rPr>
            </w:pPr>
          </w:p>
        </w:tc>
        <w:tc>
          <w:tcPr>
            <w:tcW w:w="773" w:type="pct"/>
            <w:tcBorders>
              <w:top w:val="single" w:color="auto" w:sz="6" w:space="0"/>
              <w:left w:val="single" w:color="auto" w:sz="6" w:space="0"/>
              <w:bottom w:val="nil"/>
              <w:right w:val="nil"/>
            </w:tcBorders>
            <w:noWrap w:val="0"/>
            <w:vAlign w:val="top"/>
          </w:tcPr>
          <w:p>
            <w:pPr>
              <w:shd w:val="clear" w:color="auto" w:fill="auto"/>
              <w:tabs>
                <w:tab w:val="left" w:pos="7"/>
              </w:tabs>
              <w:suppressAutoHyphens/>
              <w:autoSpaceDE w:val="0"/>
              <w:autoSpaceDN w:val="0"/>
              <w:spacing w:line="360" w:lineRule="auto"/>
              <w:rPr>
                <w:rFonts w:hint="eastAsia" w:ascii="宋体" w:hAnsi="宋体" w:cs="宋体"/>
                <w:color w:val="000000"/>
                <w:sz w:val="24"/>
                <w:highlight w:val="none"/>
              </w:rPr>
            </w:pPr>
          </w:p>
        </w:tc>
        <w:tc>
          <w:tcPr>
            <w:tcW w:w="767" w:type="pct"/>
            <w:tcBorders>
              <w:top w:val="single" w:color="auto" w:sz="6" w:space="0"/>
              <w:left w:val="single" w:color="auto" w:sz="6" w:space="0"/>
              <w:bottom w:val="nil"/>
              <w:right w:val="single" w:color="auto" w:sz="6" w:space="0"/>
            </w:tcBorders>
            <w:noWrap w:val="0"/>
            <w:vAlign w:val="top"/>
          </w:tcPr>
          <w:p>
            <w:pPr>
              <w:shd w:val="clear" w:color="auto" w:fill="auto"/>
              <w:suppressAutoHyphens/>
              <w:autoSpaceDE w:val="0"/>
              <w:autoSpaceDN w:val="0"/>
              <w:spacing w:line="360" w:lineRule="auto"/>
              <w:rPr>
                <w:rFonts w:hint="eastAsia" w:ascii="宋体" w:hAnsi="宋体" w:cs="宋体"/>
                <w:color w:val="000000"/>
                <w:sz w:val="24"/>
                <w:highlight w:val="none"/>
              </w:rPr>
            </w:pPr>
          </w:p>
        </w:tc>
      </w:tr>
      <w:tr>
        <w:tblPrEx>
          <w:tblCellMar>
            <w:top w:w="0" w:type="dxa"/>
            <w:left w:w="120" w:type="dxa"/>
            <w:bottom w:w="0" w:type="dxa"/>
            <w:right w:w="120" w:type="dxa"/>
          </w:tblCellMar>
        </w:tblPrEx>
        <w:trPr>
          <w:wBefore w:w="0" w:type="auto"/>
          <w:wAfter w:w="0" w:type="auto"/>
          <w:trHeight w:val="110" w:hRule="atLeast"/>
        </w:trPr>
        <w:tc>
          <w:tcPr>
            <w:tcW w:w="1056" w:type="pct"/>
            <w:tcBorders>
              <w:top w:val="single" w:color="auto" w:sz="6" w:space="0"/>
              <w:left w:val="single" w:color="auto" w:sz="6" w:space="0"/>
              <w:bottom w:val="single" w:color="auto" w:sz="6" w:space="0"/>
              <w:right w:val="single" w:color="auto" w:sz="6" w:space="0"/>
            </w:tcBorders>
            <w:noWrap w:val="0"/>
            <w:vAlign w:val="center"/>
          </w:tcPr>
          <w:p>
            <w:pPr>
              <w:shd w:val="clear" w:color="auto" w:fill="auto"/>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宋体" w:hAnsi="宋体" w:cs="宋体"/>
                <w:color w:val="000000"/>
                <w:sz w:val="24"/>
                <w:highlight w:val="none"/>
              </w:rPr>
            </w:pPr>
          </w:p>
        </w:tc>
        <w:tc>
          <w:tcPr>
            <w:tcW w:w="708" w:type="pct"/>
            <w:tcBorders>
              <w:top w:val="single" w:color="auto" w:sz="6" w:space="0"/>
              <w:left w:val="single" w:color="auto" w:sz="6" w:space="0"/>
              <w:bottom w:val="single" w:color="auto" w:sz="6" w:space="0"/>
              <w:right w:val="single" w:color="auto" w:sz="6" w:space="0"/>
            </w:tcBorders>
            <w:noWrap w:val="0"/>
            <w:vAlign w:val="top"/>
          </w:tcPr>
          <w:p>
            <w:pPr>
              <w:shd w:val="clear" w:color="auto" w:fill="auto"/>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cs="宋体"/>
                <w:color w:val="000000"/>
                <w:sz w:val="24"/>
                <w:highlight w:val="none"/>
              </w:rPr>
            </w:pPr>
          </w:p>
        </w:tc>
        <w:tc>
          <w:tcPr>
            <w:tcW w:w="834" w:type="pct"/>
            <w:tcBorders>
              <w:top w:val="single" w:color="auto" w:sz="6" w:space="0"/>
              <w:left w:val="single" w:color="auto" w:sz="6" w:space="0"/>
              <w:bottom w:val="single" w:color="auto" w:sz="6" w:space="0"/>
              <w:right w:val="single" w:color="auto" w:sz="6" w:space="0"/>
            </w:tcBorders>
            <w:noWrap w:val="0"/>
            <w:vAlign w:val="top"/>
          </w:tcPr>
          <w:p>
            <w:pPr>
              <w:shd w:val="clear" w:color="auto" w:fill="auto"/>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cs="宋体"/>
                <w:color w:val="000000"/>
                <w:sz w:val="24"/>
                <w:highlight w:val="none"/>
              </w:rPr>
            </w:pPr>
          </w:p>
        </w:tc>
        <w:tc>
          <w:tcPr>
            <w:tcW w:w="859" w:type="pct"/>
            <w:tcBorders>
              <w:top w:val="single" w:color="auto" w:sz="6" w:space="0"/>
              <w:left w:val="single" w:color="auto" w:sz="6" w:space="0"/>
              <w:bottom w:val="single" w:color="auto" w:sz="6" w:space="0"/>
              <w:right w:val="single" w:color="auto" w:sz="6" w:space="0"/>
            </w:tcBorders>
            <w:noWrap w:val="0"/>
            <w:vAlign w:val="top"/>
          </w:tcPr>
          <w:p>
            <w:pPr>
              <w:shd w:val="clear" w:color="auto" w:fill="auto"/>
              <w:tabs>
                <w:tab w:val="left" w:pos="440"/>
                <w:tab w:val="left" w:pos="1154"/>
                <w:tab w:val="left" w:pos="1936"/>
                <w:tab w:val="left" w:pos="2368"/>
              </w:tabs>
              <w:suppressAutoHyphens/>
              <w:autoSpaceDE w:val="0"/>
              <w:autoSpaceDN w:val="0"/>
              <w:spacing w:line="360" w:lineRule="auto"/>
              <w:rPr>
                <w:rFonts w:hint="eastAsia" w:ascii="宋体" w:hAnsi="宋体" w:cs="宋体"/>
                <w:color w:val="000000"/>
                <w:sz w:val="24"/>
                <w:highlight w:val="none"/>
              </w:rPr>
            </w:pPr>
          </w:p>
        </w:tc>
        <w:tc>
          <w:tcPr>
            <w:tcW w:w="773" w:type="pct"/>
            <w:tcBorders>
              <w:top w:val="single" w:color="auto" w:sz="6" w:space="0"/>
              <w:left w:val="single" w:color="auto" w:sz="6" w:space="0"/>
              <w:bottom w:val="single" w:color="auto" w:sz="6" w:space="0"/>
              <w:right w:val="single" w:color="auto" w:sz="6" w:space="0"/>
            </w:tcBorders>
            <w:noWrap w:val="0"/>
            <w:vAlign w:val="top"/>
          </w:tcPr>
          <w:p>
            <w:pPr>
              <w:shd w:val="clear" w:color="auto" w:fill="auto"/>
              <w:tabs>
                <w:tab w:val="left" w:pos="7"/>
              </w:tabs>
              <w:suppressAutoHyphens/>
              <w:autoSpaceDE w:val="0"/>
              <w:autoSpaceDN w:val="0"/>
              <w:spacing w:line="360" w:lineRule="auto"/>
              <w:rPr>
                <w:rFonts w:hint="eastAsia" w:ascii="宋体" w:hAnsi="宋体" w:cs="宋体"/>
                <w:color w:val="000000"/>
                <w:sz w:val="24"/>
                <w:highlight w:val="none"/>
              </w:rPr>
            </w:pPr>
          </w:p>
        </w:tc>
        <w:tc>
          <w:tcPr>
            <w:tcW w:w="767" w:type="pct"/>
            <w:tcBorders>
              <w:top w:val="single" w:color="auto" w:sz="6" w:space="0"/>
              <w:left w:val="single" w:color="auto" w:sz="6" w:space="0"/>
              <w:bottom w:val="single" w:color="auto" w:sz="6" w:space="0"/>
              <w:right w:val="single" w:color="auto" w:sz="6" w:space="0"/>
            </w:tcBorders>
            <w:noWrap w:val="0"/>
            <w:vAlign w:val="top"/>
          </w:tcPr>
          <w:p>
            <w:pPr>
              <w:shd w:val="clear" w:color="auto" w:fill="auto"/>
              <w:suppressAutoHyphens/>
              <w:autoSpaceDE w:val="0"/>
              <w:autoSpaceDN w:val="0"/>
              <w:spacing w:line="360" w:lineRule="auto"/>
              <w:rPr>
                <w:rFonts w:hint="eastAsia" w:ascii="宋体" w:hAnsi="宋体" w:cs="宋体"/>
                <w:color w:val="000000"/>
                <w:sz w:val="24"/>
                <w:highlight w:val="none"/>
              </w:rPr>
            </w:pPr>
          </w:p>
        </w:tc>
      </w:tr>
    </w:tbl>
    <w:p>
      <w:pPr>
        <w:shd w:val="clear" w:color="auto" w:fill="auto"/>
        <w:autoSpaceDE w:val="0"/>
        <w:autoSpaceDN w:val="0"/>
        <w:spacing w:line="360" w:lineRule="auto"/>
        <w:ind w:firstLine="4819" w:firstLineChars="2000"/>
        <w:rPr>
          <w:rFonts w:hint="eastAsia" w:ascii="宋体" w:hAnsi="宋体" w:cs="宋体"/>
          <w:color w:val="000000"/>
          <w:kern w:val="0"/>
          <w:sz w:val="24"/>
          <w:highlight w:val="none"/>
        </w:rPr>
      </w:pPr>
      <w:r>
        <w:rPr>
          <w:rFonts w:hint="eastAsia" w:ascii="宋体" w:hAnsi="宋体" w:cs="宋体"/>
          <w:b/>
          <w:color w:val="000000"/>
          <w:sz w:val="24"/>
          <w:highlight w:val="none"/>
        </w:rPr>
        <w:t xml:space="preserve"> </w:t>
      </w:r>
    </w:p>
    <w:p>
      <w:pPr>
        <w:shd w:val="clear" w:color="auto" w:fill="auto"/>
        <w:autoSpaceDE w:val="0"/>
        <w:autoSpaceDN w:val="0"/>
        <w:spacing w:line="360" w:lineRule="auto"/>
        <w:ind w:firstLine="4800" w:firstLineChars="2000"/>
        <w:rPr>
          <w:rFonts w:hint="eastAsia" w:ascii="宋体" w:hAnsi="宋体" w:cs="宋体"/>
          <w:color w:val="000000"/>
          <w:sz w:val="24"/>
          <w:highlight w:val="none"/>
        </w:rPr>
      </w:pPr>
      <w:r>
        <w:rPr>
          <w:rFonts w:hint="eastAsia" w:ascii="宋体" w:hAnsi="宋体" w:cs="宋体"/>
          <w:color w:val="000000"/>
          <w:kern w:val="0"/>
          <w:sz w:val="24"/>
          <w:highlight w:val="none"/>
        </w:rPr>
        <w:t xml:space="preserve">投标人名称（公章）： </w:t>
      </w:r>
    </w:p>
    <w:p>
      <w:pPr>
        <w:shd w:val="clear" w:color="auto" w:fill="auto"/>
        <w:autoSpaceDE w:val="0"/>
        <w:autoSpaceDN w:val="0"/>
        <w:spacing w:line="360" w:lineRule="auto"/>
        <w:rPr>
          <w:rFonts w:hint="eastAsia" w:ascii="宋体" w:hAnsi="宋体" w:cs="宋体"/>
          <w:color w:val="000000"/>
          <w:kern w:val="0"/>
          <w:sz w:val="24"/>
          <w:highlight w:val="none"/>
        </w:rPr>
      </w:pPr>
      <w:r>
        <w:rPr>
          <w:rFonts w:hint="eastAsia" w:ascii="宋体" w:hAnsi="宋体" w:cs="宋体"/>
          <w:color w:val="000000"/>
          <w:kern w:val="0"/>
          <w:sz w:val="24"/>
          <w:highlight w:val="none"/>
        </w:rPr>
        <w:t xml:space="preserve">                                                          </w:t>
      </w:r>
    </w:p>
    <w:p>
      <w:pPr>
        <w:shd w:val="clear" w:color="auto" w:fill="auto"/>
        <w:autoSpaceDE w:val="0"/>
        <w:autoSpaceDN w:val="0"/>
        <w:spacing w:line="360" w:lineRule="auto"/>
        <w:ind w:firstLine="120"/>
        <w:rPr>
          <w:rFonts w:hint="eastAsia" w:ascii="宋体" w:hAnsi="宋体" w:cs="宋体"/>
          <w:color w:val="000000"/>
          <w:kern w:val="0"/>
          <w:sz w:val="24"/>
          <w:highlight w:val="none"/>
        </w:rPr>
      </w:pPr>
      <w:r>
        <w:rPr>
          <w:rFonts w:hint="eastAsia" w:ascii="宋体" w:hAnsi="宋体" w:cs="宋体"/>
          <w:color w:val="000000"/>
          <w:kern w:val="0"/>
          <w:sz w:val="24"/>
          <w:highlight w:val="none"/>
        </w:rPr>
        <w:t xml:space="preserve">                                       日期：  年  月   日</w:t>
      </w:r>
    </w:p>
    <w:p>
      <w:pPr>
        <w:shd w:val="clear" w:color="auto" w:fill="auto"/>
        <w:autoSpaceDE w:val="0"/>
        <w:autoSpaceDN w:val="0"/>
        <w:spacing w:line="360" w:lineRule="auto"/>
        <w:ind w:firstLine="120"/>
        <w:rPr>
          <w:rFonts w:hint="eastAsia" w:ascii="宋体" w:hAnsi="宋体" w:cs="宋体"/>
          <w:color w:val="000000"/>
          <w:kern w:val="0"/>
          <w:sz w:val="24"/>
          <w:highlight w:val="none"/>
        </w:rPr>
      </w:pPr>
    </w:p>
    <w:p>
      <w:pPr>
        <w:shd w:val="clear" w:color="auto" w:fill="auto"/>
        <w:autoSpaceDE w:val="0"/>
        <w:autoSpaceDN w:val="0"/>
        <w:spacing w:line="360" w:lineRule="auto"/>
        <w:ind w:firstLine="120"/>
        <w:rPr>
          <w:rFonts w:hint="eastAsia" w:ascii="宋体" w:hAnsi="宋体" w:cs="宋体"/>
          <w:color w:val="000000"/>
          <w:sz w:val="24"/>
          <w:highlight w:val="none"/>
        </w:rPr>
      </w:pPr>
    </w:p>
    <w:p>
      <w:pPr>
        <w:shd w:val="clear" w:color="auto" w:fill="auto"/>
        <w:spacing w:line="360" w:lineRule="auto"/>
        <w:jc w:val="center"/>
        <w:rPr>
          <w:rFonts w:hint="eastAsia" w:ascii="宋体" w:hAnsi="宋体" w:cs="宋体"/>
          <w:b/>
          <w:bCs/>
          <w:color w:val="000000"/>
          <w:sz w:val="32"/>
          <w:szCs w:val="32"/>
          <w:highlight w:val="none"/>
        </w:rPr>
      </w:pPr>
    </w:p>
    <w:p>
      <w:pPr>
        <w:shd w:val="clear" w:color="auto" w:fill="auto"/>
        <w:spacing w:line="360" w:lineRule="auto"/>
        <w:jc w:val="center"/>
        <w:rPr>
          <w:rFonts w:hint="eastAsia" w:ascii="宋体" w:hAnsi="宋体" w:cs="宋体"/>
          <w:b/>
          <w:bCs/>
          <w:color w:val="000000"/>
          <w:sz w:val="32"/>
          <w:szCs w:val="32"/>
          <w:highlight w:val="none"/>
        </w:rPr>
      </w:pPr>
    </w:p>
    <w:p>
      <w:pPr>
        <w:shd w:val="clear" w:color="auto" w:fill="auto"/>
        <w:spacing w:line="360" w:lineRule="auto"/>
        <w:jc w:val="center"/>
        <w:rPr>
          <w:rFonts w:hint="eastAsia" w:ascii="宋体" w:hAnsi="宋体" w:cs="宋体"/>
          <w:b/>
          <w:bCs/>
          <w:color w:val="000000"/>
          <w:sz w:val="32"/>
          <w:szCs w:val="32"/>
          <w:highlight w:val="none"/>
        </w:rPr>
      </w:pPr>
    </w:p>
    <w:p>
      <w:pPr>
        <w:shd w:val="clear" w:color="auto" w:fill="auto"/>
        <w:spacing w:line="360" w:lineRule="auto"/>
        <w:jc w:val="center"/>
        <w:rPr>
          <w:rFonts w:hint="eastAsia" w:ascii="宋体" w:hAnsi="宋体" w:cs="宋体"/>
          <w:b/>
          <w:bCs/>
          <w:color w:val="000000"/>
          <w:sz w:val="32"/>
          <w:szCs w:val="32"/>
          <w:highlight w:val="none"/>
        </w:rPr>
      </w:pPr>
    </w:p>
    <w:p>
      <w:pPr>
        <w:shd w:val="clear" w:color="auto" w:fill="auto"/>
        <w:spacing w:line="360" w:lineRule="auto"/>
        <w:jc w:val="center"/>
        <w:rPr>
          <w:rFonts w:hint="eastAsia" w:ascii="宋体" w:hAnsi="宋体" w:cs="宋体"/>
          <w:b/>
          <w:bCs/>
          <w:color w:val="000000"/>
          <w:sz w:val="32"/>
          <w:szCs w:val="32"/>
          <w:highlight w:val="none"/>
        </w:rPr>
      </w:pPr>
    </w:p>
    <w:p>
      <w:pPr>
        <w:shd w:val="clear" w:color="auto" w:fill="auto"/>
        <w:spacing w:line="360" w:lineRule="auto"/>
        <w:jc w:val="center"/>
        <w:rPr>
          <w:rFonts w:hint="eastAsia" w:ascii="宋体" w:hAnsi="宋体" w:cs="宋体"/>
          <w:b/>
          <w:bCs/>
          <w:color w:val="000000"/>
          <w:sz w:val="32"/>
          <w:szCs w:val="32"/>
          <w:highlight w:val="none"/>
        </w:rPr>
      </w:pPr>
    </w:p>
    <w:p>
      <w:pPr>
        <w:shd w:val="clear" w:color="auto" w:fill="auto"/>
        <w:spacing w:line="360" w:lineRule="auto"/>
        <w:jc w:val="center"/>
        <w:rPr>
          <w:rFonts w:hint="eastAsia" w:ascii="宋体" w:hAnsi="宋体" w:cs="宋体"/>
          <w:b/>
          <w:bCs/>
          <w:color w:val="000000"/>
          <w:sz w:val="32"/>
          <w:szCs w:val="32"/>
          <w:highlight w:val="none"/>
        </w:rPr>
      </w:pPr>
      <w:r>
        <w:rPr>
          <w:rFonts w:hint="eastAsia" w:ascii="宋体" w:hAnsi="宋体" w:cs="宋体"/>
          <w:b/>
          <w:bCs/>
          <w:color w:val="000000"/>
          <w:sz w:val="32"/>
          <w:szCs w:val="32"/>
          <w:highlight w:val="none"/>
        </w:rPr>
        <w:t>十六、认为需要的其他技术文件或说明</w:t>
      </w:r>
    </w:p>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（由投标人根据采购需求自行编制）</w:t>
      </w:r>
    </w:p>
    <w:p>
      <w:pPr>
        <w:shd w:val="clear" w:color="auto" w:fill="auto"/>
        <w:spacing w:line="360" w:lineRule="auto"/>
        <w:jc w:val="center"/>
        <w:rPr>
          <w:rFonts w:hint="eastAsia" w:ascii="宋体" w:hAnsi="宋体" w:cs="宋体"/>
          <w:color w:val="000000"/>
          <w:sz w:val="24"/>
          <w:highlight w:val="none"/>
        </w:rPr>
      </w:pPr>
    </w:p>
    <w:p>
      <w:pPr>
        <w:shd w:val="clear" w:color="auto" w:fill="auto"/>
        <w:autoSpaceDE w:val="0"/>
        <w:autoSpaceDN w:val="0"/>
        <w:spacing w:line="360" w:lineRule="auto"/>
        <w:ind w:firstLine="4800" w:firstLineChars="2000"/>
        <w:rPr>
          <w:rFonts w:hint="eastAsia" w:ascii="宋体" w:hAnsi="宋体" w:cs="宋体"/>
          <w:color w:val="000000"/>
          <w:sz w:val="24"/>
          <w:highlight w:val="none"/>
        </w:rPr>
      </w:pPr>
      <w:r>
        <w:rPr>
          <w:rFonts w:hint="eastAsia" w:ascii="宋体" w:hAnsi="宋体" w:cs="宋体"/>
          <w:color w:val="000000"/>
          <w:kern w:val="0"/>
          <w:sz w:val="24"/>
          <w:highlight w:val="none"/>
        </w:rPr>
        <w:t xml:space="preserve">投标人名称（公章）：                       </w:t>
      </w:r>
    </w:p>
    <w:p>
      <w:pPr>
        <w:shd w:val="clear" w:color="auto" w:fill="auto"/>
        <w:autoSpaceDE w:val="0"/>
        <w:autoSpaceDN w:val="0"/>
        <w:spacing w:line="360" w:lineRule="auto"/>
        <w:rPr>
          <w:rFonts w:hint="eastAsia" w:ascii="宋体" w:hAnsi="宋体" w:cs="宋体"/>
          <w:color w:val="000000"/>
          <w:kern w:val="0"/>
          <w:sz w:val="24"/>
          <w:highlight w:val="none"/>
        </w:rPr>
      </w:pPr>
      <w:r>
        <w:rPr>
          <w:rFonts w:hint="eastAsia" w:ascii="宋体" w:hAnsi="宋体" w:cs="宋体"/>
          <w:color w:val="000000"/>
          <w:kern w:val="0"/>
          <w:sz w:val="24"/>
          <w:highlight w:val="none"/>
        </w:rPr>
        <w:t xml:space="preserve">                                                          </w:t>
      </w:r>
    </w:p>
    <w:p>
      <w:pPr>
        <w:shd w:val="clear" w:color="auto" w:fill="auto"/>
        <w:spacing w:line="360" w:lineRule="auto"/>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 xml:space="preserve">                          日期：   年  月   日</w:t>
      </w:r>
    </w:p>
    <w:p>
      <w:pPr>
        <w:shd w:val="clear" w:color="auto" w:fill="auto"/>
        <w:spacing w:line="360" w:lineRule="auto"/>
        <w:jc w:val="center"/>
        <w:rPr>
          <w:rFonts w:hint="eastAsia" w:ascii="宋体" w:hAnsi="宋体" w:cs="宋体"/>
          <w:b/>
          <w:bCs/>
          <w:color w:val="000000"/>
          <w:sz w:val="30"/>
          <w:szCs w:val="30"/>
          <w:highlight w:val="none"/>
        </w:rPr>
      </w:pPr>
    </w:p>
    <w:p>
      <w:pPr>
        <w:shd w:val="clear" w:color="auto" w:fill="auto"/>
        <w:spacing w:line="360" w:lineRule="auto"/>
        <w:jc w:val="center"/>
        <w:rPr>
          <w:rFonts w:hint="eastAsia" w:ascii="宋体" w:hAnsi="宋体" w:cs="宋体"/>
          <w:b/>
          <w:bCs/>
          <w:color w:val="000000"/>
          <w:sz w:val="30"/>
          <w:szCs w:val="30"/>
          <w:highlight w:val="none"/>
        </w:rPr>
      </w:pPr>
    </w:p>
    <w:p>
      <w:pPr>
        <w:shd w:val="clear" w:color="auto" w:fill="auto"/>
        <w:spacing w:line="360" w:lineRule="auto"/>
        <w:jc w:val="center"/>
        <w:rPr>
          <w:rFonts w:hint="eastAsia" w:ascii="宋体" w:hAnsi="宋体" w:cs="宋体"/>
          <w:b/>
          <w:color w:val="000000"/>
          <w:kern w:val="0"/>
          <w:sz w:val="30"/>
          <w:szCs w:val="30"/>
          <w:highlight w:val="none"/>
          <w:lang w:val="zh-CN"/>
        </w:rPr>
      </w:pPr>
      <w:r>
        <w:rPr>
          <w:rFonts w:hint="eastAsia" w:ascii="宋体" w:hAnsi="宋体" w:cs="宋体"/>
          <w:b/>
          <w:bCs/>
          <w:color w:val="000000"/>
          <w:sz w:val="30"/>
          <w:szCs w:val="30"/>
          <w:highlight w:val="none"/>
        </w:rPr>
        <w:t>十七、关于</w:t>
      </w:r>
      <w:r>
        <w:rPr>
          <w:rFonts w:hint="eastAsia" w:ascii="宋体" w:hAnsi="宋体" w:cs="宋体"/>
          <w:b/>
          <w:color w:val="000000"/>
          <w:kern w:val="0"/>
          <w:sz w:val="30"/>
          <w:szCs w:val="30"/>
          <w:highlight w:val="none"/>
          <w:lang w:val="zh-CN"/>
        </w:rPr>
        <w:t>对招标文件中有关商务、合同条款的拒绝声明</w:t>
      </w:r>
    </w:p>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（由投标人根据采购需求自行编制）</w:t>
      </w:r>
    </w:p>
    <w:p>
      <w:pPr>
        <w:shd w:val="clear" w:color="auto" w:fill="auto"/>
        <w:spacing w:line="360" w:lineRule="auto"/>
        <w:rPr>
          <w:rFonts w:hint="eastAsia" w:ascii="宋体" w:hAnsi="宋体" w:cs="宋体"/>
          <w:color w:val="000000"/>
          <w:sz w:val="24"/>
          <w:highlight w:val="none"/>
        </w:rPr>
      </w:pPr>
    </w:p>
    <w:p>
      <w:pPr>
        <w:shd w:val="clear" w:color="auto" w:fill="auto"/>
        <w:autoSpaceDE w:val="0"/>
        <w:autoSpaceDN w:val="0"/>
        <w:spacing w:line="360" w:lineRule="auto"/>
        <w:ind w:firstLine="5040" w:firstLineChars="2100"/>
        <w:rPr>
          <w:rFonts w:hint="eastAsia" w:ascii="宋体" w:hAnsi="宋体" w:cs="宋体"/>
          <w:color w:val="000000"/>
          <w:kern w:val="0"/>
          <w:sz w:val="24"/>
          <w:highlight w:val="none"/>
        </w:rPr>
      </w:pPr>
      <w:r>
        <w:rPr>
          <w:rFonts w:hint="eastAsia" w:ascii="宋体" w:hAnsi="宋体" w:cs="宋体"/>
          <w:color w:val="000000"/>
          <w:kern w:val="0"/>
          <w:sz w:val="24"/>
          <w:highlight w:val="none"/>
          <w:lang w:val="zh-CN"/>
        </w:rPr>
        <w:t xml:space="preserve">投标人名称（公章）：      </w:t>
      </w:r>
    </w:p>
    <w:p>
      <w:pPr>
        <w:shd w:val="clear" w:color="auto" w:fill="auto"/>
        <w:autoSpaceDE w:val="0"/>
        <w:autoSpaceDN w:val="0"/>
        <w:spacing w:line="360" w:lineRule="auto"/>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 xml:space="preserve"> </w:t>
      </w:r>
    </w:p>
    <w:p>
      <w:pPr>
        <w:shd w:val="clear" w:color="auto" w:fill="auto"/>
        <w:spacing w:line="360" w:lineRule="auto"/>
        <w:jc w:val="center"/>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日期：   年  月   日</w:t>
      </w:r>
    </w:p>
    <w:p>
      <w:pPr>
        <w:shd w:val="clear" w:color="auto" w:fill="auto"/>
        <w:spacing w:line="360" w:lineRule="auto"/>
        <w:ind w:right="420"/>
        <w:rPr>
          <w:rFonts w:hint="eastAsia" w:ascii="宋体" w:hAnsi="宋体" w:cs="宋体"/>
          <w:b/>
          <w:color w:val="000000"/>
          <w:sz w:val="24"/>
          <w:highlight w:val="none"/>
        </w:rPr>
      </w:pPr>
      <w:r>
        <w:rPr>
          <w:rFonts w:hint="eastAsia" w:ascii="宋体" w:hAnsi="宋体" w:cs="宋体"/>
          <w:b/>
          <w:color w:val="000000"/>
          <w:sz w:val="24"/>
          <w:highlight w:val="none"/>
        </w:rPr>
        <w:br w:type="page"/>
      </w:r>
      <w:bookmarkStart w:id="464" w:name="_Toc465665161"/>
    </w:p>
    <w:p>
      <w:pPr>
        <w:shd w:val="clear" w:color="auto" w:fill="auto"/>
        <w:spacing w:line="360" w:lineRule="auto"/>
        <w:ind w:right="420"/>
        <w:rPr>
          <w:rFonts w:hint="eastAsia" w:ascii="宋体" w:hAnsi="宋体" w:cs="宋体"/>
          <w:color w:val="000000"/>
          <w:highlight w:val="none"/>
        </w:rPr>
      </w:pPr>
      <w:r>
        <w:rPr>
          <w:rFonts w:hint="eastAsia" w:ascii="宋体" w:hAnsi="宋体" w:cs="宋体"/>
          <w:color w:val="000000"/>
          <w:highlight w:val="none"/>
        </w:rPr>
        <w:t>附件</w:t>
      </w:r>
      <w:bookmarkEnd w:id="464"/>
    </w:p>
    <w:p>
      <w:pPr>
        <w:shd w:val="clear" w:color="auto" w:fill="auto"/>
        <w:spacing w:line="360" w:lineRule="auto"/>
        <w:rPr>
          <w:rFonts w:hint="eastAsia" w:ascii="宋体" w:hAnsi="宋体" w:cs="宋体"/>
          <w:b/>
          <w:color w:val="000000"/>
          <w:spacing w:val="6"/>
          <w:sz w:val="32"/>
          <w:szCs w:val="32"/>
          <w:highlight w:val="none"/>
        </w:rPr>
      </w:pPr>
      <w:r>
        <w:rPr>
          <w:rFonts w:hint="eastAsia" w:ascii="宋体" w:hAnsi="宋体" w:cs="宋体"/>
          <w:b/>
          <w:color w:val="000000"/>
          <w:spacing w:val="6"/>
          <w:sz w:val="32"/>
          <w:szCs w:val="32"/>
          <w:highlight w:val="none"/>
        </w:rPr>
        <w:t>附件1：</w:t>
      </w:r>
    </w:p>
    <w:p>
      <w:pPr>
        <w:shd w:val="clear" w:color="auto" w:fill="auto"/>
        <w:spacing w:line="360" w:lineRule="auto"/>
        <w:jc w:val="center"/>
        <w:rPr>
          <w:rFonts w:hint="eastAsia" w:ascii="宋体" w:hAnsi="宋体" w:cs="宋体"/>
          <w:b/>
          <w:color w:val="000000"/>
          <w:spacing w:val="6"/>
          <w:sz w:val="32"/>
          <w:szCs w:val="32"/>
          <w:highlight w:val="none"/>
        </w:rPr>
      </w:pPr>
      <w:bookmarkStart w:id="465" w:name="OLE_LINK13"/>
      <w:bookmarkStart w:id="466" w:name="OLE_LINK14"/>
      <w:r>
        <w:rPr>
          <w:rFonts w:hint="eastAsia" w:ascii="宋体" w:hAnsi="宋体" w:cs="宋体"/>
          <w:b/>
          <w:color w:val="000000"/>
          <w:spacing w:val="6"/>
          <w:sz w:val="32"/>
          <w:szCs w:val="32"/>
          <w:highlight w:val="none"/>
        </w:rPr>
        <w:t>残疾人福利性单位声明函</w:t>
      </w:r>
    </w:p>
    <w:bookmarkEnd w:id="465"/>
    <w:bookmarkEnd w:id="466"/>
    <w:p>
      <w:pPr>
        <w:shd w:val="clear" w:color="auto" w:fill="auto"/>
        <w:spacing w:line="360" w:lineRule="auto"/>
        <w:rPr>
          <w:rFonts w:hint="eastAsia" w:ascii="宋体" w:hAnsi="宋体" w:cs="宋体"/>
          <w:b/>
          <w:color w:val="000000"/>
          <w:spacing w:val="6"/>
          <w:sz w:val="30"/>
          <w:szCs w:val="30"/>
          <w:highlight w:val="none"/>
        </w:rPr>
      </w:pP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hd w:val="clear" w:color="auto" w:fill="auto"/>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本单位对上述声明的真实性负责。如有虚假，将依法承担相应责任。</w:t>
      </w:r>
    </w:p>
    <w:p>
      <w:pPr>
        <w:shd w:val="clear" w:color="auto" w:fill="auto"/>
        <w:spacing w:line="360" w:lineRule="auto"/>
        <w:ind w:firstLine="480" w:firstLineChars="200"/>
        <w:rPr>
          <w:rFonts w:hint="eastAsia" w:ascii="宋体" w:hAnsi="宋体" w:cs="宋体"/>
          <w:color w:val="000000"/>
          <w:sz w:val="24"/>
          <w:highlight w:val="none"/>
        </w:rPr>
      </w:pPr>
    </w:p>
    <w:p>
      <w:pPr>
        <w:shd w:val="clear" w:color="auto" w:fill="auto"/>
        <w:spacing w:line="360" w:lineRule="auto"/>
        <w:ind w:firstLine="480" w:firstLineChars="200"/>
        <w:rPr>
          <w:rFonts w:hint="eastAsia" w:ascii="宋体" w:hAnsi="宋体" w:cs="宋体"/>
          <w:color w:val="000000"/>
          <w:sz w:val="24"/>
          <w:highlight w:val="none"/>
        </w:rPr>
      </w:pPr>
    </w:p>
    <w:p>
      <w:pPr>
        <w:shd w:val="clear" w:color="auto" w:fill="auto"/>
        <w:tabs>
          <w:tab w:val="left" w:pos="4860"/>
        </w:tabs>
        <w:spacing w:line="360" w:lineRule="auto"/>
        <w:ind w:right="1560" w:firstLine="480" w:firstLineChars="200"/>
        <w:jc w:val="center"/>
        <w:rPr>
          <w:rFonts w:hint="eastAsia" w:ascii="宋体" w:hAnsi="宋体" w:cs="宋体"/>
          <w:color w:val="000000"/>
          <w:sz w:val="24"/>
          <w:highlight w:val="none"/>
        </w:rPr>
      </w:pPr>
      <w:r>
        <w:rPr>
          <w:rFonts w:hint="eastAsia" w:ascii="宋体" w:hAnsi="宋体" w:cs="宋体"/>
          <w:color w:val="000000"/>
          <w:sz w:val="24"/>
          <w:highlight w:val="none"/>
        </w:rPr>
        <w:t xml:space="preserve">               单位名称（盖章）：</w:t>
      </w:r>
    </w:p>
    <w:p>
      <w:pPr>
        <w:shd w:val="clear" w:color="auto" w:fill="auto"/>
        <w:tabs>
          <w:tab w:val="left" w:pos="4860"/>
        </w:tabs>
        <w:spacing w:line="360" w:lineRule="auto"/>
        <w:ind w:right="1560" w:firstLine="480" w:firstLineChars="200"/>
        <w:jc w:val="center"/>
        <w:rPr>
          <w:rFonts w:hint="eastAsia" w:ascii="宋体" w:hAnsi="宋体" w:cs="宋体"/>
          <w:color w:val="000000"/>
          <w:sz w:val="24"/>
          <w:highlight w:val="none"/>
        </w:rPr>
      </w:pPr>
      <w:r>
        <w:rPr>
          <w:rFonts w:hint="eastAsia" w:ascii="宋体" w:hAnsi="宋体" w:cs="宋体"/>
          <w:color w:val="000000"/>
          <w:sz w:val="24"/>
          <w:highlight w:val="none"/>
        </w:rPr>
        <w:t xml:space="preserve">       日  期：</w:t>
      </w:r>
    </w:p>
    <w:p>
      <w:pPr>
        <w:shd w:val="clear" w:color="auto" w:fill="auto"/>
        <w:spacing w:line="360" w:lineRule="auto"/>
        <w:ind w:firstLine="480" w:firstLineChars="200"/>
        <w:rPr>
          <w:rFonts w:hint="eastAsia" w:ascii="宋体" w:hAnsi="宋体" w:cs="宋体"/>
          <w:color w:val="000000"/>
          <w:sz w:val="24"/>
          <w:highlight w:val="none"/>
        </w:rPr>
      </w:pPr>
    </w:p>
    <w:p>
      <w:pPr>
        <w:shd w:val="clear" w:color="auto" w:fill="auto"/>
        <w:spacing w:line="360" w:lineRule="auto"/>
        <w:ind w:firstLine="420" w:firstLineChars="200"/>
        <w:rPr>
          <w:rFonts w:hint="eastAsia" w:ascii="宋体" w:hAnsi="宋体" w:cs="宋体"/>
          <w:color w:val="000000"/>
          <w:highlight w:val="none"/>
        </w:rPr>
      </w:pPr>
    </w:p>
    <w:p>
      <w:pPr>
        <w:shd w:val="clear" w:color="auto" w:fill="auto"/>
        <w:spacing w:line="360" w:lineRule="auto"/>
        <w:ind w:firstLine="420" w:firstLineChars="200"/>
        <w:rPr>
          <w:rFonts w:hint="eastAsia" w:ascii="宋体" w:hAnsi="宋体" w:cs="宋体"/>
          <w:color w:val="000000"/>
          <w:highlight w:val="none"/>
        </w:rPr>
      </w:pPr>
    </w:p>
    <w:p>
      <w:pPr>
        <w:shd w:val="clear" w:color="auto" w:fill="auto"/>
        <w:spacing w:line="360" w:lineRule="auto"/>
        <w:ind w:firstLine="420" w:firstLineChars="200"/>
        <w:rPr>
          <w:rFonts w:hint="eastAsia" w:ascii="宋体" w:hAnsi="宋体" w:cs="宋体"/>
          <w:color w:val="000000"/>
          <w:highlight w:val="none"/>
        </w:rPr>
      </w:pPr>
    </w:p>
    <w:p>
      <w:pPr>
        <w:shd w:val="clear" w:color="auto" w:fill="auto"/>
        <w:spacing w:line="360" w:lineRule="auto"/>
        <w:ind w:firstLine="420" w:firstLineChars="200"/>
        <w:rPr>
          <w:rFonts w:hint="eastAsia" w:ascii="宋体" w:hAnsi="宋体" w:cs="宋体"/>
          <w:color w:val="000000"/>
          <w:highlight w:val="none"/>
        </w:rPr>
      </w:pPr>
    </w:p>
    <w:p>
      <w:pPr>
        <w:shd w:val="clear" w:color="auto" w:fill="auto"/>
        <w:spacing w:line="360" w:lineRule="auto"/>
        <w:rPr>
          <w:rFonts w:hint="eastAsia" w:ascii="宋体" w:hAnsi="宋体" w:cs="宋体"/>
          <w:b/>
          <w:color w:val="000000"/>
          <w:sz w:val="24"/>
          <w:highlight w:val="none"/>
        </w:rPr>
      </w:pPr>
    </w:p>
    <w:p>
      <w:pPr>
        <w:shd w:val="clear" w:color="auto" w:fill="auto"/>
        <w:spacing w:line="360" w:lineRule="auto"/>
        <w:rPr>
          <w:rFonts w:hint="eastAsia" w:ascii="宋体" w:hAnsi="宋体" w:cs="宋体"/>
          <w:b/>
          <w:color w:val="000000"/>
          <w:sz w:val="24"/>
          <w:highlight w:val="none"/>
        </w:rPr>
      </w:pPr>
    </w:p>
    <w:p>
      <w:pPr>
        <w:shd w:val="clear" w:color="auto" w:fill="auto"/>
        <w:spacing w:line="360" w:lineRule="auto"/>
        <w:rPr>
          <w:rFonts w:hint="eastAsia" w:ascii="宋体" w:hAnsi="宋体" w:cs="宋体"/>
          <w:b/>
          <w:color w:val="000000"/>
          <w:sz w:val="24"/>
          <w:highlight w:val="none"/>
        </w:rPr>
      </w:pPr>
    </w:p>
    <w:p>
      <w:pPr>
        <w:shd w:val="clear" w:color="auto" w:fill="auto"/>
        <w:spacing w:line="360" w:lineRule="auto"/>
        <w:rPr>
          <w:rFonts w:hint="eastAsia" w:ascii="宋体" w:hAnsi="宋体" w:cs="宋体"/>
          <w:b/>
          <w:color w:val="000000"/>
          <w:sz w:val="24"/>
          <w:highlight w:val="none"/>
        </w:rPr>
      </w:pPr>
    </w:p>
    <w:p>
      <w:pPr>
        <w:shd w:val="clear" w:color="auto" w:fill="auto"/>
        <w:spacing w:line="360" w:lineRule="auto"/>
        <w:rPr>
          <w:rFonts w:hint="eastAsia" w:ascii="宋体" w:hAnsi="宋体" w:cs="宋体"/>
          <w:b/>
          <w:color w:val="000000"/>
          <w:sz w:val="24"/>
          <w:highlight w:val="none"/>
        </w:rPr>
      </w:pPr>
    </w:p>
    <w:p>
      <w:pPr>
        <w:shd w:val="clear" w:color="auto" w:fill="auto"/>
        <w:spacing w:line="360" w:lineRule="auto"/>
        <w:rPr>
          <w:rFonts w:hint="eastAsia" w:ascii="宋体" w:hAnsi="宋体" w:cs="宋体"/>
          <w:b/>
          <w:color w:val="000000"/>
          <w:sz w:val="24"/>
          <w:highlight w:val="none"/>
        </w:rPr>
      </w:pPr>
    </w:p>
    <w:p>
      <w:pPr>
        <w:shd w:val="clear" w:color="auto" w:fill="auto"/>
        <w:spacing w:line="360" w:lineRule="auto"/>
        <w:rPr>
          <w:rFonts w:hint="eastAsia" w:ascii="宋体" w:hAnsi="宋体" w:cs="宋体"/>
          <w:b/>
          <w:color w:val="000000"/>
          <w:sz w:val="24"/>
          <w:highlight w:val="none"/>
        </w:rPr>
      </w:pPr>
    </w:p>
    <w:p>
      <w:pPr>
        <w:shd w:val="clear" w:color="auto" w:fill="auto"/>
        <w:spacing w:line="360" w:lineRule="auto"/>
        <w:rPr>
          <w:rFonts w:hint="eastAsia" w:ascii="宋体" w:hAnsi="宋体" w:cs="宋体"/>
          <w:b/>
          <w:color w:val="000000"/>
          <w:sz w:val="24"/>
          <w:highlight w:val="none"/>
        </w:rPr>
      </w:pPr>
    </w:p>
    <w:p>
      <w:pPr>
        <w:shd w:val="clear" w:color="auto" w:fill="auto"/>
        <w:spacing w:line="360" w:lineRule="auto"/>
        <w:rPr>
          <w:rFonts w:hint="eastAsia" w:ascii="宋体" w:hAnsi="宋体" w:cs="宋体"/>
          <w:b/>
          <w:color w:val="000000"/>
          <w:sz w:val="24"/>
          <w:highlight w:val="none"/>
        </w:rPr>
      </w:pPr>
    </w:p>
    <w:p>
      <w:pPr>
        <w:shd w:val="clear" w:color="auto" w:fill="auto"/>
        <w:spacing w:line="360" w:lineRule="auto"/>
        <w:jc w:val="left"/>
        <w:rPr>
          <w:rFonts w:hint="eastAsia" w:ascii="宋体" w:hAnsi="宋体" w:cs="宋体"/>
          <w:b/>
          <w:color w:val="000000"/>
          <w:spacing w:val="6"/>
          <w:sz w:val="32"/>
          <w:szCs w:val="32"/>
          <w:highlight w:val="none"/>
        </w:rPr>
      </w:pPr>
    </w:p>
    <w:p>
      <w:pPr>
        <w:shd w:val="clear" w:color="auto" w:fill="auto"/>
        <w:spacing w:line="360" w:lineRule="auto"/>
        <w:jc w:val="left"/>
        <w:rPr>
          <w:rFonts w:hint="eastAsia" w:ascii="宋体" w:hAnsi="宋体" w:cs="宋体"/>
          <w:b/>
          <w:color w:val="000000"/>
          <w:spacing w:val="6"/>
          <w:sz w:val="32"/>
          <w:szCs w:val="32"/>
          <w:highlight w:val="none"/>
        </w:rPr>
      </w:pPr>
    </w:p>
    <w:p>
      <w:pPr>
        <w:shd w:val="clear" w:color="auto" w:fill="auto"/>
        <w:spacing w:line="360" w:lineRule="auto"/>
        <w:jc w:val="left"/>
        <w:rPr>
          <w:rFonts w:hint="eastAsia" w:ascii="宋体" w:hAnsi="宋体" w:cs="宋体"/>
          <w:b/>
          <w:color w:val="000000"/>
          <w:spacing w:val="6"/>
          <w:sz w:val="32"/>
          <w:szCs w:val="32"/>
          <w:highlight w:val="none"/>
        </w:rPr>
      </w:pPr>
    </w:p>
    <w:p>
      <w:pPr>
        <w:shd w:val="clear" w:color="auto" w:fill="auto"/>
        <w:spacing w:line="360" w:lineRule="auto"/>
        <w:jc w:val="left"/>
        <w:rPr>
          <w:rFonts w:hint="eastAsia" w:ascii="宋体" w:hAnsi="宋体" w:cs="宋体"/>
          <w:b/>
          <w:color w:val="000000"/>
          <w:spacing w:val="6"/>
          <w:sz w:val="32"/>
          <w:szCs w:val="32"/>
          <w:highlight w:val="none"/>
        </w:rPr>
      </w:pPr>
      <w:r>
        <w:rPr>
          <w:rFonts w:hint="eastAsia" w:ascii="宋体" w:hAnsi="宋体" w:cs="宋体"/>
          <w:b/>
          <w:color w:val="000000"/>
          <w:spacing w:val="6"/>
          <w:sz w:val="32"/>
          <w:szCs w:val="32"/>
          <w:highlight w:val="none"/>
        </w:rPr>
        <w:t>附件2：质疑函范本及制作说明</w:t>
      </w:r>
    </w:p>
    <w:p>
      <w:pPr>
        <w:shd w:val="clear" w:color="auto" w:fill="auto"/>
        <w:spacing w:line="360" w:lineRule="auto"/>
        <w:jc w:val="center"/>
        <w:rPr>
          <w:rFonts w:hint="eastAsia" w:ascii="宋体" w:hAnsi="宋体" w:cs="宋体"/>
          <w:b/>
          <w:color w:val="000000"/>
          <w:spacing w:val="6"/>
          <w:sz w:val="32"/>
          <w:szCs w:val="32"/>
          <w:highlight w:val="none"/>
        </w:rPr>
      </w:pPr>
      <w:r>
        <w:rPr>
          <w:rFonts w:hint="eastAsia" w:ascii="宋体" w:hAnsi="宋体" w:cs="宋体"/>
          <w:b/>
          <w:color w:val="000000"/>
          <w:spacing w:val="6"/>
          <w:sz w:val="32"/>
          <w:szCs w:val="32"/>
          <w:highlight w:val="none"/>
        </w:rPr>
        <w:t>质疑函范本</w:t>
      </w:r>
    </w:p>
    <w:p>
      <w:pPr>
        <w:shd w:val="clear" w:color="auto" w:fill="auto"/>
        <w:snapToGrid w:val="0"/>
        <w:spacing w:before="240" w:beforeLines="100" w:line="360" w:lineRule="auto"/>
        <w:rPr>
          <w:rFonts w:hint="eastAsia" w:ascii="宋体" w:hAnsi="宋体" w:cs="宋体"/>
          <w:bCs/>
          <w:color w:val="000000"/>
          <w:sz w:val="24"/>
          <w:highlight w:val="none"/>
        </w:rPr>
      </w:pPr>
      <w:r>
        <w:rPr>
          <w:rFonts w:hint="eastAsia" w:ascii="宋体" w:hAnsi="宋体" w:cs="宋体"/>
          <w:bCs/>
          <w:color w:val="000000"/>
          <w:sz w:val="24"/>
          <w:highlight w:val="none"/>
        </w:rPr>
        <w:t>一、质疑供应商基本信息</w:t>
      </w:r>
    </w:p>
    <w:p>
      <w:pPr>
        <w:shd w:val="clear" w:color="auto" w:fill="auto"/>
        <w:snapToGrid w:val="0"/>
        <w:spacing w:line="360" w:lineRule="auto"/>
        <w:rPr>
          <w:rFonts w:hint="eastAsia" w:ascii="宋体" w:hAnsi="宋体" w:cs="宋体"/>
          <w:color w:val="000000"/>
          <w:sz w:val="24"/>
          <w:highlight w:val="none"/>
          <w:u w:val="dotted"/>
        </w:rPr>
      </w:pPr>
      <w:r>
        <w:rPr>
          <w:rFonts w:hint="eastAsia" w:ascii="宋体" w:hAnsi="宋体" w:cs="宋体"/>
          <w:color w:val="000000"/>
          <w:sz w:val="24"/>
          <w:highlight w:val="none"/>
        </w:rPr>
        <w:t>质疑供应商：</w:t>
      </w:r>
      <w:r>
        <w:rPr>
          <w:rFonts w:hint="eastAsia" w:ascii="宋体" w:hAnsi="宋体" w:cs="宋体"/>
          <w:color w:val="000000"/>
          <w:sz w:val="24"/>
          <w:highlight w:val="none"/>
          <w:u w:val="dotted"/>
        </w:rPr>
        <w:t xml:space="preserve">                                        </w:t>
      </w:r>
    </w:p>
    <w:p>
      <w:pPr>
        <w:shd w:val="clear" w:color="auto" w:fill="auto"/>
        <w:snapToGrid w:val="0"/>
        <w:spacing w:line="360" w:lineRule="auto"/>
        <w:rPr>
          <w:rFonts w:hint="eastAsia" w:ascii="宋体" w:hAnsi="宋体" w:cs="宋体"/>
          <w:color w:val="000000"/>
          <w:sz w:val="24"/>
          <w:highlight w:val="none"/>
        </w:rPr>
      </w:pPr>
      <w:r>
        <w:rPr>
          <w:rFonts w:hint="eastAsia" w:ascii="宋体" w:hAnsi="宋体" w:cs="宋体"/>
          <w:color w:val="000000"/>
          <w:sz w:val="24"/>
          <w:highlight w:val="none"/>
        </w:rPr>
        <w:t>地址：</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邮编：</w:t>
      </w:r>
      <w:r>
        <w:rPr>
          <w:rFonts w:hint="eastAsia" w:ascii="宋体" w:hAnsi="宋体" w:cs="宋体"/>
          <w:color w:val="000000"/>
          <w:sz w:val="24"/>
          <w:highlight w:val="none"/>
          <w:u w:val="dotted"/>
        </w:rPr>
        <w:t xml:space="preserve">                                                   </w:t>
      </w:r>
    </w:p>
    <w:p>
      <w:pPr>
        <w:shd w:val="clear" w:color="auto" w:fill="auto"/>
        <w:snapToGrid w:val="0"/>
        <w:spacing w:line="360" w:lineRule="auto"/>
        <w:rPr>
          <w:rFonts w:hint="eastAsia" w:ascii="宋体" w:hAnsi="宋体" w:cs="宋体"/>
          <w:color w:val="000000"/>
          <w:sz w:val="24"/>
          <w:highlight w:val="none"/>
        </w:rPr>
      </w:pPr>
      <w:r>
        <w:rPr>
          <w:rFonts w:hint="eastAsia" w:ascii="宋体" w:hAnsi="宋体" w:cs="宋体"/>
          <w:color w:val="000000"/>
          <w:sz w:val="24"/>
          <w:highlight w:val="none"/>
        </w:rPr>
        <w:t>联系人：</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联系电话：</w:t>
      </w:r>
      <w:r>
        <w:rPr>
          <w:rFonts w:hint="eastAsia" w:ascii="宋体" w:hAnsi="宋体" w:cs="宋体"/>
          <w:color w:val="000000"/>
          <w:sz w:val="24"/>
          <w:highlight w:val="none"/>
          <w:u w:val="dotted"/>
        </w:rPr>
        <w:t xml:space="preserve">                              </w:t>
      </w:r>
    </w:p>
    <w:p>
      <w:pPr>
        <w:shd w:val="clear" w:color="auto" w:fill="auto"/>
        <w:snapToGrid w:val="0"/>
        <w:spacing w:line="360" w:lineRule="auto"/>
        <w:rPr>
          <w:rFonts w:hint="eastAsia" w:ascii="宋体" w:hAnsi="宋体" w:cs="宋体"/>
          <w:color w:val="000000"/>
          <w:sz w:val="24"/>
          <w:highlight w:val="none"/>
          <w:u w:val="dotted"/>
        </w:rPr>
      </w:pPr>
      <w:r>
        <w:rPr>
          <w:rFonts w:hint="eastAsia" w:ascii="宋体" w:hAnsi="宋体" w:cs="宋体"/>
          <w:color w:val="000000"/>
          <w:sz w:val="24"/>
          <w:highlight w:val="none"/>
        </w:rPr>
        <w:t>授权代表：</w:t>
      </w:r>
      <w:r>
        <w:rPr>
          <w:rFonts w:hint="eastAsia" w:ascii="宋体" w:hAnsi="宋体" w:cs="宋体"/>
          <w:color w:val="000000"/>
          <w:sz w:val="24"/>
          <w:highlight w:val="none"/>
          <w:u w:val="dotted"/>
        </w:rPr>
        <w:t xml:space="preserve">                                          </w:t>
      </w:r>
    </w:p>
    <w:p>
      <w:pPr>
        <w:shd w:val="clear" w:color="auto" w:fill="auto"/>
        <w:snapToGrid w:val="0"/>
        <w:spacing w:line="360" w:lineRule="auto"/>
        <w:rPr>
          <w:rFonts w:hint="eastAsia" w:ascii="宋体" w:hAnsi="宋体" w:cs="宋体"/>
          <w:color w:val="000000"/>
          <w:sz w:val="24"/>
          <w:highlight w:val="none"/>
        </w:rPr>
      </w:pPr>
      <w:r>
        <w:rPr>
          <w:rFonts w:hint="eastAsia" w:ascii="宋体" w:hAnsi="宋体" w:cs="宋体"/>
          <w:color w:val="000000"/>
          <w:sz w:val="24"/>
          <w:highlight w:val="none"/>
        </w:rPr>
        <w:t>联系电话：</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 xml:space="preserve"> </w:t>
      </w:r>
    </w:p>
    <w:p>
      <w:pPr>
        <w:shd w:val="clear" w:color="auto" w:fill="auto"/>
        <w:snapToGrid w:val="0"/>
        <w:spacing w:line="360" w:lineRule="auto"/>
        <w:rPr>
          <w:rFonts w:hint="eastAsia" w:ascii="宋体" w:hAnsi="宋体" w:cs="宋体"/>
          <w:color w:val="000000"/>
          <w:sz w:val="24"/>
          <w:highlight w:val="none"/>
        </w:rPr>
      </w:pPr>
      <w:r>
        <w:rPr>
          <w:rFonts w:hint="eastAsia" w:ascii="宋体" w:hAnsi="宋体" w:cs="宋体"/>
          <w:color w:val="000000"/>
          <w:sz w:val="24"/>
          <w:highlight w:val="none"/>
        </w:rPr>
        <w:t xml:space="preserve">地址： </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邮编：</w:t>
      </w:r>
      <w:r>
        <w:rPr>
          <w:rFonts w:hint="eastAsia" w:ascii="宋体" w:hAnsi="宋体" w:cs="宋体"/>
          <w:color w:val="000000"/>
          <w:sz w:val="24"/>
          <w:highlight w:val="none"/>
          <w:u w:val="dotted"/>
        </w:rPr>
        <w:t xml:space="preserve">                                                </w:t>
      </w:r>
    </w:p>
    <w:p>
      <w:pPr>
        <w:shd w:val="clear" w:color="auto" w:fill="auto"/>
        <w:snapToGrid w:val="0"/>
        <w:spacing w:line="360" w:lineRule="auto"/>
        <w:rPr>
          <w:rFonts w:hint="eastAsia" w:ascii="宋体" w:hAnsi="宋体" w:cs="宋体"/>
          <w:bCs/>
          <w:color w:val="000000"/>
          <w:sz w:val="24"/>
          <w:highlight w:val="none"/>
        </w:rPr>
      </w:pPr>
      <w:r>
        <w:rPr>
          <w:rFonts w:hint="eastAsia" w:ascii="宋体" w:hAnsi="宋体" w:cs="宋体"/>
          <w:bCs/>
          <w:color w:val="000000"/>
          <w:sz w:val="24"/>
          <w:highlight w:val="none"/>
        </w:rPr>
        <w:t>二、质疑项目基本情况</w:t>
      </w:r>
    </w:p>
    <w:p>
      <w:pPr>
        <w:shd w:val="clear" w:color="auto" w:fill="auto"/>
        <w:snapToGrid w:val="0"/>
        <w:spacing w:line="360" w:lineRule="auto"/>
        <w:rPr>
          <w:rFonts w:hint="eastAsia" w:ascii="宋体" w:hAnsi="宋体" w:cs="宋体"/>
          <w:color w:val="000000"/>
          <w:sz w:val="24"/>
          <w:highlight w:val="none"/>
        </w:rPr>
      </w:pPr>
      <w:r>
        <w:rPr>
          <w:rFonts w:hint="eastAsia" w:ascii="宋体" w:hAnsi="宋体" w:cs="宋体"/>
          <w:color w:val="000000"/>
          <w:sz w:val="24"/>
          <w:highlight w:val="none"/>
        </w:rPr>
        <w:t>质疑项目的名称：</w:t>
      </w:r>
      <w:r>
        <w:rPr>
          <w:rFonts w:hint="eastAsia" w:ascii="宋体" w:hAnsi="宋体" w:cs="宋体"/>
          <w:color w:val="000000"/>
          <w:sz w:val="24"/>
          <w:highlight w:val="none"/>
          <w:u w:val="dotted"/>
        </w:rPr>
        <w:t xml:space="preserve">                                      </w:t>
      </w:r>
    </w:p>
    <w:p>
      <w:pPr>
        <w:shd w:val="clear" w:color="auto" w:fill="auto"/>
        <w:snapToGrid w:val="0"/>
        <w:spacing w:line="360" w:lineRule="auto"/>
        <w:rPr>
          <w:rFonts w:hint="eastAsia" w:ascii="宋体" w:hAnsi="宋体" w:cs="宋体"/>
          <w:color w:val="000000"/>
          <w:sz w:val="24"/>
          <w:highlight w:val="none"/>
        </w:rPr>
      </w:pPr>
      <w:r>
        <w:rPr>
          <w:rFonts w:hint="eastAsia" w:ascii="宋体" w:hAnsi="宋体" w:cs="宋体"/>
          <w:color w:val="000000"/>
          <w:sz w:val="24"/>
          <w:highlight w:val="none"/>
        </w:rPr>
        <w:t>质疑项目的编号：</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包号：</w:t>
      </w:r>
      <w:r>
        <w:rPr>
          <w:rFonts w:hint="eastAsia" w:ascii="宋体" w:hAnsi="宋体" w:cs="宋体"/>
          <w:color w:val="000000"/>
          <w:sz w:val="24"/>
          <w:highlight w:val="none"/>
          <w:u w:val="dotted"/>
        </w:rPr>
        <w:t xml:space="preserve">                 </w:t>
      </w:r>
    </w:p>
    <w:p>
      <w:pPr>
        <w:shd w:val="clear" w:color="auto" w:fill="auto"/>
        <w:snapToGrid w:val="0"/>
        <w:spacing w:line="360" w:lineRule="auto"/>
        <w:rPr>
          <w:rFonts w:hint="eastAsia" w:ascii="宋体" w:hAnsi="宋体" w:cs="宋体"/>
          <w:color w:val="000000"/>
          <w:sz w:val="24"/>
          <w:highlight w:val="none"/>
          <w:u w:val="dotted"/>
        </w:rPr>
      </w:pPr>
      <w:r>
        <w:rPr>
          <w:rFonts w:hint="eastAsia" w:ascii="宋体" w:hAnsi="宋体" w:cs="宋体"/>
          <w:color w:val="000000"/>
          <w:sz w:val="24"/>
          <w:highlight w:val="none"/>
        </w:rPr>
        <w:t>采购人名称：</w:t>
      </w:r>
      <w:r>
        <w:rPr>
          <w:rFonts w:hint="eastAsia" w:ascii="宋体" w:hAnsi="宋体" w:cs="宋体"/>
          <w:color w:val="000000"/>
          <w:sz w:val="24"/>
          <w:highlight w:val="none"/>
          <w:u w:val="dotted"/>
        </w:rPr>
        <w:t xml:space="preserve">                                         </w:t>
      </w:r>
    </w:p>
    <w:p>
      <w:pPr>
        <w:shd w:val="clear" w:color="auto" w:fill="auto"/>
        <w:snapToGrid w:val="0"/>
        <w:spacing w:line="360" w:lineRule="auto"/>
        <w:rPr>
          <w:rFonts w:hint="eastAsia" w:ascii="宋体" w:hAnsi="宋体" w:cs="宋体"/>
          <w:color w:val="000000"/>
          <w:sz w:val="24"/>
          <w:highlight w:val="none"/>
        </w:rPr>
      </w:pPr>
      <w:r>
        <w:rPr>
          <w:rFonts w:hint="eastAsia" w:ascii="宋体" w:hAnsi="宋体" w:cs="宋体"/>
          <w:color w:val="000000"/>
          <w:sz w:val="24"/>
          <w:highlight w:val="none"/>
        </w:rPr>
        <w:t>采购文件获取日期：</w:t>
      </w:r>
      <w:r>
        <w:rPr>
          <w:rFonts w:hint="eastAsia" w:ascii="宋体" w:hAnsi="宋体" w:cs="宋体"/>
          <w:color w:val="000000"/>
          <w:sz w:val="24"/>
          <w:highlight w:val="none"/>
          <w:u w:val="dotted"/>
        </w:rPr>
        <w:t xml:space="preserve">                                           </w:t>
      </w:r>
    </w:p>
    <w:p>
      <w:pPr>
        <w:shd w:val="clear" w:color="auto" w:fill="auto"/>
        <w:snapToGrid w:val="0"/>
        <w:spacing w:line="360" w:lineRule="auto"/>
        <w:rPr>
          <w:rFonts w:hint="eastAsia" w:ascii="宋体" w:hAnsi="宋体" w:cs="宋体"/>
          <w:bCs/>
          <w:color w:val="000000"/>
          <w:sz w:val="24"/>
          <w:highlight w:val="none"/>
        </w:rPr>
      </w:pPr>
      <w:r>
        <w:rPr>
          <w:rFonts w:hint="eastAsia" w:ascii="宋体" w:hAnsi="宋体" w:cs="宋体"/>
          <w:bCs/>
          <w:color w:val="000000"/>
          <w:sz w:val="24"/>
          <w:highlight w:val="none"/>
        </w:rPr>
        <w:t>三、质疑事项具体内容</w:t>
      </w:r>
    </w:p>
    <w:p>
      <w:pPr>
        <w:shd w:val="clear" w:color="auto" w:fill="auto"/>
        <w:snapToGrid w:val="0"/>
        <w:spacing w:line="360" w:lineRule="auto"/>
        <w:rPr>
          <w:rFonts w:hint="eastAsia" w:ascii="宋体" w:hAnsi="宋体" w:cs="宋体"/>
          <w:color w:val="000000"/>
          <w:sz w:val="24"/>
          <w:highlight w:val="none"/>
          <w:u w:val="dotted"/>
        </w:rPr>
      </w:pPr>
      <w:r>
        <w:rPr>
          <w:rFonts w:hint="eastAsia" w:ascii="宋体" w:hAnsi="宋体" w:cs="宋体"/>
          <w:color w:val="000000"/>
          <w:sz w:val="24"/>
          <w:highlight w:val="none"/>
        </w:rPr>
        <w:t>质疑事项1：</w:t>
      </w:r>
      <w:r>
        <w:rPr>
          <w:rFonts w:hint="eastAsia" w:ascii="宋体" w:hAnsi="宋体" w:cs="宋体"/>
          <w:color w:val="000000"/>
          <w:sz w:val="24"/>
          <w:highlight w:val="none"/>
          <w:u w:val="dotted"/>
        </w:rPr>
        <w:t xml:space="preserve">                                         </w:t>
      </w:r>
    </w:p>
    <w:p>
      <w:pPr>
        <w:shd w:val="clear" w:color="auto" w:fill="auto"/>
        <w:snapToGrid w:val="0"/>
        <w:spacing w:line="360" w:lineRule="auto"/>
        <w:rPr>
          <w:rFonts w:hint="eastAsia" w:ascii="宋体" w:hAnsi="宋体" w:cs="宋体"/>
          <w:color w:val="000000"/>
          <w:sz w:val="24"/>
          <w:highlight w:val="none"/>
          <w:u w:val="dotted"/>
        </w:rPr>
      </w:pPr>
      <w:r>
        <w:rPr>
          <w:rFonts w:hint="eastAsia" w:ascii="宋体" w:hAnsi="宋体" w:cs="宋体"/>
          <w:color w:val="000000"/>
          <w:sz w:val="24"/>
          <w:highlight w:val="none"/>
        </w:rPr>
        <w:t>事实依据：</w:t>
      </w:r>
      <w:r>
        <w:rPr>
          <w:rFonts w:hint="eastAsia" w:ascii="宋体" w:hAnsi="宋体" w:cs="宋体"/>
          <w:color w:val="000000"/>
          <w:sz w:val="24"/>
          <w:highlight w:val="none"/>
          <w:u w:val="dotted"/>
        </w:rPr>
        <w:t xml:space="preserve">                                          </w:t>
      </w:r>
    </w:p>
    <w:p>
      <w:pPr>
        <w:shd w:val="clear" w:color="auto" w:fill="auto"/>
        <w:snapToGrid w:val="0"/>
        <w:spacing w:line="360" w:lineRule="auto"/>
        <w:rPr>
          <w:rFonts w:hint="eastAsia" w:ascii="宋体" w:hAnsi="宋体" w:cs="宋体"/>
          <w:color w:val="000000"/>
          <w:sz w:val="24"/>
          <w:highlight w:val="none"/>
        </w:rPr>
      </w:pPr>
      <w:r>
        <w:rPr>
          <w:rFonts w:hint="eastAsia" w:ascii="宋体" w:hAnsi="宋体" w:cs="宋体"/>
          <w:color w:val="000000"/>
          <w:sz w:val="24"/>
          <w:highlight w:val="none"/>
          <w:u w:val="dotted"/>
        </w:rPr>
        <w:t xml:space="preserve">                                                       </w:t>
      </w:r>
    </w:p>
    <w:p>
      <w:pPr>
        <w:shd w:val="clear" w:color="auto" w:fill="auto"/>
        <w:snapToGrid w:val="0"/>
        <w:spacing w:line="360" w:lineRule="auto"/>
        <w:rPr>
          <w:rFonts w:hint="eastAsia" w:ascii="宋体" w:hAnsi="宋体" w:cs="宋体"/>
          <w:color w:val="000000"/>
          <w:sz w:val="24"/>
          <w:highlight w:val="none"/>
          <w:u w:val="dotted"/>
        </w:rPr>
      </w:pPr>
      <w:r>
        <w:rPr>
          <w:rFonts w:hint="eastAsia" w:ascii="宋体" w:hAnsi="宋体" w:cs="宋体"/>
          <w:color w:val="000000"/>
          <w:sz w:val="24"/>
          <w:highlight w:val="none"/>
        </w:rPr>
        <w:t>法律依据：</w:t>
      </w:r>
      <w:r>
        <w:rPr>
          <w:rFonts w:hint="eastAsia" w:ascii="宋体" w:hAnsi="宋体" w:cs="宋体"/>
          <w:color w:val="000000"/>
          <w:sz w:val="24"/>
          <w:highlight w:val="none"/>
          <w:u w:val="dotted"/>
        </w:rPr>
        <w:t xml:space="preserve">                                          </w:t>
      </w:r>
    </w:p>
    <w:p>
      <w:pPr>
        <w:shd w:val="clear" w:color="auto" w:fill="auto"/>
        <w:snapToGrid w:val="0"/>
        <w:spacing w:line="360" w:lineRule="auto"/>
        <w:rPr>
          <w:rFonts w:hint="eastAsia" w:ascii="宋体" w:hAnsi="宋体" w:cs="宋体"/>
          <w:color w:val="000000"/>
          <w:sz w:val="24"/>
          <w:highlight w:val="none"/>
          <w:u w:val="dotted"/>
        </w:rPr>
      </w:pPr>
      <w:r>
        <w:rPr>
          <w:rFonts w:hint="eastAsia" w:ascii="宋体" w:hAnsi="宋体" w:cs="宋体"/>
          <w:color w:val="000000"/>
          <w:sz w:val="24"/>
          <w:highlight w:val="none"/>
          <w:u w:val="dotted"/>
        </w:rPr>
        <w:t xml:space="preserve">                                                     </w:t>
      </w:r>
    </w:p>
    <w:p>
      <w:pPr>
        <w:shd w:val="clear" w:color="auto" w:fill="auto"/>
        <w:snapToGrid w:val="0"/>
        <w:spacing w:line="360" w:lineRule="auto"/>
        <w:rPr>
          <w:rFonts w:hint="eastAsia" w:ascii="宋体" w:hAnsi="宋体" w:cs="宋体"/>
          <w:color w:val="000000"/>
          <w:sz w:val="24"/>
          <w:highlight w:val="none"/>
          <w:u w:val="dotted"/>
        </w:rPr>
      </w:pPr>
      <w:r>
        <w:rPr>
          <w:rFonts w:hint="eastAsia" w:ascii="宋体" w:hAnsi="宋体" w:cs="宋体"/>
          <w:color w:val="000000"/>
          <w:sz w:val="24"/>
          <w:highlight w:val="none"/>
        </w:rPr>
        <w:t>质疑事项2</w:t>
      </w:r>
    </w:p>
    <w:p>
      <w:pPr>
        <w:shd w:val="clear" w:color="auto" w:fill="auto"/>
        <w:snapToGrid w:val="0"/>
        <w:spacing w:line="360" w:lineRule="auto"/>
        <w:rPr>
          <w:rFonts w:hint="eastAsia" w:ascii="宋体" w:hAnsi="宋体" w:cs="宋体"/>
          <w:color w:val="000000"/>
          <w:sz w:val="24"/>
          <w:highlight w:val="none"/>
        </w:rPr>
      </w:pPr>
      <w:r>
        <w:rPr>
          <w:rFonts w:hint="eastAsia" w:ascii="宋体" w:hAnsi="宋体" w:cs="宋体"/>
          <w:color w:val="000000"/>
          <w:sz w:val="24"/>
          <w:highlight w:val="none"/>
        </w:rPr>
        <w:t>……</w:t>
      </w:r>
    </w:p>
    <w:p>
      <w:pPr>
        <w:shd w:val="clear" w:color="auto" w:fill="auto"/>
        <w:snapToGrid w:val="0"/>
        <w:spacing w:line="360" w:lineRule="auto"/>
        <w:rPr>
          <w:rFonts w:hint="eastAsia" w:ascii="宋体" w:hAnsi="宋体" w:cs="宋体"/>
          <w:bCs/>
          <w:color w:val="000000"/>
          <w:sz w:val="24"/>
          <w:highlight w:val="none"/>
        </w:rPr>
      </w:pPr>
      <w:r>
        <w:rPr>
          <w:rFonts w:hint="eastAsia" w:ascii="宋体" w:hAnsi="宋体" w:cs="宋体"/>
          <w:bCs/>
          <w:color w:val="000000"/>
          <w:sz w:val="24"/>
          <w:highlight w:val="none"/>
        </w:rPr>
        <w:t>四、与质疑事项相关的质疑请求</w:t>
      </w:r>
    </w:p>
    <w:p>
      <w:pPr>
        <w:shd w:val="clear" w:color="auto" w:fill="auto"/>
        <w:snapToGrid w:val="0"/>
        <w:spacing w:line="360" w:lineRule="auto"/>
        <w:rPr>
          <w:rFonts w:hint="eastAsia" w:ascii="宋体" w:hAnsi="宋体" w:cs="宋体"/>
          <w:color w:val="000000"/>
          <w:sz w:val="24"/>
          <w:highlight w:val="none"/>
          <w:u w:val="dotted"/>
        </w:rPr>
      </w:pPr>
      <w:r>
        <w:rPr>
          <w:rFonts w:hint="eastAsia" w:ascii="宋体" w:hAnsi="宋体" w:cs="宋体"/>
          <w:color w:val="000000"/>
          <w:sz w:val="24"/>
          <w:highlight w:val="none"/>
        </w:rPr>
        <w:t>请求：</w:t>
      </w:r>
      <w:r>
        <w:rPr>
          <w:rFonts w:hint="eastAsia" w:ascii="宋体" w:hAnsi="宋体" w:cs="宋体"/>
          <w:color w:val="000000"/>
          <w:sz w:val="24"/>
          <w:highlight w:val="none"/>
          <w:u w:val="dotted"/>
        </w:rPr>
        <w:t xml:space="preserve">                                               </w:t>
      </w:r>
    </w:p>
    <w:p>
      <w:pPr>
        <w:shd w:val="clear" w:color="auto" w:fill="auto"/>
        <w:spacing w:line="360" w:lineRule="auto"/>
        <w:rPr>
          <w:rFonts w:hint="eastAsia" w:ascii="宋体" w:hAnsi="宋体" w:cs="宋体"/>
          <w:color w:val="000000"/>
          <w:sz w:val="24"/>
          <w:highlight w:val="none"/>
        </w:rPr>
      </w:pPr>
      <w:r>
        <w:rPr>
          <w:rFonts w:hint="eastAsia" w:ascii="宋体" w:hAnsi="宋体" w:cs="宋体"/>
          <w:color w:val="000000"/>
          <w:sz w:val="24"/>
          <w:highlight w:val="none"/>
        </w:rPr>
        <w:t xml:space="preserve">签字(签章)：                   公章：                      </w:t>
      </w:r>
    </w:p>
    <w:p>
      <w:pPr>
        <w:shd w:val="clear" w:color="auto" w:fill="auto"/>
        <w:spacing w:line="360" w:lineRule="auto"/>
        <w:rPr>
          <w:rFonts w:hint="eastAsia" w:ascii="宋体" w:hAnsi="宋体" w:cs="宋体"/>
          <w:color w:val="000000"/>
          <w:sz w:val="24"/>
          <w:highlight w:val="none"/>
        </w:rPr>
      </w:pPr>
      <w:r>
        <w:rPr>
          <w:rFonts w:hint="eastAsia" w:ascii="宋体" w:hAnsi="宋体" w:cs="宋体"/>
          <w:color w:val="000000"/>
          <w:sz w:val="24"/>
          <w:highlight w:val="none"/>
        </w:rPr>
        <w:t xml:space="preserve">日期：    </w:t>
      </w:r>
    </w:p>
    <w:p>
      <w:pPr>
        <w:shd w:val="clear" w:color="auto" w:fill="auto"/>
        <w:spacing w:line="360" w:lineRule="auto"/>
        <w:jc w:val="center"/>
        <w:rPr>
          <w:rFonts w:hint="eastAsia" w:ascii="宋体" w:hAnsi="宋体" w:cs="宋体"/>
          <w:b/>
          <w:bCs/>
          <w:color w:val="000000"/>
          <w:sz w:val="24"/>
          <w:highlight w:val="none"/>
        </w:rPr>
      </w:pPr>
    </w:p>
    <w:p>
      <w:pPr>
        <w:shd w:val="clear" w:color="auto" w:fill="auto"/>
        <w:spacing w:line="360" w:lineRule="auto"/>
        <w:rPr>
          <w:rFonts w:hint="eastAsia" w:ascii="宋体" w:hAnsi="宋体" w:cs="宋体"/>
          <w:b/>
          <w:color w:val="000000"/>
          <w:sz w:val="24"/>
          <w:highlight w:val="none"/>
        </w:rPr>
      </w:pPr>
    </w:p>
    <w:p>
      <w:pPr>
        <w:shd w:val="clear" w:color="auto" w:fill="auto"/>
        <w:spacing w:line="360" w:lineRule="auto"/>
        <w:rPr>
          <w:rFonts w:hint="eastAsia" w:ascii="宋体" w:hAnsi="宋体" w:cs="宋体"/>
          <w:b/>
          <w:color w:val="000000"/>
          <w:sz w:val="24"/>
          <w:highlight w:val="none"/>
        </w:rPr>
      </w:pPr>
    </w:p>
    <w:p>
      <w:pPr>
        <w:shd w:val="clear" w:color="auto" w:fill="auto"/>
        <w:spacing w:line="360" w:lineRule="auto"/>
        <w:rPr>
          <w:rFonts w:hint="eastAsia" w:ascii="宋体" w:hAnsi="宋体" w:cs="宋体"/>
          <w:b/>
          <w:color w:val="000000"/>
          <w:sz w:val="24"/>
          <w:highlight w:val="none"/>
        </w:rPr>
      </w:pPr>
    </w:p>
    <w:p>
      <w:pPr>
        <w:shd w:val="clear" w:color="auto" w:fill="auto"/>
        <w:spacing w:line="360" w:lineRule="auto"/>
        <w:rPr>
          <w:rFonts w:hint="eastAsia" w:ascii="宋体" w:hAnsi="宋体" w:cs="宋体"/>
          <w:b/>
          <w:color w:val="000000"/>
          <w:sz w:val="24"/>
          <w:highlight w:val="none"/>
        </w:rPr>
      </w:pPr>
      <w:r>
        <w:rPr>
          <w:rFonts w:hint="eastAsia" w:ascii="宋体" w:hAnsi="宋体" w:cs="宋体"/>
          <w:b/>
          <w:color w:val="000000"/>
          <w:sz w:val="24"/>
          <w:highlight w:val="none"/>
        </w:rPr>
        <w:t>质疑函制作说明：</w:t>
      </w:r>
    </w:p>
    <w:p>
      <w:pPr>
        <w:widowControl/>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1.供应商提出质疑时，应提交质疑函和必要的证明材料。</w:t>
      </w:r>
    </w:p>
    <w:p>
      <w:pPr>
        <w:widowControl/>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2.质疑供应商若委托代理人进行质疑的，质疑函应按要求列明“授权代表”的有关内容，并在附件中提交由质疑</w:t>
      </w:r>
      <w:r>
        <w:rPr>
          <w:rFonts w:hint="eastAsia" w:ascii="宋体" w:hAnsi="宋体" w:cs="宋体"/>
          <w:color w:val="000000"/>
          <w:kern w:val="0"/>
          <w:sz w:val="24"/>
          <w:highlight w:val="none"/>
        </w:rPr>
        <w:t>供应商签署的授权委托书。授权委托书应载明代理人的姓名或者名称、代理事项、具体权限、期限和相关事项。</w:t>
      </w:r>
    </w:p>
    <w:p>
      <w:pPr>
        <w:widowControl/>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3.质疑供应商若对项目的某一分包进行质疑，质疑函中应列明具体分包号。</w:t>
      </w:r>
    </w:p>
    <w:p>
      <w:pPr>
        <w:widowControl/>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4.质疑函的质疑事项应具体、明确，并有必要的事实依据和法律依据。</w:t>
      </w:r>
    </w:p>
    <w:p>
      <w:pPr>
        <w:widowControl/>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5.质疑函的质疑请求应与质疑事项相关。</w:t>
      </w:r>
    </w:p>
    <w:p>
      <w:pPr>
        <w:widowControl/>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6.质疑供应商为自然人的，质疑函应由本人签字；质疑供应商为法人或者其他组织的，质疑函应由法定代表人、主要负责人，或者其授权代表签字或者盖章，并加盖公章。</w:t>
      </w:r>
    </w:p>
    <w:p>
      <w:pPr>
        <w:widowControl/>
        <w:shd w:val="clear" w:color="auto" w:fill="auto"/>
        <w:spacing w:line="360" w:lineRule="auto"/>
        <w:ind w:firstLine="600" w:firstLineChars="200"/>
        <w:jc w:val="left"/>
        <w:rPr>
          <w:rFonts w:hint="eastAsia" w:ascii="宋体" w:hAnsi="宋体" w:cs="宋体"/>
          <w:color w:val="000000"/>
          <w:sz w:val="30"/>
          <w:szCs w:val="30"/>
          <w:highlight w:val="none"/>
        </w:rPr>
      </w:pPr>
    </w:p>
    <w:p>
      <w:pPr>
        <w:shd w:val="clear" w:color="auto" w:fill="auto"/>
        <w:spacing w:line="360" w:lineRule="auto"/>
        <w:jc w:val="center"/>
        <w:rPr>
          <w:rFonts w:hint="eastAsia" w:ascii="宋体" w:hAnsi="宋体" w:cs="宋体"/>
          <w:b/>
          <w:color w:val="000000"/>
          <w:spacing w:val="6"/>
          <w:sz w:val="32"/>
          <w:szCs w:val="32"/>
          <w:highlight w:val="none"/>
        </w:rPr>
      </w:pPr>
    </w:p>
    <w:p>
      <w:pPr>
        <w:shd w:val="clear" w:color="auto" w:fill="auto"/>
        <w:spacing w:line="360" w:lineRule="auto"/>
        <w:jc w:val="center"/>
        <w:rPr>
          <w:rFonts w:hint="eastAsia" w:ascii="宋体" w:hAnsi="宋体" w:cs="宋体"/>
          <w:b/>
          <w:color w:val="000000"/>
          <w:spacing w:val="6"/>
          <w:sz w:val="32"/>
          <w:szCs w:val="32"/>
          <w:highlight w:val="none"/>
        </w:rPr>
      </w:pPr>
    </w:p>
    <w:p>
      <w:pPr>
        <w:shd w:val="clear" w:color="auto" w:fill="auto"/>
        <w:spacing w:line="360" w:lineRule="auto"/>
        <w:jc w:val="center"/>
        <w:rPr>
          <w:rFonts w:hint="eastAsia" w:ascii="宋体" w:hAnsi="宋体" w:cs="宋体"/>
          <w:b/>
          <w:color w:val="000000"/>
          <w:spacing w:val="6"/>
          <w:sz w:val="32"/>
          <w:szCs w:val="32"/>
          <w:highlight w:val="none"/>
        </w:rPr>
      </w:pPr>
    </w:p>
    <w:p>
      <w:pPr>
        <w:shd w:val="clear" w:color="auto" w:fill="auto"/>
        <w:spacing w:line="360" w:lineRule="auto"/>
        <w:jc w:val="center"/>
        <w:rPr>
          <w:rFonts w:hint="eastAsia" w:ascii="宋体" w:hAnsi="宋体" w:cs="宋体"/>
          <w:b/>
          <w:color w:val="000000"/>
          <w:spacing w:val="6"/>
          <w:sz w:val="32"/>
          <w:szCs w:val="32"/>
          <w:highlight w:val="none"/>
        </w:rPr>
      </w:pPr>
    </w:p>
    <w:p>
      <w:pPr>
        <w:shd w:val="clear" w:color="auto" w:fill="auto"/>
        <w:spacing w:line="360" w:lineRule="auto"/>
        <w:jc w:val="center"/>
        <w:rPr>
          <w:rFonts w:hint="eastAsia" w:ascii="宋体" w:hAnsi="宋体" w:cs="宋体"/>
          <w:b/>
          <w:color w:val="000000"/>
          <w:spacing w:val="6"/>
          <w:sz w:val="32"/>
          <w:szCs w:val="32"/>
          <w:highlight w:val="none"/>
        </w:rPr>
      </w:pPr>
    </w:p>
    <w:p>
      <w:pPr>
        <w:shd w:val="clear" w:color="auto" w:fill="auto"/>
        <w:spacing w:line="360" w:lineRule="auto"/>
        <w:jc w:val="center"/>
        <w:rPr>
          <w:rFonts w:hint="eastAsia" w:ascii="宋体" w:hAnsi="宋体" w:cs="宋体"/>
          <w:b/>
          <w:color w:val="000000"/>
          <w:spacing w:val="6"/>
          <w:sz w:val="32"/>
          <w:szCs w:val="32"/>
          <w:highlight w:val="none"/>
        </w:rPr>
      </w:pPr>
    </w:p>
    <w:p>
      <w:pPr>
        <w:shd w:val="clear" w:color="auto" w:fill="auto"/>
        <w:spacing w:line="360" w:lineRule="auto"/>
        <w:jc w:val="center"/>
        <w:rPr>
          <w:rFonts w:hint="eastAsia" w:ascii="宋体" w:hAnsi="宋体" w:cs="宋体"/>
          <w:b/>
          <w:color w:val="000000"/>
          <w:spacing w:val="6"/>
          <w:sz w:val="32"/>
          <w:szCs w:val="32"/>
          <w:highlight w:val="none"/>
        </w:rPr>
      </w:pPr>
    </w:p>
    <w:p>
      <w:pPr>
        <w:shd w:val="clear" w:color="auto" w:fill="auto"/>
        <w:spacing w:line="360" w:lineRule="auto"/>
        <w:jc w:val="center"/>
        <w:rPr>
          <w:rFonts w:hint="eastAsia" w:ascii="宋体" w:hAnsi="宋体" w:cs="宋体"/>
          <w:b/>
          <w:color w:val="000000"/>
          <w:spacing w:val="6"/>
          <w:sz w:val="32"/>
          <w:szCs w:val="32"/>
          <w:highlight w:val="none"/>
        </w:rPr>
      </w:pPr>
    </w:p>
    <w:p>
      <w:pPr>
        <w:shd w:val="clear" w:color="auto" w:fill="auto"/>
        <w:spacing w:line="360" w:lineRule="auto"/>
        <w:jc w:val="center"/>
        <w:rPr>
          <w:rFonts w:hint="eastAsia" w:ascii="宋体" w:hAnsi="宋体" w:cs="宋体"/>
          <w:b/>
          <w:color w:val="000000"/>
          <w:spacing w:val="6"/>
          <w:sz w:val="32"/>
          <w:szCs w:val="32"/>
          <w:highlight w:val="none"/>
        </w:rPr>
      </w:pPr>
    </w:p>
    <w:p>
      <w:pPr>
        <w:shd w:val="clear" w:color="auto" w:fill="auto"/>
        <w:spacing w:line="360" w:lineRule="auto"/>
        <w:jc w:val="center"/>
        <w:rPr>
          <w:rFonts w:hint="eastAsia" w:ascii="宋体" w:hAnsi="宋体" w:cs="宋体"/>
          <w:b/>
          <w:color w:val="000000"/>
          <w:spacing w:val="6"/>
          <w:sz w:val="32"/>
          <w:szCs w:val="32"/>
          <w:highlight w:val="none"/>
        </w:rPr>
      </w:pPr>
    </w:p>
    <w:p>
      <w:pPr>
        <w:shd w:val="clear" w:color="auto" w:fill="auto"/>
        <w:spacing w:line="360" w:lineRule="auto"/>
        <w:jc w:val="center"/>
        <w:rPr>
          <w:rFonts w:hint="eastAsia" w:ascii="宋体" w:hAnsi="宋体" w:cs="宋体"/>
          <w:b/>
          <w:color w:val="000000"/>
          <w:spacing w:val="6"/>
          <w:sz w:val="32"/>
          <w:szCs w:val="32"/>
          <w:highlight w:val="none"/>
        </w:rPr>
      </w:pPr>
    </w:p>
    <w:p>
      <w:pPr>
        <w:shd w:val="clear" w:color="auto" w:fill="auto"/>
        <w:spacing w:line="360" w:lineRule="auto"/>
        <w:jc w:val="center"/>
        <w:rPr>
          <w:rFonts w:hint="eastAsia" w:ascii="宋体" w:hAnsi="宋体" w:cs="宋体"/>
          <w:b/>
          <w:color w:val="000000"/>
          <w:spacing w:val="6"/>
          <w:sz w:val="32"/>
          <w:szCs w:val="32"/>
          <w:highlight w:val="none"/>
        </w:rPr>
      </w:pPr>
    </w:p>
    <w:p>
      <w:pPr>
        <w:shd w:val="clear" w:color="auto" w:fill="auto"/>
        <w:spacing w:line="360" w:lineRule="auto"/>
        <w:jc w:val="left"/>
        <w:rPr>
          <w:rFonts w:hint="eastAsia" w:ascii="宋体" w:hAnsi="宋体" w:cs="宋体"/>
          <w:b/>
          <w:color w:val="000000"/>
          <w:spacing w:val="6"/>
          <w:sz w:val="32"/>
          <w:szCs w:val="32"/>
          <w:highlight w:val="none"/>
        </w:rPr>
      </w:pPr>
    </w:p>
    <w:p>
      <w:pPr>
        <w:shd w:val="clear" w:color="auto" w:fill="auto"/>
        <w:spacing w:line="360" w:lineRule="auto"/>
        <w:jc w:val="left"/>
        <w:rPr>
          <w:rFonts w:hint="eastAsia" w:ascii="宋体" w:hAnsi="宋体" w:cs="宋体"/>
          <w:b/>
          <w:color w:val="000000"/>
          <w:spacing w:val="6"/>
          <w:sz w:val="32"/>
          <w:szCs w:val="32"/>
          <w:highlight w:val="none"/>
        </w:rPr>
      </w:pPr>
    </w:p>
    <w:p>
      <w:pPr>
        <w:shd w:val="clear" w:color="auto" w:fill="auto"/>
        <w:spacing w:line="360" w:lineRule="auto"/>
        <w:jc w:val="left"/>
        <w:rPr>
          <w:rFonts w:hint="eastAsia" w:ascii="宋体" w:hAnsi="宋体" w:cs="宋体"/>
          <w:b/>
          <w:color w:val="000000"/>
          <w:spacing w:val="6"/>
          <w:sz w:val="32"/>
          <w:szCs w:val="32"/>
          <w:highlight w:val="none"/>
        </w:rPr>
      </w:pPr>
    </w:p>
    <w:p>
      <w:pPr>
        <w:shd w:val="clear" w:color="auto" w:fill="auto"/>
        <w:spacing w:line="360" w:lineRule="auto"/>
        <w:jc w:val="left"/>
        <w:rPr>
          <w:rFonts w:hint="eastAsia" w:ascii="宋体" w:hAnsi="宋体" w:cs="宋体"/>
          <w:b/>
          <w:color w:val="000000"/>
          <w:spacing w:val="6"/>
          <w:sz w:val="32"/>
          <w:szCs w:val="32"/>
          <w:highlight w:val="none"/>
        </w:rPr>
      </w:pPr>
      <w:r>
        <w:rPr>
          <w:rFonts w:hint="eastAsia" w:ascii="宋体" w:hAnsi="宋体" w:cs="宋体"/>
          <w:b/>
          <w:color w:val="000000"/>
          <w:spacing w:val="6"/>
          <w:sz w:val="32"/>
          <w:szCs w:val="32"/>
          <w:highlight w:val="none"/>
        </w:rPr>
        <w:t>附件3：投诉书范本及制作说明</w:t>
      </w:r>
    </w:p>
    <w:p>
      <w:pPr>
        <w:shd w:val="clear" w:color="auto" w:fill="auto"/>
        <w:spacing w:line="360" w:lineRule="auto"/>
        <w:jc w:val="center"/>
        <w:rPr>
          <w:rFonts w:hint="eastAsia" w:ascii="宋体" w:hAnsi="宋体" w:cs="宋体"/>
          <w:b/>
          <w:color w:val="000000"/>
          <w:sz w:val="24"/>
          <w:highlight w:val="none"/>
        </w:rPr>
      </w:pPr>
    </w:p>
    <w:p>
      <w:pPr>
        <w:shd w:val="clear" w:color="auto" w:fill="auto"/>
        <w:spacing w:line="360" w:lineRule="auto"/>
        <w:jc w:val="center"/>
        <w:rPr>
          <w:rFonts w:hint="eastAsia" w:ascii="宋体" w:hAnsi="宋体" w:cs="宋体"/>
          <w:b/>
          <w:color w:val="000000"/>
          <w:spacing w:val="6"/>
          <w:sz w:val="32"/>
          <w:szCs w:val="32"/>
          <w:highlight w:val="none"/>
        </w:rPr>
      </w:pPr>
      <w:r>
        <w:rPr>
          <w:rFonts w:hint="eastAsia" w:ascii="宋体" w:hAnsi="宋体" w:cs="宋体"/>
          <w:b/>
          <w:color w:val="000000"/>
          <w:spacing w:val="6"/>
          <w:sz w:val="32"/>
          <w:szCs w:val="32"/>
          <w:highlight w:val="none"/>
        </w:rPr>
        <w:t>投诉书范本</w:t>
      </w:r>
    </w:p>
    <w:p>
      <w:pPr>
        <w:shd w:val="clear" w:color="auto" w:fill="auto"/>
        <w:spacing w:line="360" w:lineRule="auto"/>
        <w:rPr>
          <w:rFonts w:hint="eastAsia" w:ascii="宋体" w:hAnsi="宋体" w:cs="宋体"/>
          <w:color w:val="000000"/>
          <w:sz w:val="24"/>
          <w:highlight w:val="none"/>
        </w:rPr>
      </w:pPr>
      <w:r>
        <w:rPr>
          <w:rFonts w:hint="eastAsia" w:ascii="宋体" w:hAnsi="宋体" w:cs="宋体"/>
          <w:color w:val="000000"/>
          <w:sz w:val="24"/>
          <w:highlight w:val="none"/>
        </w:rPr>
        <w:t>一、投诉相关主体基本情况</w:t>
      </w:r>
    </w:p>
    <w:p>
      <w:pPr>
        <w:shd w:val="clear" w:color="auto" w:fill="auto"/>
        <w:spacing w:line="360" w:lineRule="auto"/>
        <w:rPr>
          <w:rFonts w:hint="eastAsia" w:ascii="宋体" w:hAnsi="宋体" w:cs="宋体"/>
          <w:color w:val="000000"/>
          <w:sz w:val="24"/>
          <w:highlight w:val="none"/>
          <w:u w:val="dotted"/>
        </w:rPr>
      </w:pPr>
      <w:r>
        <w:rPr>
          <w:rFonts w:hint="eastAsia" w:ascii="宋体" w:hAnsi="宋体" w:cs="宋体"/>
          <w:color w:val="000000"/>
          <w:sz w:val="24"/>
          <w:highlight w:val="none"/>
        </w:rPr>
        <w:t>投诉人：</w:t>
      </w:r>
      <w:r>
        <w:rPr>
          <w:rFonts w:hint="eastAsia" w:ascii="宋体" w:hAnsi="宋体" w:cs="宋体"/>
          <w:color w:val="000000"/>
          <w:sz w:val="24"/>
          <w:highlight w:val="none"/>
          <w:u w:val="dotted"/>
        </w:rPr>
        <w:t xml:space="preserve">                                               </w:t>
      </w:r>
    </w:p>
    <w:p>
      <w:pPr>
        <w:shd w:val="clear" w:color="auto" w:fill="auto"/>
        <w:spacing w:line="360" w:lineRule="auto"/>
        <w:rPr>
          <w:rFonts w:hint="eastAsia" w:ascii="宋体" w:hAnsi="宋体" w:cs="宋体"/>
          <w:color w:val="000000"/>
          <w:sz w:val="24"/>
          <w:highlight w:val="none"/>
          <w:u w:val="single"/>
        </w:rPr>
      </w:pPr>
      <w:r>
        <w:rPr>
          <w:rFonts w:hint="eastAsia" w:ascii="宋体" w:hAnsi="宋体" w:cs="宋体"/>
          <w:color w:val="000000"/>
          <w:sz w:val="24"/>
          <w:highlight w:val="none"/>
        </w:rPr>
        <w:t>地     址：</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邮编：</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pPr>
        <w:shd w:val="clear" w:color="auto" w:fill="auto"/>
        <w:tabs>
          <w:tab w:val="left" w:pos="6510"/>
        </w:tabs>
        <w:spacing w:line="360" w:lineRule="auto"/>
        <w:jc w:val="left"/>
        <w:rPr>
          <w:rFonts w:hint="eastAsia" w:ascii="宋体" w:hAnsi="宋体" w:cs="宋体"/>
          <w:color w:val="000000"/>
          <w:sz w:val="24"/>
          <w:highlight w:val="none"/>
        </w:rPr>
      </w:pPr>
      <w:r>
        <w:rPr>
          <w:rFonts w:hint="eastAsia" w:ascii="宋体" w:hAnsi="宋体" w:cs="宋体"/>
          <w:color w:val="000000"/>
          <w:sz w:val="24"/>
          <w:highlight w:val="none"/>
        </w:rPr>
        <w:t>法定代表人/主要负责人：</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 xml:space="preserve">  </w:t>
      </w:r>
    </w:p>
    <w:p>
      <w:pPr>
        <w:shd w:val="clear" w:color="auto" w:fill="auto"/>
        <w:tabs>
          <w:tab w:val="left" w:pos="6510"/>
        </w:tabs>
        <w:spacing w:line="360" w:lineRule="auto"/>
        <w:rPr>
          <w:rFonts w:hint="eastAsia" w:ascii="宋体" w:hAnsi="宋体" w:cs="宋体"/>
          <w:color w:val="000000"/>
          <w:sz w:val="24"/>
          <w:highlight w:val="none"/>
          <w:u w:val="dotted"/>
        </w:rPr>
      </w:pPr>
      <w:r>
        <w:rPr>
          <w:rFonts w:hint="eastAsia" w:ascii="宋体" w:hAnsi="宋体" w:cs="宋体"/>
          <w:color w:val="000000"/>
          <w:sz w:val="24"/>
          <w:highlight w:val="none"/>
        </w:rPr>
        <w:t>联系电话：</w:t>
      </w:r>
      <w:r>
        <w:rPr>
          <w:rFonts w:hint="eastAsia" w:ascii="宋体" w:hAnsi="宋体" w:cs="宋体"/>
          <w:color w:val="000000"/>
          <w:sz w:val="24"/>
          <w:highlight w:val="none"/>
          <w:u w:val="dotted"/>
        </w:rPr>
        <w:t xml:space="preserve">                                             </w:t>
      </w:r>
    </w:p>
    <w:p>
      <w:pPr>
        <w:shd w:val="clear" w:color="auto" w:fill="auto"/>
        <w:spacing w:line="360" w:lineRule="auto"/>
        <w:rPr>
          <w:rFonts w:hint="eastAsia" w:ascii="宋体" w:hAnsi="宋体" w:cs="宋体"/>
          <w:color w:val="000000"/>
          <w:sz w:val="24"/>
          <w:highlight w:val="none"/>
          <w:u w:val="dotted"/>
        </w:rPr>
      </w:pPr>
      <w:r>
        <w:rPr>
          <w:rFonts w:hint="eastAsia" w:ascii="宋体" w:hAnsi="宋体" w:cs="宋体"/>
          <w:color w:val="000000"/>
          <w:sz w:val="24"/>
          <w:highlight w:val="none"/>
        </w:rPr>
        <w:t>授权代表：</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联系电话</w:t>
      </w:r>
      <w:r>
        <w:rPr>
          <w:rFonts w:hint="eastAsia" w:ascii="宋体" w:hAnsi="宋体" w:cs="宋体"/>
          <w:color w:val="000000"/>
          <w:sz w:val="24"/>
          <w:highlight w:val="none"/>
          <w:u w:val="dotted"/>
        </w:rPr>
        <w:t xml:space="preserve">：                  </w:t>
      </w:r>
    </w:p>
    <w:p>
      <w:pPr>
        <w:shd w:val="clear" w:color="auto" w:fill="auto"/>
        <w:spacing w:line="360" w:lineRule="auto"/>
        <w:rPr>
          <w:rFonts w:hint="eastAsia" w:ascii="宋体" w:hAnsi="宋体" w:cs="宋体"/>
          <w:color w:val="000000"/>
          <w:sz w:val="24"/>
          <w:highlight w:val="none"/>
          <w:u w:val="dotted"/>
        </w:rPr>
      </w:pPr>
      <w:r>
        <w:rPr>
          <w:rFonts w:hint="eastAsia" w:ascii="宋体" w:hAnsi="宋体" w:cs="宋体"/>
          <w:color w:val="000000"/>
          <w:sz w:val="24"/>
          <w:highlight w:val="none"/>
        </w:rPr>
        <w:t>地     址：</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邮编：</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u w:val="dotted"/>
        </w:rPr>
        <w:t xml:space="preserve">                   </w:t>
      </w:r>
    </w:p>
    <w:p>
      <w:pPr>
        <w:shd w:val="clear" w:color="auto" w:fill="auto"/>
        <w:spacing w:line="360" w:lineRule="auto"/>
        <w:rPr>
          <w:rFonts w:hint="eastAsia" w:ascii="宋体" w:hAnsi="宋体" w:cs="宋体"/>
          <w:color w:val="000000"/>
          <w:sz w:val="24"/>
          <w:highlight w:val="none"/>
          <w:u w:val="single"/>
        </w:rPr>
      </w:pPr>
      <w:r>
        <w:rPr>
          <w:rFonts w:hint="eastAsia" w:ascii="宋体" w:hAnsi="宋体" w:cs="宋体"/>
          <w:color w:val="000000"/>
          <w:sz w:val="24"/>
          <w:highlight w:val="none"/>
        </w:rPr>
        <w:t>被投诉人1：</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pPr>
        <w:shd w:val="clear" w:color="auto" w:fill="auto"/>
        <w:spacing w:line="360" w:lineRule="auto"/>
        <w:rPr>
          <w:rFonts w:hint="eastAsia" w:ascii="宋体" w:hAnsi="宋体" w:cs="宋体"/>
          <w:color w:val="000000"/>
          <w:sz w:val="24"/>
          <w:highlight w:val="none"/>
          <w:u w:val="single"/>
        </w:rPr>
      </w:pPr>
      <w:r>
        <w:rPr>
          <w:rFonts w:hint="eastAsia" w:ascii="宋体" w:hAnsi="宋体" w:cs="宋体"/>
          <w:color w:val="000000"/>
          <w:sz w:val="24"/>
          <w:highlight w:val="none"/>
        </w:rPr>
        <w:t>地     址：</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邮编：</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pPr>
        <w:shd w:val="clear" w:color="auto" w:fill="auto"/>
        <w:spacing w:line="360" w:lineRule="auto"/>
        <w:rPr>
          <w:rFonts w:hint="eastAsia" w:ascii="宋体" w:hAnsi="宋体" w:cs="宋体"/>
          <w:color w:val="000000"/>
          <w:sz w:val="24"/>
          <w:highlight w:val="none"/>
          <w:u w:val="single"/>
        </w:rPr>
      </w:pPr>
      <w:r>
        <w:rPr>
          <w:rFonts w:hint="eastAsia" w:ascii="宋体" w:hAnsi="宋体" w:cs="宋体"/>
          <w:color w:val="000000"/>
          <w:sz w:val="24"/>
          <w:highlight w:val="none"/>
        </w:rPr>
        <w:t>联系人：</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联系电话：</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pPr>
        <w:shd w:val="clear" w:color="auto" w:fill="auto"/>
        <w:spacing w:line="360" w:lineRule="auto"/>
        <w:rPr>
          <w:rFonts w:hint="eastAsia" w:ascii="宋体" w:hAnsi="宋体" w:cs="宋体"/>
          <w:color w:val="000000"/>
          <w:sz w:val="24"/>
          <w:highlight w:val="none"/>
        </w:rPr>
      </w:pPr>
      <w:r>
        <w:rPr>
          <w:rFonts w:hint="eastAsia" w:ascii="宋体" w:hAnsi="宋体" w:cs="宋体"/>
          <w:color w:val="000000"/>
          <w:sz w:val="24"/>
          <w:highlight w:val="none"/>
        </w:rPr>
        <w:t>被投诉人2</w:t>
      </w:r>
    </w:p>
    <w:p>
      <w:pPr>
        <w:shd w:val="clear" w:color="auto" w:fill="auto"/>
        <w:spacing w:line="360" w:lineRule="auto"/>
        <w:rPr>
          <w:rFonts w:hint="eastAsia" w:ascii="宋体" w:hAnsi="宋体" w:cs="宋体"/>
          <w:color w:val="000000"/>
          <w:sz w:val="24"/>
          <w:highlight w:val="none"/>
          <w:u w:val="dotted"/>
        </w:rPr>
      </w:pPr>
      <w:r>
        <w:rPr>
          <w:rFonts w:hint="eastAsia" w:ascii="宋体" w:hAnsi="宋体" w:cs="宋体"/>
          <w:color w:val="000000"/>
          <w:sz w:val="24"/>
          <w:highlight w:val="none"/>
        </w:rPr>
        <w:t>……</w:t>
      </w:r>
    </w:p>
    <w:p>
      <w:pPr>
        <w:shd w:val="clear" w:color="auto" w:fill="auto"/>
        <w:spacing w:line="360" w:lineRule="auto"/>
        <w:rPr>
          <w:rFonts w:hint="eastAsia" w:ascii="宋体" w:hAnsi="宋体" w:cs="宋体"/>
          <w:color w:val="000000"/>
          <w:sz w:val="24"/>
          <w:highlight w:val="none"/>
          <w:u w:val="single"/>
        </w:rPr>
      </w:pPr>
      <w:r>
        <w:rPr>
          <w:rFonts w:hint="eastAsia" w:ascii="宋体" w:hAnsi="宋体" w:cs="宋体"/>
          <w:color w:val="000000"/>
          <w:sz w:val="24"/>
          <w:highlight w:val="none"/>
        </w:rPr>
        <w:t>相关供应商：</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pPr>
        <w:shd w:val="clear" w:color="auto" w:fill="auto"/>
        <w:spacing w:line="360" w:lineRule="auto"/>
        <w:rPr>
          <w:rFonts w:hint="eastAsia" w:ascii="宋体" w:hAnsi="宋体" w:cs="宋体"/>
          <w:color w:val="000000"/>
          <w:sz w:val="24"/>
          <w:highlight w:val="none"/>
          <w:u w:val="single"/>
        </w:rPr>
      </w:pPr>
      <w:r>
        <w:rPr>
          <w:rFonts w:hint="eastAsia" w:ascii="宋体" w:hAnsi="宋体" w:cs="宋体"/>
          <w:color w:val="000000"/>
          <w:sz w:val="24"/>
          <w:highlight w:val="none"/>
        </w:rPr>
        <w:t>地     址：</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邮编：</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pPr>
        <w:shd w:val="clear" w:color="auto" w:fill="auto"/>
        <w:spacing w:line="360" w:lineRule="auto"/>
        <w:rPr>
          <w:rFonts w:hint="eastAsia" w:ascii="宋体" w:hAnsi="宋体" w:cs="宋体"/>
          <w:color w:val="000000"/>
          <w:sz w:val="24"/>
          <w:highlight w:val="none"/>
          <w:u w:val="single"/>
        </w:rPr>
      </w:pPr>
      <w:r>
        <w:rPr>
          <w:rFonts w:hint="eastAsia" w:ascii="宋体" w:hAnsi="宋体" w:cs="宋体"/>
          <w:color w:val="000000"/>
          <w:sz w:val="24"/>
          <w:highlight w:val="none"/>
        </w:rPr>
        <w:t>联系人：</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联系电话：</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pPr>
        <w:shd w:val="clear" w:color="auto" w:fill="auto"/>
        <w:spacing w:line="360" w:lineRule="auto"/>
        <w:rPr>
          <w:rFonts w:hint="eastAsia" w:ascii="宋体" w:hAnsi="宋体" w:cs="宋体"/>
          <w:color w:val="000000"/>
          <w:sz w:val="24"/>
          <w:highlight w:val="none"/>
        </w:rPr>
      </w:pPr>
      <w:r>
        <w:rPr>
          <w:rFonts w:hint="eastAsia" w:ascii="宋体" w:hAnsi="宋体" w:cs="宋体"/>
          <w:color w:val="000000"/>
          <w:sz w:val="24"/>
          <w:highlight w:val="none"/>
        </w:rPr>
        <w:t>二、投诉项目基本情况</w:t>
      </w:r>
    </w:p>
    <w:p>
      <w:pPr>
        <w:shd w:val="clear" w:color="auto" w:fill="auto"/>
        <w:spacing w:line="360" w:lineRule="auto"/>
        <w:rPr>
          <w:rFonts w:hint="eastAsia" w:ascii="宋体" w:hAnsi="宋体" w:cs="宋体"/>
          <w:color w:val="000000"/>
          <w:sz w:val="24"/>
          <w:highlight w:val="none"/>
          <w:u w:val="dotted"/>
        </w:rPr>
      </w:pPr>
      <w:r>
        <w:rPr>
          <w:rFonts w:hint="eastAsia" w:ascii="宋体" w:hAnsi="宋体" w:cs="宋体"/>
          <w:color w:val="000000"/>
          <w:sz w:val="24"/>
          <w:highlight w:val="none"/>
        </w:rPr>
        <w:t>采购项目名称：</w:t>
      </w:r>
      <w:r>
        <w:rPr>
          <w:rFonts w:hint="eastAsia" w:ascii="宋体" w:hAnsi="宋体" w:cs="宋体"/>
          <w:color w:val="000000"/>
          <w:sz w:val="24"/>
          <w:highlight w:val="none"/>
          <w:u w:val="dotted"/>
        </w:rPr>
        <w:t xml:space="preserve">                                        </w:t>
      </w:r>
    </w:p>
    <w:p>
      <w:pPr>
        <w:shd w:val="clear" w:color="auto" w:fill="auto"/>
        <w:spacing w:line="360" w:lineRule="auto"/>
        <w:rPr>
          <w:rFonts w:hint="eastAsia" w:ascii="宋体" w:hAnsi="宋体" w:cs="宋体"/>
          <w:color w:val="000000"/>
          <w:sz w:val="24"/>
          <w:highlight w:val="none"/>
          <w:u w:val="single"/>
        </w:rPr>
      </w:pPr>
      <w:r>
        <w:rPr>
          <w:rFonts w:hint="eastAsia" w:ascii="宋体" w:hAnsi="宋体" w:cs="宋体"/>
          <w:color w:val="000000"/>
          <w:sz w:val="24"/>
          <w:highlight w:val="none"/>
        </w:rPr>
        <w:t>采购项目编号：</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包号：</w:t>
      </w:r>
      <w:r>
        <w:rPr>
          <w:rFonts w:hint="eastAsia" w:ascii="宋体" w:hAnsi="宋体" w:cs="宋体"/>
          <w:color w:val="000000"/>
          <w:sz w:val="24"/>
          <w:highlight w:val="none"/>
          <w:u w:val="dotted"/>
        </w:rPr>
        <w:t xml:space="preserve">              </w:t>
      </w:r>
    </w:p>
    <w:p>
      <w:pPr>
        <w:shd w:val="clear" w:color="auto" w:fill="auto"/>
        <w:spacing w:line="360" w:lineRule="auto"/>
        <w:rPr>
          <w:rFonts w:hint="eastAsia" w:ascii="宋体" w:hAnsi="宋体" w:cs="宋体"/>
          <w:color w:val="000000"/>
          <w:sz w:val="24"/>
          <w:highlight w:val="none"/>
        </w:rPr>
      </w:pPr>
      <w:r>
        <w:rPr>
          <w:rFonts w:hint="eastAsia" w:ascii="宋体" w:hAnsi="宋体" w:cs="宋体"/>
          <w:color w:val="000000"/>
          <w:sz w:val="24"/>
          <w:highlight w:val="none"/>
        </w:rPr>
        <w:t>采购人名称：</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pPr>
        <w:shd w:val="clear" w:color="auto" w:fill="auto"/>
        <w:spacing w:line="360" w:lineRule="auto"/>
        <w:rPr>
          <w:rFonts w:hint="eastAsia" w:ascii="宋体" w:hAnsi="宋体" w:cs="宋体"/>
          <w:color w:val="000000"/>
          <w:sz w:val="24"/>
          <w:highlight w:val="none"/>
          <w:u w:val="single"/>
        </w:rPr>
      </w:pPr>
      <w:r>
        <w:rPr>
          <w:rFonts w:hint="eastAsia" w:ascii="宋体" w:hAnsi="宋体" w:cs="宋体"/>
          <w:color w:val="000000"/>
          <w:sz w:val="24"/>
          <w:highlight w:val="none"/>
        </w:rPr>
        <w:t>采购代理机构名称：</w:t>
      </w:r>
      <w:r>
        <w:rPr>
          <w:rFonts w:hint="eastAsia" w:ascii="宋体" w:hAnsi="宋体" w:cs="宋体"/>
          <w:color w:val="000000"/>
          <w:sz w:val="24"/>
          <w:highlight w:val="none"/>
          <w:u w:val="dotted"/>
        </w:rPr>
        <w:t xml:space="preserve">                                         </w:t>
      </w:r>
    </w:p>
    <w:p>
      <w:pPr>
        <w:shd w:val="clear" w:color="auto" w:fill="auto"/>
        <w:spacing w:line="360" w:lineRule="auto"/>
        <w:rPr>
          <w:rFonts w:hint="eastAsia" w:ascii="宋体" w:hAnsi="宋体" w:cs="宋体"/>
          <w:color w:val="000000"/>
          <w:sz w:val="24"/>
          <w:highlight w:val="none"/>
          <w:u w:val="dotted"/>
        </w:rPr>
      </w:pPr>
      <w:r>
        <w:rPr>
          <w:rFonts w:hint="eastAsia" w:ascii="宋体" w:hAnsi="宋体" w:cs="宋体"/>
          <w:color w:val="000000"/>
          <w:sz w:val="24"/>
          <w:highlight w:val="none"/>
        </w:rPr>
        <w:t>采购文件公告:</w:t>
      </w:r>
      <w:r>
        <w:rPr>
          <w:rFonts w:hint="eastAsia" w:ascii="宋体" w:hAnsi="宋体" w:cs="宋体"/>
          <w:color w:val="000000"/>
          <w:sz w:val="24"/>
          <w:highlight w:val="none"/>
          <w:u w:val="dotted"/>
        </w:rPr>
        <w:t xml:space="preserve">是/否 </w:t>
      </w:r>
      <w:r>
        <w:rPr>
          <w:rFonts w:hint="eastAsia" w:ascii="宋体" w:hAnsi="宋体" w:cs="宋体"/>
          <w:color w:val="000000"/>
          <w:sz w:val="24"/>
          <w:highlight w:val="none"/>
        </w:rPr>
        <w:t>公告期限：</w:t>
      </w:r>
      <w:r>
        <w:rPr>
          <w:rFonts w:hint="eastAsia" w:ascii="宋体" w:hAnsi="宋体" w:cs="宋体"/>
          <w:color w:val="000000"/>
          <w:sz w:val="24"/>
          <w:highlight w:val="none"/>
          <w:u w:val="dotted"/>
        </w:rPr>
        <w:t xml:space="preserve">                                 </w:t>
      </w:r>
    </w:p>
    <w:p>
      <w:pPr>
        <w:shd w:val="clear" w:color="auto" w:fill="auto"/>
        <w:spacing w:line="360" w:lineRule="auto"/>
        <w:rPr>
          <w:rFonts w:hint="eastAsia" w:ascii="宋体" w:hAnsi="宋体" w:cs="宋体"/>
          <w:color w:val="000000"/>
          <w:sz w:val="24"/>
          <w:highlight w:val="none"/>
          <w:u w:val="single"/>
        </w:rPr>
      </w:pPr>
      <w:r>
        <w:rPr>
          <w:rFonts w:hint="eastAsia" w:ascii="宋体" w:hAnsi="宋体" w:cs="宋体"/>
          <w:color w:val="000000"/>
          <w:sz w:val="24"/>
          <w:highlight w:val="none"/>
        </w:rPr>
        <w:t>采购结果公告:</w:t>
      </w:r>
      <w:r>
        <w:rPr>
          <w:rFonts w:hint="eastAsia" w:ascii="宋体" w:hAnsi="宋体" w:cs="宋体"/>
          <w:color w:val="000000"/>
          <w:sz w:val="24"/>
          <w:highlight w:val="none"/>
          <w:u w:val="dotted"/>
        </w:rPr>
        <w:t xml:space="preserve">是/否 </w:t>
      </w:r>
      <w:r>
        <w:rPr>
          <w:rFonts w:hint="eastAsia" w:ascii="宋体" w:hAnsi="宋体" w:cs="宋体"/>
          <w:color w:val="000000"/>
          <w:sz w:val="24"/>
          <w:highlight w:val="none"/>
        </w:rPr>
        <w:t>公告期限：</w:t>
      </w:r>
      <w:r>
        <w:rPr>
          <w:rFonts w:hint="eastAsia" w:ascii="宋体" w:hAnsi="宋体" w:cs="宋体"/>
          <w:color w:val="000000"/>
          <w:sz w:val="24"/>
          <w:highlight w:val="none"/>
          <w:u w:val="dotted"/>
        </w:rPr>
        <w:t xml:space="preserve">                        </w:t>
      </w:r>
    </w:p>
    <w:p>
      <w:pPr>
        <w:shd w:val="clear" w:color="auto" w:fill="auto"/>
        <w:spacing w:line="360" w:lineRule="auto"/>
        <w:rPr>
          <w:rFonts w:hint="eastAsia" w:ascii="宋体" w:hAnsi="宋体" w:cs="宋体"/>
          <w:color w:val="000000"/>
          <w:sz w:val="24"/>
          <w:highlight w:val="none"/>
        </w:rPr>
      </w:pPr>
      <w:r>
        <w:rPr>
          <w:rFonts w:hint="eastAsia" w:ascii="宋体" w:hAnsi="宋体" w:cs="宋体"/>
          <w:color w:val="000000"/>
          <w:sz w:val="24"/>
          <w:highlight w:val="none"/>
        </w:rPr>
        <w:t>三、质疑基本情况</w:t>
      </w:r>
    </w:p>
    <w:p>
      <w:pPr>
        <w:shd w:val="clear" w:color="auto" w:fill="auto"/>
        <w:spacing w:line="360" w:lineRule="auto"/>
        <w:ind w:firstLine="480" w:firstLineChars="200"/>
        <w:rPr>
          <w:rFonts w:hint="eastAsia" w:ascii="宋体" w:hAnsi="宋体" w:cs="宋体"/>
          <w:color w:val="000000"/>
          <w:sz w:val="24"/>
          <w:highlight w:val="none"/>
          <w:u w:val="dotted"/>
        </w:rPr>
      </w:pPr>
      <w:r>
        <w:rPr>
          <w:rFonts w:hint="eastAsia" w:ascii="宋体" w:hAnsi="宋体" w:cs="宋体"/>
          <w:color w:val="000000"/>
          <w:sz w:val="24"/>
          <w:highlight w:val="none"/>
        </w:rPr>
        <w:t>投诉人于</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日,向</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提出质疑，质疑事项为：</w:t>
      </w:r>
      <w:r>
        <w:rPr>
          <w:rFonts w:hint="eastAsia" w:ascii="宋体" w:hAnsi="宋体" w:cs="宋体"/>
          <w:color w:val="000000"/>
          <w:sz w:val="24"/>
          <w:highlight w:val="none"/>
          <w:u w:val="dotted"/>
        </w:rPr>
        <w:t xml:space="preserve">                                </w:t>
      </w:r>
    </w:p>
    <w:p>
      <w:pPr>
        <w:shd w:val="clear" w:color="auto" w:fill="auto"/>
        <w:spacing w:line="360" w:lineRule="auto"/>
        <w:rPr>
          <w:rFonts w:hint="eastAsia" w:ascii="宋体" w:hAnsi="宋体" w:cs="宋体"/>
          <w:color w:val="000000"/>
          <w:sz w:val="24"/>
          <w:highlight w:val="none"/>
          <w:u w:val="dotted"/>
        </w:rPr>
      </w:pP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 xml:space="preserve">  </w:t>
      </w:r>
    </w:p>
    <w:p>
      <w:pPr>
        <w:shd w:val="clear" w:color="auto" w:fill="auto"/>
        <w:spacing w:line="360" w:lineRule="auto"/>
        <w:ind w:firstLine="360" w:firstLineChars="150"/>
        <w:rPr>
          <w:rFonts w:hint="eastAsia" w:ascii="宋体" w:hAnsi="宋体" w:cs="宋体"/>
          <w:color w:val="000000"/>
          <w:sz w:val="24"/>
          <w:highlight w:val="none"/>
        </w:rPr>
      </w:pPr>
      <w:r>
        <w:rPr>
          <w:rFonts w:hint="eastAsia" w:ascii="宋体" w:hAnsi="宋体" w:cs="宋体"/>
          <w:color w:val="000000"/>
          <w:sz w:val="24"/>
          <w:highlight w:val="none"/>
          <w:u w:val="dotted"/>
        </w:rPr>
        <w:t>采购人/采购代理机构</w:t>
      </w:r>
      <w:r>
        <w:rPr>
          <w:rFonts w:hint="eastAsia" w:ascii="宋体" w:hAnsi="宋体" w:cs="宋体"/>
          <w:color w:val="000000"/>
          <w:sz w:val="24"/>
          <w:highlight w:val="none"/>
        </w:rPr>
        <w:t>于</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日,就质疑事项作出了答复/没有在法定期限内作出答复。</w:t>
      </w:r>
    </w:p>
    <w:p>
      <w:pPr>
        <w:shd w:val="clear" w:color="auto" w:fill="auto"/>
        <w:spacing w:line="360" w:lineRule="auto"/>
        <w:rPr>
          <w:rFonts w:hint="eastAsia" w:ascii="宋体" w:hAnsi="宋体" w:cs="宋体"/>
          <w:color w:val="000000"/>
          <w:sz w:val="24"/>
          <w:highlight w:val="none"/>
        </w:rPr>
      </w:pPr>
      <w:r>
        <w:rPr>
          <w:rFonts w:hint="eastAsia" w:ascii="宋体" w:hAnsi="宋体" w:cs="宋体"/>
          <w:color w:val="000000"/>
          <w:sz w:val="24"/>
          <w:highlight w:val="none"/>
        </w:rPr>
        <w:t>四、投诉事项具体内容</w:t>
      </w:r>
    </w:p>
    <w:p>
      <w:pPr>
        <w:shd w:val="clear" w:color="auto" w:fill="auto"/>
        <w:spacing w:line="360" w:lineRule="auto"/>
        <w:rPr>
          <w:rFonts w:hint="eastAsia" w:ascii="宋体" w:hAnsi="宋体" w:cs="宋体"/>
          <w:color w:val="000000"/>
          <w:sz w:val="24"/>
          <w:highlight w:val="none"/>
          <w:u w:val="single"/>
        </w:rPr>
      </w:pPr>
      <w:r>
        <w:rPr>
          <w:rFonts w:hint="eastAsia" w:ascii="宋体" w:hAnsi="宋体" w:cs="宋体"/>
          <w:color w:val="000000"/>
          <w:sz w:val="24"/>
          <w:highlight w:val="none"/>
        </w:rPr>
        <w:t>投诉事项 1：</w:t>
      </w:r>
      <w:r>
        <w:rPr>
          <w:rFonts w:hint="eastAsia" w:ascii="宋体" w:hAnsi="宋体" w:cs="宋体"/>
          <w:color w:val="000000"/>
          <w:sz w:val="24"/>
          <w:highlight w:val="none"/>
          <w:u w:val="dotted"/>
        </w:rPr>
        <w:t xml:space="preserve">                                       </w:t>
      </w:r>
    </w:p>
    <w:p>
      <w:pPr>
        <w:shd w:val="clear" w:color="auto" w:fill="auto"/>
        <w:spacing w:line="360" w:lineRule="auto"/>
        <w:rPr>
          <w:rFonts w:hint="eastAsia" w:ascii="宋体" w:hAnsi="宋体" w:cs="宋体"/>
          <w:color w:val="000000"/>
          <w:sz w:val="24"/>
          <w:highlight w:val="none"/>
        </w:rPr>
      </w:pPr>
      <w:r>
        <w:rPr>
          <w:rFonts w:hint="eastAsia" w:ascii="宋体" w:hAnsi="宋体" w:cs="宋体"/>
          <w:color w:val="000000"/>
          <w:sz w:val="24"/>
          <w:highlight w:val="none"/>
        </w:rPr>
        <w:t>事实依据：</w:t>
      </w:r>
      <w:r>
        <w:rPr>
          <w:rFonts w:hint="eastAsia" w:ascii="宋体" w:hAnsi="宋体" w:cs="宋体"/>
          <w:color w:val="000000"/>
          <w:sz w:val="24"/>
          <w:highlight w:val="none"/>
          <w:u w:val="dotted"/>
        </w:rPr>
        <w:t xml:space="preserve">                                         </w:t>
      </w:r>
    </w:p>
    <w:p>
      <w:pPr>
        <w:shd w:val="clear" w:color="auto" w:fill="auto"/>
        <w:spacing w:line="360" w:lineRule="auto"/>
        <w:rPr>
          <w:rFonts w:hint="eastAsia" w:ascii="宋体" w:hAnsi="宋体" w:cs="宋体"/>
          <w:color w:val="000000"/>
          <w:sz w:val="24"/>
          <w:highlight w:val="none"/>
          <w:u w:val="dotted"/>
        </w:rPr>
      </w:pPr>
      <w:r>
        <w:rPr>
          <w:rFonts w:hint="eastAsia" w:ascii="宋体" w:hAnsi="宋体" w:cs="宋体"/>
          <w:color w:val="000000"/>
          <w:sz w:val="24"/>
          <w:highlight w:val="none"/>
          <w:u w:val="dotted"/>
        </w:rPr>
        <w:t xml:space="preserve">                                                      </w:t>
      </w:r>
    </w:p>
    <w:p>
      <w:pPr>
        <w:shd w:val="clear" w:color="auto" w:fill="auto"/>
        <w:spacing w:line="360" w:lineRule="auto"/>
        <w:rPr>
          <w:rFonts w:hint="eastAsia" w:ascii="宋体" w:hAnsi="宋体" w:cs="宋体"/>
          <w:color w:val="000000"/>
          <w:sz w:val="24"/>
          <w:highlight w:val="none"/>
          <w:u w:val="single"/>
        </w:rPr>
      </w:pPr>
      <w:r>
        <w:rPr>
          <w:rFonts w:hint="eastAsia" w:ascii="宋体" w:hAnsi="宋体" w:cs="宋体"/>
          <w:color w:val="000000"/>
          <w:sz w:val="24"/>
          <w:highlight w:val="none"/>
        </w:rPr>
        <w:t>法律依据：</w:t>
      </w:r>
      <w:r>
        <w:rPr>
          <w:rFonts w:hint="eastAsia" w:ascii="宋体" w:hAnsi="宋体" w:cs="宋体"/>
          <w:color w:val="000000"/>
          <w:sz w:val="24"/>
          <w:highlight w:val="none"/>
          <w:u w:val="dotted"/>
        </w:rPr>
        <w:t xml:space="preserve">                                          </w:t>
      </w:r>
    </w:p>
    <w:p>
      <w:pPr>
        <w:shd w:val="clear" w:color="auto" w:fill="auto"/>
        <w:spacing w:line="360" w:lineRule="auto"/>
        <w:rPr>
          <w:rFonts w:hint="eastAsia" w:ascii="宋体" w:hAnsi="宋体" w:cs="宋体"/>
          <w:color w:val="000000"/>
          <w:sz w:val="24"/>
          <w:highlight w:val="none"/>
          <w:u w:val="dotted"/>
        </w:rPr>
      </w:pPr>
      <w:r>
        <w:rPr>
          <w:rFonts w:hint="eastAsia" w:ascii="宋体" w:hAnsi="宋体" w:cs="宋体"/>
          <w:color w:val="000000"/>
          <w:sz w:val="24"/>
          <w:highlight w:val="none"/>
          <w:u w:val="dotted"/>
        </w:rPr>
        <w:t xml:space="preserve">                                                      </w:t>
      </w:r>
    </w:p>
    <w:p>
      <w:pPr>
        <w:shd w:val="clear" w:color="auto" w:fill="auto"/>
        <w:spacing w:line="360" w:lineRule="auto"/>
        <w:rPr>
          <w:rFonts w:hint="eastAsia" w:ascii="宋体" w:hAnsi="宋体" w:cs="宋体"/>
          <w:color w:val="000000"/>
          <w:sz w:val="24"/>
          <w:highlight w:val="none"/>
        </w:rPr>
      </w:pPr>
      <w:r>
        <w:rPr>
          <w:rFonts w:hint="eastAsia" w:ascii="宋体" w:hAnsi="宋体" w:cs="宋体"/>
          <w:color w:val="000000"/>
          <w:sz w:val="24"/>
          <w:highlight w:val="none"/>
        </w:rPr>
        <w:t>投诉事项2</w:t>
      </w:r>
    </w:p>
    <w:p>
      <w:pPr>
        <w:shd w:val="clear" w:color="auto" w:fill="auto"/>
        <w:spacing w:line="360" w:lineRule="auto"/>
        <w:rPr>
          <w:rFonts w:hint="eastAsia" w:ascii="宋体" w:hAnsi="宋体" w:cs="宋体"/>
          <w:color w:val="000000"/>
          <w:sz w:val="24"/>
          <w:highlight w:val="none"/>
          <w:u w:val="dotted"/>
        </w:rPr>
      </w:pPr>
      <w:r>
        <w:rPr>
          <w:rFonts w:hint="eastAsia" w:ascii="宋体" w:hAnsi="宋体" w:cs="宋体"/>
          <w:color w:val="000000"/>
          <w:sz w:val="24"/>
          <w:highlight w:val="none"/>
        </w:rPr>
        <w:t>……</w:t>
      </w:r>
    </w:p>
    <w:p>
      <w:pPr>
        <w:shd w:val="clear" w:color="auto" w:fill="auto"/>
        <w:spacing w:line="360" w:lineRule="auto"/>
        <w:rPr>
          <w:rFonts w:hint="eastAsia" w:ascii="宋体" w:hAnsi="宋体" w:cs="宋体"/>
          <w:color w:val="000000"/>
          <w:sz w:val="24"/>
          <w:highlight w:val="none"/>
        </w:rPr>
      </w:pPr>
      <w:r>
        <w:rPr>
          <w:rFonts w:hint="eastAsia" w:ascii="宋体" w:hAnsi="宋体" w:cs="宋体"/>
          <w:color w:val="000000"/>
          <w:sz w:val="24"/>
          <w:highlight w:val="none"/>
        </w:rPr>
        <w:t>五、与投诉事项相关的投诉请求</w:t>
      </w:r>
    </w:p>
    <w:p>
      <w:pPr>
        <w:shd w:val="clear" w:color="auto" w:fill="auto"/>
        <w:spacing w:line="360" w:lineRule="auto"/>
        <w:rPr>
          <w:rFonts w:hint="eastAsia" w:ascii="宋体" w:hAnsi="宋体" w:cs="宋体"/>
          <w:color w:val="000000"/>
          <w:sz w:val="24"/>
          <w:highlight w:val="none"/>
        </w:rPr>
      </w:pPr>
      <w:r>
        <w:rPr>
          <w:rFonts w:hint="eastAsia" w:ascii="宋体" w:hAnsi="宋体" w:cs="宋体"/>
          <w:color w:val="000000"/>
          <w:sz w:val="24"/>
          <w:highlight w:val="none"/>
        </w:rPr>
        <w:t>请求：</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 xml:space="preserve"> </w:t>
      </w:r>
    </w:p>
    <w:p>
      <w:pPr>
        <w:shd w:val="clear" w:color="auto" w:fill="auto"/>
        <w:spacing w:line="360" w:lineRule="auto"/>
        <w:rPr>
          <w:rFonts w:hint="eastAsia" w:ascii="宋体" w:hAnsi="宋体" w:cs="宋体"/>
          <w:color w:val="000000"/>
          <w:sz w:val="24"/>
          <w:highlight w:val="none"/>
          <w:u w:val="single"/>
        </w:rPr>
      </w:pPr>
      <w:r>
        <w:rPr>
          <w:rFonts w:hint="eastAsia" w:ascii="宋体" w:hAnsi="宋体" w:cs="宋体"/>
          <w:color w:val="000000"/>
          <w:sz w:val="24"/>
          <w:highlight w:val="none"/>
        </w:rPr>
        <w:t xml:space="preserve">                                                                                                    </w:t>
      </w:r>
    </w:p>
    <w:p>
      <w:pPr>
        <w:shd w:val="clear" w:color="auto" w:fill="auto"/>
        <w:spacing w:line="360" w:lineRule="auto"/>
        <w:rPr>
          <w:rFonts w:hint="eastAsia" w:ascii="宋体" w:hAnsi="宋体" w:cs="宋体"/>
          <w:color w:val="000000"/>
          <w:sz w:val="24"/>
          <w:highlight w:val="none"/>
        </w:rPr>
      </w:pPr>
      <w:r>
        <w:rPr>
          <w:rFonts w:hint="eastAsia" w:ascii="宋体" w:hAnsi="宋体" w:cs="宋体"/>
          <w:color w:val="000000"/>
          <w:sz w:val="24"/>
          <w:highlight w:val="none"/>
        </w:rPr>
        <w:t xml:space="preserve">签字(签章)：                   公章：                      </w:t>
      </w:r>
    </w:p>
    <w:p>
      <w:pPr>
        <w:shd w:val="clear" w:color="auto" w:fill="auto"/>
        <w:spacing w:line="360" w:lineRule="auto"/>
        <w:rPr>
          <w:rFonts w:hint="eastAsia" w:ascii="宋体" w:hAnsi="宋体" w:cs="宋体"/>
          <w:color w:val="000000"/>
          <w:sz w:val="24"/>
          <w:highlight w:val="none"/>
        </w:rPr>
      </w:pPr>
      <w:r>
        <w:rPr>
          <w:rFonts w:hint="eastAsia" w:ascii="宋体" w:hAnsi="宋体" w:cs="宋体"/>
          <w:color w:val="000000"/>
          <w:sz w:val="24"/>
          <w:highlight w:val="none"/>
        </w:rPr>
        <w:t xml:space="preserve">日期：    </w:t>
      </w:r>
    </w:p>
    <w:p>
      <w:pPr>
        <w:shd w:val="clear" w:color="auto" w:fill="auto"/>
        <w:spacing w:line="360" w:lineRule="auto"/>
        <w:rPr>
          <w:rFonts w:hint="eastAsia" w:ascii="宋体" w:hAnsi="宋体" w:cs="宋体"/>
          <w:b/>
          <w:color w:val="000000"/>
          <w:sz w:val="24"/>
          <w:highlight w:val="none"/>
        </w:rPr>
      </w:pPr>
    </w:p>
    <w:p>
      <w:pPr>
        <w:shd w:val="clear" w:color="auto" w:fill="auto"/>
        <w:spacing w:line="360" w:lineRule="auto"/>
        <w:rPr>
          <w:rFonts w:hint="eastAsia" w:ascii="宋体" w:hAnsi="宋体" w:cs="宋体"/>
          <w:b/>
          <w:color w:val="000000"/>
          <w:sz w:val="24"/>
          <w:highlight w:val="none"/>
        </w:rPr>
      </w:pPr>
    </w:p>
    <w:p>
      <w:pPr>
        <w:shd w:val="clear" w:color="auto" w:fill="auto"/>
        <w:spacing w:line="360" w:lineRule="auto"/>
        <w:rPr>
          <w:rFonts w:hint="eastAsia" w:ascii="宋体" w:hAnsi="宋体" w:cs="宋体"/>
          <w:b/>
          <w:color w:val="000000"/>
          <w:sz w:val="24"/>
          <w:highlight w:val="none"/>
        </w:rPr>
      </w:pPr>
      <w:r>
        <w:rPr>
          <w:rFonts w:hint="eastAsia" w:ascii="宋体" w:hAnsi="宋体" w:cs="宋体"/>
          <w:b/>
          <w:color w:val="000000"/>
          <w:sz w:val="24"/>
          <w:highlight w:val="none"/>
        </w:rPr>
        <w:t>投诉书制作说明：</w:t>
      </w:r>
    </w:p>
    <w:p>
      <w:pPr>
        <w:widowControl/>
        <w:shd w:val="clear" w:color="auto" w:fill="auto"/>
        <w:spacing w:line="360" w:lineRule="auto"/>
        <w:ind w:firstLine="480" w:firstLineChars="200"/>
        <w:rPr>
          <w:rFonts w:hint="eastAsia" w:ascii="宋体" w:hAnsi="宋体" w:cs="宋体"/>
          <w:color w:val="000000"/>
          <w:kern w:val="0"/>
          <w:sz w:val="24"/>
          <w:highlight w:val="none"/>
        </w:rPr>
      </w:pPr>
      <w:r>
        <w:rPr>
          <w:rFonts w:hint="eastAsia" w:ascii="宋体" w:hAnsi="宋体" w:cs="宋体"/>
          <w:color w:val="000000"/>
          <w:sz w:val="24"/>
          <w:highlight w:val="none"/>
        </w:rPr>
        <w:t>1.投诉人提起投诉时，应当提交投诉书和必要的证明材料，并按照被投诉人和与投诉事项有关的供应商数量提供投诉书副本。</w:t>
      </w:r>
    </w:p>
    <w:p>
      <w:pPr>
        <w:widowControl/>
        <w:shd w:val="clear" w:color="auto" w:fill="auto"/>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sz w:val="24"/>
          <w:highlight w:val="none"/>
        </w:rPr>
        <w:t>2.投诉人若委托代理人进行投诉的，投诉书应按照要求列明“授权代表”的有关内容，并在附件中提交由</w:t>
      </w:r>
      <w:r>
        <w:rPr>
          <w:rFonts w:hint="eastAsia" w:ascii="宋体" w:hAnsi="宋体" w:cs="宋体"/>
          <w:color w:val="000000"/>
          <w:kern w:val="0"/>
          <w:sz w:val="24"/>
          <w:highlight w:val="none"/>
        </w:rPr>
        <w:t>投诉人签署的授权委托书。授权委托书应当载明代理人的姓名或者名称、代理事项、具体权限、期限和相关事项。</w:t>
      </w:r>
    </w:p>
    <w:p>
      <w:pPr>
        <w:widowControl/>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3.投诉人若对项目的某一分包进行投诉，投诉书应列明具体分包号。</w:t>
      </w:r>
    </w:p>
    <w:p>
      <w:pPr>
        <w:widowControl/>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4.投诉书应简要列明质疑事项，质疑函、质疑答复等作为附件材料提供。</w:t>
      </w:r>
    </w:p>
    <w:p>
      <w:pPr>
        <w:widowControl/>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5.投诉书的投诉事项应具体、明确，并有必要的事实依据和法律依据。</w:t>
      </w:r>
    </w:p>
    <w:p>
      <w:pPr>
        <w:widowControl/>
        <w:shd w:val="clear" w:color="auto" w:fill="auto"/>
        <w:spacing w:line="360" w:lineRule="auto"/>
        <w:ind w:firstLine="480" w:firstLineChars="200"/>
        <w:jc w:val="left"/>
        <w:rPr>
          <w:rFonts w:hint="eastAsia" w:ascii="宋体" w:hAnsi="宋体" w:cs="宋体"/>
          <w:color w:val="000000"/>
          <w:sz w:val="24"/>
          <w:highlight w:val="none"/>
        </w:rPr>
      </w:pPr>
      <w:r>
        <w:rPr>
          <w:rFonts w:hint="eastAsia" w:ascii="宋体" w:hAnsi="宋体" w:cs="宋体"/>
          <w:color w:val="000000"/>
          <w:sz w:val="24"/>
          <w:highlight w:val="none"/>
        </w:rPr>
        <w:t>6.投诉书的投诉请求应与投诉事项相关。</w:t>
      </w:r>
    </w:p>
    <w:p>
      <w:pPr>
        <w:widowControl/>
        <w:shd w:val="clear" w:color="auto" w:fill="auto"/>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sz w:val="24"/>
          <w:highlight w:val="none"/>
        </w:rPr>
        <w:t>7.投诉人为自然人的，投诉书应当由本人签字；投诉人为法人或者其他组织的，投诉书应当由法定代表人、主要负责人，或者其授权代表签字或者盖章，并加盖公章。</w:t>
      </w:r>
    </w:p>
    <w:p>
      <w:pPr>
        <w:shd w:val="clear" w:color="auto" w:fill="auto"/>
        <w:spacing w:line="360" w:lineRule="auto"/>
        <w:rPr>
          <w:rFonts w:hint="eastAsia" w:ascii="宋体" w:hAnsi="宋体" w:cs="宋体"/>
          <w:b/>
          <w:color w:val="000000"/>
          <w:sz w:val="24"/>
          <w:highlight w:val="none"/>
        </w:rPr>
      </w:pPr>
    </w:p>
    <w:p>
      <w:pPr>
        <w:shd w:val="clear" w:color="auto" w:fill="auto"/>
        <w:spacing w:line="360" w:lineRule="auto"/>
        <w:rPr>
          <w:rFonts w:hint="eastAsia" w:ascii="宋体" w:hAnsi="宋体" w:cs="宋体"/>
          <w:b/>
          <w:bCs/>
          <w:color w:val="000000"/>
          <w:sz w:val="24"/>
          <w:highlight w:val="none"/>
        </w:rPr>
      </w:pPr>
      <w:r>
        <w:rPr>
          <w:rFonts w:hint="eastAsia" w:ascii="宋体" w:hAnsi="宋体" w:cs="宋体"/>
          <w:b/>
          <w:color w:val="000000"/>
          <w:spacing w:val="6"/>
          <w:sz w:val="32"/>
          <w:szCs w:val="32"/>
          <w:highlight w:val="none"/>
        </w:rPr>
        <w:t>附件4：政府采购节能产品表（复印件加盖公章）</w:t>
      </w:r>
    </w:p>
    <w:tbl>
      <w:tblPr>
        <w:tblStyle w:val="62"/>
        <w:tblW w:w="0" w:type="auto"/>
        <w:tblInd w:w="-942" w:type="dxa"/>
        <w:tblLayout w:type="fixed"/>
        <w:tblCellMar>
          <w:top w:w="0" w:type="dxa"/>
          <w:left w:w="108" w:type="dxa"/>
          <w:bottom w:w="0" w:type="dxa"/>
          <w:right w:w="108" w:type="dxa"/>
        </w:tblCellMar>
      </w:tblPr>
      <w:tblGrid>
        <w:gridCol w:w="735"/>
        <w:gridCol w:w="1204"/>
        <w:gridCol w:w="2471"/>
        <w:gridCol w:w="1995"/>
        <w:gridCol w:w="4620"/>
      </w:tblGrid>
      <w:tr>
        <w:tblPrEx>
          <w:tblCellMar>
            <w:top w:w="0" w:type="dxa"/>
            <w:left w:w="108" w:type="dxa"/>
            <w:bottom w:w="0" w:type="dxa"/>
            <w:right w:w="108" w:type="dxa"/>
          </w:tblCellMar>
        </w:tblPrEx>
        <w:trPr>
          <w:wBefore w:w="0" w:type="dxa"/>
          <w:trHeight w:val="714" w:hRule="atLeast"/>
        </w:trPr>
        <w:tc>
          <w:tcPr>
            <w:tcW w:w="735" w:type="dxa"/>
            <w:tcBorders>
              <w:top w:val="single" w:color="auto" w:sz="12" w:space="0"/>
              <w:left w:val="single" w:color="auto" w:sz="12"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序号</w:t>
            </w:r>
          </w:p>
        </w:tc>
        <w:tc>
          <w:tcPr>
            <w:tcW w:w="1204" w:type="dxa"/>
            <w:tcBorders>
              <w:top w:val="single" w:color="auto" w:sz="12" w:space="0"/>
              <w:left w:val="single" w:color="auto" w:sz="4"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产品型号</w:t>
            </w:r>
          </w:p>
        </w:tc>
        <w:tc>
          <w:tcPr>
            <w:tcW w:w="2471" w:type="dxa"/>
            <w:tcBorders>
              <w:top w:val="single" w:color="auto" w:sz="12" w:space="0"/>
              <w:left w:val="single" w:color="auto" w:sz="4"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节能产品认证证书号</w:t>
            </w:r>
          </w:p>
        </w:tc>
        <w:tc>
          <w:tcPr>
            <w:tcW w:w="1995" w:type="dxa"/>
            <w:tcBorders>
              <w:top w:val="single" w:color="auto" w:sz="12" w:space="0"/>
              <w:left w:val="single" w:color="auto" w:sz="4"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节能产品认证证书有效截止日期</w:t>
            </w:r>
          </w:p>
        </w:tc>
        <w:tc>
          <w:tcPr>
            <w:tcW w:w="4620" w:type="dxa"/>
            <w:tcBorders>
              <w:top w:val="single" w:color="auto" w:sz="12" w:space="0"/>
              <w:left w:val="single" w:color="auto" w:sz="4" w:space="0"/>
              <w:bottom w:val="single" w:color="auto" w:sz="4" w:space="0"/>
              <w:right w:val="single" w:color="auto" w:sz="12" w:space="0"/>
            </w:tcBorders>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b/>
                <w:color w:val="000000"/>
                <w:sz w:val="24"/>
                <w:highlight w:val="none"/>
              </w:rPr>
              <w:t>节能产品政府采购品目清单中序号</w:t>
            </w:r>
          </w:p>
        </w:tc>
      </w:tr>
      <w:tr>
        <w:tblPrEx>
          <w:tblCellMar>
            <w:top w:w="0" w:type="dxa"/>
            <w:left w:w="108" w:type="dxa"/>
            <w:bottom w:w="0" w:type="dxa"/>
            <w:right w:w="108" w:type="dxa"/>
          </w:tblCellMar>
        </w:tblPrEx>
        <w:trPr>
          <w:wBefore w:w="0" w:type="dxa"/>
          <w:trHeight w:val="579" w:hRule="atLeast"/>
        </w:trPr>
        <w:tc>
          <w:tcPr>
            <w:tcW w:w="735" w:type="dxa"/>
            <w:tcBorders>
              <w:top w:val="single" w:color="auto" w:sz="4" w:space="0"/>
              <w:left w:val="single" w:color="auto" w:sz="12"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c>
          <w:tcPr>
            <w:tcW w:w="1204"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c>
          <w:tcPr>
            <w:tcW w:w="2471"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c>
          <w:tcPr>
            <w:tcW w:w="4620" w:type="dxa"/>
            <w:tcBorders>
              <w:top w:val="single" w:color="auto" w:sz="4" w:space="0"/>
              <w:left w:val="single" w:color="auto" w:sz="4" w:space="0"/>
              <w:bottom w:val="single" w:color="auto" w:sz="4" w:space="0"/>
              <w:right w:val="single" w:color="auto" w:sz="12"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r>
      <w:tr>
        <w:tblPrEx>
          <w:tblCellMar>
            <w:top w:w="0" w:type="dxa"/>
            <w:left w:w="108" w:type="dxa"/>
            <w:bottom w:w="0" w:type="dxa"/>
            <w:right w:w="108" w:type="dxa"/>
          </w:tblCellMar>
        </w:tblPrEx>
        <w:trPr>
          <w:wBefore w:w="0" w:type="dxa"/>
          <w:trHeight w:val="615" w:hRule="atLeast"/>
        </w:trPr>
        <w:tc>
          <w:tcPr>
            <w:tcW w:w="735" w:type="dxa"/>
            <w:tcBorders>
              <w:top w:val="single" w:color="auto" w:sz="4" w:space="0"/>
              <w:left w:val="single" w:color="auto" w:sz="12"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c>
          <w:tcPr>
            <w:tcW w:w="1204"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c>
          <w:tcPr>
            <w:tcW w:w="2471"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c>
          <w:tcPr>
            <w:tcW w:w="4620" w:type="dxa"/>
            <w:tcBorders>
              <w:top w:val="single" w:color="auto" w:sz="4" w:space="0"/>
              <w:left w:val="single" w:color="auto" w:sz="4" w:space="0"/>
              <w:bottom w:val="single" w:color="auto" w:sz="4" w:space="0"/>
              <w:right w:val="single" w:color="auto" w:sz="12"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r>
      <w:tr>
        <w:tblPrEx>
          <w:tblCellMar>
            <w:top w:w="0" w:type="dxa"/>
            <w:left w:w="108" w:type="dxa"/>
            <w:bottom w:w="0" w:type="dxa"/>
            <w:right w:w="108" w:type="dxa"/>
          </w:tblCellMar>
        </w:tblPrEx>
        <w:trPr>
          <w:wBefore w:w="0" w:type="dxa"/>
          <w:trHeight w:val="615" w:hRule="atLeast"/>
        </w:trPr>
        <w:tc>
          <w:tcPr>
            <w:tcW w:w="735" w:type="dxa"/>
            <w:tcBorders>
              <w:top w:val="single" w:color="auto" w:sz="4" w:space="0"/>
              <w:left w:val="single" w:color="auto" w:sz="12" w:space="0"/>
              <w:bottom w:val="single" w:color="auto" w:sz="12"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c>
          <w:tcPr>
            <w:tcW w:w="1204" w:type="dxa"/>
            <w:tcBorders>
              <w:top w:val="single" w:color="auto" w:sz="4" w:space="0"/>
              <w:left w:val="single" w:color="auto" w:sz="4" w:space="0"/>
              <w:bottom w:val="single" w:color="auto" w:sz="12"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c>
          <w:tcPr>
            <w:tcW w:w="2471" w:type="dxa"/>
            <w:tcBorders>
              <w:top w:val="single" w:color="auto" w:sz="4" w:space="0"/>
              <w:left w:val="single" w:color="auto" w:sz="4" w:space="0"/>
              <w:bottom w:val="single" w:color="auto" w:sz="12"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c>
          <w:tcPr>
            <w:tcW w:w="1995" w:type="dxa"/>
            <w:tcBorders>
              <w:top w:val="single" w:color="auto" w:sz="4" w:space="0"/>
              <w:left w:val="single" w:color="auto" w:sz="4" w:space="0"/>
              <w:bottom w:val="single" w:color="auto" w:sz="12"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c>
          <w:tcPr>
            <w:tcW w:w="4620" w:type="dxa"/>
            <w:tcBorders>
              <w:top w:val="single" w:color="auto" w:sz="4" w:space="0"/>
              <w:left w:val="single" w:color="auto" w:sz="4" w:space="0"/>
              <w:bottom w:val="single" w:color="auto" w:sz="12" w:space="0"/>
              <w:right w:val="single" w:color="auto" w:sz="12"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r>
    </w:tbl>
    <w:p>
      <w:pPr>
        <w:shd w:val="clear" w:color="auto" w:fill="auto"/>
        <w:spacing w:line="360" w:lineRule="auto"/>
        <w:rPr>
          <w:rFonts w:hint="eastAsia" w:ascii="宋体" w:hAnsi="宋体" w:cs="宋体"/>
          <w:b/>
          <w:bCs/>
          <w:color w:val="000000"/>
          <w:sz w:val="24"/>
          <w:highlight w:val="none"/>
        </w:rPr>
      </w:pPr>
    </w:p>
    <w:p>
      <w:pPr>
        <w:shd w:val="clear" w:color="auto" w:fill="auto"/>
        <w:spacing w:line="360" w:lineRule="auto"/>
        <w:rPr>
          <w:rFonts w:hint="eastAsia" w:ascii="宋体" w:hAnsi="宋体" w:cs="宋体"/>
          <w:b/>
          <w:bCs/>
          <w:color w:val="000000"/>
          <w:sz w:val="24"/>
          <w:highlight w:val="none"/>
        </w:rPr>
      </w:pPr>
      <w:r>
        <w:rPr>
          <w:rFonts w:hint="eastAsia" w:ascii="宋体" w:hAnsi="宋体" w:cs="宋体"/>
          <w:b/>
          <w:bCs/>
          <w:color w:val="000000"/>
          <w:sz w:val="24"/>
          <w:highlight w:val="none"/>
        </w:rPr>
        <w:t xml:space="preserve">附：节能产品清单认证证书 </w:t>
      </w:r>
    </w:p>
    <w:p>
      <w:pPr>
        <w:shd w:val="clear" w:color="auto" w:fill="auto"/>
        <w:spacing w:line="360" w:lineRule="auto"/>
        <w:rPr>
          <w:rFonts w:hint="eastAsia" w:ascii="宋体" w:hAnsi="宋体" w:cs="宋体"/>
          <w:b/>
          <w:bCs/>
          <w:color w:val="000000"/>
          <w:sz w:val="24"/>
          <w:highlight w:val="none"/>
        </w:rPr>
      </w:pPr>
    </w:p>
    <w:p>
      <w:pPr>
        <w:shd w:val="clear" w:color="auto" w:fill="auto"/>
        <w:spacing w:line="360" w:lineRule="auto"/>
        <w:jc w:val="left"/>
        <w:rPr>
          <w:rFonts w:hint="eastAsia" w:ascii="宋体" w:hAnsi="宋体" w:cs="宋体"/>
          <w:b/>
          <w:color w:val="000000"/>
          <w:spacing w:val="6"/>
          <w:sz w:val="32"/>
          <w:szCs w:val="32"/>
          <w:highlight w:val="none"/>
        </w:rPr>
      </w:pPr>
      <w:r>
        <w:rPr>
          <w:rFonts w:hint="eastAsia" w:ascii="宋体" w:hAnsi="宋体" w:cs="宋体"/>
          <w:b/>
          <w:color w:val="000000"/>
          <w:spacing w:val="6"/>
          <w:sz w:val="32"/>
          <w:szCs w:val="32"/>
          <w:highlight w:val="none"/>
        </w:rPr>
        <w:t>附表5：政府采购环境标志产品表（复印件加盖公章）</w:t>
      </w:r>
    </w:p>
    <w:tbl>
      <w:tblPr>
        <w:tblStyle w:val="62"/>
        <w:tblW w:w="0" w:type="auto"/>
        <w:tblInd w:w="-837" w:type="dxa"/>
        <w:tblLayout w:type="fixed"/>
        <w:tblCellMar>
          <w:top w:w="0" w:type="dxa"/>
          <w:left w:w="108" w:type="dxa"/>
          <w:bottom w:w="0" w:type="dxa"/>
          <w:right w:w="108" w:type="dxa"/>
        </w:tblCellMar>
      </w:tblPr>
      <w:tblGrid>
        <w:gridCol w:w="714"/>
        <w:gridCol w:w="1218"/>
        <w:gridCol w:w="2457"/>
        <w:gridCol w:w="2100"/>
        <w:gridCol w:w="4410"/>
      </w:tblGrid>
      <w:tr>
        <w:tblPrEx>
          <w:tblCellMar>
            <w:top w:w="0" w:type="dxa"/>
            <w:left w:w="108" w:type="dxa"/>
            <w:bottom w:w="0" w:type="dxa"/>
            <w:right w:w="108" w:type="dxa"/>
          </w:tblCellMar>
        </w:tblPrEx>
        <w:trPr>
          <w:wBefore w:w="0" w:type="dxa"/>
          <w:trHeight w:val="714" w:hRule="atLeast"/>
        </w:trPr>
        <w:tc>
          <w:tcPr>
            <w:tcW w:w="714" w:type="dxa"/>
            <w:tcBorders>
              <w:top w:val="single" w:color="auto" w:sz="12" w:space="0"/>
              <w:left w:val="single" w:color="auto" w:sz="12"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序号</w:t>
            </w:r>
          </w:p>
        </w:tc>
        <w:tc>
          <w:tcPr>
            <w:tcW w:w="1218" w:type="dxa"/>
            <w:tcBorders>
              <w:top w:val="single" w:color="auto" w:sz="12" w:space="0"/>
              <w:left w:val="single" w:color="auto" w:sz="4"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产品型号</w:t>
            </w:r>
          </w:p>
        </w:tc>
        <w:tc>
          <w:tcPr>
            <w:tcW w:w="2457" w:type="dxa"/>
            <w:tcBorders>
              <w:top w:val="single" w:color="auto" w:sz="12" w:space="0"/>
              <w:left w:val="single" w:color="auto" w:sz="4"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环境标志产品认证证书号</w:t>
            </w:r>
          </w:p>
        </w:tc>
        <w:tc>
          <w:tcPr>
            <w:tcW w:w="2100" w:type="dxa"/>
            <w:tcBorders>
              <w:top w:val="single" w:color="auto" w:sz="12" w:space="0"/>
              <w:left w:val="single" w:color="auto" w:sz="4"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color w:val="000000"/>
                <w:sz w:val="24"/>
                <w:highlight w:val="none"/>
              </w:rPr>
              <w:t>环境标志产品认证证书有效截止日期</w:t>
            </w:r>
          </w:p>
        </w:tc>
        <w:tc>
          <w:tcPr>
            <w:tcW w:w="4410" w:type="dxa"/>
            <w:tcBorders>
              <w:top w:val="single" w:color="auto" w:sz="12" w:space="0"/>
              <w:left w:val="single" w:color="auto" w:sz="4" w:space="0"/>
              <w:bottom w:val="single" w:color="auto" w:sz="4" w:space="0"/>
              <w:right w:val="single" w:color="auto" w:sz="12" w:space="0"/>
            </w:tcBorders>
            <w:noWrap w:val="0"/>
            <w:vAlign w:val="center"/>
          </w:tcPr>
          <w:p>
            <w:pPr>
              <w:shd w:val="clear" w:color="auto" w:fill="auto"/>
              <w:spacing w:line="360" w:lineRule="auto"/>
              <w:jc w:val="center"/>
              <w:rPr>
                <w:rFonts w:hint="eastAsia" w:ascii="宋体" w:hAnsi="宋体" w:cs="宋体"/>
                <w:color w:val="000000"/>
                <w:sz w:val="24"/>
                <w:highlight w:val="none"/>
              </w:rPr>
            </w:pPr>
            <w:r>
              <w:rPr>
                <w:rFonts w:hint="eastAsia" w:ascii="宋体" w:hAnsi="宋体" w:cs="宋体"/>
                <w:b/>
                <w:color w:val="000000"/>
                <w:sz w:val="24"/>
                <w:highlight w:val="none"/>
              </w:rPr>
              <w:t>节能产品政府采购品目清单中的序号</w:t>
            </w:r>
          </w:p>
        </w:tc>
      </w:tr>
      <w:tr>
        <w:tblPrEx>
          <w:tblCellMar>
            <w:top w:w="0" w:type="dxa"/>
            <w:left w:w="108" w:type="dxa"/>
            <w:bottom w:w="0" w:type="dxa"/>
            <w:right w:w="108" w:type="dxa"/>
          </w:tblCellMar>
        </w:tblPrEx>
        <w:trPr>
          <w:wBefore w:w="0" w:type="dxa"/>
          <w:trHeight w:val="637" w:hRule="atLeast"/>
        </w:trPr>
        <w:tc>
          <w:tcPr>
            <w:tcW w:w="714" w:type="dxa"/>
            <w:tcBorders>
              <w:top w:val="single" w:color="auto" w:sz="4" w:space="0"/>
              <w:left w:val="single" w:color="auto" w:sz="12"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c>
          <w:tcPr>
            <w:tcW w:w="1218"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c>
          <w:tcPr>
            <w:tcW w:w="2457"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c>
          <w:tcPr>
            <w:tcW w:w="2100"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c>
          <w:tcPr>
            <w:tcW w:w="4410" w:type="dxa"/>
            <w:tcBorders>
              <w:top w:val="single" w:color="auto" w:sz="4" w:space="0"/>
              <w:left w:val="single" w:color="auto" w:sz="4" w:space="0"/>
              <w:bottom w:val="single" w:color="auto" w:sz="4" w:space="0"/>
              <w:right w:val="single" w:color="auto" w:sz="12"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r>
      <w:tr>
        <w:tblPrEx>
          <w:tblCellMar>
            <w:top w:w="0" w:type="dxa"/>
            <w:left w:w="108" w:type="dxa"/>
            <w:bottom w:w="0" w:type="dxa"/>
            <w:right w:w="108" w:type="dxa"/>
          </w:tblCellMar>
        </w:tblPrEx>
        <w:trPr>
          <w:wBefore w:w="0" w:type="dxa"/>
          <w:trHeight w:val="617" w:hRule="atLeast"/>
        </w:trPr>
        <w:tc>
          <w:tcPr>
            <w:tcW w:w="714" w:type="dxa"/>
            <w:tcBorders>
              <w:top w:val="single" w:color="auto" w:sz="4" w:space="0"/>
              <w:left w:val="single" w:color="auto" w:sz="12"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c>
          <w:tcPr>
            <w:tcW w:w="1218"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c>
          <w:tcPr>
            <w:tcW w:w="2457"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c>
          <w:tcPr>
            <w:tcW w:w="2100"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c>
          <w:tcPr>
            <w:tcW w:w="4410" w:type="dxa"/>
            <w:tcBorders>
              <w:top w:val="single" w:color="auto" w:sz="4" w:space="0"/>
              <w:left w:val="single" w:color="auto" w:sz="4" w:space="0"/>
              <w:bottom w:val="single" w:color="auto" w:sz="4" w:space="0"/>
              <w:right w:val="single" w:color="auto" w:sz="12"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r>
      <w:tr>
        <w:tblPrEx>
          <w:tblCellMar>
            <w:top w:w="0" w:type="dxa"/>
            <w:left w:w="108" w:type="dxa"/>
            <w:bottom w:w="0" w:type="dxa"/>
            <w:right w:w="108" w:type="dxa"/>
          </w:tblCellMar>
        </w:tblPrEx>
        <w:trPr>
          <w:wBefore w:w="0" w:type="dxa"/>
          <w:trHeight w:val="617" w:hRule="atLeast"/>
        </w:trPr>
        <w:tc>
          <w:tcPr>
            <w:tcW w:w="714" w:type="dxa"/>
            <w:tcBorders>
              <w:top w:val="single" w:color="auto" w:sz="4" w:space="0"/>
              <w:left w:val="single" w:color="auto" w:sz="12" w:space="0"/>
              <w:bottom w:val="single" w:color="auto" w:sz="12"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c>
          <w:tcPr>
            <w:tcW w:w="1218" w:type="dxa"/>
            <w:tcBorders>
              <w:top w:val="single" w:color="auto" w:sz="4" w:space="0"/>
              <w:left w:val="single" w:color="auto" w:sz="4" w:space="0"/>
              <w:bottom w:val="single" w:color="auto" w:sz="12"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c>
          <w:tcPr>
            <w:tcW w:w="2457" w:type="dxa"/>
            <w:tcBorders>
              <w:top w:val="single" w:color="auto" w:sz="4" w:space="0"/>
              <w:left w:val="single" w:color="auto" w:sz="4" w:space="0"/>
              <w:bottom w:val="single" w:color="auto" w:sz="12"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c>
          <w:tcPr>
            <w:tcW w:w="2100" w:type="dxa"/>
            <w:tcBorders>
              <w:top w:val="single" w:color="auto" w:sz="4" w:space="0"/>
              <w:left w:val="single" w:color="auto" w:sz="4" w:space="0"/>
              <w:bottom w:val="single" w:color="auto" w:sz="12" w:space="0"/>
              <w:right w:val="single" w:color="auto" w:sz="4"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c>
          <w:tcPr>
            <w:tcW w:w="4410" w:type="dxa"/>
            <w:tcBorders>
              <w:top w:val="single" w:color="auto" w:sz="4" w:space="0"/>
              <w:left w:val="single" w:color="auto" w:sz="4" w:space="0"/>
              <w:bottom w:val="single" w:color="auto" w:sz="12" w:space="0"/>
              <w:right w:val="single" w:color="auto" w:sz="12" w:space="0"/>
            </w:tcBorders>
            <w:noWrap w:val="0"/>
            <w:vAlign w:val="center"/>
          </w:tcPr>
          <w:p>
            <w:pPr>
              <w:shd w:val="clear" w:color="auto" w:fill="auto"/>
              <w:spacing w:line="360" w:lineRule="auto"/>
              <w:jc w:val="center"/>
              <w:rPr>
                <w:rFonts w:hint="eastAsia" w:ascii="宋体" w:hAnsi="宋体" w:cs="宋体"/>
                <w:color w:val="000000"/>
                <w:sz w:val="24"/>
                <w:highlight w:val="none"/>
              </w:rPr>
            </w:pPr>
          </w:p>
        </w:tc>
      </w:tr>
    </w:tbl>
    <w:p>
      <w:pPr>
        <w:shd w:val="clear" w:color="auto" w:fill="auto"/>
        <w:autoSpaceDE w:val="0"/>
        <w:autoSpaceDN w:val="0"/>
        <w:spacing w:line="360" w:lineRule="auto"/>
        <w:rPr>
          <w:rFonts w:hint="eastAsia" w:ascii="宋体" w:hAnsi="宋体" w:cs="宋体"/>
          <w:b/>
          <w:color w:val="000000"/>
          <w:kern w:val="0"/>
          <w:sz w:val="24"/>
          <w:highlight w:val="none"/>
        </w:rPr>
      </w:pPr>
    </w:p>
    <w:p>
      <w:pPr>
        <w:shd w:val="clear" w:color="auto" w:fill="auto"/>
        <w:autoSpaceDE w:val="0"/>
        <w:autoSpaceDN w:val="0"/>
        <w:spacing w:line="360" w:lineRule="auto"/>
        <w:rPr>
          <w:rFonts w:hint="eastAsia" w:ascii="宋体" w:hAnsi="宋体" w:cs="宋体"/>
          <w:b/>
          <w:color w:val="000000"/>
          <w:kern w:val="0"/>
          <w:sz w:val="24"/>
          <w:highlight w:val="none"/>
        </w:rPr>
      </w:pPr>
      <w:r>
        <w:rPr>
          <w:rFonts w:hint="eastAsia" w:ascii="宋体" w:hAnsi="宋体" w:cs="宋体"/>
          <w:b/>
          <w:color w:val="000000"/>
          <w:kern w:val="0"/>
          <w:sz w:val="24"/>
          <w:highlight w:val="none"/>
        </w:rPr>
        <w:t>附：环境标志产品认证证书</w:t>
      </w:r>
    </w:p>
    <w:p>
      <w:pPr>
        <w:shd w:val="clear" w:color="auto" w:fill="auto"/>
        <w:autoSpaceDE w:val="0"/>
        <w:autoSpaceDN w:val="0"/>
        <w:spacing w:line="360" w:lineRule="auto"/>
        <w:rPr>
          <w:rFonts w:hint="eastAsia" w:ascii="宋体" w:hAnsi="宋体" w:cs="宋体"/>
          <w:color w:val="000000"/>
          <w:kern w:val="0"/>
          <w:sz w:val="24"/>
          <w:highlight w:val="none"/>
        </w:rPr>
      </w:pPr>
    </w:p>
    <w:p>
      <w:pPr>
        <w:shd w:val="clear" w:color="auto" w:fill="auto"/>
        <w:autoSpaceDE w:val="0"/>
        <w:autoSpaceDN w:val="0"/>
        <w:spacing w:line="360" w:lineRule="auto"/>
        <w:ind w:firstLine="4560" w:firstLineChars="1900"/>
        <w:rPr>
          <w:rFonts w:hint="eastAsia" w:ascii="宋体" w:hAnsi="宋体" w:cs="宋体"/>
          <w:color w:val="000000"/>
          <w:kern w:val="0"/>
          <w:sz w:val="24"/>
          <w:highlight w:val="none"/>
        </w:rPr>
      </w:pPr>
      <w:r>
        <w:rPr>
          <w:rFonts w:hint="eastAsia" w:ascii="宋体" w:hAnsi="宋体" w:cs="宋体"/>
          <w:color w:val="000000"/>
          <w:kern w:val="0"/>
          <w:sz w:val="24"/>
          <w:highlight w:val="none"/>
        </w:rPr>
        <w:t xml:space="preserve">供应商名称（公章）：                       </w:t>
      </w:r>
    </w:p>
    <w:p>
      <w:pPr>
        <w:shd w:val="clear" w:color="auto" w:fill="auto"/>
        <w:autoSpaceDE w:val="0"/>
        <w:autoSpaceDN w:val="0"/>
        <w:spacing w:line="360" w:lineRule="auto"/>
        <w:rPr>
          <w:rFonts w:hint="eastAsia" w:ascii="宋体" w:hAnsi="宋体" w:cs="宋体"/>
          <w:color w:val="000000"/>
          <w:kern w:val="0"/>
          <w:sz w:val="24"/>
          <w:highlight w:val="none"/>
        </w:rPr>
      </w:pPr>
      <w:r>
        <w:rPr>
          <w:rFonts w:hint="eastAsia" w:ascii="宋体" w:hAnsi="宋体" w:cs="宋体"/>
          <w:color w:val="000000"/>
          <w:kern w:val="0"/>
          <w:sz w:val="24"/>
          <w:highlight w:val="none"/>
        </w:rPr>
        <w:t xml:space="preserve">                                                       </w:t>
      </w:r>
    </w:p>
    <w:p>
      <w:pPr>
        <w:shd w:val="clear" w:color="auto" w:fill="auto"/>
        <w:spacing w:line="360" w:lineRule="auto"/>
        <w:rPr>
          <w:rFonts w:hint="eastAsia" w:ascii="宋体" w:hAnsi="宋体" w:cs="宋体"/>
          <w:bCs/>
          <w:color w:val="000000"/>
          <w:sz w:val="24"/>
          <w:highlight w:val="none"/>
        </w:rPr>
      </w:pPr>
      <w:r>
        <w:rPr>
          <w:rFonts w:hint="eastAsia" w:ascii="宋体" w:hAnsi="宋体" w:cs="宋体"/>
          <w:color w:val="000000"/>
          <w:kern w:val="0"/>
          <w:sz w:val="24"/>
          <w:highlight w:val="none"/>
        </w:rPr>
        <w:t xml:space="preserve">                                      日期：   年  月   日</w:t>
      </w:r>
    </w:p>
    <w:p>
      <w:pPr>
        <w:shd w:val="clear" w:color="auto" w:fill="auto"/>
        <w:spacing w:line="360" w:lineRule="auto"/>
        <w:rPr>
          <w:rFonts w:hint="eastAsia" w:ascii="宋体" w:hAnsi="宋体" w:cs="宋体"/>
          <w:b/>
          <w:color w:val="000000"/>
          <w:sz w:val="24"/>
          <w:highlight w:val="none"/>
        </w:rPr>
      </w:pPr>
    </w:p>
    <w:p>
      <w:pPr>
        <w:pStyle w:val="24"/>
        <w:shd w:val="clear" w:color="auto" w:fill="auto"/>
        <w:ind w:firstLine="482"/>
        <w:rPr>
          <w:rFonts w:hint="eastAsia" w:cs="宋体"/>
          <w:b/>
          <w:color w:val="000000"/>
          <w:highlight w:val="none"/>
        </w:rPr>
      </w:pPr>
    </w:p>
    <w:p>
      <w:pPr>
        <w:pStyle w:val="24"/>
        <w:shd w:val="clear" w:color="auto" w:fill="auto"/>
        <w:ind w:firstLine="482"/>
        <w:rPr>
          <w:rFonts w:hint="eastAsia" w:cs="宋体"/>
          <w:b/>
          <w:color w:val="000000"/>
          <w:highlight w:val="none"/>
        </w:rPr>
      </w:pPr>
    </w:p>
    <w:p>
      <w:pPr>
        <w:pStyle w:val="24"/>
        <w:shd w:val="clear" w:color="auto" w:fill="auto"/>
        <w:ind w:firstLine="482"/>
        <w:rPr>
          <w:rFonts w:hint="eastAsia" w:cs="宋体"/>
          <w:b/>
          <w:color w:val="000000"/>
          <w:highlight w:val="none"/>
        </w:rPr>
      </w:pPr>
    </w:p>
    <w:p>
      <w:pPr>
        <w:pStyle w:val="24"/>
        <w:shd w:val="clear" w:color="auto" w:fill="auto"/>
        <w:ind w:firstLine="482"/>
        <w:rPr>
          <w:rFonts w:hint="eastAsia" w:cs="宋体"/>
          <w:b/>
          <w:color w:val="000000"/>
          <w:highlight w:val="none"/>
        </w:rPr>
      </w:pPr>
    </w:p>
    <w:p>
      <w:pPr>
        <w:shd w:val="clear" w:color="auto" w:fill="auto"/>
        <w:jc w:val="center"/>
        <w:rPr>
          <w:rFonts w:hint="eastAsia" w:ascii="宋体" w:hAnsi="宋体" w:cs="宋体"/>
          <w:b/>
          <w:color w:val="000000"/>
          <w:sz w:val="24"/>
          <w:highlight w:val="none"/>
        </w:rPr>
      </w:pPr>
    </w:p>
    <w:p>
      <w:pPr>
        <w:shd w:val="clear" w:color="auto" w:fill="auto"/>
        <w:jc w:val="left"/>
        <w:rPr>
          <w:rFonts w:hint="eastAsia" w:ascii="宋体" w:hAnsi="宋体" w:cs="宋体"/>
          <w:color w:val="000000"/>
          <w:sz w:val="40"/>
          <w:highlight w:val="none"/>
        </w:rPr>
      </w:pPr>
      <w:r>
        <w:rPr>
          <w:rFonts w:hint="eastAsia" w:ascii="宋体" w:hAnsi="宋体" w:cs="宋体"/>
          <w:b/>
          <w:color w:val="000000"/>
          <w:spacing w:val="6"/>
          <w:sz w:val="32"/>
          <w:szCs w:val="32"/>
          <w:highlight w:val="none"/>
        </w:rPr>
        <w:t>附件6</w:t>
      </w:r>
    </w:p>
    <w:p>
      <w:pPr>
        <w:shd w:val="clear" w:color="auto" w:fill="auto"/>
        <w:jc w:val="center"/>
        <w:rPr>
          <w:rFonts w:hint="eastAsia" w:ascii="宋体" w:hAnsi="宋体" w:cs="宋体"/>
          <w:color w:val="000000"/>
          <w:sz w:val="30"/>
          <w:szCs w:val="30"/>
          <w:highlight w:val="none"/>
        </w:rPr>
      </w:pPr>
      <w:r>
        <w:rPr>
          <w:rFonts w:hint="eastAsia" w:ascii="宋体" w:hAnsi="宋体" w:cs="宋体"/>
          <w:color w:val="000000"/>
          <w:sz w:val="30"/>
          <w:szCs w:val="30"/>
          <w:highlight w:val="none"/>
        </w:rPr>
        <w:t xml:space="preserve">样品或演示 </w:t>
      </w:r>
    </w:p>
    <w:p>
      <w:pPr>
        <w:shd w:val="clear" w:color="auto" w:fill="auto"/>
        <w:jc w:val="center"/>
        <w:rPr>
          <w:rFonts w:hint="eastAsia" w:ascii="宋体" w:hAnsi="宋体" w:cs="宋体"/>
          <w:color w:val="000000"/>
          <w:sz w:val="30"/>
          <w:szCs w:val="30"/>
          <w:highlight w:val="none"/>
        </w:rPr>
      </w:pPr>
      <w:r>
        <w:rPr>
          <w:rFonts w:hint="eastAsia" w:ascii="宋体" w:hAnsi="宋体" w:cs="宋体"/>
          <w:color w:val="000000"/>
          <w:sz w:val="30"/>
          <w:szCs w:val="30"/>
          <w:highlight w:val="none"/>
        </w:rPr>
        <w:t>授权委托书</w:t>
      </w:r>
    </w:p>
    <w:p>
      <w:pPr>
        <w:shd w:val="clear" w:color="auto" w:fill="auto"/>
        <w:snapToGrid w:val="0"/>
        <w:spacing w:line="360" w:lineRule="auto"/>
        <w:rPr>
          <w:rFonts w:hint="eastAsia" w:ascii="宋体" w:hAnsi="宋体" w:cs="宋体"/>
          <w:color w:val="000000"/>
          <w:sz w:val="24"/>
          <w:highlight w:val="none"/>
        </w:rPr>
      </w:pPr>
    </w:p>
    <w:p>
      <w:pPr>
        <w:shd w:val="clear" w:color="auto" w:fill="auto"/>
        <w:snapToGrid w:val="0"/>
        <w:spacing w:line="360" w:lineRule="auto"/>
        <w:rPr>
          <w:rFonts w:hint="eastAsia" w:ascii="宋体" w:hAnsi="宋体" w:cs="宋体"/>
          <w:color w:val="000000"/>
          <w:kern w:val="0"/>
          <w:sz w:val="24"/>
          <w:highlight w:val="none"/>
        </w:rPr>
      </w:pPr>
      <w:r>
        <w:rPr>
          <w:rFonts w:hint="eastAsia" w:ascii="宋体" w:hAnsi="宋体" w:cs="宋体"/>
          <w:color w:val="000000"/>
          <w:sz w:val="24"/>
          <w:highlight w:val="none"/>
        </w:rPr>
        <w:t>XXX（单位名称或采购机构名称）</w:t>
      </w:r>
      <w:r>
        <w:rPr>
          <w:rFonts w:hint="eastAsia" w:ascii="宋体" w:hAnsi="宋体" w:cs="宋体"/>
          <w:color w:val="000000"/>
          <w:kern w:val="0"/>
          <w:sz w:val="24"/>
          <w:highlight w:val="none"/>
          <w:lang w:val="zh-CN"/>
        </w:rPr>
        <w:t>：</w:t>
      </w:r>
    </w:p>
    <w:p>
      <w:pPr>
        <w:shd w:val="clear" w:color="auto" w:fill="auto"/>
        <w:snapToGrid w:val="0"/>
        <w:spacing w:line="360" w:lineRule="auto"/>
        <w:ind w:left="254" w:leftChars="121" w:firstLine="480" w:firstLineChars="200"/>
        <w:jc w:val="left"/>
        <w:rPr>
          <w:rFonts w:hint="eastAsia" w:ascii="宋体" w:hAnsi="宋体" w:cs="宋体"/>
          <w:color w:val="000000"/>
          <w:kern w:val="0"/>
          <w:sz w:val="24"/>
          <w:highlight w:val="none"/>
          <w:u w:val="single"/>
          <w:lang w:val="zh-CN"/>
        </w:rPr>
      </w:pPr>
      <w:r>
        <w:rPr>
          <w:rFonts w:hint="eastAsia" w:ascii="宋体" w:hAnsi="宋体" w:cs="宋体"/>
          <w:color w:val="000000"/>
          <w:kern w:val="0"/>
          <w:sz w:val="24"/>
          <w:highlight w:val="none"/>
          <w:lang w:val="zh-CN"/>
        </w:rPr>
        <w:t>兹委派</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先生/女士，身份证号：</w:t>
      </w:r>
      <w:r>
        <w:rPr>
          <w:rFonts w:hint="eastAsia" w:ascii="宋体" w:hAnsi="宋体" w:cs="宋体"/>
          <w:color w:val="000000"/>
          <w:kern w:val="0"/>
          <w:sz w:val="24"/>
          <w:highlight w:val="none"/>
          <w:u w:val="single"/>
          <w:lang w:val="zh-CN"/>
        </w:rPr>
        <w:t xml:space="preserve">                   </w:t>
      </w:r>
    </w:p>
    <w:p>
      <w:pPr>
        <w:shd w:val="clear" w:color="auto" w:fill="auto"/>
        <w:snapToGrid w:val="0"/>
        <w:spacing w:line="360" w:lineRule="auto"/>
        <w:ind w:left="254" w:leftChars="121"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lang w:val="zh-CN"/>
        </w:rPr>
        <w:t>手机：</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，代表我公司前来</w:t>
      </w:r>
      <w:r>
        <w:rPr>
          <w:rFonts w:hint="eastAsia" w:ascii="宋体" w:hAnsi="宋体" w:cs="宋体"/>
          <w:color w:val="000000"/>
          <w:kern w:val="0"/>
          <w:sz w:val="24"/>
          <w:highlight w:val="none"/>
        </w:rPr>
        <w:t>参与</w:t>
      </w:r>
      <w:r>
        <w:rPr>
          <w:rFonts w:hint="eastAsia" w:ascii="宋体" w:hAnsi="宋体" w:cs="宋体"/>
          <w:color w:val="000000"/>
          <w:kern w:val="0"/>
          <w:sz w:val="24"/>
          <w:highlight w:val="none"/>
          <w:u w:val="single"/>
          <w:lang w:val="zh-CN"/>
        </w:rPr>
        <w:t xml:space="preserve">                           采购项目</w:t>
      </w:r>
      <w:r>
        <w:rPr>
          <w:rFonts w:hint="eastAsia" w:ascii="宋体" w:hAnsi="宋体" w:cs="宋体"/>
          <w:color w:val="000000"/>
          <w:kern w:val="0"/>
          <w:sz w:val="24"/>
          <w:highlight w:val="none"/>
          <w:lang w:val="zh-CN"/>
        </w:rPr>
        <w:t>【项目编号：              】</w:t>
      </w:r>
      <w:r>
        <w:rPr>
          <w:rFonts w:hint="eastAsia" w:ascii="宋体" w:hAnsi="宋体" w:cs="宋体"/>
          <w:color w:val="000000"/>
          <w:kern w:val="0"/>
          <w:sz w:val="24"/>
          <w:highlight w:val="none"/>
        </w:rPr>
        <w:t>的</w:t>
      </w:r>
      <w:r>
        <w:rPr>
          <w:rFonts w:hint="eastAsia" w:ascii="宋体" w:hAnsi="宋体" w:cs="宋体"/>
          <w:color w:val="000000"/>
          <w:kern w:val="0"/>
          <w:sz w:val="24"/>
          <w:highlight w:val="none"/>
          <w:u w:val="single"/>
        </w:rPr>
        <w:t xml:space="preserve"> 递交</w:t>
      </w:r>
      <w:r>
        <w:rPr>
          <w:rFonts w:hint="eastAsia" w:ascii="宋体" w:hAnsi="宋体" w:cs="宋体"/>
          <w:color w:val="000000"/>
          <w:kern w:val="0"/>
          <w:sz w:val="24"/>
          <w:highlight w:val="none"/>
          <w:u w:val="single"/>
          <w:lang w:val="zh-CN"/>
        </w:rPr>
        <w:t>样品</w:t>
      </w:r>
      <w:r>
        <w:rPr>
          <w:rFonts w:hint="eastAsia" w:ascii="宋体" w:hAnsi="宋体" w:cs="宋体"/>
          <w:color w:val="000000"/>
          <w:kern w:val="0"/>
          <w:sz w:val="24"/>
          <w:highlight w:val="none"/>
          <w:u w:val="single"/>
        </w:rPr>
        <w:t xml:space="preserve"> </w:t>
      </w:r>
      <w:r>
        <w:rPr>
          <w:rFonts w:hint="eastAsia" w:ascii="宋体" w:hAnsi="宋体" w:cs="宋体"/>
          <w:color w:val="000000"/>
          <w:kern w:val="0"/>
          <w:sz w:val="24"/>
          <w:highlight w:val="none"/>
          <w:lang w:val="zh-CN"/>
        </w:rPr>
        <w:t>或</w:t>
      </w:r>
      <w:r>
        <w:rPr>
          <w:rFonts w:hint="eastAsia" w:ascii="宋体" w:hAnsi="宋体" w:cs="宋体"/>
          <w:color w:val="000000"/>
          <w:kern w:val="0"/>
          <w:sz w:val="24"/>
          <w:highlight w:val="none"/>
          <w:u w:val="single"/>
        </w:rPr>
        <w:t xml:space="preserve"> </w:t>
      </w:r>
      <w:r>
        <w:rPr>
          <w:rFonts w:hint="eastAsia" w:ascii="宋体" w:hAnsi="宋体" w:cs="宋体"/>
          <w:color w:val="000000"/>
          <w:kern w:val="0"/>
          <w:sz w:val="24"/>
          <w:highlight w:val="none"/>
          <w:u w:val="single"/>
          <w:lang w:val="zh-CN"/>
        </w:rPr>
        <w:t>参加演示</w:t>
      </w:r>
      <w:r>
        <w:rPr>
          <w:rFonts w:hint="eastAsia" w:ascii="宋体" w:hAnsi="宋体" w:cs="宋体"/>
          <w:color w:val="000000"/>
          <w:kern w:val="0"/>
          <w:sz w:val="24"/>
          <w:highlight w:val="none"/>
          <w:lang w:val="zh-CN"/>
        </w:rPr>
        <w:t>，并全权负责标后取回样品等其他处理事宜。</w:t>
      </w:r>
    </w:p>
    <w:p>
      <w:pPr>
        <w:shd w:val="clear" w:color="auto" w:fill="auto"/>
        <w:snapToGrid w:val="0"/>
        <w:spacing w:line="360" w:lineRule="auto"/>
        <w:jc w:val="left"/>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w:t>
      </w:r>
    </w:p>
    <w:p>
      <w:pPr>
        <w:shd w:val="clear" w:color="auto" w:fill="auto"/>
        <w:snapToGrid w:val="0"/>
        <w:spacing w:line="360" w:lineRule="auto"/>
        <w:rPr>
          <w:rFonts w:hint="eastAsia" w:ascii="宋体" w:hAnsi="宋体" w:cs="宋体"/>
          <w:color w:val="000000"/>
          <w:kern w:val="0"/>
          <w:sz w:val="24"/>
          <w:highlight w:val="none"/>
        </w:rPr>
      </w:pPr>
      <w:r>
        <w:rPr>
          <w:rFonts w:hint="eastAsia" w:ascii="宋体" w:hAnsi="宋体" w:cs="宋体"/>
          <w:color w:val="000000"/>
          <w:kern w:val="0"/>
          <w:sz w:val="24"/>
          <w:highlight w:val="none"/>
          <w:lang w:val="zh-CN"/>
        </w:rPr>
        <w:t xml:space="preserve">    特此告知。</w:t>
      </w:r>
    </w:p>
    <w:p>
      <w:pPr>
        <w:shd w:val="clear" w:color="auto" w:fill="auto"/>
        <w:snapToGrid w:val="0"/>
        <w:spacing w:line="360" w:lineRule="auto"/>
        <w:rPr>
          <w:rFonts w:hint="eastAsia" w:ascii="宋体" w:hAnsi="宋体" w:cs="宋体"/>
          <w:color w:val="000000"/>
          <w:kern w:val="0"/>
          <w:sz w:val="24"/>
          <w:highlight w:val="none"/>
        </w:rPr>
      </w:pPr>
      <w:r>
        <w:rPr>
          <w:rFonts w:hint="eastAsia" w:ascii="宋体" w:hAnsi="宋体" w:cs="宋体"/>
          <w:color w:val="000000"/>
          <w:kern w:val="0"/>
          <w:sz w:val="24"/>
          <w:highlight w:val="none"/>
          <w:lang w:val="zh-CN"/>
        </w:rPr>
        <w:t xml:space="preserve">                                                  投标人名称(公章)：</w:t>
      </w:r>
    </w:p>
    <w:p>
      <w:pPr>
        <w:shd w:val="clear" w:color="auto" w:fill="auto"/>
        <w:snapToGrid w:val="0"/>
        <w:spacing w:line="360" w:lineRule="auto"/>
        <w:rPr>
          <w:rFonts w:hint="eastAsia" w:ascii="宋体" w:hAnsi="宋体" w:cs="宋体"/>
          <w:color w:val="000000"/>
          <w:kern w:val="0"/>
          <w:sz w:val="24"/>
          <w:highlight w:val="none"/>
        </w:rPr>
      </w:pPr>
      <w:r>
        <w:rPr>
          <w:rFonts w:hint="eastAsia" w:ascii="宋体" w:hAnsi="宋体" w:cs="宋体"/>
          <w:color w:val="000000"/>
          <w:kern w:val="0"/>
          <w:sz w:val="24"/>
          <w:highlight w:val="none"/>
          <w:lang w:val="zh-CN"/>
        </w:rPr>
        <w:t xml:space="preserve">                                                  </w:t>
      </w:r>
    </w:p>
    <w:p>
      <w:pPr>
        <w:shd w:val="clear" w:color="auto" w:fill="auto"/>
        <w:snapToGrid w:val="0"/>
        <w:spacing w:line="360" w:lineRule="auto"/>
        <w:ind w:right="240"/>
        <w:jc w:val="right"/>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签发日期：  年  月   日</w:t>
      </w:r>
    </w:p>
    <w:p>
      <w:pPr>
        <w:shd w:val="clear" w:color="auto" w:fill="auto"/>
        <w:snapToGrid w:val="0"/>
        <w:spacing w:line="360" w:lineRule="auto"/>
        <w:ind w:right="240"/>
        <w:jc w:val="left"/>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身份证复印件：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2" w:hRule="atLeast"/>
          <w:jc w:val="center"/>
        </w:trPr>
        <w:tc>
          <w:tcPr>
            <w:tcW w:w="9207" w:type="dxa"/>
            <w:noWrap w:val="0"/>
            <w:vAlign w:val="top"/>
          </w:tcPr>
          <w:p>
            <w:pPr>
              <w:pStyle w:val="258"/>
              <w:shd w:val="clear" w:color="auto" w:fill="auto"/>
              <w:spacing w:line="360" w:lineRule="auto"/>
              <w:rPr>
                <w:rFonts w:hint="eastAsia" w:hAnsi="宋体" w:cs="宋体"/>
                <w:bCs/>
                <w:color w:val="000000"/>
                <w:sz w:val="24"/>
                <w:highlight w:val="none"/>
                <w:lang w:eastAsia="zh-CN"/>
              </w:rPr>
            </w:pPr>
            <w:r>
              <w:rPr>
                <w:rFonts w:hint="eastAsia" w:hAnsi="宋体" w:cs="宋体"/>
                <w:bCs/>
                <w:color w:val="000000"/>
                <w:sz w:val="24"/>
                <w:highlight w:val="none"/>
                <w:lang w:eastAsia="zh-CN"/>
              </w:rPr>
              <w:t>正面：                                 反面：</w:t>
            </w:r>
          </w:p>
          <w:p>
            <w:pPr>
              <w:pStyle w:val="258"/>
              <w:shd w:val="clear" w:color="auto" w:fill="auto"/>
              <w:spacing w:line="360" w:lineRule="auto"/>
              <w:rPr>
                <w:rFonts w:hint="eastAsia" w:hAnsi="宋体" w:cs="宋体"/>
                <w:bCs/>
                <w:color w:val="000000"/>
                <w:sz w:val="24"/>
                <w:highlight w:val="none"/>
                <w:lang w:eastAsia="zh-CN"/>
              </w:rPr>
            </w:pPr>
          </w:p>
        </w:tc>
      </w:tr>
    </w:tbl>
    <w:p>
      <w:pPr>
        <w:shd w:val="clear" w:color="auto" w:fill="auto"/>
        <w:snapToGrid w:val="0"/>
        <w:spacing w:line="360" w:lineRule="auto"/>
        <w:ind w:right="240"/>
        <w:jc w:val="left"/>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注</w:t>
      </w:r>
      <w:r>
        <w:rPr>
          <w:rFonts w:hint="eastAsia" w:ascii="宋体" w:hAnsi="宋体" w:cs="宋体"/>
          <w:b/>
          <w:bCs/>
          <w:color w:val="000000"/>
          <w:kern w:val="0"/>
          <w:sz w:val="24"/>
          <w:highlight w:val="none"/>
          <w:lang w:val="zh-CN"/>
        </w:rPr>
        <w:t>：在有样品或演示时，由受委托人携带身份证</w:t>
      </w:r>
      <w:r>
        <w:rPr>
          <w:rFonts w:hint="eastAsia" w:ascii="宋体" w:hAnsi="宋体" w:cs="宋体"/>
          <w:b/>
          <w:bCs/>
          <w:color w:val="000000"/>
          <w:kern w:val="0"/>
          <w:sz w:val="24"/>
          <w:highlight w:val="none"/>
        </w:rPr>
        <w:t>原件及</w:t>
      </w:r>
      <w:r>
        <w:rPr>
          <w:rFonts w:hint="eastAsia" w:ascii="宋体" w:hAnsi="宋体" w:cs="宋体"/>
          <w:b/>
          <w:bCs/>
          <w:color w:val="000000"/>
          <w:kern w:val="0"/>
          <w:sz w:val="24"/>
          <w:highlight w:val="none"/>
          <w:lang w:val="zh-CN"/>
        </w:rPr>
        <w:t>本委托书至指定地点。</w:t>
      </w:r>
      <w:r>
        <w:rPr>
          <w:rFonts w:hint="eastAsia" w:ascii="宋体" w:hAnsi="宋体" w:cs="宋体"/>
          <w:b/>
          <w:bCs/>
          <w:color w:val="000000"/>
          <w:kern w:val="0"/>
          <w:sz w:val="24"/>
          <w:highlight w:val="none"/>
        </w:rPr>
        <w:t xml:space="preserve">        </w:t>
      </w:r>
    </w:p>
    <w:sectPr>
      <w:headerReference r:id="rId15" w:type="first"/>
      <w:footerReference r:id="rId18" w:type="first"/>
      <w:headerReference r:id="rId14" w:type="default"/>
      <w:footerReference r:id="rId16" w:type="default"/>
      <w:footerReference r:id="rId17" w:type="even"/>
      <w:pgSz w:w="11906" w:h="16838"/>
      <w:pgMar w:top="1247" w:right="1418" w:bottom="1276"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1" w:usb1="080E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Helvetica">
    <w:altName w:val="Arial"/>
    <w:panose1 w:val="020B0604020202020204"/>
    <w:charset w:val="00"/>
    <w:family w:val="swiss"/>
    <w:pitch w:val="default"/>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1" w:usb1="080E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MS Sans Serif">
    <w:altName w:val="Arial"/>
    <w:panose1 w:val="00000000000000000000"/>
    <w:charset w:val="00"/>
    <w:family w:val="swiss"/>
    <w:pitch w:val="default"/>
    <w:sig w:usb0="00000003"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Lucida Sans">
    <w:panose1 w:val="020B0602030504020204"/>
    <w:charset w:val="00"/>
    <w:family w:val="swiss"/>
    <w:pitch w:val="default"/>
    <w:sig w:usb0="00000003" w:usb1="00000000" w:usb2="00000000" w:usb3="00000000" w:csb0="20000001"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Aldine401 BT">
    <w:altName w:val="Courier New"/>
    <w:panose1 w:val="00000000000000000000"/>
    <w:charset w:val="00"/>
    <w:family w:val="roman"/>
    <w:pitch w:val="default"/>
    <w:sig w:usb0="00000007" w:usb1="00000000" w:usb2="00000000" w:usb3="00000000" w:csb0="00000011"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40000" w:usb1="00000000" w:usb2="00000000" w:usb3="00000000" w:csb0="00000000" w:csb1="00000000"/>
  </w:font>
  <w:font w:name="Arial Narrow">
    <w:panose1 w:val="020B0606020202030204"/>
    <w:charset w:val="00"/>
    <w:family w:val="swiss"/>
    <w:pitch w:val="default"/>
    <w:sig w:usb0="00000287" w:usb1="00000800" w:usb2="00000000" w:usb3="00000000" w:csb0="2000009F" w:csb1="DFD70000"/>
  </w:font>
  <w:font w:name="Century Gothic">
    <w:panose1 w:val="020B0502020202020204"/>
    <w:charset w:val="00"/>
    <w:family w:val="swiss"/>
    <w:pitch w:val="default"/>
    <w:sig w:usb0="00000287" w:usb1="00000000" w:usb2="00000000" w:usb3="00000000" w:csb0="2000009F" w:csb1="DFD70000"/>
  </w:font>
  <w:font w:name="幼圆">
    <w:panose1 w:val="02010509060101010101"/>
    <w:charset w:val="86"/>
    <w:family w:val="modern"/>
    <w:pitch w:val="default"/>
    <w:sig w:usb0="00000001" w:usb1="080E0000" w:usb2="00000000" w:usb3="00000000" w:csb0="00040000" w:csb1="00000000"/>
  </w:font>
  <w:font w:name="Futura Hv">
    <w:altName w:val="Arial"/>
    <w:panose1 w:val="00000000000000000000"/>
    <w:charset w:val="00"/>
    <w:family w:val="swiss"/>
    <w:pitch w:val="default"/>
    <w:sig w:usb0="00000001" w:usb1="5000204A" w:usb2="00000000" w:usb3="00000000" w:csb0="0000009F" w:csb1="00000000"/>
  </w:font>
  <w:font w:name="Futura Bk">
    <w:altName w:val="Trebuchet MS"/>
    <w:panose1 w:val="00000000000000000000"/>
    <w:charset w:val="00"/>
    <w:family w:val="swiss"/>
    <w:pitch w:val="default"/>
    <w:sig w:usb0="00000287" w:usb1="00000000" w:usb2="00000000" w:usb3="00000000" w:csb0="0000009F" w:csb1="00000000"/>
  </w:font>
  <w:font w:name="FHLHE E+ Futura Bk">
    <w:altName w:val="宋体"/>
    <w:panose1 w:val="00000000000000000000"/>
    <w:charset w:val="86"/>
    <w:family w:val="swiss"/>
    <w:pitch w:val="default"/>
    <w:sig w:usb0="00000001" w:usb1="080E0000" w:usb2="00000010" w:usb3="00000000" w:csb0="00040000" w:csb1="00000000"/>
  </w:font>
  <w:font w:name="Arial (W1)">
    <w:altName w:val="Arial"/>
    <w:panose1 w:val="00000000000000000000"/>
    <w:charset w:val="00"/>
    <w:family w:val="swiss"/>
    <w:pitch w:val="default"/>
    <w:sig w:usb0="20007A87" w:usb1="80000000" w:usb2="00000008" w:usb3="00000000" w:csb0="000001FF" w:csb1="00000000"/>
  </w:font>
  <w:font w:name="新宋体">
    <w:panose1 w:val="02010609030101010101"/>
    <w:charset w:val="86"/>
    <w:family w:val="modern"/>
    <w:pitch w:val="default"/>
    <w:sig w:usb0="00000203" w:usb1="288F0000" w:usb2="00000006" w:usb3="00000000" w:csb0="00040001" w:csb1="00000000"/>
  </w:font>
  <w:font w:name="Cumberland">
    <w:altName w:val="Courier New"/>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华文细黑">
    <w:panose1 w:val="02010600040101010101"/>
    <w:charset w:val="86"/>
    <w:family w:val="auto"/>
    <w:pitch w:val="default"/>
    <w:sig w:usb0="00000287" w:usb1="080F0000" w:usb2="00000000" w:usb3="00000000" w:csb0="0004009F" w:csb1="DFD70000"/>
  </w:font>
  <w:font w:name="Segoe UI Semilight">
    <w:panose1 w:val="020B0402040204020203"/>
    <w:charset w:val="00"/>
    <w:family w:val="auto"/>
    <w:pitch w:val="default"/>
    <w:sig w:usb0="E4002EFF" w:usb1="C000E47F" w:usb2="00000009" w:usb3="00000000" w:csb0="200001FF" w:csb1="00000000"/>
  </w:font>
  <w:font w:name="Trebuchet MS">
    <w:panose1 w:val="020B0603020202020204"/>
    <w:charset w:val="00"/>
    <w:family w:val="auto"/>
    <w:pitch w:val="default"/>
    <w:sig w:usb0="000006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hint="eastAsia"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lang/>
      </w:rPr>
      <w:t>26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lang/>
      </w:rPr>
      <w:t>230</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66"/>
      </w:rPr>
    </w:pPr>
    <w:r>
      <w:fldChar w:fldCharType="begin"/>
    </w:r>
    <w:r>
      <w:rPr>
        <w:rStyle w:val="66"/>
      </w:rPr>
      <w:instrText xml:space="preserve">PAGE  </w:instrText>
    </w:r>
    <w:r>
      <w:fldChar w:fldCharType="separate"/>
    </w:r>
    <w:r>
      <w:fldChar w:fldCharType="end"/>
    </w:r>
  </w:p>
  <w:p>
    <w:pPr>
      <w:pStyle w:val="3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hint="eastAsia"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lang/>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lang/>
      </w:rPr>
      <w:t>230</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hint="eastAsia"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lang/>
      </w:rPr>
      <w:t>30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lang/>
      </w:rPr>
      <w:t>230</w:t>
    </w:r>
    <w:r>
      <w:rPr>
        <w:rFonts w:hint="eastAsia" w:ascii="仿宋_GB2312" w:eastAsia="仿宋_GB2312"/>
        <w:kern w:val="0"/>
      </w:rPr>
      <w:fldChar w:fldCharType="end"/>
    </w:r>
    <w:r>
      <w:rPr>
        <w:rFonts w:hint="eastAsia" w:ascii="仿宋_GB2312" w:eastAsia="仿宋_GB2312"/>
        <w:kern w:val="0"/>
      </w:rPr>
      <w:t xml:space="preserve"> 页</w:t>
    </w:r>
  </w:p>
  <w:p>
    <w:pPr>
      <w:rPr>
        <w:rFonts w:hint="eastAsia"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66"/>
      </w:rPr>
    </w:pPr>
    <w:r>
      <w:fldChar w:fldCharType="begin"/>
    </w:r>
    <w:r>
      <w:rPr>
        <w:rStyle w:val="66"/>
      </w:rPr>
      <w:instrText xml:space="preserve">PAGE  </w:instrText>
    </w:r>
    <w:r>
      <w:fldChar w:fldCharType="separate"/>
    </w:r>
    <w:r>
      <w:fldChar w:fldCharType="end"/>
    </w:r>
  </w:p>
  <w:p>
    <w:pPr>
      <w:pStyle w:val="38"/>
      <w:ind w:right="360"/>
    </w:pP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hint="eastAsia"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lang/>
      </w:rPr>
      <w:t>27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lang/>
      </w:rPr>
      <w:t>230</w:t>
    </w:r>
    <w:r>
      <w:rPr>
        <w:rFonts w:hint="eastAsia" w:ascii="仿宋_GB2312" w:eastAsia="仿宋_GB2312"/>
        <w:kern w:val="0"/>
      </w:rPr>
      <w:fldChar w:fldCharType="end"/>
    </w:r>
    <w:r>
      <w:rPr>
        <w:rFonts w:hint="eastAsia" w:ascii="仿宋_GB2312" w:eastAsia="仿宋_GB2312"/>
        <w:kern w:val="0"/>
      </w:rPr>
      <w:t xml:space="preserve"> 页</w:t>
    </w:r>
  </w:p>
  <w:p>
    <w:pPr>
      <w:rPr>
        <w:rFonts w:hint="eastAsia"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hint="eastAsia"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lang/>
      </w:rPr>
      <w:t>230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lang/>
      </w:rPr>
      <w:t>230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66"/>
      </w:rPr>
    </w:pPr>
    <w:r>
      <w:fldChar w:fldCharType="begin"/>
    </w:r>
    <w:r>
      <w:rPr>
        <w:rStyle w:val="66"/>
      </w:rPr>
      <w:instrText xml:space="preserve">PAGE  </w:instrText>
    </w:r>
    <w:r>
      <w:fldChar w:fldCharType="separate"/>
    </w:r>
    <w:r>
      <w:fldChar w:fldCharType="end"/>
    </w:r>
  </w:p>
  <w:p>
    <w:pPr>
      <w:pStyle w:val="38"/>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hint="eastAsia"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lang/>
      </w:rPr>
      <w:t>218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lang/>
      </w:rPr>
      <w:t>218</w:t>
    </w:r>
    <w:r>
      <w:rPr>
        <w:rFonts w:hint="eastAsia" w:ascii="仿宋_GB2312" w:eastAsia="仿宋_GB2312"/>
        <w:kern w:val="0"/>
        <w:szCs w:val="21"/>
      </w:rPr>
      <w:fldChar w:fldCharType="end"/>
    </w:r>
    <w:bookmarkStart w:id="467" w:name="_Toc91899912"/>
    <w:bookmarkStart w:id="468" w:name="_Toc164085800"/>
    <w:bookmarkStart w:id="469" w:name="_Toc131845147"/>
    <w:bookmarkStart w:id="470" w:name="_Toc36110187"/>
    <w:r>
      <w:rPr>
        <w:rFonts w:hint="eastAsia" w:ascii="仿宋_GB2312" w:eastAsia="仿宋_GB2312"/>
        <w:kern w:val="0"/>
        <w:szCs w:val="21"/>
      </w:rPr>
      <w:t xml:space="preserve"> 页</w:t>
    </w:r>
    <w:bookmarkEnd w:id="467"/>
    <w:bookmarkEnd w:id="468"/>
    <w:bookmarkEnd w:id="469"/>
    <w:bookmarkEnd w:id="470"/>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eastAsia"/>
      </w:rPr>
    </w:pPr>
    <w:r>
      <w:rPr>
        <w:rFonts w:hint="eastAsia"/>
      </w:rPr>
      <w:t xml:space="preserve">                                                                      </w:t>
    </w:r>
  </w:p>
  <w:p>
    <w:pPr>
      <w:pStyle w:val="58"/>
      <w:tabs>
        <w:tab w:val="center" w:pos="4535"/>
        <w:tab w:val="right" w:pos="9070"/>
      </w:tabs>
      <w:ind w:firstLine="180" w:firstLineChars="100"/>
      <w:jc w:val="both"/>
      <w:rPr>
        <w:rFonts w:hint="eastAsia"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6" w:space="0"/>
      </w:pBdr>
      <w:tabs>
        <w:tab w:val="center" w:pos="4535"/>
        <w:tab w:val="right" w:pos="9070"/>
        <w:tab w:val="clear" w:pos="4153"/>
        <w:tab w:val="clear" w:pos="8306"/>
      </w:tabs>
      <w:jc w:val="right"/>
      <w:rPr>
        <w:rFonts w:hint="eastAsia"/>
      </w:rPr>
    </w:pPr>
    <w:r>
      <w:rPr>
        <w:rFonts w:hint="eastAsia"/>
        <w:lang w:val="zh-CN"/>
      </w:rPr>
      <w:t xml:space="preserve"> </w:t>
    </w:r>
    <w:r>
      <w:tab/>
    </w:r>
    <w:r>
      <w:rPr>
        <w:rFonts w:hint="eastAsia"/>
        <w:lang w:val="zh-CN"/>
      </w:rPr>
      <w:t xml:space="preserve"> </w:t>
    </w:r>
    <w:r>
      <w:tab/>
    </w: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eastAsia" w:ascii="仿宋_GB2312"/>
        <w:b/>
        <w:i/>
        <w:u w:val="single"/>
      </w:rPr>
    </w:pPr>
    <w:r>
      <w:rPr>
        <w:rFonts w:hint="eastAsia"/>
      </w:rPr>
      <w:t xml:space="preserve">                                                                        </w:t>
    </w:r>
  </w:p>
  <w:p>
    <w:pPr>
      <w:rPr>
        <w:rFonts w:hint="eastAsia"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eastAsia"/>
      </w:rPr>
    </w:pPr>
    <w:r>
      <w:rPr>
        <w:rFonts w:hint="eastAsia"/>
      </w:rPr>
      <w:t xml:space="preserve">                                                                     </w:t>
    </w:r>
    <w:r>
      <w:t xml:space="preserve"> </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eastAsia" w:ascii="仿宋_GB2312"/>
        <w:b/>
        <w:i/>
        <w:iCs/>
        <w:u w:val="single"/>
      </w:rPr>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eastAsia"/>
      </w:rPr>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8354CA"/>
    <w:multiLevelType w:val="singleLevel"/>
    <w:tmpl w:val="C18354CA"/>
    <w:lvl w:ilvl="0" w:tentative="0">
      <w:start w:val="2"/>
      <w:numFmt w:val="chineseCounting"/>
      <w:suff w:val="nothing"/>
      <w:lvlText w:val="%1、"/>
      <w:lvlJc w:val="left"/>
      <w:rPr>
        <w:rFonts w:hint="eastAsia"/>
      </w:rPr>
    </w:lvl>
  </w:abstractNum>
  <w:abstractNum w:abstractNumId="1">
    <w:nsid w:val="EF3B63B8"/>
    <w:multiLevelType w:val="singleLevel"/>
    <w:tmpl w:val="EF3B63B8"/>
    <w:lvl w:ilvl="0" w:tentative="0">
      <w:start w:val="2"/>
      <w:numFmt w:val="decimal"/>
      <w:suff w:val="nothing"/>
      <w:lvlText w:val="%1、"/>
      <w:lvlJc w:val="left"/>
    </w:lvl>
  </w:abstractNum>
  <w:abstractNum w:abstractNumId="2">
    <w:nsid w:val="FFFFFF81"/>
    <w:multiLevelType w:val="singleLevel"/>
    <w:tmpl w:val="FFFFFF81"/>
    <w:lvl w:ilvl="0" w:tentative="0">
      <w:start w:val="1"/>
      <w:numFmt w:val="bullet"/>
      <w:pStyle w:val="14"/>
      <w:lvlText w:val=""/>
      <w:lvlJc w:val="left"/>
      <w:pPr>
        <w:tabs>
          <w:tab w:val="left" w:pos="1440"/>
        </w:tabs>
        <w:ind w:left="1440" w:hanging="360"/>
      </w:pPr>
      <w:rPr>
        <w:rFonts w:hint="default" w:ascii="Symbol" w:hAnsi="Symbol" w:eastAsia="Symbol"/>
      </w:rPr>
    </w:lvl>
  </w:abstractNum>
  <w:abstractNum w:abstractNumId="3">
    <w:nsid w:val="00000007"/>
    <w:multiLevelType w:val="multilevel"/>
    <w:tmpl w:val="00000007"/>
    <w:lvl w:ilvl="0" w:tentative="0">
      <w:start w:val="1"/>
      <w:numFmt w:val="bullet"/>
      <w:pStyle w:val="33"/>
      <w:lvlText w:val=""/>
      <w:lvlJc w:val="left"/>
      <w:pPr>
        <w:tabs>
          <w:tab w:val="left" w:pos="840"/>
        </w:tabs>
        <w:ind w:left="840" w:hanging="420"/>
      </w:pPr>
      <w:rPr>
        <w:rFonts w:hint="default" w:ascii="Wingdings" w:hAnsi="Wingdings"/>
      </w:rPr>
    </w:lvl>
    <w:lvl w:ilvl="1" w:tentative="0">
      <w:start w:val="1"/>
      <w:numFmt w:val="bullet"/>
      <w:pStyle w:val="482"/>
      <w:lvlText w:val=""/>
      <w:lvlJc w:val="left"/>
      <w:pPr>
        <w:tabs>
          <w:tab w:val="left" w:pos="1260"/>
        </w:tabs>
        <w:ind w:left="1260" w:hanging="420"/>
      </w:pPr>
      <w:rPr>
        <w:rFonts w:hint="default" w:ascii="Wingdings" w:hAnsi="Wingdings"/>
      </w:rPr>
    </w:lvl>
    <w:lvl w:ilvl="2" w:tentative="0">
      <w:start w:val="1"/>
      <w:numFmt w:val="bullet"/>
      <w:pStyle w:val="407"/>
      <w:lvlText w:val=""/>
      <w:lvlJc w:val="left"/>
      <w:pPr>
        <w:tabs>
          <w:tab w:val="left" w:pos="1680"/>
        </w:tabs>
        <w:ind w:left="1680" w:hanging="420"/>
      </w:pPr>
      <w:rPr>
        <w:rFonts w:hint="default" w:ascii="Wingdings" w:hAnsi="Wingdings"/>
      </w:rPr>
    </w:lvl>
    <w:lvl w:ilvl="3" w:tentative="0">
      <w:start w:val="1"/>
      <w:numFmt w:val="bullet"/>
      <w:pStyle w:val="483"/>
      <w:lvlText w:val=""/>
      <w:lvlJc w:val="left"/>
      <w:pPr>
        <w:tabs>
          <w:tab w:val="left" w:pos="2100"/>
        </w:tabs>
        <w:ind w:left="2100" w:hanging="420"/>
      </w:pPr>
      <w:rPr>
        <w:rFonts w:hint="default" w:ascii="Wingdings" w:hAnsi="Wingdings"/>
      </w:rPr>
    </w:lvl>
    <w:lvl w:ilvl="4" w:tentative="0">
      <w:start w:val="1"/>
      <w:numFmt w:val="bullet"/>
      <w:pStyle w:val="613"/>
      <w:lvlText w:val=""/>
      <w:lvlJc w:val="left"/>
      <w:pPr>
        <w:tabs>
          <w:tab w:val="left" w:pos="2520"/>
        </w:tabs>
        <w:ind w:left="2520" w:hanging="420"/>
      </w:pPr>
      <w:rPr>
        <w:rFonts w:hint="default" w:ascii="Wingdings" w:hAnsi="Wingdings"/>
      </w:rPr>
    </w:lvl>
    <w:lvl w:ilvl="5" w:tentative="0">
      <w:start w:val="1"/>
      <w:numFmt w:val="bullet"/>
      <w:pStyle w:val="441"/>
      <w:lvlText w:val=""/>
      <w:lvlJc w:val="left"/>
      <w:pPr>
        <w:tabs>
          <w:tab w:val="left" w:pos="2940"/>
        </w:tabs>
        <w:ind w:left="2940" w:hanging="420"/>
      </w:pPr>
      <w:rPr>
        <w:rFonts w:hint="default" w:ascii="Wingdings" w:hAnsi="Wingdings"/>
      </w:rPr>
    </w:lvl>
    <w:lvl w:ilvl="6" w:tentative="0">
      <w:start w:val="1"/>
      <w:numFmt w:val="bullet"/>
      <w:pStyle w:val="446"/>
      <w:lvlText w:val=""/>
      <w:lvlJc w:val="left"/>
      <w:pPr>
        <w:tabs>
          <w:tab w:val="left" w:pos="3360"/>
        </w:tabs>
        <w:ind w:left="3360" w:hanging="420"/>
      </w:pPr>
      <w:rPr>
        <w:rFonts w:hint="default" w:ascii="Wingdings" w:hAnsi="Wingdings"/>
      </w:rPr>
    </w:lvl>
    <w:lvl w:ilvl="7" w:tentative="0">
      <w:start w:val="1"/>
      <w:numFmt w:val="bullet"/>
      <w:pStyle w:val="330"/>
      <w:lvlText w:val=""/>
      <w:lvlJc w:val="left"/>
      <w:pPr>
        <w:tabs>
          <w:tab w:val="left" w:pos="3780"/>
        </w:tabs>
        <w:ind w:left="3780" w:hanging="420"/>
      </w:pPr>
      <w:rPr>
        <w:rFonts w:hint="default" w:ascii="Wingdings" w:hAnsi="Wingdings"/>
      </w:rPr>
    </w:lvl>
    <w:lvl w:ilvl="8" w:tentative="0">
      <w:start w:val="1"/>
      <w:numFmt w:val="bullet"/>
      <w:pStyle w:val="343"/>
      <w:lvlText w:val=""/>
      <w:lvlJc w:val="left"/>
      <w:pPr>
        <w:tabs>
          <w:tab w:val="left" w:pos="4200"/>
        </w:tabs>
        <w:ind w:left="4200" w:hanging="420"/>
      </w:pPr>
      <w:rPr>
        <w:rFonts w:hint="default" w:ascii="Wingdings" w:hAnsi="Wingdings"/>
      </w:rPr>
    </w:lvl>
  </w:abstractNum>
  <w:abstractNum w:abstractNumId="4">
    <w:nsid w:val="0000000A"/>
    <w:multiLevelType w:val="multilevel"/>
    <w:tmpl w:val="0000000A"/>
    <w:lvl w:ilvl="0" w:tentative="0">
      <w:start w:val="1"/>
      <w:numFmt w:val="decimal"/>
      <w:pStyle w:val="4"/>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5">
    <w:nsid w:val="11744E57"/>
    <w:multiLevelType w:val="multilevel"/>
    <w:tmpl w:val="11744E57"/>
    <w:lvl w:ilvl="0" w:tentative="0">
      <w:start w:val="1"/>
      <w:numFmt w:val="decimal"/>
      <w:pStyle w:val="3"/>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5"/>
      <w:lvlText w:val="%1.%2.%3"/>
      <w:lvlJc w:val="left"/>
      <w:pPr>
        <w:tabs>
          <w:tab w:val="left" w:pos="900"/>
        </w:tabs>
        <w:ind w:left="900" w:hanging="720"/>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6">
    <w:nsid w:val="263B6F18"/>
    <w:multiLevelType w:val="multilevel"/>
    <w:tmpl w:val="263B6F18"/>
    <w:lvl w:ilvl="0" w:tentative="0">
      <w:start w:val="1"/>
      <w:numFmt w:val="chineseCountingThousand"/>
      <w:suff w:val="nothing"/>
      <w:lvlText w:val="%1、"/>
      <w:lvlJc w:val="left"/>
      <w:pPr>
        <w:ind w:left="0" w:firstLine="0"/>
      </w:pPr>
      <w:rPr>
        <w:rFonts w:hint="default" w:ascii="Times New Roman" w:hAnsi="Times New Roman" w:eastAsia="宋体"/>
        <w:b/>
        <w:i w:val="0"/>
        <w:sz w:val="32"/>
      </w:rPr>
    </w:lvl>
    <w:lvl w:ilvl="1" w:tentative="0">
      <w:start w:val="1"/>
      <w:numFmt w:val="decimal"/>
      <w:isLgl/>
      <w:suff w:val="space"/>
      <w:lvlText w:val="%2."/>
      <w:lvlJc w:val="left"/>
      <w:pPr>
        <w:ind w:left="0" w:firstLine="0"/>
      </w:pPr>
      <w:rPr>
        <w:rFonts w:hint="default" w:ascii="Times New Roman" w:hAnsi="Times New Roman" w:eastAsia="宋体"/>
        <w:b/>
        <w:i w:val="0"/>
        <w:sz w:val="32"/>
      </w:rPr>
    </w:lvl>
    <w:lvl w:ilvl="2" w:tentative="0">
      <w:start w:val="1"/>
      <w:numFmt w:val="decimal"/>
      <w:suff w:val="space"/>
      <w:lvlText w:val="%2.%3"/>
      <w:lvlJc w:val="left"/>
      <w:pPr>
        <w:ind w:left="0" w:firstLine="0"/>
      </w:pPr>
      <w:rPr>
        <w:rFonts w:hint="default" w:ascii="Times New Roman" w:hAnsi="Times New Roman" w:eastAsia="宋体"/>
        <w:b/>
        <w:i w:val="0"/>
        <w:sz w:val="30"/>
      </w:rPr>
    </w:lvl>
    <w:lvl w:ilvl="3" w:tentative="0">
      <w:start w:val="1"/>
      <w:numFmt w:val="decimal"/>
      <w:suff w:val="space"/>
      <w:lvlText w:val="%2.%3.%4"/>
      <w:lvlJc w:val="left"/>
      <w:pPr>
        <w:ind w:left="0" w:firstLine="0"/>
      </w:pPr>
      <w:rPr>
        <w:rFonts w:hint="default" w:ascii="Times New Roman" w:hAnsi="Times New Roman" w:eastAsia="宋体"/>
        <w:b/>
        <w:i w:val="0"/>
        <w:sz w:val="28"/>
      </w:rPr>
    </w:lvl>
    <w:lvl w:ilvl="4" w:tentative="0">
      <w:start w:val="1"/>
      <w:numFmt w:val="decimal"/>
      <w:suff w:val="space"/>
      <w:lvlText w:val="%2.%3.%4.%5"/>
      <w:lvlJc w:val="left"/>
      <w:pPr>
        <w:ind w:left="0" w:firstLine="0"/>
      </w:pPr>
      <w:rPr>
        <w:rFonts w:hint="default" w:ascii="Times New Roman" w:hAnsi="Times New Roman" w:eastAsia="宋体"/>
        <w:b/>
        <w:i w:val="0"/>
        <w:sz w:val="21"/>
      </w:rPr>
    </w:lvl>
    <w:lvl w:ilvl="5" w:tentative="0">
      <w:start w:val="1"/>
      <w:numFmt w:val="decimal"/>
      <w:suff w:val="space"/>
      <w:lvlText w:val="%2.%3.%4.%5.%6"/>
      <w:lvlJc w:val="left"/>
      <w:pPr>
        <w:ind w:left="0" w:firstLine="0"/>
      </w:pPr>
      <w:rPr>
        <w:rFonts w:hint="default" w:ascii="Times New Roman" w:hAnsi="Times New Roman" w:eastAsia="宋体"/>
        <w:b/>
        <w:i w:val="0"/>
        <w:sz w:val="21"/>
      </w:rPr>
    </w:lvl>
    <w:lvl w:ilvl="6" w:tentative="0">
      <w:start w:val="1"/>
      <w:numFmt w:val="decimal"/>
      <w:suff w:val="space"/>
      <w:lvlText w:val="%2.%3.%4.%5.%6.%7"/>
      <w:lvlJc w:val="left"/>
      <w:pPr>
        <w:ind w:left="0" w:firstLine="0"/>
      </w:pPr>
      <w:rPr>
        <w:rFonts w:hint="default" w:ascii="Times New Roman" w:hAnsi="Times New Roman" w:eastAsia="宋体"/>
        <w:b/>
        <w:i w:val="0"/>
        <w:spacing w:val="0"/>
        <w:w w:val="100"/>
        <w:sz w:val="21"/>
      </w:rPr>
    </w:lvl>
    <w:lvl w:ilvl="7" w:tentative="0">
      <w:start w:val="1"/>
      <w:numFmt w:val="decimal"/>
      <w:suff w:val="nothing"/>
      <w:lvlText w:val="（%8）"/>
      <w:lvlJc w:val="left"/>
      <w:pPr>
        <w:ind w:left="0" w:firstLine="0"/>
      </w:pPr>
      <w:rPr>
        <w:rFonts w:hint="default" w:ascii="Times New Roman" w:hAnsi="Times New Roman" w:eastAsia="宋体"/>
        <w:b w:val="0"/>
        <w:i w:val="0"/>
        <w:spacing w:val="0"/>
        <w:w w:val="100"/>
        <w:sz w:val="21"/>
      </w:rPr>
    </w:lvl>
    <w:lvl w:ilvl="8" w:tentative="0">
      <w:start w:val="1"/>
      <w:numFmt w:val="decimalEnclosedCircle"/>
      <w:suff w:val="space"/>
      <w:lvlText w:val="%9"/>
      <w:lvlJc w:val="left"/>
      <w:pPr>
        <w:ind w:left="0" w:firstLine="0"/>
      </w:pPr>
      <w:rPr>
        <w:rFonts w:hint="default" w:ascii="Times New Roman" w:hAnsi="Times New Roman" w:eastAsia="宋体"/>
        <w:b/>
        <w:i w:val="0"/>
        <w:spacing w:val="0"/>
        <w:w w:val="100"/>
        <w:sz w:val="21"/>
      </w:rPr>
    </w:lvl>
  </w:abstractNum>
  <w:abstractNum w:abstractNumId="7">
    <w:nsid w:val="578B3BD2"/>
    <w:multiLevelType w:val="multilevel"/>
    <w:tmpl w:val="578B3BD2"/>
    <w:lvl w:ilvl="0" w:tentative="0">
      <w:start w:val="1"/>
      <w:numFmt w:val="decimal"/>
      <w:pStyle w:val="353"/>
      <w:lvlText w:val="%1"/>
      <w:lvlJc w:val="left"/>
      <w:pPr>
        <w:tabs>
          <w:tab w:val="left" w:pos="480"/>
        </w:tabs>
        <w:ind w:left="480" w:hanging="480"/>
      </w:pPr>
      <w:rPr>
        <w:rFonts w:hint="eastAsia"/>
        <w:sz w:val="44"/>
        <w:szCs w:val="44"/>
      </w:rPr>
    </w:lvl>
    <w:lvl w:ilvl="1" w:tentative="0">
      <w:start w:val="1"/>
      <w:numFmt w:val="decimal"/>
      <w:pStyle w:val="291"/>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354"/>
      <w:lvlText w:val="%1.%2.%3.%4.%5"/>
      <w:lvlJc w:val="left"/>
      <w:pPr>
        <w:tabs>
          <w:tab w:val="left" w:pos="1080"/>
        </w:tabs>
        <w:ind w:left="1080" w:hanging="1080"/>
      </w:pPr>
      <w:rPr>
        <w:rFonts w:hint="default"/>
      </w:rPr>
    </w:lvl>
    <w:lvl w:ilvl="5" w:tentative="0">
      <w:start w:val="1"/>
      <w:numFmt w:val="decimal"/>
      <w:pStyle w:val="527"/>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8">
    <w:nsid w:val="6BB67409"/>
    <w:multiLevelType w:val="multilevel"/>
    <w:tmpl w:val="6BB67409"/>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3596DCC"/>
    <w:multiLevelType w:val="multilevel"/>
    <w:tmpl w:val="73596DCC"/>
    <w:lvl w:ilvl="0" w:tentative="0">
      <w:start w:val="1"/>
      <w:numFmt w:val="bullet"/>
      <w:pStyle w:val="508"/>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5"/>
  </w:num>
  <w:num w:numId="2">
    <w:abstractNumId w:val="4"/>
  </w:num>
  <w:num w:numId="3">
    <w:abstractNumId w:val="2"/>
  </w:num>
  <w:num w:numId="4">
    <w:abstractNumId w:val="3"/>
  </w:num>
  <w:num w:numId="5">
    <w:abstractNumId w:val="7"/>
  </w:num>
  <w:num w:numId="6">
    <w:abstractNumId w:val="9"/>
  </w:num>
  <w:num w:numId="7">
    <w:abstractNumId w:val="8"/>
  </w:num>
  <w:num w:numId="8">
    <w:abstractNumId w:val="0"/>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451"/>
    <w:rsid w:val="0000133D"/>
    <w:rsid w:val="000058BD"/>
    <w:rsid w:val="00006109"/>
    <w:rsid w:val="00006725"/>
    <w:rsid w:val="0000675E"/>
    <w:rsid w:val="00006ED1"/>
    <w:rsid w:val="00007151"/>
    <w:rsid w:val="00007CAA"/>
    <w:rsid w:val="00010FE9"/>
    <w:rsid w:val="0001122F"/>
    <w:rsid w:val="0001337C"/>
    <w:rsid w:val="000138C4"/>
    <w:rsid w:val="00013F31"/>
    <w:rsid w:val="000140D8"/>
    <w:rsid w:val="00014530"/>
    <w:rsid w:val="00014BBC"/>
    <w:rsid w:val="0001524C"/>
    <w:rsid w:val="000168D8"/>
    <w:rsid w:val="000170C8"/>
    <w:rsid w:val="000173F4"/>
    <w:rsid w:val="00020287"/>
    <w:rsid w:val="000202FE"/>
    <w:rsid w:val="00023323"/>
    <w:rsid w:val="00023418"/>
    <w:rsid w:val="00024130"/>
    <w:rsid w:val="00024584"/>
    <w:rsid w:val="00024962"/>
    <w:rsid w:val="000249AA"/>
    <w:rsid w:val="000253E5"/>
    <w:rsid w:val="00025776"/>
    <w:rsid w:val="000270F2"/>
    <w:rsid w:val="00027540"/>
    <w:rsid w:val="00030572"/>
    <w:rsid w:val="00030CB3"/>
    <w:rsid w:val="0003206A"/>
    <w:rsid w:val="000326A7"/>
    <w:rsid w:val="00032EA0"/>
    <w:rsid w:val="000336D4"/>
    <w:rsid w:val="00034FA7"/>
    <w:rsid w:val="000357E4"/>
    <w:rsid w:val="00035ACA"/>
    <w:rsid w:val="00042533"/>
    <w:rsid w:val="00042E65"/>
    <w:rsid w:val="0004347C"/>
    <w:rsid w:val="00043907"/>
    <w:rsid w:val="00044F48"/>
    <w:rsid w:val="0004708A"/>
    <w:rsid w:val="00047354"/>
    <w:rsid w:val="00050656"/>
    <w:rsid w:val="00051B00"/>
    <w:rsid w:val="0005205F"/>
    <w:rsid w:val="0005238F"/>
    <w:rsid w:val="00052BB8"/>
    <w:rsid w:val="00052C94"/>
    <w:rsid w:val="0005417A"/>
    <w:rsid w:val="00054D39"/>
    <w:rsid w:val="0005501B"/>
    <w:rsid w:val="000550F5"/>
    <w:rsid w:val="00055337"/>
    <w:rsid w:val="000554C7"/>
    <w:rsid w:val="00055506"/>
    <w:rsid w:val="00056402"/>
    <w:rsid w:val="00056791"/>
    <w:rsid w:val="000568DF"/>
    <w:rsid w:val="000578A3"/>
    <w:rsid w:val="00057D4C"/>
    <w:rsid w:val="00061A3C"/>
    <w:rsid w:val="00061C48"/>
    <w:rsid w:val="00064278"/>
    <w:rsid w:val="000646CA"/>
    <w:rsid w:val="000665C4"/>
    <w:rsid w:val="00067821"/>
    <w:rsid w:val="0006785E"/>
    <w:rsid w:val="00067F92"/>
    <w:rsid w:val="00067FA7"/>
    <w:rsid w:val="0007032C"/>
    <w:rsid w:val="0007038E"/>
    <w:rsid w:val="0007077C"/>
    <w:rsid w:val="00070825"/>
    <w:rsid w:val="00071CD8"/>
    <w:rsid w:val="00072AED"/>
    <w:rsid w:val="00072B56"/>
    <w:rsid w:val="00072D2B"/>
    <w:rsid w:val="000730B1"/>
    <w:rsid w:val="00073860"/>
    <w:rsid w:val="000738EA"/>
    <w:rsid w:val="00075D0E"/>
    <w:rsid w:val="00075F6A"/>
    <w:rsid w:val="0007616C"/>
    <w:rsid w:val="000763F3"/>
    <w:rsid w:val="00076801"/>
    <w:rsid w:val="00077577"/>
    <w:rsid w:val="00077607"/>
    <w:rsid w:val="00077756"/>
    <w:rsid w:val="00080970"/>
    <w:rsid w:val="00081671"/>
    <w:rsid w:val="00084D27"/>
    <w:rsid w:val="0008580E"/>
    <w:rsid w:val="00085A0E"/>
    <w:rsid w:val="00085C4F"/>
    <w:rsid w:val="00086F8A"/>
    <w:rsid w:val="00090243"/>
    <w:rsid w:val="000904F6"/>
    <w:rsid w:val="00090858"/>
    <w:rsid w:val="00090ED8"/>
    <w:rsid w:val="0009145F"/>
    <w:rsid w:val="00091B4E"/>
    <w:rsid w:val="00092FE9"/>
    <w:rsid w:val="00094342"/>
    <w:rsid w:val="00095954"/>
    <w:rsid w:val="000960BA"/>
    <w:rsid w:val="0009662A"/>
    <w:rsid w:val="00096DFF"/>
    <w:rsid w:val="000974A2"/>
    <w:rsid w:val="000A0E69"/>
    <w:rsid w:val="000A0FEB"/>
    <w:rsid w:val="000A1A52"/>
    <w:rsid w:val="000A1F98"/>
    <w:rsid w:val="000A3D58"/>
    <w:rsid w:val="000A47B0"/>
    <w:rsid w:val="000A49BB"/>
    <w:rsid w:val="000A4F22"/>
    <w:rsid w:val="000A5674"/>
    <w:rsid w:val="000A5A46"/>
    <w:rsid w:val="000A7299"/>
    <w:rsid w:val="000B0262"/>
    <w:rsid w:val="000B0E04"/>
    <w:rsid w:val="000B291B"/>
    <w:rsid w:val="000B456C"/>
    <w:rsid w:val="000B4B56"/>
    <w:rsid w:val="000B4C62"/>
    <w:rsid w:val="000B54C1"/>
    <w:rsid w:val="000C0A43"/>
    <w:rsid w:val="000C1411"/>
    <w:rsid w:val="000C1ADE"/>
    <w:rsid w:val="000C1C38"/>
    <w:rsid w:val="000C2264"/>
    <w:rsid w:val="000C256B"/>
    <w:rsid w:val="000C3970"/>
    <w:rsid w:val="000C3B1A"/>
    <w:rsid w:val="000C4727"/>
    <w:rsid w:val="000C47AE"/>
    <w:rsid w:val="000C51AD"/>
    <w:rsid w:val="000C5374"/>
    <w:rsid w:val="000C5EC0"/>
    <w:rsid w:val="000C6162"/>
    <w:rsid w:val="000C6688"/>
    <w:rsid w:val="000C7BEB"/>
    <w:rsid w:val="000D0124"/>
    <w:rsid w:val="000D11E5"/>
    <w:rsid w:val="000D19E8"/>
    <w:rsid w:val="000D1A80"/>
    <w:rsid w:val="000D2834"/>
    <w:rsid w:val="000D34C8"/>
    <w:rsid w:val="000D34FD"/>
    <w:rsid w:val="000D3BE5"/>
    <w:rsid w:val="000D3C37"/>
    <w:rsid w:val="000D453A"/>
    <w:rsid w:val="000D47CB"/>
    <w:rsid w:val="000D5EA6"/>
    <w:rsid w:val="000D5F00"/>
    <w:rsid w:val="000D6C9F"/>
    <w:rsid w:val="000D6E3B"/>
    <w:rsid w:val="000D7C9D"/>
    <w:rsid w:val="000D7CE0"/>
    <w:rsid w:val="000E0324"/>
    <w:rsid w:val="000E2785"/>
    <w:rsid w:val="000E27BB"/>
    <w:rsid w:val="000E3153"/>
    <w:rsid w:val="000E386F"/>
    <w:rsid w:val="000E4051"/>
    <w:rsid w:val="000E4765"/>
    <w:rsid w:val="000E5B7E"/>
    <w:rsid w:val="000E5FF9"/>
    <w:rsid w:val="000E6AE1"/>
    <w:rsid w:val="000E7142"/>
    <w:rsid w:val="000E7180"/>
    <w:rsid w:val="000E7632"/>
    <w:rsid w:val="000E7739"/>
    <w:rsid w:val="000E77EE"/>
    <w:rsid w:val="000F2940"/>
    <w:rsid w:val="000F3D08"/>
    <w:rsid w:val="000F4495"/>
    <w:rsid w:val="000F4A05"/>
    <w:rsid w:val="000F505B"/>
    <w:rsid w:val="000F68A0"/>
    <w:rsid w:val="000F6CC2"/>
    <w:rsid w:val="0010118C"/>
    <w:rsid w:val="0010125E"/>
    <w:rsid w:val="00101967"/>
    <w:rsid w:val="00103EBD"/>
    <w:rsid w:val="00104E5B"/>
    <w:rsid w:val="00104EEC"/>
    <w:rsid w:val="001050DC"/>
    <w:rsid w:val="00105482"/>
    <w:rsid w:val="001056A5"/>
    <w:rsid w:val="00105BA9"/>
    <w:rsid w:val="00106AAA"/>
    <w:rsid w:val="00107BBD"/>
    <w:rsid w:val="00107BC7"/>
    <w:rsid w:val="001102B5"/>
    <w:rsid w:val="00111C7D"/>
    <w:rsid w:val="00112038"/>
    <w:rsid w:val="001127FF"/>
    <w:rsid w:val="00112B0B"/>
    <w:rsid w:val="0011383E"/>
    <w:rsid w:val="00114847"/>
    <w:rsid w:val="0011560B"/>
    <w:rsid w:val="0011585B"/>
    <w:rsid w:val="00115B1A"/>
    <w:rsid w:val="001160FF"/>
    <w:rsid w:val="001168F8"/>
    <w:rsid w:val="001176FF"/>
    <w:rsid w:val="00120F18"/>
    <w:rsid w:val="0012159D"/>
    <w:rsid w:val="001231D3"/>
    <w:rsid w:val="001232A7"/>
    <w:rsid w:val="0012419E"/>
    <w:rsid w:val="001248EF"/>
    <w:rsid w:val="00124FC4"/>
    <w:rsid w:val="001253AB"/>
    <w:rsid w:val="0012574C"/>
    <w:rsid w:val="001259B8"/>
    <w:rsid w:val="0012693E"/>
    <w:rsid w:val="00130B94"/>
    <w:rsid w:val="00131C2D"/>
    <w:rsid w:val="0013202C"/>
    <w:rsid w:val="00132CBF"/>
    <w:rsid w:val="00133742"/>
    <w:rsid w:val="001350F7"/>
    <w:rsid w:val="00135769"/>
    <w:rsid w:val="00135BE9"/>
    <w:rsid w:val="00136762"/>
    <w:rsid w:val="00136E33"/>
    <w:rsid w:val="0013773D"/>
    <w:rsid w:val="00140693"/>
    <w:rsid w:val="00140D7A"/>
    <w:rsid w:val="00141DFE"/>
    <w:rsid w:val="00142A51"/>
    <w:rsid w:val="001433BC"/>
    <w:rsid w:val="00144649"/>
    <w:rsid w:val="00145022"/>
    <w:rsid w:val="00145662"/>
    <w:rsid w:val="00145C6D"/>
    <w:rsid w:val="00146151"/>
    <w:rsid w:val="00147032"/>
    <w:rsid w:val="00147EA7"/>
    <w:rsid w:val="00151B2F"/>
    <w:rsid w:val="001524DC"/>
    <w:rsid w:val="001525E5"/>
    <w:rsid w:val="00153859"/>
    <w:rsid w:val="00153915"/>
    <w:rsid w:val="00155B95"/>
    <w:rsid w:val="00156853"/>
    <w:rsid w:val="00157432"/>
    <w:rsid w:val="00161185"/>
    <w:rsid w:val="001623AC"/>
    <w:rsid w:val="00162BAA"/>
    <w:rsid w:val="0016488B"/>
    <w:rsid w:val="00165758"/>
    <w:rsid w:val="00165A65"/>
    <w:rsid w:val="00167478"/>
    <w:rsid w:val="00167594"/>
    <w:rsid w:val="001702BE"/>
    <w:rsid w:val="001704B3"/>
    <w:rsid w:val="001704DA"/>
    <w:rsid w:val="0017105C"/>
    <w:rsid w:val="00171622"/>
    <w:rsid w:val="001721CF"/>
    <w:rsid w:val="001728FD"/>
    <w:rsid w:val="00172F02"/>
    <w:rsid w:val="00173631"/>
    <w:rsid w:val="0017372D"/>
    <w:rsid w:val="00173C58"/>
    <w:rsid w:val="00173E59"/>
    <w:rsid w:val="00174F57"/>
    <w:rsid w:val="00175078"/>
    <w:rsid w:val="001755DC"/>
    <w:rsid w:val="0017693F"/>
    <w:rsid w:val="001771CA"/>
    <w:rsid w:val="00180A47"/>
    <w:rsid w:val="001827B7"/>
    <w:rsid w:val="001827EF"/>
    <w:rsid w:val="00182982"/>
    <w:rsid w:val="00182D68"/>
    <w:rsid w:val="00183031"/>
    <w:rsid w:val="00183468"/>
    <w:rsid w:val="0018397E"/>
    <w:rsid w:val="00184DBF"/>
    <w:rsid w:val="001852A8"/>
    <w:rsid w:val="00187243"/>
    <w:rsid w:val="00187C29"/>
    <w:rsid w:val="00190942"/>
    <w:rsid w:val="001909A7"/>
    <w:rsid w:val="00191459"/>
    <w:rsid w:val="0019174E"/>
    <w:rsid w:val="001923D5"/>
    <w:rsid w:val="00192991"/>
    <w:rsid w:val="00193B94"/>
    <w:rsid w:val="001940A7"/>
    <w:rsid w:val="00194BB1"/>
    <w:rsid w:val="00194BC6"/>
    <w:rsid w:val="00195070"/>
    <w:rsid w:val="0019526D"/>
    <w:rsid w:val="001956BE"/>
    <w:rsid w:val="0019602C"/>
    <w:rsid w:val="001969F2"/>
    <w:rsid w:val="0019756A"/>
    <w:rsid w:val="001A07F8"/>
    <w:rsid w:val="001A0A23"/>
    <w:rsid w:val="001A128B"/>
    <w:rsid w:val="001A1F0E"/>
    <w:rsid w:val="001A473A"/>
    <w:rsid w:val="001A4B80"/>
    <w:rsid w:val="001A4ED9"/>
    <w:rsid w:val="001A5785"/>
    <w:rsid w:val="001A5FD7"/>
    <w:rsid w:val="001A66A6"/>
    <w:rsid w:val="001A6BBB"/>
    <w:rsid w:val="001A79A2"/>
    <w:rsid w:val="001B13BF"/>
    <w:rsid w:val="001B16F5"/>
    <w:rsid w:val="001B1C1F"/>
    <w:rsid w:val="001B219B"/>
    <w:rsid w:val="001B2703"/>
    <w:rsid w:val="001B46B2"/>
    <w:rsid w:val="001B4725"/>
    <w:rsid w:val="001B48B2"/>
    <w:rsid w:val="001B49DA"/>
    <w:rsid w:val="001B4CA8"/>
    <w:rsid w:val="001B572D"/>
    <w:rsid w:val="001B5B10"/>
    <w:rsid w:val="001B7A15"/>
    <w:rsid w:val="001B7B69"/>
    <w:rsid w:val="001C08DB"/>
    <w:rsid w:val="001C10BD"/>
    <w:rsid w:val="001C1F01"/>
    <w:rsid w:val="001C232F"/>
    <w:rsid w:val="001C2544"/>
    <w:rsid w:val="001C2A17"/>
    <w:rsid w:val="001C31F5"/>
    <w:rsid w:val="001C457B"/>
    <w:rsid w:val="001C6047"/>
    <w:rsid w:val="001C6698"/>
    <w:rsid w:val="001C7CE0"/>
    <w:rsid w:val="001D005B"/>
    <w:rsid w:val="001D0947"/>
    <w:rsid w:val="001D16F5"/>
    <w:rsid w:val="001D1970"/>
    <w:rsid w:val="001D1D55"/>
    <w:rsid w:val="001D21EF"/>
    <w:rsid w:val="001D29A4"/>
    <w:rsid w:val="001D330D"/>
    <w:rsid w:val="001D4AB6"/>
    <w:rsid w:val="001D4AD3"/>
    <w:rsid w:val="001E17E3"/>
    <w:rsid w:val="001E2052"/>
    <w:rsid w:val="001E257C"/>
    <w:rsid w:val="001E31AF"/>
    <w:rsid w:val="001E35EE"/>
    <w:rsid w:val="001E4B2C"/>
    <w:rsid w:val="001E507F"/>
    <w:rsid w:val="001E59FB"/>
    <w:rsid w:val="001F0FD1"/>
    <w:rsid w:val="001F19D1"/>
    <w:rsid w:val="001F1CB9"/>
    <w:rsid w:val="001F1F18"/>
    <w:rsid w:val="001F2F92"/>
    <w:rsid w:val="001F612E"/>
    <w:rsid w:val="00201B0F"/>
    <w:rsid w:val="00202800"/>
    <w:rsid w:val="00202D33"/>
    <w:rsid w:val="00202E58"/>
    <w:rsid w:val="00202F99"/>
    <w:rsid w:val="00203C85"/>
    <w:rsid w:val="00205298"/>
    <w:rsid w:val="00205939"/>
    <w:rsid w:val="00206698"/>
    <w:rsid w:val="00206736"/>
    <w:rsid w:val="00206C88"/>
    <w:rsid w:val="00210B9C"/>
    <w:rsid w:val="00214028"/>
    <w:rsid w:val="002141C3"/>
    <w:rsid w:val="002141DC"/>
    <w:rsid w:val="00214479"/>
    <w:rsid w:val="002144F3"/>
    <w:rsid w:val="002146C3"/>
    <w:rsid w:val="00215A2A"/>
    <w:rsid w:val="00215D21"/>
    <w:rsid w:val="00216387"/>
    <w:rsid w:val="002204BC"/>
    <w:rsid w:val="00220F7B"/>
    <w:rsid w:val="002213CE"/>
    <w:rsid w:val="00221AF7"/>
    <w:rsid w:val="00222494"/>
    <w:rsid w:val="00222775"/>
    <w:rsid w:val="00222A31"/>
    <w:rsid w:val="00222CF6"/>
    <w:rsid w:val="002244E4"/>
    <w:rsid w:val="00224D2A"/>
    <w:rsid w:val="00224D8D"/>
    <w:rsid w:val="0022555A"/>
    <w:rsid w:val="0023079F"/>
    <w:rsid w:val="00231135"/>
    <w:rsid w:val="00233538"/>
    <w:rsid w:val="0023449F"/>
    <w:rsid w:val="002344F5"/>
    <w:rsid w:val="0023454D"/>
    <w:rsid w:val="00234679"/>
    <w:rsid w:val="00236690"/>
    <w:rsid w:val="0023669D"/>
    <w:rsid w:val="00236DE8"/>
    <w:rsid w:val="00237FA2"/>
    <w:rsid w:val="002403D5"/>
    <w:rsid w:val="00240F67"/>
    <w:rsid w:val="00241144"/>
    <w:rsid w:val="00241606"/>
    <w:rsid w:val="00242510"/>
    <w:rsid w:val="00242F79"/>
    <w:rsid w:val="0024415B"/>
    <w:rsid w:val="00245565"/>
    <w:rsid w:val="002458C1"/>
    <w:rsid w:val="00246357"/>
    <w:rsid w:val="00247422"/>
    <w:rsid w:val="00247BA2"/>
    <w:rsid w:val="0025184F"/>
    <w:rsid w:val="00251967"/>
    <w:rsid w:val="002527CC"/>
    <w:rsid w:val="00253586"/>
    <w:rsid w:val="002537FC"/>
    <w:rsid w:val="002542F8"/>
    <w:rsid w:val="002543EF"/>
    <w:rsid w:val="00255784"/>
    <w:rsid w:val="0025631F"/>
    <w:rsid w:val="00256986"/>
    <w:rsid w:val="00257246"/>
    <w:rsid w:val="00257438"/>
    <w:rsid w:val="00261246"/>
    <w:rsid w:val="0026212A"/>
    <w:rsid w:val="00263044"/>
    <w:rsid w:val="00263759"/>
    <w:rsid w:val="002638BD"/>
    <w:rsid w:val="0026470B"/>
    <w:rsid w:val="0026486D"/>
    <w:rsid w:val="00264C4B"/>
    <w:rsid w:val="00264ED0"/>
    <w:rsid w:val="002660C3"/>
    <w:rsid w:val="00266DE1"/>
    <w:rsid w:val="00267A92"/>
    <w:rsid w:val="00267E43"/>
    <w:rsid w:val="00270282"/>
    <w:rsid w:val="002711EF"/>
    <w:rsid w:val="0027244F"/>
    <w:rsid w:val="002739CE"/>
    <w:rsid w:val="00273C5F"/>
    <w:rsid w:val="002751CA"/>
    <w:rsid w:val="0027544D"/>
    <w:rsid w:val="002775ED"/>
    <w:rsid w:val="002778AB"/>
    <w:rsid w:val="002802A5"/>
    <w:rsid w:val="00280CFB"/>
    <w:rsid w:val="002815C4"/>
    <w:rsid w:val="00281BCB"/>
    <w:rsid w:val="00283296"/>
    <w:rsid w:val="002845A1"/>
    <w:rsid w:val="0028461E"/>
    <w:rsid w:val="0028583E"/>
    <w:rsid w:val="00285853"/>
    <w:rsid w:val="00285B1A"/>
    <w:rsid w:val="00285FF3"/>
    <w:rsid w:val="002866EC"/>
    <w:rsid w:val="0028744E"/>
    <w:rsid w:val="00287936"/>
    <w:rsid w:val="002903C5"/>
    <w:rsid w:val="00290A99"/>
    <w:rsid w:val="00290EAF"/>
    <w:rsid w:val="0029159A"/>
    <w:rsid w:val="00291E17"/>
    <w:rsid w:val="00292AA1"/>
    <w:rsid w:val="0029499D"/>
    <w:rsid w:val="00294A13"/>
    <w:rsid w:val="00294B10"/>
    <w:rsid w:val="00294DF9"/>
    <w:rsid w:val="00295073"/>
    <w:rsid w:val="00296C32"/>
    <w:rsid w:val="002977CE"/>
    <w:rsid w:val="00297AF5"/>
    <w:rsid w:val="002A02D6"/>
    <w:rsid w:val="002A07C4"/>
    <w:rsid w:val="002A0921"/>
    <w:rsid w:val="002A0CB3"/>
    <w:rsid w:val="002A1887"/>
    <w:rsid w:val="002A2001"/>
    <w:rsid w:val="002A4060"/>
    <w:rsid w:val="002A4A05"/>
    <w:rsid w:val="002A4EB3"/>
    <w:rsid w:val="002A51D9"/>
    <w:rsid w:val="002A572D"/>
    <w:rsid w:val="002A5CAB"/>
    <w:rsid w:val="002A5D40"/>
    <w:rsid w:val="002A64E7"/>
    <w:rsid w:val="002A7ED3"/>
    <w:rsid w:val="002A7FC9"/>
    <w:rsid w:val="002B139C"/>
    <w:rsid w:val="002B1881"/>
    <w:rsid w:val="002B1F61"/>
    <w:rsid w:val="002B2906"/>
    <w:rsid w:val="002B34E3"/>
    <w:rsid w:val="002B5AEE"/>
    <w:rsid w:val="002B6177"/>
    <w:rsid w:val="002B650C"/>
    <w:rsid w:val="002B68E6"/>
    <w:rsid w:val="002B6985"/>
    <w:rsid w:val="002C0301"/>
    <w:rsid w:val="002C0326"/>
    <w:rsid w:val="002C0A9F"/>
    <w:rsid w:val="002C1AB3"/>
    <w:rsid w:val="002C1BB7"/>
    <w:rsid w:val="002C2665"/>
    <w:rsid w:val="002C28E1"/>
    <w:rsid w:val="002C327D"/>
    <w:rsid w:val="002C3890"/>
    <w:rsid w:val="002C3AD9"/>
    <w:rsid w:val="002C45C3"/>
    <w:rsid w:val="002C483B"/>
    <w:rsid w:val="002C643D"/>
    <w:rsid w:val="002C70E7"/>
    <w:rsid w:val="002D0E88"/>
    <w:rsid w:val="002D1593"/>
    <w:rsid w:val="002D22A6"/>
    <w:rsid w:val="002D2819"/>
    <w:rsid w:val="002D2CD6"/>
    <w:rsid w:val="002D2F81"/>
    <w:rsid w:val="002D38A3"/>
    <w:rsid w:val="002D3BA3"/>
    <w:rsid w:val="002D4892"/>
    <w:rsid w:val="002D4D06"/>
    <w:rsid w:val="002D4EE7"/>
    <w:rsid w:val="002D4EED"/>
    <w:rsid w:val="002D65AD"/>
    <w:rsid w:val="002D6782"/>
    <w:rsid w:val="002D74A4"/>
    <w:rsid w:val="002D7B50"/>
    <w:rsid w:val="002D7DB2"/>
    <w:rsid w:val="002D7EA8"/>
    <w:rsid w:val="002E00E1"/>
    <w:rsid w:val="002E03AE"/>
    <w:rsid w:val="002E0542"/>
    <w:rsid w:val="002E05F2"/>
    <w:rsid w:val="002E0E87"/>
    <w:rsid w:val="002E13CF"/>
    <w:rsid w:val="002E201C"/>
    <w:rsid w:val="002E236F"/>
    <w:rsid w:val="002E3956"/>
    <w:rsid w:val="002E469E"/>
    <w:rsid w:val="002E4C01"/>
    <w:rsid w:val="002E4D50"/>
    <w:rsid w:val="002E55FF"/>
    <w:rsid w:val="002E587E"/>
    <w:rsid w:val="002E672A"/>
    <w:rsid w:val="002E6853"/>
    <w:rsid w:val="002E7EC1"/>
    <w:rsid w:val="002E7EE5"/>
    <w:rsid w:val="002F0323"/>
    <w:rsid w:val="002F134F"/>
    <w:rsid w:val="002F1D0B"/>
    <w:rsid w:val="002F1F02"/>
    <w:rsid w:val="002F27E5"/>
    <w:rsid w:val="002F2D81"/>
    <w:rsid w:val="002F4BA9"/>
    <w:rsid w:val="002F541B"/>
    <w:rsid w:val="002F5BFE"/>
    <w:rsid w:val="002F6EFF"/>
    <w:rsid w:val="002F7DF0"/>
    <w:rsid w:val="002F7FAF"/>
    <w:rsid w:val="00303AB6"/>
    <w:rsid w:val="00304640"/>
    <w:rsid w:val="00304AC1"/>
    <w:rsid w:val="00305090"/>
    <w:rsid w:val="00305454"/>
    <w:rsid w:val="00305B9F"/>
    <w:rsid w:val="00305E21"/>
    <w:rsid w:val="003066C6"/>
    <w:rsid w:val="003066FA"/>
    <w:rsid w:val="00306AD6"/>
    <w:rsid w:val="00307DC7"/>
    <w:rsid w:val="00310EDB"/>
    <w:rsid w:val="0031169A"/>
    <w:rsid w:val="00312DFC"/>
    <w:rsid w:val="0031318C"/>
    <w:rsid w:val="00313C9D"/>
    <w:rsid w:val="0031430C"/>
    <w:rsid w:val="00314C5A"/>
    <w:rsid w:val="0031531A"/>
    <w:rsid w:val="00315394"/>
    <w:rsid w:val="003156D4"/>
    <w:rsid w:val="00315D77"/>
    <w:rsid w:val="003165B1"/>
    <w:rsid w:val="00316CDE"/>
    <w:rsid w:val="0031752D"/>
    <w:rsid w:val="00320688"/>
    <w:rsid w:val="0032226D"/>
    <w:rsid w:val="003249F6"/>
    <w:rsid w:val="00324B2F"/>
    <w:rsid w:val="0032576A"/>
    <w:rsid w:val="00325FCC"/>
    <w:rsid w:val="00326106"/>
    <w:rsid w:val="00326144"/>
    <w:rsid w:val="00326805"/>
    <w:rsid w:val="003269B7"/>
    <w:rsid w:val="00326C0E"/>
    <w:rsid w:val="003272A3"/>
    <w:rsid w:val="003272E4"/>
    <w:rsid w:val="00327B71"/>
    <w:rsid w:val="00331461"/>
    <w:rsid w:val="003316A8"/>
    <w:rsid w:val="00331CC9"/>
    <w:rsid w:val="003320D7"/>
    <w:rsid w:val="00332D52"/>
    <w:rsid w:val="00333337"/>
    <w:rsid w:val="00333A28"/>
    <w:rsid w:val="003360AD"/>
    <w:rsid w:val="0033617A"/>
    <w:rsid w:val="0033631D"/>
    <w:rsid w:val="00337409"/>
    <w:rsid w:val="003405AF"/>
    <w:rsid w:val="0034088F"/>
    <w:rsid w:val="00340B3E"/>
    <w:rsid w:val="003413D2"/>
    <w:rsid w:val="003422B5"/>
    <w:rsid w:val="003426D7"/>
    <w:rsid w:val="00342857"/>
    <w:rsid w:val="00342E4F"/>
    <w:rsid w:val="00344BBF"/>
    <w:rsid w:val="0034509B"/>
    <w:rsid w:val="00345644"/>
    <w:rsid w:val="00345D7A"/>
    <w:rsid w:val="0034607E"/>
    <w:rsid w:val="00346B6D"/>
    <w:rsid w:val="00346BA3"/>
    <w:rsid w:val="00347356"/>
    <w:rsid w:val="00350896"/>
    <w:rsid w:val="00350C31"/>
    <w:rsid w:val="003519CD"/>
    <w:rsid w:val="00351A3A"/>
    <w:rsid w:val="0035455F"/>
    <w:rsid w:val="00355D8F"/>
    <w:rsid w:val="00356BA2"/>
    <w:rsid w:val="00356FF0"/>
    <w:rsid w:val="0035776F"/>
    <w:rsid w:val="003577EF"/>
    <w:rsid w:val="00360304"/>
    <w:rsid w:val="00360B86"/>
    <w:rsid w:val="00361750"/>
    <w:rsid w:val="00363B2A"/>
    <w:rsid w:val="00363BF1"/>
    <w:rsid w:val="00366779"/>
    <w:rsid w:val="003669C8"/>
    <w:rsid w:val="00366CEB"/>
    <w:rsid w:val="003672B3"/>
    <w:rsid w:val="003676DF"/>
    <w:rsid w:val="00367783"/>
    <w:rsid w:val="003679D3"/>
    <w:rsid w:val="00367A87"/>
    <w:rsid w:val="00367EE7"/>
    <w:rsid w:val="003705EA"/>
    <w:rsid w:val="00370A56"/>
    <w:rsid w:val="00372842"/>
    <w:rsid w:val="003729A5"/>
    <w:rsid w:val="00372C89"/>
    <w:rsid w:val="00372E9A"/>
    <w:rsid w:val="003735B9"/>
    <w:rsid w:val="00374677"/>
    <w:rsid w:val="00375850"/>
    <w:rsid w:val="0037632F"/>
    <w:rsid w:val="003765A6"/>
    <w:rsid w:val="00377B26"/>
    <w:rsid w:val="00381014"/>
    <w:rsid w:val="00381604"/>
    <w:rsid w:val="00381C68"/>
    <w:rsid w:val="00381F60"/>
    <w:rsid w:val="00383AB0"/>
    <w:rsid w:val="0038437A"/>
    <w:rsid w:val="003847BB"/>
    <w:rsid w:val="00384814"/>
    <w:rsid w:val="00384C0A"/>
    <w:rsid w:val="00384F29"/>
    <w:rsid w:val="00385B16"/>
    <w:rsid w:val="00385B96"/>
    <w:rsid w:val="0038637D"/>
    <w:rsid w:val="00386C07"/>
    <w:rsid w:val="00386F58"/>
    <w:rsid w:val="0038700D"/>
    <w:rsid w:val="00390B8F"/>
    <w:rsid w:val="00390C0D"/>
    <w:rsid w:val="00391447"/>
    <w:rsid w:val="003919D9"/>
    <w:rsid w:val="00391BDD"/>
    <w:rsid w:val="003922DE"/>
    <w:rsid w:val="00392E35"/>
    <w:rsid w:val="00393551"/>
    <w:rsid w:val="00393FCD"/>
    <w:rsid w:val="003944EA"/>
    <w:rsid w:val="00394639"/>
    <w:rsid w:val="00394DF6"/>
    <w:rsid w:val="003962E6"/>
    <w:rsid w:val="00396831"/>
    <w:rsid w:val="003971A1"/>
    <w:rsid w:val="003A12B6"/>
    <w:rsid w:val="003A20D5"/>
    <w:rsid w:val="003A24CC"/>
    <w:rsid w:val="003A2EE8"/>
    <w:rsid w:val="003A373C"/>
    <w:rsid w:val="003A5378"/>
    <w:rsid w:val="003A6008"/>
    <w:rsid w:val="003A703F"/>
    <w:rsid w:val="003A7E2B"/>
    <w:rsid w:val="003A7E40"/>
    <w:rsid w:val="003B0336"/>
    <w:rsid w:val="003B0A3A"/>
    <w:rsid w:val="003B0D79"/>
    <w:rsid w:val="003B2930"/>
    <w:rsid w:val="003B31A7"/>
    <w:rsid w:val="003B367F"/>
    <w:rsid w:val="003B47DE"/>
    <w:rsid w:val="003B4B51"/>
    <w:rsid w:val="003B514E"/>
    <w:rsid w:val="003B636A"/>
    <w:rsid w:val="003B69CE"/>
    <w:rsid w:val="003C011C"/>
    <w:rsid w:val="003C1B97"/>
    <w:rsid w:val="003C3292"/>
    <w:rsid w:val="003C3C1E"/>
    <w:rsid w:val="003C4134"/>
    <w:rsid w:val="003C435B"/>
    <w:rsid w:val="003C4EBE"/>
    <w:rsid w:val="003C62EC"/>
    <w:rsid w:val="003C685A"/>
    <w:rsid w:val="003C6E9C"/>
    <w:rsid w:val="003C746F"/>
    <w:rsid w:val="003C76E6"/>
    <w:rsid w:val="003C7F12"/>
    <w:rsid w:val="003D03D6"/>
    <w:rsid w:val="003D14C8"/>
    <w:rsid w:val="003D1517"/>
    <w:rsid w:val="003D2DA0"/>
    <w:rsid w:val="003D34C3"/>
    <w:rsid w:val="003D3D83"/>
    <w:rsid w:val="003D4685"/>
    <w:rsid w:val="003D4A41"/>
    <w:rsid w:val="003D553D"/>
    <w:rsid w:val="003D5ADB"/>
    <w:rsid w:val="003D646C"/>
    <w:rsid w:val="003D663E"/>
    <w:rsid w:val="003D6793"/>
    <w:rsid w:val="003D6B03"/>
    <w:rsid w:val="003D75D8"/>
    <w:rsid w:val="003E006E"/>
    <w:rsid w:val="003E0E96"/>
    <w:rsid w:val="003E20F7"/>
    <w:rsid w:val="003E336A"/>
    <w:rsid w:val="003E4048"/>
    <w:rsid w:val="003E60DA"/>
    <w:rsid w:val="003E6E00"/>
    <w:rsid w:val="003E7111"/>
    <w:rsid w:val="003E7940"/>
    <w:rsid w:val="003F01BD"/>
    <w:rsid w:val="003F0486"/>
    <w:rsid w:val="003F048E"/>
    <w:rsid w:val="003F0AFF"/>
    <w:rsid w:val="003F26DC"/>
    <w:rsid w:val="003F3EFD"/>
    <w:rsid w:val="003F42FF"/>
    <w:rsid w:val="003F4B48"/>
    <w:rsid w:val="003F4DDC"/>
    <w:rsid w:val="003F56B8"/>
    <w:rsid w:val="003F6327"/>
    <w:rsid w:val="003F765B"/>
    <w:rsid w:val="003F7CB8"/>
    <w:rsid w:val="00400CB4"/>
    <w:rsid w:val="00401386"/>
    <w:rsid w:val="004013E6"/>
    <w:rsid w:val="00401E31"/>
    <w:rsid w:val="00402BBA"/>
    <w:rsid w:val="004035D0"/>
    <w:rsid w:val="00403795"/>
    <w:rsid w:val="004041FB"/>
    <w:rsid w:val="004056B6"/>
    <w:rsid w:val="00405764"/>
    <w:rsid w:val="00405918"/>
    <w:rsid w:val="00406745"/>
    <w:rsid w:val="0040674B"/>
    <w:rsid w:val="00406B32"/>
    <w:rsid w:val="004074FA"/>
    <w:rsid w:val="00407A56"/>
    <w:rsid w:val="00407FCC"/>
    <w:rsid w:val="0041035A"/>
    <w:rsid w:val="004112D1"/>
    <w:rsid w:val="004113C9"/>
    <w:rsid w:val="004120DF"/>
    <w:rsid w:val="00414909"/>
    <w:rsid w:val="00415034"/>
    <w:rsid w:val="00415B1A"/>
    <w:rsid w:val="0041690F"/>
    <w:rsid w:val="00416937"/>
    <w:rsid w:val="00416D41"/>
    <w:rsid w:val="00417264"/>
    <w:rsid w:val="004210C0"/>
    <w:rsid w:val="004211DD"/>
    <w:rsid w:val="00421762"/>
    <w:rsid w:val="00421D4B"/>
    <w:rsid w:val="00421ED8"/>
    <w:rsid w:val="00422907"/>
    <w:rsid w:val="00423125"/>
    <w:rsid w:val="00423309"/>
    <w:rsid w:val="004233AD"/>
    <w:rsid w:val="00424446"/>
    <w:rsid w:val="00425341"/>
    <w:rsid w:val="00425D8C"/>
    <w:rsid w:val="00426B2C"/>
    <w:rsid w:val="00427FA8"/>
    <w:rsid w:val="0043026B"/>
    <w:rsid w:val="004306D4"/>
    <w:rsid w:val="00432ECA"/>
    <w:rsid w:val="0043554E"/>
    <w:rsid w:val="004355D4"/>
    <w:rsid w:val="004357B1"/>
    <w:rsid w:val="00435821"/>
    <w:rsid w:val="0043583E"/>
    <w:rsid w:val="00436CCE"/>
    <w:rsid w:val="00436EAD"/>
    <w:rsid w:val="004375E1"/>
    <w:rsid w:val="00437A2F"/>
    <w:rsid w:val="00440262"/>
    <w:rsid w:val="004406BF"/>
    <w:rsid w:val="00440814"/>
    <w:rsid w:val="00442731"/>
    <w:rsid w:val="00442C12"/>
    <w:rsid w:val="004434DF"/>
    <w:rsid w:val="00445874"/>
    <w:rsid w:val="00445C38"/>
    <w:rsid w:val="004475F7"/>
    <w:rsid w:val="0045057B"/>
    <w:rsid w:val="0045069B"/>
    <w:rsid w:val="00450B22"/>
    <w:rsid w:val="00451709"/>
    <w:rsid w:val="00451A02"/>
    <w:rsid w:val="0045277C"/>
    <w:rsid w:val="004543AB"/>
    <w:rsid w:val="00455967"/>
    <w:rsid w:val="00455F71"/>
    <w:rsid w:val="00456272"/>
    <w:rsid w:val="00456ECC"/>
    <w:rsid w:val="00457517"/>
    <w:rsid w:val="00457CF7"/>
    <w:rsid w:val="00457D37"/>
    <w:rsid w:val="0046028A"/>
    <w:rsid w:val="00460E68"/>
    <w:rsid w:val="004614BC"/>
    <w:rsid w:val="00461F80"/>
    <w:rsid w:val="0046240D"/>
    <w:rsid w:val="00463208"/>
    <w:rsid w:val="00463576"/>
    <w:rsid w:val="0046399D"/>
    <w:rsid w:val="00463EA4"/>
    <w:rsid w:val="00465A21"/>
    <w:rsid w:val="00465DE5"/>
    <w:rsid w:val="00466978"/>
    <w:rsid w:val="00466ABA"/>
    <w:rsid w:val="004672E3"/>
    <w:rsid w:val="0046775D"/>
    <w:rsid w:val="00467823"/>
    <w:rsid w:val="004705FA"/>
    <w:rsid w:val="004708AC"/>
    <w:rsid w:val="00471387"/>
    <w:rsid w:val="00471963"/>
    <w:rsid w:val="004724B8"/>
    <w:rsid w:val="004728FB"/>
    <w:rsid w:val="00472CA7"/>
    <w:rsid w:val="00472CEC"/>
    <w:rsid w:val="00473308"/>
    <w:rsid w:val="0047471E"/>
    <w:rsid w:val="004749DA"/>
    <w:rsid w:val="00474DEF"/>
    <w:rsid w:val="004758E7"/>
    <w:rsid w:val="00475BAB"/>
    <w:rsid w:val="004764C6"/>
    <w:rsid w:val="00476F97"/>
    <w:rsid w:val="00477247"/>
    <w:rsid w:val="004776BB"/>
    <w:rsid w:val="00480067"/>
    <w:rsid w:val="0048055E"/>
    <w:rsid w:val="00480C2B"/>
    <w:rsid w:val="00480DC5"/>
    <w:rsid w:val="004824A9"/>
    <w:rsid w:val="00483140"/>
    <w:rsid w:val="00483984"/>
    <w:rsid w:val="00483BC7"/>
    <w:rsid w:val="00483CF0"/>
    <w:rsid w:val="00484D4D"/>
    <w:rsid w:val="0048664F"/>
    <w:rsid w:val="004868AD"/>
    <w:rsid w:val="00486D00"/>
    <w:rsid w:val="00487FE1"/>
    <w:rsid w:val="00490707"/>
    <w:rsid w:val="00490815"/>
    <w:rsid w:val="0049117E"/>
    <w:rsid w:val="00492410"/>
    <w:rsid w:val="00492503"/>
    <w:rsid w:val="00492AF9"/>
    <w:rsid w:val="00492B76"/>
    <w:rsid w:val="0049333E"/>
    <w:rsid w:val="0049418F"/>
    <w:rsid w:val="0049553A"/>
    <w:rsid w:val="00495DC6"/>
    <w:rsid w:val="00496CCE"/>
    <w:rsid w:val="00497AAD"/>
    <w:rsid w:val="00497BD7"/>
    <w:rsid w:val="00497D1A"/>
    <w:rsid w:val="004A0C50"/>
    <w:rsid w:val="004A1049"/>
    <w:rsid w:val="004A1EA7"/>
    <w:rsid w:val="004A2EF8"/>
    <w:rsid w:val="004A3A21"/>
    <w:rsid w:val="004A47DE"/>
    <w:rsid w:val="004A4E3B"/>
    <w:rsid w:val="004A64F9"/>
    <w:rsid w:val="004B026C"/>
    <w:rsid w:val="004B0271"/>
    <w:rsid w:val="004B0BE8"/>
    <w:rsid w:val="004B0E4A"/>
    <w:rsid w:val="004B18F4"/>
    <w:rsid w:val="004B1A98"/>
    <w:rsid w:val="004B2463"/>
    <w:rsid w:val="004B305F"/>
    <w:rsid w:val="004B34C4"/>
    <w:rsid w:val="004B34E8"/>
    <w:rsid w:val="004B3981"/>
    <w:rsid w:val="004B3A03"/>
    <w:rsid w:val="004B419F"/>
    <w:rsid w:val="004B4EA9"/>
    <w:rsid w:val="004B673A"/>
    <w:rsid w:val="004B69CE"/>
    <w:rsid w:val="004B6E50"/>
    <w:rsid w:val="004B7317"/>
    <w:rsid w:val="004B75B2"/>
    <w:rsid w:val="004C0B22"/>
    <w:rsid w:val="004C0BF0"/>
    <w:rsid w:val="004C0D40"/>
    <w:rsid w:val="004C114F"/>
    <w:rsid w:val="004C11A9"/>
    <w:rsid w:val="004C27CF"/>
    <w:rsid w:val="004C2CA7"/>
    <w:rsid w:val="004C45C8"/>
    <w:rsid w:val="004C5F4B"/>
    <w:rsid w:val="004C612E"/>
    <w:rsid w:val="004C61B8"/>
    <w:rsid w:val="004C6C0A"/>
    <w:rsid w:val="004C6C6D"/>
    <w:rsid w:val="004C77FF"/>
    <w:rsid w:val="004C7DB0"/>
    <w:rsid w:val="004D0223"/>
    <w:rsid w:val="004D16A3"/>
    <w:rsid w:val="004D1934"/>
    <w:rsid w:val="004D1E41"/>
    <w:rsid w:val="004D2326"/>
    <w:rsid w:val="004D2E11"/>
    <w:rsid w:val="004D329C"/>
    <w:rsid w:val="004D34D1"/>
    <w:rsid w:val="004D3EC5"/>
    <w:rsid w:val="004D4523"/>
    <w:rsid w:val="004D51D6"/>
    <w:rsid w:val="004D6F29"/>
    <w:rsid w:val="004D7BF5"/>
    <w:rsid w:val="004D7F9C"/>
    <w:rsid w:val="004E03F4"/>
    <w:rsid w:val="004E068F"/>
    <w:rsid w:val="004E09CF"/>
    <w:rsid w:val="004E0B75"/>
    <w:rsid w:val="004E1D6F"/>
    <w:rsid w:val="004E2393"/>
    <w:rsid w:val="004E3117"/>
    <w:rsid w:val="004E3A2A"/>
    <w:rsid w:val="004E3AB1"/>
    <w:rsid w:val="004E4003"/>
    <w:rsid w:val="004E4626"/>
    <w:rsid w:val="004E5380"/>
    <w:rsid w:val="004E6746"/>
    <w:rsid w:val="004E6CAC"/>
    <w:rsid w:val="004E75C1"/>
    <w:rsid w:val="004E777F"/>
    <w:rsid w:val="004E7D5A"/>
    <w:rsid w:val="004F07F2"/>
    <w:rsid w:val="004F07F9"/>
    <w:rsid w:val="004F0E82"/>
    <w:rsid w:val="004F1523"/>
    <w:rsid w:val="004F1847"/>
    <w:rsid w:val="004F1F9E"/>
    <w:rsid w:val="004F2CB6"/>
    <w:rsid w:val="004F2E6E"/>
    <w:rsid w:val="004F3015"/>
    <w:rsid w:val="004F313F"/>
    <w:rsid w:val="004F3EEF"/>
    <w:rsid w:val="004F43A7"/>
    <w:rsid w:val="004F447B"/>
    <w:rsid w:val="004F497C"/>
    <w:rsid w:val="004F4FE8"/>
    <w:rsid w:val="004F531B"/>
    <w:rsid w:val="004F560C"/>
    <w:rsid w:val="004F5DBB"/>
    <w:rsid w:val="004F61A3"/>
    <w:rsid w:val="004F6874"/>
    <w:rsid w:val="004F7922"/>
    <w:rsid w:val="004F7A1F"/>
    <w:rsid w:val="004F7B47"/>
    <w:rsid w:val="0050079C"/>
    <w:rsid w:val="0050106A"/>
    <w:rsid w:val="005010BC"/>
    <w:rsid w:val="0050537D"/>
    <w:rsid w:val="005060AE"/>
    <w:rsid w:val="0050790B"/>
    <w:rsid w:val="0051037C"/>
    <w:rsid w:val="0051050F"/>
    <w:rsid w:val="00510DDC"/>
    <w:rsid w:val="005131A2"/>
    <w:rsid w:val="00513BB9"/>
    <w:rsid w:val="0051440E"/>
    <w:rsid w:val="00515973"/>
    <w:rsid w:val="00517AC8"/>
    <w:rsid w:val="00517C3E"/>
    <w:rsid w:val="005212F4"/>
    <w:rsid w:val="00521908"/>
    <w:rsid w:val="0052397A"/>
    <w:rsid w:val="00524138"/>
    <w:rsid w:val="005256D6"/>
    <w:rsid w:val="00525AD8"/>
    <w:rsid w:val="00526429"/>
    <w:rsid w:val="005266C1"/>
    <w:rsid w:val="005267F4"/>
    <w:rsid w:val="00527317"/>
    <w:rsid w:val="00527ED6"/>
    <w:rsid w:val="00531064"/>
    <w:rsid w:val="00531E92"/>
    <w:rsid w:val="005324D7"/>
    <w:rsid w:val="005335A2"/>
    <w:rsid w:val="00533D52"/>
    <w:rsid w:val="00533DEC"/>
    <w:rsid w:val="00536B03"/>
    <w:rsid w:val="00537456"/>
    <w:rsid w:val="005405B2"/>
    <w:rsid w:val="0054076A"/>
    <w:rsid w:val="00540D47"/>
    <w:rsid w:val="00540EE7"/>
    <w:rsid w:val="00541A22"/>
    <w:rsid w:val="00541EAD"/>
    <w:rsid w:val="005424C2"/>
    <w:rsid w:val="005426B2"/>
    <w:rsid w:val="00543519"/>
    <w:rsid w:val="00543640"/>
    <w:rsid w:val="005444C6"/>
    <w:rsid w:val="00544BF9"/>
    <w:rsid w:val="00544F05"/>
    <w:rsid w:val="005454B8"/>
    <w:rsid w:val="00545ACB"/>
    <w:rsid w:val="00545DB9"/>
    <w:rsid w:val="00546BF8"/>
    <w:rsid w:val="00547BA2"/>
    <w:rsid w:val="00550AC5"/>
    <w:rsid w:val="00550B7E"/>
    <w:rsid w:val="00551052"/>
    <w:rsid w:val="005524ED"/>
    <w:rsid w:val="00554C03"/>
    <w:rsid w:val="00554C58"/>
    <w:rsid w:val="005550F9"/>
    <w:rsid w:val="00556338"/>
    <w:rsid w:val="00556441"/>
    <w:rsid w:val="00557031"/>
    <w:rsid w:val="00557C4C"/>
    <w:rsid w:val="00560FCB"/>
    <w:rsid w:val="0056111C"/>
    <w:rsid w:val="00561140"/>
    <w:rsid w:val="00561412"/>
    <w:rsid w:val="00561903"/>
    <w:rsid w:val="00561A9B"/>
    <w:rsid w:val="00561E54"/>
    <w:rsid w:val="00562FB1"/>
    <w:rsid w:val="00563068"/>
    <w:rsid w:val="0056376A"/>
    <w:rsid w:val="00563B3C"/>
    <w:rsid w:val="00564DA7"/>
    <w:rsid w:val="00565204"/>
    <w:rsid w:val="00565473"/>
    <w:rsid w:val="00565DAC"/>
    <w:rsid w:val="00565F0D"/>
    <w:rsid w:val="005662DC"/>
    <w:rsid w:val="00566329"/>
    <w:rsid w:val="00567623"/>
    <w:rsid w:val="005701C2"/>
    <w:rsid w:val="00573560"/>
    <w:rsid w:val="00574E7B"/>
    <w:rsid w:val="00576B5C"/>
    <w:rsid w:val="005802F9"/>
    <w:rsid w:val="00580DFC"/>
    <w:rsid w:val="005827A7"/>
    <w:rsid w:val="00583D43"/>
    <w:rsid w:val="005846C3"/>
    <w:rsid w:val="00584F04"/>
    <w:rsid w:val="00585623"/>
    <w:rsid w:val="005857F7"/>
    <w:rsid w:val="00587D7B"/>
    <w:rsid w:val="005904DB"/>
    <w:rsid w:val="00592825"/>
    <w:rsid w:val="00594437"/>
    <w:rsid w:val="00594B70"/>
    <w:rsid w:val="00596CFA"/>
    <w:rsid w:val="005975CE"/>
    <w:rsid w:val="005A0088"/>
    <w:rsid w:val="005A04F6"/>
    <w:rsid w:val="005A14F0"/>
    <w:rsid w:val="005A1861"/>
    <w:rsid w:val="005A1A31"/>
    <w:rsid w:val="005A361D"/>
    <w:rsid w:val="005A36C2"/>
    <w:rsid w:val="005A3719"/>
    <w:rsid w:val="005A3A2F"/>
    <w:rsid w:val="005A3DD7"/>
    <w:rsid w:val="005A4C20"/>
    <w:rsid w:val="005A4F48"/>
    <w:rsid w:val="005A54F1"/>
    <w:rsid w:val="005A5DDE"/>
    <w:rsid w:val="005A64A8"/>
    <w:rsid w:val="005A65C5"/>
    <w:rsid w:val="005A6875"/>
    <w:rsid w:val="005A6C51"/>
    <w:rsid w:val="005A7A32"/>
    <w:rsid w:val="005A7F85"/>
    <w:rsid w:val="005B00DD"/>
    <w:rsid w:val="005B07D5"/>
    <w:rsid w:val="005B1AAB"/>
    <w:rsid w:val="005B2930"/>
    <w:rsid w:val="005B2B87"/>
    <w:rsid w:val="005B33C8"/>
    <w:rsid w:val="005B387B"/>
    <w:rsid w:val="005B3B01"/>
    <w:rsid w:val="005B4333"/>
    <w:rsid w:val="005B48BE"/>
    <w:rsid w:val="005B58F7"/>
    <w:rsid w:val="005B5994"/>
    <w:rsid w:val="005B6474"/>
    <w:rsid w:val="005B666D"/>
    <w:rsid w:val="005B667A"/>
    <w:rsid w:val="005C039B"/>
    <w:rsid w:val="005C059F"/>
    <w:rsid w:val="005C07CE"/>
    <w:rsid w:val="005C0B8F"/>
    <w:rsid w:val="005C194E"/>
    <w:rsid w:val="005C1DB1"/>
    <w:rsid w:val="005C226F"/>
    <w:rsid w:val="005C2294"/>
    <w:rsid w:val="005C3344"/>
    <w:rsid w:val="005C4E4D"/>
    <w:rsid w:val="005C58F2"/>
    <w:rsid w:val="005C5A97"/>
    <w:rsid w:val="005C6D5D"/>
    <w:rsid w:val="005C6FD0"/>
    <w:rsid w:val="005D01C3"/>
    <w:rsid w:val="005D05FF"/>
    <w:rsid w:val="005D0FB4"/>
    <w:rsid w:val="005D1176"/>
    <w:rsid w:val="005D1747"/>
    <w:rsid w:val="005D266D"/>
    <w:rsid w:val="005D306D"/>
    <w:rsid w:val="005D3327"/>
    <w:rsid w:val="005D5BCF"/>
    <w:rsid w:val="005D6D84"/>
    <w:rsid w:val="005D70A1"/>
    <w:rsid w:val="005D79F2"/>
    <w:rsid w:val="005D7D14"/>
    <w:rsid w:val="005E0141"/>
    <w:rsid w:val="005E09CA"/>
    <w:rsid w:val="005E1AB4"/>
    <w:rsid w:val="005E2397"/>
    <w:rsid w:val="005E30BB"/>
    <w:rsid w:val="005E4543"/>
    <w:rsid w:val="005E56C9"/>
    <w:rsid w:val="005E5CF7"/>
    <w:rsid w:val="005E6009"/>
    <w:rsid w:val="005E642A"/>
    <w:rsid w:val="005E721E"/>
    <w:rsid w:val="005E72E7"/>
    <w:rsid w:val="005F0857"/>
    <w:rsid w:val="005F15A9"/>
    <w:rsid w:val="005F2CD5"/>
    <w:rsid w:val="005F3720"/>
    <w:rsid w:val="005F5506"/>
    <w:rsid w:val="005F5A0D"/>
    <w:rsid w:val="005F60DF"/>
    <w:rsid w:val="005F61DF"/>
    <w:rsid w:val="005F680A"/>
    <w:rsid w:val="005F7271"/>
    <w:rsid w:val="005F77F8"/>
    <w:rsid w:val="005F7CA8"/>
    <w:rsid w:val="00601506"/>
    <w:rsid w:val="00601596"/>
    <w:rsid w:val="00601C92"/>
    <w:rsid w:val="00601F66"/>
    <w:rsid w:val="00602B29"/>
    <w:rsid w:val="00603373"/>
    <w:rsid w:val="006036D0"/>
    <w:rsid w:val="006042CD"/>
    <w:rsid w:val="00605217"/>
    <w:rsid w:val="0060533A"/>
    <w:rsid w:val="006054A5"/>
    <w:rsid w:val="006059E4"/>
    <w:rsid w:val="006062A0"/>
    <w:rsid w:val="0061098D"/>
    <w:rsid w:val="00611B59"/>
    <w:rsid w:val="00611FBA"/>
    <w:rsid w:val="0061272A"/>
    <w:rsid w:val="00613AA2"/>
    <w:rsid w:val="00613E58"/>
    <w:rsid w:val="006155F1"/>
    <w:rsid w:val="00615846"/>
    <w:rsid w:val="006160F0"/>
    <w:rsid w:val="0061623D"/>
    <w:rsid w:val="0061624B"/>
    <w:rsid w:val="00616C1E"/>
    <w:rsid w:val="00617EFC"/>
    <w:rsid w:val="00620055"/>
    <w:rsid w:val="006204B3"/>
    <w:rsid w:val="006212D3"/>
    <w:rsid w:val="00623571"/>
    <w:rsid w:val="00623A5E"/>
    <w:rsid w:val="00625008"/>
    <w:rsid w:val="0062626B"/>
    <w:rsid w:val="00626930"/>
    <w:rsid w:val="00626BAC"/>
    <w:rsid w:val="006271C3"/>
    <w:rsid w:val="00627B14"/>
    <w:rsid w:val="0063001E"/>
    <w:rsid w:val="00630023"/>
    <w:rsid w:val="00630C70"/>
    <w:rsid w:val="00630D67"/>
    <w:rsid w:val="00631005"/>
    <w:rsid w:val="00632727"/>
    <w:rsid w:val="00633769"/>
    <w:rsid w:val="00633924"/>
    <w:rsid w:val="00633FE3"/>
    <w:rsid w:val="00634570"/>
    <w:rsid w:val="0063487C"/>
    <w:rsid w:val="00635B73"/>
    <w:rsid w:val="00635BB7"/>
    <w:rsid w:val="00636CC7"/>
    <w:rsid w:val="00637833"/>
    <w:rsid w:val="00637F27"/>
    <w:rsid w:val="00640D22"/>
    <w:rsid w:val="00641A84"/>
    <w:rsid w:val="00641DA1"/>
    <w:rsid w:val="00641E5B"/>
    <w:rsid w:val="00642784"/>
    <w:rsid w:val="00643F89"/>
    <w:rsid w:val="00644BED"/>
    <w:rsid w:val="00644E2E"/>
    <w:rsid w:val="00645B87"/>
    <w:rsid w:val="00645CB4"/>
    <w:rsid w:val="00646084"/>
    <w:rsid w:val="00647664"/>
    <w:rsid w:val="00652CF5"/>
    <w:rsid w:val="0065343E"/>
    <w:rsid w:val="0065398F"/>
    <w:rsid w:val="00653C7C"/>
    <w:rsid w:val="00654252"/>
    <w:rsid w:val="006543B7"/>
    <w:rsid w:val="00654EA5"/>
    <w:rsid w:val="0065587E"/>
    <w:rsid w:val="006558CD"/>
    <w:rsid w:val="00655C26"/>
    <w:rsid w:val="0065637A"/>
    <w:rsid w:val="00656998"/>
    <w:rsid w:val="00656A5C"/>
    <w:rsid w:val="00656E4D"/>
    <w:rsid w:val="00656FE1"/>
    <w:rsid w:val="006576BA"/>
    <w:rsid w:val="0066233D"/>
    <w:rsid w:val="00662D3D"/>
    <w:rsid w:val="00662F1F"/>
    <w:rsid w:val="00665030"/>
    <w:rsid w:val="00665670"/>
    <w:rsid w:val="006659EA"/>
    <w:rsid w:val="006661E8"/>
    <w:rsid w:val="00666424"/>
    <w:rsid w:val="006673B9"/>
    <w:rsid w:val="0066790C"/>
    <w:rsid w:val="00670C7C"/>
    <w:rsid w:val="00671480"/>
    <w:rsid w:val="006717E7"/>
    <w:rsid w:val="00671FD5"/>
    <w:rsid w:val="006720BC"/>
    <w:rsid w:val="00672BF5"/>
    <w:rsid w:val="00672C73"/>
    <w:rsid w:val="00673B64"/>
    <w:rsid w:val="00675430"/>
    <w:rsid w:val="006755F0"/>
    <w:rsid w:val="00675749"/>
    <w:rsid w:val="00677382"/>
    <w:rsid w:val="0067772D"/>
    <w:rsid w:val="00677AD2"/>
    <w:rsid w:val="00680714"/>
    <w:rsid w:val="0068071D"/>
    <w:rsid w:val="00680C6B"/>
    <w:rsid w:val="00681240"/>
    <w:rsid w:val="0068245F"/>
    <w:rsid w:val="00683068"/>
    <w:rsid w:val="00683DAD"/>
    <w:rsid w:val="00684963"/>
    <w:rsid w:val="00685033"/>
    <w:rsid w:val="00685123"/>
    <w:rsid w:val="0068517F"/>
    <w:rsid w:val="00685483"/>
    <w:rsid w:val="00685D65"/>
    <w:rsid w:val="00685FC8"/>
    <w:rsid w:val="00686E80"/>
    <w:rsid w:val="0068790B"/>
    <w:rsid w:val="00687AF2"/>
    <w:rsid w:val="006901AC"/>
    <w:rsid w:val="00690C8D"/>
    <w:rsid w:val="00691890"/>
    <w:rsid w:val="00691AAD"/>
    <w:rsid w:val="00692416"/>
    <w:rsid w:val="0069286A"/>
    <w:rsid w:val="00692AFF"/>
    <w:rsid w:val="00693B73"/>
    <w:rsid w:val="006945A1"/>
    <w:rsid w:val="00694A53"/>
    <w:rsid w:val="00695C78"/>
    <w:rsid w:val="00695E6C"/>
    <w:rsid w:val="00695EAC"/>
    <w:rsid w:val="00697068"/>
    <w:rsid w:val="00697D5F"/>
    <w:rsid w:val="006A035B"/>
    <w:rsid w:val="006A0582"/>
    <w:rsid w:val="006A060C"/>
    <w:rsid w:val="006A071C"/>
    <w:rsid w:val="006A0DC7"/>
    <w:rsid w:val="006A150D"/>
    <w:rsid w:val="006A1B00"/>
    <w:rsid w:val="006A2766"/>
    <w:rsid w:val="006A39D0"/>
    <w:rsid w:val="006A4321"/>
    <w:rsid w:val="006A4E20"/>
    <w:rsid w:val="006A4F11"/>
    <w:rsid w:val="006B0580"/>
    <w:rsid w:val="006B0DA2"/>
    <w:rsid w:val="006B1486"/>
    <w:rsid w:val="006B1D06"/>
    <w:rsid w:val="006B2823"/>
    <w:rsid w:val="006B29DC"/>
    <w:rsid w:val="006B33DB"/>
    <w:rsid w:val="006B3669"/>
    <w:rsid w:val="006B36E5"/>
    <w:rsid w:val="006B3D00"/>
    <w:rsid w:val="006B4CF8"/>
    <w:rsid w:val="006B5FBC"/>
    <w:rsid w:val="006B6ED2"/>
    <w:rsid w:val="006C0230"/>
    <w:rsid w:val="006C25AB"/>
    <w:rsid w:val="006C2DA6"/>
    <w:rsid w:val="006C3581"/>
    <w:rsid w:val="006C3EFE"/>
    <w:rsid w:val="006C46C7"/>
    <w:rsid w:val="006C53A4"/>
    <w:rsid w:val="006C54DF"/>
    <w:rsid w:val="006C5D5D"/>
    <w:rsid w:val="006C6303"/>
    <w:rsid w:val="006C6EBD"/>
    <w:rsid w:val="006C7E04"/>
    <w:rsid w:val="006C7F79"/>
    <w:rsid w:val="006D015F"/>
    <w:rsid w:val="006D060E"/>
    <w:rsid w:val="006D0681"/>
    <w:rsid w:val="006D0A80"/>
    <w:rsid w:val="006D0E85"/>
    <w:rsid w:val="006D2F72"/>
    <w:rsid w:val="006D43C1"/>
    <w:rsid w:val="006D5442"/>
    <w:rsid w:val="006D6E4E"/>
    <w:rsid w:val="006D7A8E"/>
    <w:rsid w:val="006E00E3"/>
    <w:rsid w:val="006E045C"/>
    <w:rsid w:val="006E065E"/>
    <w:rsid w:val="006E0EDB"/>
    <w:rsid w:val="006E17AC"/>
    <w:rsid w:val="006E189B"/>
    <w:rsid w:val="006E2902"/>
    <w:rsid w:val="006E2F9D"/>
    <w:rsid w:val="006E31BB"/>
    <w:rsid w:val="006E37C6"/>
    <w:rsid w:val="006E3CF3"/>
    <w:rsid w:val="006E41ED"/>
    <w:rsid w:val="006E4667"/>
    <w:rsid w:val="006E486D"/>
    <w:rsid w:val="006E48BB"/>
    <w:rsid w:val="006F01FF"/>
    <w:rsid w:val="006F0CB2"/>
    <w:rsid w:val="006F1DE9"/>
    <w:rsid w:val="006F2046"/>
    <w:rsid w:val="006F2F59"/>
    <w:rsid w:val="006F311E"/>
    <w:rsid w:val="006F3442"/>
    <w:rsid w:val="006F36A5"/>
    <w:rsid w:val="006F41F4"/>
    <w:rsid w:val="006F4576"/>
    <w:rsid w:val="006F5813"/>
    <w:rsid w:val="006F59A8"/>
    <w:rsid w:val="006F5A1D"/>
    <w:rsid w:val="006F6392"/>
    <w:rsid w:val="006F71A6"/>
    <w:rsid w:val="006F7974"/>
    <w:rsid w:val="006F7C2C"/>
    <w:rsid w:val="00700405"/>
    <w:rsid w:val="00700D18"/>
    <w:rsid w:val="0070168D"/>
    <w:rsid w:val="00701C36"/>
    <w:rsid w:val="00702F2D"/>
    <w:rsid w:val="0070353F"/>
    <w:rsid w:val="0070415E"/>
    <w:rsid w:val="00704E7D"/>
    <w:rsid w:val="00705060"/>
    <w:rsid w:val="00705351"/>
    <w:rsid w:val="007062AF"/>
    <w:rsid w:val="007069AE"/>
    <w:rsid w:val="00706C89"/>
    <w:rsid w:val="00707967"/>
    <w:rsid w:val="00710257"/>
    <w:rsid w:val="00710587"/>
    <w:rsid w:val="007107D5"/>
    <w:rsid w:val="007119DC"/>
    <w:rsid w:val="00711CC7"/>
    <w:rsid w:val="0071230A"/>
    <w:rsid w:val="0071294A"/>
    <w:rsid w:val="00712BDD"/>
    <w:rsid w:val="00712E1E"/>
    <w:rsid w:val="00712F37"/>
    <w:rsid w:val="00713A6B"/>
    <w:rsid w:val="0071499C"/>
    <w:rsid w:val="007154D8"/>
    <w:rsid w:val="00715577"/>
    <w:rsid w:val="0071604D"/>
    <w:rsid w:val="00716C67"/>
    <w:rsid w:val="0071779C"/>
    <w:rsid w:val="00717808"/>
    <w:rsid w:val="007208A7"/>
    <w:rsid w:val="007210F6"/>
    <w:rsid w:val="0072129A"/>
    <w:rsid w:val="0072139F"/>
    <w:rsid w:val="00721FC3"/>
    <w:rsid w:val="00722A86"/>
    <w:rsid w:val="00722BC6"/>
    <w:rsid w:val="00722C69"/>
    <w:rsid w:val="0072388C"/>
    <w:rsid w:val="00724FE4"/>
    <w:rsid w:val="007263A2"/>
    <w:rsid w:val="007266B9"/>
    <w:rsid w:val="00727351"/>
    <w:rsid w:val="00727AC5"/>
    <w:rsid w:val="00727C65"/>
    <w:rsid w:val="007300F0"/>
    <w:rsid w:val="00730EB5"/>
    <w:rsid w:val="0073245C"/>
    <w:rsid w:val="00732493"/>
    <w:rsid w:val="00733230"/>
    <w:rsid w:val="00733A43"/>
    <w:rsid w:val="00733D5F"/>
    <w:rsid w:val="00733FBB"/>
    <w:rsid w:val="00734932"/>
    <w:rsid w:val="00735D53"/>
    <w:rsid w:val="007364A3"/>
    <w:rsid w:val="007378FD"/>
    <w:rsid w:val="007403FE"/>
    <w:rsid w:val="007413EB"/>
    <w:rsid w:val="00742D32"/>
    <w:rsid w:val="00742E9B"/>
    <w:rsid w:val="007444E6"/>
    <w:rsid w:val="00745262"/>
    <w:rsid w:val="0074592C"/>
    <w:rsid w:val="00746098"/>
    <w:rsid w:val="00746D58"/>
    <w:rsid w:val="00746E66"/>
    <w:rsid w:val="00747578"/>
    <w:rsid w:val="00751073"/>
    <w:rsid w:val="00751AF2"/>
    <w:rsid w:val="00751BD2"/>
    <w:rsid w:val="00752188"/>
    <w:rsid w:val="00752CC6"/>
    <w:rsid w:val="00753938"/>
    <w:rsid w:val="007543CE"/>
    <w:rsid w:val="0075497E"/>
    <w:rsid w:val="00754A29"/>
    <w:rsid w:val="00755BCF"/>
    <w:rsid w:val="00756100"/>
    <w:rsid w:val="00756C5F"/>
    <w:rsid w:val="00756D69"/>
    <w:rsid w:val="00757029"/>
    <w:rsid w:val="007602D4"/>
    <w:rsid w:val="00760D96"/>
    <w:rsid w:val="0076124A"/>
    <w:rsid w:val="0076161B"/>
    <w:rsid w:val="00761CB5"/>
    <w:rsid w:val="0076216B"/>
    <w:rsid w:val="00762547"/>
    <w:rsid w:val="00763137"/>
    <w:rsid w:val="00763F8B"/>
    <w:rsid w:val="0076417E"/>
    <w:rsid w:val="007662C7"/>
    <w:rsid w:val="00766862"/>
    <w:rsid w:val="007675DD"/>
    <w:rsid w:val="007702BF"/>
    <w:rsid w:val="007705F0"/>
    <w:rsid w:val="00771CAC"/>
    <w:rsid w:val="00772036"/>
    <w:rsid w:val="00773605"/>
    <w:rsid w:val="007739A3"/>
    <w:rsid w:val="00773BD9"/>
    <w:rsid w:val="00773CB0"/>
    <w:rsid w:val="00773D71"/>
    <w:rsid w:val="00774CA9"/>
    <w:rsid w:val="00775526"/>
    <w:rsid w:val="0077685B"/>
    <w:rsid w:val="0077765A"/>
    <w:rsid w:val="00780032"/>
    <w:rsid w:val="00780636"/>
    <w:rsid w:val="00780E86"/>
    <w:rsid w:val="00781727"/>
    <w:rsid w:val="00782CF3"/>
    <w:rsid w:val="00783959"/>
    <w:rsid w:val="007869F9"/>
    <w:rsid w:val="00786CBB"/>
    <w:rsid w:val="00786E21"/>
    <w:rsid w:val="007878B5"/>
    <w:rsid w:val="0079038E"/>
    <w:rsid w:val="00790EBB"/>
    <w:rsid w:val="00791C6E"/>
    <w:rsid w:val="007921F7"/>
    <w:rsid w:val="00792909"/>
    <w:rsid w:val="00792BC6"/>
    <w:rsid w:val="00792C3F"/>
    <w:rsid w:val="00792EE2"/>
    <w:rsid w:val="00793105"/>
    <w:rsid w:val="007931E8"/>
    <w:rsid w:val="00793333"/>
    <w:rsid w:val="007939C7"/>
    <w:rsid w:val="0079460F"/>
    <w:rsid w:val="00794E46"/>
    <w:rsid w:val="007952DE"/>
    <w:rsid w:val="00795479"/>
    <w:rsid w:val="00796292"/>
    <w:rsid w:val="007965D9"/>
    <w:rsid w:val="007972D5"/>
    <w:rsid w:val="007A0789"/>
    <w:rsid w:val="007A130E"/>
    <w:rsid w:val="007A18B1"/>
    <w:rsid w:val="007A1BBD"/>
    <w:rsid w:val="007A1F08"/>
    <w:rsid w:val="007A25FA"/>
    <w:rsid w:val="007A3520"/>
    <w:rsid w:val="007A3604"/>
    <w:rsid w:val="007A3878"/>
    <w:rsid w:val="007A3D85"/>
    <w:rsid w:val="007A3E0D"/>
    <w:rsid w:val="007A436D"/>
    <w:rsid w:val="007A54F6"/>
    <w:rsid w:val="007A5950"/>
    <w:rsid w:val="007A6D91"/>
    <w:rsid w:val="007A7618"/>
    <w:rsid w:val="007B02C7"/>
    <w:rsid w:val="007B0306"/>
    <w:rsid w:val="007B08E4"/>
    <w:rsid w:val="007B0D86"/>
    <w:rsid w:val="007B28C3"/>
    <w:rsid w:val="007B3A8E"/>
    <w:rsid w:val="007B3C9B"/>
    <w:rsid w:val="007B4271"/>
    <w:rsid w:val="007B497D"/>
    <w:rsid w:val="007B4EE9"/>
    <w:rsid w:val="007B54C7"/>
    <w:rsid w:val="007B5DC5"/>
    <w:rsid w:val="007B5F32"/>
    <w:rsid w:val="007B63FC"/>
    <w:rsid w:val="007B6708"/>
    <w:rsid w:val="007B6E8D"/>
    <w:rsid w:val="007C029E"/>
    <w:rsid w:val="007C0636"/>
    <w:rsid w:val="007C10E4"/>
    <w:rsid w:val="007C17B4"/>
    <w:rsid w:val="007C21C5"/>
    <w:rsid w:val="007C2229"/>
    <w:rsid w:val="007C3590"/>
    <w:rsid w:val="007C387A"/>
    <w:rsid w:val="007C43D6"/>
    <w:rsid w:val="007C47FF"/>
    <w:rsid w:val="007C660F"/>
    <w:rsid w:val="007C6664"/>
    <w:rsid w:val="007C69AE"/>
    <w:rsid w:val="007C6FE9"/>
    <w:rsid w:val="007C7688"/>
    <w:rsid w:val="007C76E3"/>
    <w:rsid w:val="007C7AF2"/>
    <w:rsid w:val="007C7DD9"/>
    <w:rsid w:val="007D0DC9"/>
    <w:rsid w:val="007D0ECD"/>
    <w:rsid w:val="007D2882"/>
    <w:rsid w:val="007D2C31"/>
    <w:rsid w:val="007D3D74"/>
    <w:rsid w:val="007D445F"/>
    <w:rsid w:val="007D4DED"/>
    <w:rsid w:val="007D5BA2"/>
    <w:rsid w:val="007D5ED3"/>
    <w:rsid w:val="007D6FB9"/>
    <w:rsid w:val="007E0595"/>
    <w:rsid w:val="007E0A63"/>
    <w:rsid w:val="007E0C63"/>
    <w:rsid w:val="007E0E05"/>
    <w:rsid w:val="007E0F5D"/>
    <w:rsid w:val="007E1265"/>
    <w:rsid w:val="007E23A1"/>
    <w:rsid w:val="007E259F"/>
    <w:rsid w:val="007E54B8"/>
    <w:rsid w:val="007E5D12"/>
    <w:rsid w:val="007E677F"/>
    <w:rsid w:val="007E6B25"/>
    <w:rsid w:val="007F152D"/>
    <w:rsid w:val="007F20EE"/>
    <w:rsid w:val="007F30C6"/>
    <w:rsid w:val="007F4318"/>
    <w:rsid w:val="007F4709"/>
    <w:rsid w:val="007F47DA"/>
    <w:rsid w:val="007F4B43"/>
    <w:rsid w:val="007F4E52"/>
    <w:rsid w:val="007F4F84"/>
    <w:rsid w:val="007F55A4"/>
    <w:rsid w:val="007F6260"/>
    <w:rsid w:val="007F6343"/>
    <w:rsid w:val="007F682B"/>
    <w:rsid w:val="00800509"/>
    <w:rsid w:val="00800B7F"/>
    <w:rsid w:val="0080348B"/>
    <w:rsid w:val="00803D82"/>
    <w:rsid w:val="00803D98"/>
    <w:rsid w:val="008052CE"/>
    <w:rsid w:val="00806CD6"/>
    <w:rsid w:val="0080705B"/>
    <w:rsid w:val="0080723C"/>
    <w:rsid w:val="00807F71"/>
    <w:rsid w:val="0081000F"/>
    <w:rsid w:val="00812657"/>
    <w:rsid w:val="00812A1A"/>
    <w:rsid w:val="00812DFF"/>
    <w:rsid w:val="0081334D"/>
    <w:rsid w:val="0081383A"/>
    <w:rsid w:val="00814FC7"/>
    <w:rsid w:val="00815260"/>
    <w:rsid w:val="00817195"/>
    <w:rsid w:val="00817416"/>
    <w:rsid w:val="00820C4A"/>
    <w:rsid w:val="00821271"/>
    <w:rsid w:val="00821306"/>
    <w:rsid w:val="008213D9"/>
    <w:rsid w:val="00821D85"/>
    <w:rsid w:val="00823819"/>
    <w:rsid w:val="00823C4B"/>
    <w:rsid w:val="00823FB0"/>
    <w:rsid w:val="0082427D"/>
    <w:rsid w:val="00824AB1"/>
    <w:rsid w:val="00825441"/>
    <w:rsid w:val="00830052"/>
    <w:rsid w:val="008300D0"/>
    <w:rsid w:val="008321CE"/>
    <w:rsid w:val="0083257C"/>
    <w:rsid w:val="0083261B"/>
    <w:rsid w:val="00832B44"/>
    <w:rsid w:val="00832EC9"/>
    <w:rsid w:val="00833307"/>
    <w:rsid w:val="00833583"/>
    <w:rsid w:val="00833B5B"/>
    <w:rsid w:val="00833E9A"/>
    <w:rsid w:val="00834E52"/>
    <w:rsid w:val="00834FEF"/>
    <w:rsid w:val="00836323"/>
    <w:rsid w:val="00837E9B"/>
    <w:rsid w:val="008404AA"/>
    <w:rsid w:val="008406D7"/>
    <w:rsid w:val="0084074F"/>
    <w:rsid w:val="00840AAC"/>
    <w:rsid w:val="0084181B"/>
    <w:rsid w:val="00841F29"/>
    <w:rsid w:val="008425CC"/>
    <w:rsid w:val="00843BE2"/>
    <w:rsid w:val="008465B4"/>
    <w:rsid w:val="00846D25"/>
    <w:rsid w:val="00850013"/>
    <w:rsid w:val="008500DD"/>
    <w:rsid w:val="00850191"/>
    <w:rsid w:val="00851E96"/>
    <w:rsid w:val="00852FA5"/>
    <w:rsid w:val="00853F7D"/>
    <w:rsid w:val="0085517F"/>
    <w:rsid w:val="0085562D"/>
    <w:rsid w:val="00855A78"/>
    <w:rsid w:val="00856154"/>
    <w:rsid w:val="00856286"/>
    <w:rsid w:val="0085657E"/>
    <w:rsid w:val="008576B0"/>
    <w:rsid w:val="00860296"/>
    <w:rsid w:val="00860DA4"/>
    <w:rsid w:val="00861390"/>
    <w:rsid w:val="00861948"/>
    <w:rsid w:val="00862011"/>
    <w:rsid w:val="00862A15"/>
    <w:rsid w:val="00862CC9"/>
    <w:rsid w:val="00862D8E"/>
    <w:rsid w:val="00862EF2"/>
    <w:rsid w:val="00865C3D"/>
    <w:rsid w:val="00866127"/>
    <w:rsid w:val="00866453"/>
    <w:rsid w:val="0086707F"/>
    <w:rsid w:val="00867501"/>
    <w:rsid w:val="00867D8E"/>
    <w:rsid w:val="008700C0"/>
    <w:rsid w:val="0087099A"/>
    <w:rsid w:val="00870D79"/>
    <w:rsid w:val="00871333"/>
    <w:rsid w:val="00872386"/>
    <w:rsid w:val="008726D7"/>
    <w:rsid w:val="00873128"/>
    <w:rsid w:val="008735BC"/>
    <w:rsid w:val="00873AAC"/>
    <w:rsid w:val="00873C61"/>
    <w:rsid w:val="00873DFD"/>
    <w:rsid w:val="008745D9"/>
    <w:rsid w:val="008749BF"/>
    <w:rsid w:val="00875542"/>
    <w:rsid w:val="00875E14"/>
    <w:rsid w:val="008764B2"/>
    <w:rsid w:val="0087677E"/>
    <w:rsid w:val="0087712C"/>
    <w:rsid w:val="00877C5D"/>
    <w:rsid w:val="0088093C"/>
    <w:rsid w:val="00880BC0"/>
    <w:rsid w:val="00881D59"/>
    <w:rsid w:val="00884371"/>
    <w:rsid w:val="0088452F"/>
    <w:rsid w:val="00884B7A"/>
    <w:rsid w:val="00884D47"/>
    <w:rsid w:val="00886AFE"/>
    <w:rsid w:val="00887392"/>
    <w:rsid w:val="00890C40"/>
    <w:rsid w:val="008912A7"/>
    <w:rsid w:val="0089183A"/>
    <w:rsid w:val="008920B4"/>
    <w:rsid w:val="00892593"/>
    <w:rsid w:val="008925EB"/>
    <w:rsid w:val="00893432"/>
    <w:rsid w:val="00893936"/>
    <w:rsid w:val="00893CE2"/>
    <w:rsid w:val="00893F41"/>
    <w:rsid w:val="00895144"/>
    <w:rsid w:val="008972B6"/>
    <w:rsid w:val="00897339"/>
    <w:rsid w:val="00897697"/>
    <w:rsid w:val="008977E1"/>
    <w:rsid w:val="008A0044"/>
    <w:rsid w:val="008A0BFE"/>
    <w:rsid w:val="008A1932"/>
    <w:rsid w:val="008A21D9"/>
    <w:rsid w:val="008A26A5"/>
    <w:rsid w:val="008A2F05"/>
    <w:rsid w:val="008A3182"/>
    <w:rsid w:val="008A3D54"/>
    <w:rsid w:val="008A411C"/>
    <w:rsid w:val="008A47CE"/>
    <w:rsid w:val="008A5F2F"/>
    <w:rsid w:val="008A668F"/>
    <w:rsid w:val="008A6BAE"/>
    <w:rsid w:val="008A7350"/>
    <w:rsid w:val="008A7A72"/>
    <w:rsid w:val="008B09F3"/>
    <w:rsid w:val="008B16E6"/>
    <w:rsid w:val="008B1AB2"/>
    <w:rsid w:val="008B1D9B"/>
    <w:rsid w:val="008B2042"/>
    <w:rsid w:val="008B234E"/>
    <w:rsid w:val="008B25F1"/>
    <w:rsid w:val="008B3567"/>
    <w:rsid w:val="008B36D0"/>
    <w:rsid w:val="008B38AF"/>
    <w:rsid w:val="008B3E1B"/>
    <w:rsid w:val="008B3F4B"/>
    <w:rsid w:val="008B48EC"/>
    <w:rsid w:val="008B518E"/>
    <w:rsid w:val="008B69B8"/>
    <w:rsid w:val="008B7042"/>
    <w:rsid w:val="008B7271"/>
    <w:rsid w:val="008C094A"/>
    <w:rsid w:val="008C1570"/>
    <w:rsid w:val="008C1E3E"/>
    <w:rsid w:val="008C2059"/>
    <w:rsid w:val="008C2DBC"/>
    <w:rsid w:val="008C65F4"/>
    <w:rsid w:val="008C6683"/>
    <w:rsid w:val="008C7273"/>
    <w:rsid w:val="008D0E65"/>
    <w:rsid w:val="008D110A"/>
    <w:rsid w:val="008D1612"/>
    <w:rsid w:val="008D2259"/>
    <w:rsid w:val="008D313A"/>
    <w:rsid w:val="008D3381"/>
    <w:rsid w:val="008D33FE"/>
    <w:rsid w:val="008D3B9F"/>
    <w:rsid w:val="008D3D02"/>
    <w:rsid w:val="008D4226"/>
    <w:rsid w:val="008D54C0"/>
    <w:rsid w:val="008D5ED9"/>
    <w:rsid w:val="008D7567"/>
    <w:rsid w:val="008E0E86"/>
    <w:rsid w:val="008E0EE4"/>
    <w:rsid w:val="008E1C24"/>
    <w:rsid w:val="008E2626"/>
    <w:rsid w:val="008E27A9"/>
    <w:rsid w:val="008E323C"/>
    <w:rsid w:val="008E35A6"/>
    <w:rsid w:val="008E36D9"/>
    <w:rsid w:val="008E3A5C"/>
    <w:rsid w:val="008E3A9A"/>
    <w:rsid w:val="008E429E"/>
    <w:rsid w:val="008E5938"/>
    <w:rsid w:val="008F1D99"/>
    <w:rsid w:val="008F1E3D"/>
    <w:rsid w:val="008F2F11"/>
    <w:rsid w:val="008F33A6"/>
    <w:rsid w:val="008F35EC"/>
    <w:rsid w:val="008F4FE8"/>
    <w:rsid w:val="008F4FED"/>
    <w:rsid w:val="008F6200"/>
    <w:rsid w:val="008F62F8"/>
    <w:rsid w:val="008F6893"/>
    <w:rsid w:val="008F7292"/>
    <w:rsid w:val="009000F2"/>
    <w:rsid w:val="009000F6"/>
    <w:rsid w:val="0090079D"/>
    <w:rsid w:val="0090086A"/>
    <w:rsid w:val="00900D2C"/>
    <w:rsid w:val="00901807"/>
    <w:rsid w:val="00901945"/>
    <w:rsid w:val="00901F0E"/>
    <w:rsid w:val="0090408F"/>
    <w:rsid w:val="009043B7"/>
    <w:rsid w:val="0090446A"/>
    <w:rsid w:val="00904DC3"/>
    <w:rsid w:val="00905469"/>
    <w:rsid w:val="00905B0C"/>
    <w:rsid w:val="0090629C"/>
    <w:rsid w:val="00906EA2"/>
    <w:rsid w:val="00907278"/>
    <w:rsid w:val="0091112B"/>
    <w:rsid w:val="009128B8"/>
    <w:rsid w:val="0091472C"/>
    <w:rsid w:val="00914FE8"/>
    <w:rsid w:val="00915351"/>
    <w:rsid w:val="00915679"/>
    <w:rsid w:val="009159C2"/>
    <w:rsid w:val="00916D22"/>
    <w:rsid w:val="0092077A"/>
    <w:rsid w:val="009219F3"/>
    <w:rsid w:val="00921DF4"/>
    <w:rsid w:val="009221CB"/>
    <w:rsid w:val="00922320"/>
    <w:rsid w:val="00923643"/>
    <w:rsid w:val="00923E1A"/>
    <w:rsid w:val="0092490A"/>
    <w:rsid w:val="009251B9"/>
    <w:rsid w:val="00925A3E"/>
    <w:rsid w:val="009261DB"/>
    <w:rsid w:val="00926939"/>
    <w:rsid w:val="00926F4C"/>
    <w:rsid w:val="00927710"/>
    <w:rsid w:val="00931445"/>
    <w:rsid w:val="00931AB8"/>
    <w:rsid w:val="00931C63"/>
    <w:rsid w:val="00931D10"/>
    <w:rsid w:val="0093218A"/>
    <w:rsid w:val="0093386D"/>
    <w:rsid w:val="00934C8E"/>
    <w:rsid w:val="00935194"/>
    <w:rsid w:val="00936EA5"/>
    <w:rsid w:val="00937114"/>
    <w:rsid w:val="0094015D"/>
    <w:rsid w:val="009418D4"/>
    <w:rsid w:val="00941B13"/>
    <w:rsid w:val="009441DB"/>
    <w:rsid w:val="00944834"/>
    <w:rsid w:val="00946128"/>
    <w:rsid w:val="0094633F"/>
    <w:rsid w:val="009475C1"/>
    <w:rsid w:val="009477CB"/>
    <w:rsid w:val="00947BA5"/>
    <w:rsid w:val="00950805"/>
    <w:rsid w:val="0095121C"/>
    <w:rsid w:val="009517E4"/>
    <w:rsid w:val="009518D4"/>
    <w:rsid w:val="009520BC"/>
    <w:rsid w:val="009521D2"/>
    <w:rsid w:val="00952403"/>
    <w:rsid w:val="00952BD8"/>
    <w:rsid w:val="00953573"/>
    <w:rsid w:val="009535D2"/>
    <w:rsid w:val="00956647"/>
    <w:rsid w:val="00957409"/>
    <w:rsid w:val="00957499"/>
    <w:rsid w:val="00957BD6"/>
    <w:rsid w:val="00957ED2"/>
    <w:rsid w:val="00960DE4"/>
    <w:rsid w:val="00961164"/>
    <w:rsid w:val="00961A4F"/>
    <w:rsid w:val="00962B2E"/>
    <w:rsid w:val="00962FB8"/>
    <w:rsid w:val="0096373F"/>
    <w:rsid w:val="00964007"/>
    <w:rsid w:val="009643F4"/>
    <w:rsid w:val="00964F5A"/>
    <w:rsid w:val="009653ED"/>
    <w:rsid w:val="00966AD2"/>
    <w:rsid w:val="00967961"/>
    <w:rsid w:val="00967A38"/>
    <w:rsid w:val="009716D8"/>
    <w:rsid w:val="00971F54"/>
    <w:rsid w:val="00972057"/>
    <w:rsid w:val="0097227B"/>
    <w:rsid w:val="0097262E"/>
    <w:rsid w:val="0097293F"/>
    <w:rsid w:val="00974022"/>
    <w:rsid w:val="0097552A"/>
    <w:rsid w:val="0097564A"/>
    <w:rsid w:val="00976BBE"/>
    <w:rsid w:val="0097741F"/>
    <w:rsid w:val="0098055B"/>
    <w:rsid w:val="009810BE"/>
    <w:rsid w:val="009817BC"/>
    <w:rsid w:val="009819A7"/>
    <w:rsid w:val="0098220A"/>
    <w:rsid w:val="00983337"/>
    <w:rsid w:val="009851F5"/>
    <w:rsid w:val="0098534B"/>
    <w:rsid w:val="0098764E"/>
    <w:rsid w:val="00987826"/>
    <w:rsid w:val="00987B4F"/>
    <w:rsid w:val="00987D58"/>
    <w:rsid w:val="009906D4"/>
    <w:rsid w:val="00990EB7"/>
    <w:rsid w:val="00990F5F"/>
    <w:rsid w:val="009911A7"/>
    <w:rsid w:val="009913B8"/>
    <w:rsid w:val="009914E4"/>
    <w:rsid w:val="00992141"/>
    <w:rsid w:val="00992DC6"/>
    <w:rsid w:val="00993135"/>
    <w:rsid w:val="00993AC7"/>
    <w:rsid w:val="00993BAD"/>
    <w:rsid w:val="00993E49"/>
    <w:rsid w:val="009942F5"/>
    <w:rsid w:val="0099461F"/>
    <w:rsid w:val="00995B01"/>
    <w:rsid w:val="00996EF4"/>
    <w:rsid w:val="00997044"/>
    <w:rsid w:val="00997A5D"/>
    <w:rsid w:val="00997BC9"/>
    <w:rsid w:val="009A2BE9"/>
    <w:rsid w:val="009A2BF3"/>
    <w:rsid w:val="009A3C3E"/>
    <w:rsid w:val="009A4C2C"/>
    <w:rsid w:val="009A520A"/>
    <w:rsid w:val="009A59B3"/>
    <w:rsid w:val="009A5FAE"/>
    <w:rsid w:val="009A7E7C"/>
    <w:rsid w:val="009B05D2"/>
    <w:rsid w:val="009B152B"/>
    <w:rsid w:val="009B16F0"/>
    <w:rsid w:val="009B2731"/>
    <w:rsid w:val="009B2DCF"/>
    <w:rsid w:val="009B3D38"/>
    <w:rsid w:val="009B4368"/>
    <w:rsid w:val="009B6E27"/>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48A"/>
    <w:rsid w:val="009D03B7"/>
    <w:rsid w:val="009D07AD"/>
    <w:rsid w:val="009D0824"/>
    <w:rsid w:val="009D1654"/>
    <w:rsid w:val="009D1BDB"/>
    <w:rsid w:val="009D2F9C"/>
    <w:rsid w:val="009D4207"/>
    <w:rsid w:val="009D4E4A"/>
    <w:rsid w:val="009D5130"/>
    <w:rsid w:val="009D53D1"/>
    <w:rsid w:val="009D53FB"/>
    <w:rsid w:val="009D6081"/>
    <w:rsid w:val="009D678C"/>
    <w:rsid w:val="009D6B9A"/>
    <w:rsid w:val="009D76B5"/>
    <w:rsid w:val="009D7BC7"/>
    <w:rsid w:val="009D7FAC"/>
    <w:rsid w:val="009E0109"/>
    <w:rsid w:val="009E0342"/>
    <w:rsid w:val="009E098B"/>
    <w:rsid w:val="009E09AB"/>
    <w:rsid w:val="009E0A39"/>
    <w:rsid w:val="009E19BB"/>
    <w:rsid w:val="009E1C47"/>
    <w:rsid w:val="009E38D1"/>
    <w:rsid w:val="009E3DF1"/>
    <w:rsid w:val="009E514A"/>
    <w:rsid w:val="009E5177"/>
    <w:rsid w:val="009E5701"/>
    <w:rsid w:val="009E5711"/>
    <w:rsid w:val="009E758E"/>
    <w:rsid w:val="009E7D6B"/>
    <w:rsid w:val="009E7E81"/>
    <w:rsid w:val="009F020A"/>
    <w:rsid w:val="009F05AD"/>
    <w:rsid w:val="009F1109"/>
    <w:rsid w:val="009F143E"/>
    <w:rsid w:val="009F1DE8"/>
    <w:rsid w:val="009F2186"/>
    <w:rsid w:val="009F28DC"/>
    <w:rsid w:val="009F2EDB"/>
    <w:rsid w:val="009F33DC"/>
    <w:rsid w:val="009F385E"/>
    <w:rsid w:val="009F4550"/>
    <w:rsid w:val="009F56C0"/>
    <w:rsid w:val="009F5C76"/>
    <w:rsid w:val="00A007B4"/>
    <w:rsid w:val="00A00CA0"/>
    <w:rsid w:val="00A00E00"/>
    <w:rsid w:val="00A01221"/>
    <w:rsid w:val="00A012A8"/>
    <w:rsid w:val="00A016FF"/>
    <w:rsid w:val="00A0207F"/>
    <w:rsid w:val="00A021AF"/>
    <w:rsid w:val="00A044AA"/>
    <w:rsid w:val="00A052F0"/>
    <w:rsid w:val="00A07F53"/>
    <w:rsid w:val="00A102F8"/>
    <w:rsid w:val="00A10A20"/>
    <w:rsid w:val="00A117D5"/>
    <w:rsid w:val="00A11984"/>
    <w:rsid w:val="00A131F5"/>
    <w:rsid w:val="00A133C1"/>
    <w:rsid w:val="00A13414"/>
    <w:rsid w:val="00A13F2D"/>
    <w:rsid w:val="00A14F81"/>
    <w:rsid w:val="00A1535F"/>
    <w:rsid w:val="00A15CB1"/>
    <w:rsid w:val="00A15E84"/>
    <w:rsid w:val="00A16021"/>
    <w:rsid w:val="00A176DD"/>
    <w:rsid w:val="00A20FAD"/>
    <w:rsid w:val="00A22C3E"/>
    <w:rsid w:val="00A22C4D"/>
    <w:rsid w:val="00A23442"/>
    <w:rsid w:val="00A249D2"/>
    <w:rsid w:val="00A254AB"/>
    <w:rsid w:val="00A266CC"/>
    <w:rsid w:val="00A26DB4"/>
    <w:rsid w:val="00A27425"/>
    <w:rsid w:val="00A3023E"/>
    <w:rsid w:val="00A305C5"/>
    <w:rsid w:val="00A30919"/>
    <w:rsid w:val="00A31F05"/>
    <w:rsid w:val="00A31FD2"/>
    <w:rsid w:val="00A3404D"/>
    <w:rsid w:val="00A341AB"/>
    <w:rsid w:val="00A34290"/>
    <w:rsid w:val="00A355F9"/>
    <w:rsid w:val="00A35AA9"/>
    <w:rsid w:val="00A37309"/>
    <w:rsid w:val="00A37558"/>
    <w:rsid w:val="00A3786A"/>
    <w:rsid w:val="00A4008C"/>
    <w:rsid w:val="00A402A8"/>
    <w:rsid w:val="00A40685"/>
    <w:rsid w:val="00A40E2F"/>
    <w:rsid w:val="00A41819"/>
    <w:rsid w:val="00A41C9A"/>
    <w:rsid w:val="00A41D73"/>
    <w:rsid w:val="00A429BD"/>
    <w:rsid w:val="00A433E8"/>
    <w:rsid w:val="00A43A1D"/>
    <w:rsid w:val="00A44854"/>
    <w:rsid w:val="00A44A45"/>
    <w:rsid w:val="00A46859"/>
    <w:rsid w:val="00A46D39"/>
    <w:rsid w:val="00A472B8"/>
    <w:rsid w:val="00A5004A"/>
    <w:rsid w:val="00A502F5"/>
    <w:rsid w:val="00A504F4"/>
    <w:rsid w:val="00A508AA"/>
    <w:rsid w:val="00A526CE"/>
    <w:rsid w:val="00A53B6E"/>
    <w:rsid w:val="00A54DC0"/>
    <w:rsid w:val="00A550C9"/>
    <w:rsid w:val="00A55228"/>
    <w:rsid w:val="00A55A04"/>
    <w:rsid w:val="00A564DE"/>
    <w:rsid w:val="00A6054E"/>
    <w:rsid w:val="00A60799"/>
    <w:rsid w:val="00A61B7F"/>
    <w:rsid w:val="00A61B91"/>
    <w:rsid w:val="00A629CA"/>
    <w:rsid w:val="00A63335"/>
    <w:rsid w:val="00A63685"/>
    <w:rsid w:val="00A645AC"/>
    <w:rsid w:val="00A65EFB"/>
    <w:rsid w:val="00A66E28"/>
    <w:rsid w:val="00A67CE9"/>
    <w:rsid w:val="00A70590"/>
    <w:rsid w:val="00A7062E"/>
    <w:rsid w:val="00A70834"/>
    <w:rsid w:val="00A70923"/>
    <w:rsid w:val="00A71542"/>
    <w:rsid w:val="00A71FA0"/>
    <w:rsid w:val="00A720B1"/>
    <w:rsid w:val="00A72727"/>
    <w:rsid w:val="00A72C1A"/>
    <w:rsid w:val="00A7463E"/>
    <w:rsid w:val="00A758E2"/>
    <w:rsid w:val="00A765B1"/>
    <w:rsid w:val="00A772F2"/>
    <w:rsid w:val="00A77828"/>
    <w:rsid w:val="00A77C72"/>
    <w:rsid w:val="00A800F9"/>
    <w:rsid w:val="00A8073D"/>
    <w:rsid w:val="00A80D02"/>
    <w:rsid w:val="00A82D32"/>
    <w:rsid w:val="00A82EAE"/>
    <w:rsid w:val="00A847F9"/>
    <w:rsid w:val="00A849F6"/>
    <w:rsid w:val="00A84F27"/>
    <w:rsid w:val="00A8519C"/>
    <w:rsid w:val="00A85F83"/>
    <w:rsid w:val="00A86019"/>
    <w:rsid w:val="00A86EED"/>
    <w:rsid w:val="00A8733A"/>
    <w:rsid w:val="00A9196B"/>
    <w:rsid w:val="00A91BEE"/>
    <w:rsid w:val="00A91D4B"/>
    <w:rsid w:val="00A920B2"/>
    <w:rsid w:val="00A92675"/>
    <w:rsid w:val="00A92A96"/>
    <w:rsid w:val="00A92AF0"/>
    <w:rsid w:val="00A933FE"/>
    <w:rsid w:val="00A937D5"/>
    <w:rsid w:val="00A93C70"/>
    <w:rsid w:val="00A94A32"/>
    <w:rsid w:val="00A94AFC"/>
    <w:rsid w:val="00A96B4A"/>
    <w:rsid w:val="00A97BDA"/>
    <w:rsid w:val="00AA0779"/>
    <w:rsid w:val="00AA08F3"/>
    <w:rsid w:val="00AA0F23"/>
    <w:rsid w:val="00AA1163"/>
    <w:rsid w:val="00AA1DA8"/>
    <w:rsid w:val="00AA222C"/>
    <w:rsid w:val="00AA238E"/>
    <w:rsid w:val="00AA253B"/>
    <w:rsid w:val="00AA29F8"/>
    <w:rsid w:val="00AA3243"/>
    <w:rsid w:val="00AA388F"/>
    <w:rsid w:val="00AA408E"/>
    <w:rsid w:val="00AA4F6D"/>
    <w:rsid w:val="00AA536B"/>
    <w:rsid w:val="00AA5A5C"/>
    <w:rsid w:val="00AA5A6F"/>
    <w:rsid w:val="00AA6F6C"/>
    <w:rsid w:val="00AA7519"/>
    <w:rsid w:val="00AA790A"/>
    <w:rsid w:val="00AB02EA"/>
    <w:rsid w:val="00AB110C"/>
    <w:rsid w:val="00AB227A"/>
    <w:rsid w:val="00AB22BF"/>
    <w:rsid w:val="00AB256E"/>
    <w:rsid w:val="00AB3466"/>
    <w:rsid w:val="00AB3BBB"/>
    <w:rsid w:val="00AB408C"/>
    <w:rsid w:val="00AB4E41"/>
    <w:rsid w:val="00AB5EB1"/>
    <w:rsid w:val="00AB6003"/>
    <w:rsid w:val="00AB759A"/>
    <w:rsid w:val="00AB7B06"/>
    <w:rsid w:val="00AB7EAA"/>
    <w:rsid w:val="00AC0432"/>
    <w:rsid w:val="00AC0770"/>
    <w:rsid w:val="00AC1683"/>
    <w:rsid w:val="00AC1D82"/>
    <w:rsid w:val="00AC4094"/>
    <w:rsid w:val="00AC42B6"/>
    <w:rsid w:val="00AC4AB7"/>
    <w:rsid w:val="00AC5859"/>
    <w:rsid w:val="00AC6225"/>
    <w:rsid w:val="00AC6D24"/>
    <w:rsid w:val="00AD1065"/>
    <w:rsid w:val="00AD3DA6"/>
    <w:rsid w:val="00AD3F3C"/>
    <w:rsid w:val="00AD4B2F"/>
    <w:rsid w:val="00AD5F0A"/>
    <w:rsid w:val="00AD6A5B"/>
    <w:rsid w:val="00AD6B4F"/>
    <w:rsid w:val="00AD7812"/>
    <w:rsid w:val="00AD7C42"/>
    <w:rsid w:val="00AD7CFA"/>
    <w:rsid w:val="00AE0BD6"/>
    <w:rsid w:val="00AE11C1"/>
    <w:rsid w:val="00AE163D"/>
    <w:rsid w:val="00AE1C5C"/>
    <w:rsid w:val="00AE315E"/>
    <w:rsid w:val="00AE319F"/>
    <w:rsid w:val="00AE31D9"/>
    <w:rsid w:val="00AE3792"/>
    <w:rsid w:val="00AE3CF0"/>
    <w:rsid w:val="00AE71EE"/>
    <w:rsid w:val="00AE7FD3"/>
    <w:rsid w:val="00AF03CF"/>
    <w:rsid w:val="00AF0A0A"/>
    <w:rsid w:val="00AF14FC"/>
    <w:rsid w:val="00AF1ED2"/>
    <w:rsid w:val="00AF1F4E"/>
    <w:rsid w:val="00AF3557"/>
    <w:rsid w:val="00AF383C"/>
    <w:rsid w:val="00AF3F86"/>
    <w:rsid w:val="00AF4CEE"/>
    <w:rsid w:val="00AF5364"/>
    <w:rsid w:val="00AF584C"/>
    <w:rsid w:val="00AF5D84"/>
    <w:rsid w:val="00AF669D"/>
    <w:rsid w:val="00AF672C"/>
    <w:rsid w:val="00AF7389"/>
    <w:rsid w:val="00AF7C37"/>
    <w:rsid w:val="00B00378"/>
    <w:rsid w:val="00B00D91"/>
    <w:rsid w:val="00B00E84"/>
    <w:rsid w:val="00B038F1"/>
    <w:rsid w:val="00B03C1B"/>
    <w:rsid w:val="00B04678"/>
    <w:rsid w:val="00B04A04"/>
    <w:rsid w:val="00B04C37"/>
    <w:rsid w:val="00B04F00"/>
    <w:rsid w:val="00B05BA6"/>
    <w:rsid w:val="00B066FE"/>
    <w:rsid w:val="00B06912"/>
    <w:rsid w:val="00B10B04"/>
    <w:rsid w:val="00B10CC6"/>
    <w:rsid w:val="00B11A61"/>
    <w:rsid w:val="00B12082"/>
    <w:rsid w:val="00B1278A"/>
    <w:rsid w:val="00B13389"/>
    <w:rsid w:val="00B1364C"/>
    <w:rsid w:val="00B141A5"/>
    <w:rsid w:val="00B15286"/>
    <w:rsid w:val="00B1550D"/>
    <w:rsid w:val="00B159C0"/>
    <w:rsid w:val="00B15F6C"/>
    <w:rsid w:val="00B163E8"/>
    <w:rsid w:val="00B1767E"/>
    <w:rsid w:val="00B20760"/>
    <w:rsid w:val="00B21676"/>
    <w:rsid w:val="00B219E1"/>
    <w:rsid w:val="00B22150"/>
    <w:rsid w:val="00B226DE"/>
    <w:rsid w:val="00B241D5"/>
    <w:rsid w:val="00B24BE9"/>
    <w:rsid w:val="00B25956"/>
    <w:rsid w:val="00B25F8C"/>
    <w:rsid w:val="00B260BE"/>
    <w:rsid w:val="00B26677"/>
    <w:rsid w:val="00B269D0"/>
    <w:rsid w:val="00B26A96"/>
    <w:rsid w:val="00B274E3"/>
    <w:rsid w:val="00B2765C"/>
    <w:rsid w:val="00B27C4B"/>
    <w:rsid w:val="00B30563"/>
    <w:rsid w:val="00B30A76"/>
    <w:rsid w:val="00B32295"/>
    <w:rsid w:val="00B33AB5"/>
    <w:rsid w:val="00B3412E"/>
    <w:rsid w:val="00B367C4"/>
    <w:rsid w:val="00B37B8E"/>
    <w:rsid w:val="00B40222"/>
    <w:rsid w:val="00B404C3"/>
    <w:rsid w:val="00B42A76"/>
    <w:rsid w:val="00B4311F"/>
    <w:rsid w:val="00B431AE"/>
    <w:rsid w:val="00B448BF"/>
    <w:rsid w:val="00B45A59"/>
    <w:rsid w:val="00B45F9F"/>
    <w:rsid w:val="00B4627C"/>
    <w:rsid w:val="00B46793"/>
    <w:rsid w:val="00B46953"/>
    <w:rsid w:val="00B47455"/>
    <w:rsid w:val="00B47979"/>
    <w:rsid w:val="00B47A59"/>
    <w:rsid w:val="00B503D6"/>
    <w:rsid w:val="00B51520"/>
    <w:rsid w:val="00B515C3"/>
    <w:rsid w:val="00B517C2"/>
    <w:rsid w:val="00B518CE"/>
    <w:rsid w:val="00B51F56"/>
    <w:rsid w:val="00B52234"/>
    <w:rsid w:val="00B53623"/>
    <w:rsid w:val="00B53D1D"/>
    <w:rsid w:val="00B53E98"/>
    <w:rsid w:val="00B53F9B"/>
    <w:rsid w:val="00B55F64"/>
    <w:rsid w:val="00B56ECA"/>
    <w:rsid w:val="00B57093"/>
    <w:rsid w:val="00B60613"/>
    <w:rsid w:val="00B61AEC"/>
    <w:rsid w:val="00B62B7B"/>
    <w:rsid w:val="00B6350A"/>
    <w:rsid w:val="00B63EF6"/>
    <w:rsid w:val="00B6440A"/>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55B6"/>
    <w:rsid w:val="00B75A48"/>
    <w:rsid w:val="00B75CC0"/>
    <w:rsid w:val="00B76021"/>
    <w:rsid w:val="00B804F8"/>
    <w:rsid w:val="00B8095A"/>
    <w:rsid w:val="00B81274"/>
    <w:rsid w:val="00B815D3"/>
    <w:rsid w:val="00B823A6"/>
    <w:rsid w:val="00B83E76"/>
    <w:rsid w:val="00B83FA0"/>
    <w:rsid w:val="00B86289"/>
    <w:rsid w:val="00B863B3"/>
    <w:rsid w:val="00B869D3"/>
    <w:rsid w:val="00B86E44"/>
    <w:rsid w:val="00B87359"/>
    <w:rsid w:val="00B87F1C"/>
    <w:rsid w:val="00B90D8D"/>
    <w:rsid w:val="00B91263"/>
    <w:rsid w:val="00B91B61"/>
    <w:rsid w:val="00B92CF7"/>
    <w:rsid w:val="00B93849"/>
    <w:rsid w:val="00B938BD"/>
    <w:rsid w:val="00B93BC4"/>
    <w:rsid w:val="00B9407F"/>
    <w:rsid w:val="00B944E9"/>
    <w:rsid w:val="00B94896"/>
    <w:rsid w:val="00B94CDD"/>
    <w:rsid w:val="00B96DD9"/>
    <w:rsid w:val="00BA14B2"/>
    <w:rsid w:val="00BA15DC"/>
    <w:rsid w:val="00BA2C82"/>
    <w:rsid w:val="00BA5039"/>
    <w:rsid w:val="00BA583B"/>
    <w:rsid w:val="00BA5EC7"/>
    <w:rsid w:val="00BA6319"/>
    <w:rsid w:val="00BA63CE"/>
    <w:rsid w:val="00BA676E"/>
    <w:rsid w:val="00BA7227"/>
    <w:rsid w:val="00BA763C"/>
    <w:rsid w:val="00BA7CD7"/>
    <w:rsid w:val="00BB00E5"/>
    <w:rsid w:val="00BB20B2"/>
    <w:rsid w:val="00BB2ACE"/>
    <w:rsid w:val="00BB2E4E"/>
    <w:rsid w:val="00BB2E62"/>
    <w:rsid w:val="00BB36C9"/>
    <w:rsid w:val="00BB7EC0"/>
    <w:rsid w:val="00BC0207"/>
    <w:rsid w:val="00BC0A5A"/>
    <w:rsid w:val="00BC0E64"/>
    <w:rsid w:val="00BC25D1"/>
    <w:rsid w:val="00BC3BCB"/>
    <w:rsid w:val="00BC428A"/>
    <w:rsid w:val="00BC4B53"/>
    <w:rsid w:val="00BC4C40"/>
    <w:rsid w:val="00BC5AE3"/>
    <w:rsid w:val="00BC5BAD"/>
    <w:rsid w:val="00BC76C5"/>
    <w:rsid w:val="00BD138A"/>
    <w:rsid w:val="00BD164A"/>
    <w:rsid w:val="00BD1BDD"/>
    <w:rsid w:val="00BD1D7D"/>
    <w:rsid w:val="00BD2B4D"/>
    <w:rsid w:val="00BD2F08"/>
    <w:rsid w:val="00BD2FB9"/>
    <w:rsid w:val="00BD31C2"/>
    <w:rsid w:val="00BD3683"/>
    <w:rsid w:val="00BD450A"/>
    <w:rsid w:val="00BD4717"/>
    <w:rsid w:val="00BD48EA"/>
    <w:rsid w:val="00BD4BA8"/>
    <w:rsid w:val="00BD58A0"/>
    <w:rsid w:val="00BD59B3"/>
    <w:rsid w:val="00BD62E6"/>
    <w:rsid w:val="00BD6B0E"/>
    <w:rsid w:val="00BD7941"/>
    <w:rsid w:val="00BE0C55"/>
    <w:rsid w:val="00BE11A2"/>
    <w:rsid w:val="00BE246C"/>
    <w:rsid w:val="00BE2657"/>
    <w:rsid w:val="00BE37AE"/>
    <w:rsid w:val="00BE3B14"/>
    <w:rsid w:val="00BE3C65"/>
    <w:rsid w:val="00BE472D"/>
    <w:rsid w:val="00BE7F4D"/>
    <w:rsid w:val="00BF03C0"/>
    <w:rsid w:val="00BF0EBF"/>
    <w:rsid w:val="00BF21D4"/>
    <w:rsid w:val="00BF2DDC"/>
    <w:rsid w:val="00BF4A15"/>
    <w:rsid w:val="00BF4E0E"/>
    <w:rsid w:val="00BF4E27"/>
    <w:rsid w:val="00BF537B"/>
    <w:rsid w:val="00BF626A"/>
    <w:rsid w:val="00BF6D77"/>
    <w:rsid w:val="00BF7EF5"/>
    <w:rsid w:val="00C0378E"/>
    <w:rsid w:val="00C05730"/>
    <w:rsid w:val="00C05AF4"/>
    <w:rsid w:val="00C05AFD"/>
    <w:rsid w:val="00C0661C"/>
    <w:rsid w:val="00C0675F"/>
    <w:rsid w:val="00C0702A"/>
    <w:rsid w:val="00C0724C"/>
    <w:rsid w:val="00C07C11"/>
    <w:rsid w:val="00C07E10"/>
    <w:rsid w:val="00C10015"/>
    <w:rsid w:val="00C12ECB"/>
    <w:rsid w:val="00C14ABD"/>
    <w:rsid w:val="00C151E0"/>
    <w:rsid w:val="00C15B31"/>
    <w:rsid w:val="00C166D4"/>
    <w:rsid w:val="00C168E5"/>
    <w:rsid w:val="00C1696D"/>
    <w:rsid w:val="00C17AB5"/>
    <w:rsid w:val="00C20051"/>
    <w:rsid w:val="00C20B86"/>
    <w:rsid w:val="00C21145"/>
    <w:rsid w:val="00C23615"/>
    <w:rsid w:val="00C2397E"/>
    <w:rsid w:val="00C23A83"/>
    <w:rsid w:val="00C24381"/>
    <w:rsid w:val="00C24C2E"/>
    <w:rsid w:val="00C24C7A"/>
    <w:rsid w:val="00C24FFB"/>
    <w:rsid w:val="00C25CFF"/>
    <w:rsid w:val="00C25EA6"/>
    <w:rsid w:val="00C261C1"/>
    <w:rsid w:val="00C26DBF"/>
    <w:rsid w:val="00C30B0B"/>
    <w:rsid w:val="00C316B4"/>
    <w:rsid w:val="00C332D4"/>
    <w:rsid w:val="00C33E51"/>
    <w:rsid w:val="00C34C45"/>
    <w:rsid w:val="00C34C47"/>
    <w:rsid w:val="00C3701A"/>
    <w:rsid w:val="00C405C8"/>
    <w:rsid w:val="00C40C2F"/>
    <w:rsid w:val="00C415AC"/>
    <w:rsid w:val="00C4297A"/>
    <w:rsid w:val="00C4360C"/>
    <w:rsid w:val="00C43A0B"/>
    <w:rsid w:val="00C43EDA"/>
    <w:rsid w:val="00C4414C"/>
    <w:rsid w:val="00C45512"/>
    <w:rsid w:val="00C4602B"/>
    <w:rsid w:val="00C46564"/>
    <w:rsid w:val="00C47203"/>
    <w:rsid w:val="00C50A02"/>
    <w:rsid w:val="00C51149"/>
    <w:rsid w:val="00C5117E"/>
    <w:rsid w:val="00C512D1"/>
    <w:rsid w:val="00C51856"/>
    <w:rsid w:val="00C51B04"/>
    <w:rsid w:val="00C53CE9"/>
    <w:rsid w:val="00C54749"/>
    <w:rsid w:val="00C54F07"/>
    <w:rsid w:val="00C5531B"/>
    <w:rsid w:val="00C55375"/>
    <w:rsid w:val="00C56C98"/>
    <w:rsid w:val="00C56DEE"/>
    <w:rsid w:val="00C57120"/>
    <w:rsid w:val="00C571D5"/>
    <w:rsid w:val="00C575D4"/>
    <w:rsid w:val="00C61223"/>
    <w:rsid w:val="00C61246"/>
    <w:rsid w:val="00C618A8"/>
    <w:rsid w:val="00C61A78"/>
    <w:rsid w:val="00C61B5F"/>
    <w:rsid w:val="00C62B88"/>
    <w:rsid w:val="00C634F9"/>
    <w:rsid w:val="00C637D4"/>
    <w:rsid w:val="00C643ED"/>
    <w:rsid w:val="00C64534"/>
    <w:rsid w:val="00C64D93"/>
    <w:rsid w:val="00C64F49"/>
    <w:rsid w:val="00C65200"/>
    <w:rsid w:val="00C665DE"/>
    <w:rsid w:val="00C667C3"/>
    <w:rsid w:val="00C6728B"/>
    <w:rsid w:val="00C71528"/>
    <w:rsid w:val="00C71F09"/>
    <w:rsid w:val="00C72588"/>
    <w:rsid w:val="00C727B9"/>
    <w:rsid w:val="00C73670"/>
    <w:rsid w:val="00C737D1"/>
    <w:rsid w:val="00C73DE0"/>
    <w:rsid w:val="00C74609"/>
    <w:rsid w:val="00C749AB"/>
    <w:rsid w:val="00C75A8F"/>
    <w:rsid w:val="00C76C0C"/>
    <w:rsid w:val="00C776BA"/>
    <w:rsid w:val="00C81716"/>
    <w:rsid w:val="00C81FE1"/>
    <w:rsid w:val="00C832CB"/>
    <w:rsid w:val="00C84085"/>
    <w:rsid w:val="00C85E17"/>
    <w:rsid w:val="00C868A7"/>
    <w:rsid w:val="00C87164"/>
    <w:rsid w:val="00C87BD0"/>
    <w:rsid w:val="00C905E5"/>
    <w:rsid w:val="00C90754"/>
    <w:rsid w:val="00C90B95"/>
    <w:rsid w:val="00C90BC4"/>
    <w:rsid w:val="00C90CA9"/>
    <w:rsid w:val="00C92E41"/>
    <w:rsid w:val="00C92F62"/>
    <w:rsid w:val="00C93097"/>
    <w:rsid w:val="00C93B40"/>
    <w:rsid w:val="00C93DB5"/>
    <w:rsid w:val="00C94CB9"/>
    <w:rsid w:val="00C94F2B"/>
    <w:rsid w:val="00C95C2F"/>
    <w:rsid w:val="00C95F87"/>
    <w:rsid w:val="00C968EF"/>
    <w:rsid w:val="00CA0492"/>
    <w:rsid w:val="00CA0A04"/>
    <w:rsid w:val="00CA2528"/>
    <w:rsid w:val="00CA3CAB"/>
    <w:rsid w:val="00CA3FC0"/>
    <w:rsid w:val="00CA6A2E"/>
    <w:rsid w:val="00CA7809"/>
    <w:rsid w:val="00CA7D3E"/>
    <w:rsid w:val="00CB0317"/>
    <w:rsid w:val="00CB0662"/>
    <w:rsid w:val="00CB0A82"/>
    <w:rsid w:val="00CB0F2F"/>
    <w:rsid w:val="00CB1556"/>
    <w:rsid w:val="00CB2913"/>
    <w:rsid w:val="00CB3970"/>
    <w:rsid w:val="00CB42B9"/>
    <w:rsid w:val="00CB4F39"/>
    <w:rsid w:val="00CB52A4"/>
    <w:rsid w:val="00CB537C"/>
    <w:rsid w:val="00CB5A26"/>
    <w:rsid w:val="00CB645B"/>
    <w:rsid w:val="00CB6A93"/>
    <w:rsid w:val="00CB77C3"/>
    <w:rsid w:val="00CB7E9C"/>
    <w:rsid w:val="00CB7F06"/>
    <w:rsid w:val="00CC0072"/>
    <w:rsid w:val="00CC0915"/>
    <w:rsid w:val="00CC1AF5"/>
    <w:rsid w:val="00CC1B74"/>
    <w:rsid w:val="00CC1EFF"/>
    <w:rsid w:val="00CC291E"/>
    <w:rsid w:val="00CC2D03"/>
    <w:rsid w:val="00CC2EB0"/>
    <w:rsid w:val="00CC4675"/>
    <w:rsid w:val="00CC4701"/>
    <w:rsid w:val="00CC56B4"/>
    <w:rsid w:val="00CC59F5"/>
    <w:rsid w:val="00CC5F95"/>
    <w:rsid w:val="00CC642A"/>
    <w:rsid w:val="00CC733D"/>
    <w:rsid w:val="00CC7E97"/>
    <w:rsid w:val="00CD1255"/>
    <w:rsid w:val="00CD1484"/>
    <w:rsid w:val="00CD1892"/>
    <w:rsid w:val="00CD1D00"/>
    <w:rsid w:val="00CD27AC"/>
    <w:rsid w:val="00CD2A82"/>
    <w:rsid w:val="00CD346D"/>
    <w:rsid w:val="00CD3CAB"/>
    <w:rsid w:val="00CD46A7"/>
    <w:rsid w:val="00CD4E50"/>
    <w:rsid w:val="00CD57CB"/>
    <w:rsid w:val="00CD64E1"/>
    <w:rsid w:val="00CD699D"/>
    <w:rsid w:val="00CD6AE5"/>
    <w:rsid w:val="00CD6BA3"/>
    <w:rsid w:val="00CD70DB"/>
    <w:rsid w:val="00CD7544"/>
    <w:rsid w:val="00CD78D4"/>
    <w:rsid w:val="00CE0697"/>
    <w:rsid w:val="00CE2E2E"/>
    <w:rsid w:val="00CE3A51"/>
    <w:rsid w:val="00CE41F9"/>
    <w:rsid w:val="00CE5553"/>
    <w:rsid w:val="00CE56B8"/>
    <w:rsid w:val="00CE59F6"/>
    <w:rsid w:val="00CE66CD"/>
    <w:rsid w:val="00CE6BA9"/>
    <w:rsid w:val="00CE71C3"/>
    <w:rsid w:val="00CF0AF0"/>
    <w:rsid w:val="00CF157E"/>
    <w:rsid w:val="00CF1834"/>
    <w:rsid w:val="00CF1AAA"/>
    <w:rsid w:val="00CF1EC2"/>
    <w:rsid w:val="00CF2ACF"/>
    <w:rsid w:val="00CF345B"/>
    <w:rsid w:val="00CF475F"/>
    <w:rsid w:val="00CF5008"/>
    <w:rsid w:val="00CF5069"/>
    <w:rsid w:val="00CF5E34"/>
    <w:rsid w:val="00CF7385"/>
    <w:rsid w:val="00CF7B77"/>
    <w:rsid w:val="00CF7DF5"/>
    <w:rsid w:val="00D0352D"/>
    <w:rsid w:val="00D0480C"/>
    <w:rsid w:val="00D04F01"/>
    <w:rsid w:val="00D04F8B"/>
    <w:rsid w:val="00D054EF"/>
    <w:rsid w:val="00D05637"/>
    <w:rsid w:val="00D05BA9"/>
    <w:rsid w:val="00D05EB1"/>
    <w:rsid w:val="00D064D1"/>
    <w:rsid w:val="00D0650B"/>
    <w:rsid w:val="00D06E71"/>
    <w:rsid w:val="00D0714B"/>
    <w:rsid w:val="00D0764E"/>
    <w:rsid w:val="00D07D82"/>
    <w:rsid w:val="00D10327"/>
    <w:rsid w:val="00D10BE1"/>
    <w:rsid w:val="00D11FE3"/>
    <w:rsid w:val="00D12945"/>
    <w:rsid w:val="00D1343A"/>
    <w:rsid w:val="00D13D50"/>
    <w:rsid w:val="00D14101"/>
    <w:rsid w:val="00D14919"/>
    <w:rsid w:val="00D14E25"/>
    <w:rsid w:val="00D160C4"/>
    <w:rsid w:val="00D165D8"/>
    <w:rsid w:val="00D1724E"/>
    <w:rsid w:val="00D17C26"/>
    <w:rsid w:val="00D206F6"/>
    <w:rsid w:val="00D20784"/>
    <w:rsid w:val="00D20FD1"/>
    <w:rsid w:val="00D21E6F"/>
    <w:rsid w:val="00D2371E"/>
    <w:rsid w:val="00D237E0"/>
    <w:rsid w:val="00D23A17"/>
    <w:rsid w:val="00D25676"/>
    <w:rsid w:val="00D27129"/>
    <w:rsid w:val="00D279E7"/>
    <w:rsid w:val="00D27F75"/>
    <w:rsid w:val="00D3046D"/>
    <w:rsid w:val="00D30497"/>
    <w:rsid w:val="00D30F5F"/>
    <w:rsid w:val="00D31B07"/>
    <w:rsid w:val="00D31B9D"/>
    <w:rsid w:val="00D32FA0"/>
    <w:rsid w:val="00D33112"/>
    <w:rsid w:val="00D331CB"/>
    <w:rsid w:val="00D3497A"/>
    <w:rsid w:val="00D36BB8"/>
    <w:rsid w:val="00D374D0"/>
    <w:rsid w:val="00D401A1"/>
    <w:rsid w:val="00D40217"/>
    <w:rsid w:val="00D40385"/>
    <w:rsid w:val="00D404CE"/>
    <w:rsid w:val="00D40E8F"/>
    <w:rsid w:val="00D412BF"/>
    <w:rsid w:val="00D417C6"/>
    <w:rsid w:val="00D42B0C"/>
    <w:rsid w:val="00D42D6E"/>
    <w:rsid w:val="00D43DEF"/>
    <w:rsid w:val="00D44259"/>
    <w:rsid w:val="00D45DDC"/>
    <w:rsid w:val="00D4752E"/>
    <w:rsid w:val="00D5064C"/>
    <w:rsid w:val="00D50C94"/>
    <w:rsid w:val="00D5251C"/>
    <w:rsid w:val="00D52F56"/>
    <w:rsid w:val="00D539DA"/>
    <w:rsid w:val="00D54A50"/>
    <w:rsid w:val="00D5556D"/>
    <w:rsid w:val="00D55C81"/>
    <w:rsid w:val="00D5674B"/>
    <w:rsid w:val="00D56AA2"/>
    <w:rsid w:val="00D56B56"/>
    <w:rsid w:val="00D56BF5"/>
    <w:rsid w:val="00D56F99"/>
    <w:rsid w:val="00D5743F"/>
    <w:rsid w:val="00D605C2"/>
    <w:rsid w:val="00D60733"/>
    <w:rsid w:val="00D61E1D"/>
    <w:rsid w:val="00D629A4"/>
    <w:rsid w:val="00D62BDF"/>
    <w:rsid w:val="00D64F1C"/>
    <w:rsid w:val="00D6570C"/>
    <w:rsid w:val="00D65A89"/>
    <w:rsid w:val="00D65F4B"/>
    <w:rsid w:val="00D675B0"/>
    <w:rsid w:val="00D678BB"/>
    <w:rsid w:val="00D67D81"/>
    <w:rsid w:val="00D70170"/>
    <w:rsid w:val="00D70552"/>
    <w:rsid w:val="00D70D42"/>
    <w:rsid w:val="00D71285"/>
    <w:rsid w:val="00D71ABC"/>
    <w:rsid w:val="00D721C5"/>
    <w:rsid w:val="00D72454"/>
    <w:rsid w:val="00D72850"/>
    <w:rsid w:val="00D72A5B"/>
    <w:rsid w:val="00D73CD4"/>
    <w:rsid w:val="00D73F06"/>
    <w:rsid w:val="00D740B2"/>
    <w:rsid w:val="00D74247"/>
    <w:rsid w:val="00D743F1"/>
    <w:rsid w:val="00D7456E"/>
    <w:rsid w:val="00D753A9"/>
    <w:rsid w:val="00D755F7"/>
    <w:rsid w:val="00D75E4B"/>
    <w:rsid w:val="00D77AF6"/>
    <w:rsid w:val="00D804C5"/>
    <w:rsid w:val="00D80FDE"/>
    <w:rsid w:val="00D81A28"/>
    <w:rsid w:val="00D82B00"/>
    <w:rsid w:val="00D82BE4"/>
    <w:rsid w:val="00D82E05"/>
    <w:rsid w:val="00D8313F"/>
    <w:rsid w:val="00D83C0D"/>
    <w:rsid w:val="00D846B5"/>
    <w:rsid w:val="00D8665E"/>
    <w:rsid w:val="00D869C1"/>
    <w:rsid w:val="00D86EC6"/>
    <w:rsid w:val="00D87418"/>
    <w:rsid w:val="00D876AF"/>
    <w:rsid w:val="00D87A39"/>
    <w:rsid w:val="00D87FE6"/>
    <w:rsid w:val="00D90BC3"/>
    <w:rsid w:val="00D90DB9"/>
    <w:rsid w:val="00D91001"/>
    <w:rsid w:val="00D91337"/>
    <w:rsid w:val="00D915C9"/>
    <w:rsid w:val="00D918DA"/>
    <w:rsid w:val="00D9198F"/>
    <w:rsid w:val="00D92078"/>
    <w:rsid w:val="00D92A87"/>
    <w:rsid w:val="00D9384E"/>
    <w:rsid w:val="00D93AEE"/>
    <w:rsid w:val="00D9413E"/>
    <w:rsid w:val="00D94C8D"/>
    <w:rsid w:val="00D96698"/>
    <w:rsid w:val="00D96876"/>
    <w:rsid w:val="00D96940"/>
    <w:rsid w:val="00D969AD"/>
    <w:rsid w:val="00D96B12"/>
    <w:rsid w:val="00D96F59"/>
    <w:rsid w:val="00DA099C"/>
    <w:rsid w:val="00DA0F18"/>
    <w:rsid w:val="00DA2125"/>
    <w:rsid w:val="00DA21EC"/>
    <w:rsid w:val="00DA24DE"/>
    <w:rsid w:val="00DA270C"/>
    <w:rsid w:val="00DA281F"/>
    <w:rsid w:val="00DA4A61"/>
    <w:rsid w:val="00DA61AB"/>
    <w:rsid w:val="00DA61CD"/>
    <w:rsid w:val="00DA6EE2"/>
    <w:rsid w:val="00DA78CF"/>
    <w:rsid w:val="00DA78D5"/>
    <w:rsid w:val="00DA7A89"/>
    <w:rsid w:val="00DA7BF4"/>
    <w:rsid w:val="00DB052F"/>
    <w:rsid w:val="00DB107D"/>
    <w:rsid w:val="00DB14D3"/>
    <w:rsid w:val="00DB154B"/>
    <w:rsid w:val="00DB1BDC"/>
    <w:rsid w:val="00DB3490"/>
    <w:rsid w:val="00DB3593"/>
    <w:rsid w:val="00DB440B"/>
    <w:rsid w:val="00DB4426"/>
    <w:rsid w:val="00DB4B40"/>
    <w:rsid w:val="00DB4F12"/>
    <w:rsid w:val="00DB4F21"/>
    <w:rsid w:val="00DB6F96"/>
    <w:rsid w:val="00DB71B9"/>
    <w:rsid w:val="00DC1395"/>
    <w:rsid w:val="00DC32FC"/>
    <w:rsid w:val="00DC3D89"/>
    <w:rsid w:val="00DC4567"/>
    <w:rsid w:val="00DC4F47"/>
    <w:rsid w:val="00DC5BD0"/>
    <w:rsid w:val="00DC5BE2"/>
    <w:rsid w:val="00DC628E"/>
    <w:rsid w:val="00DC6747"/>
    <w:rsid w:val="00DC6AF3"/>
    <w:rsid w:val="00DC7608"/>
    <w:rsid w:val="00DC761E"/>
    <w:rsid w:val="00DC7CFC"/>
    <w:rsid w:val="00DD09F2"/>
    <w:rsid w:val="00DD1205"/>
    <w:rsid w:val="00DD1633"/>
    <w:rsid w:val="00DD2831"/>
    <w:rsid w:val="00DD2A6D"/>
    <w:rsid w:val="00DD42DE"/>
    <w:rsid w:val="00DD4309"/>
    <w:rsid w:val="00DD4344"/>
    <w:rsid w:val="00DD573B"/>
    <w:rsid w:val="00DD5A1E"/>
    <w:rsid w:val="00DD5B8C"/>
    <w:rsid w:val="00DD5DFA"/>
    <w:rsid w:val="00DE0229"/>
    <w:rsid w:val="00DE1A9D"/>
    <w:rsid w:val="00DE1CB1"/>
    <w:rsid w:val="00DE2073"/>
    <w:rsid w:val="00DE30AC"/>
    <w:rsid w:val="00DE4106"/>
    <w:rsid w:val="00DE466B"/>
    <w:rsid w:val="00DE48F4"/>
    <w:rsid w:val="00DE5563"/>
    <w:rsid w:val="00DE5D48"/>
    <w:rsid w:val="00DE6E4D"/>
    <w:rsid w:val="00DE7371"/>
    <w:rsid w:val="00DE7498"/>
    <w:rsid w:val="00DE75EF"/>
    <w:rsid w:val="00DE7611"/>
    <w:rsid w:val="00DF05A0"/>
    <w:rsid w:val="00DF1BA8"/>
    <w:rsid w:val="00DF1F63"/>
    <w:rsid w:val="00DF28F2"/>
    <w:rsid w:val="00DF2BFF"/>
    <w:rsid w:val="00DF3798"/>
    <w:rsid w:val="00DF4FF1"/>
    <w:rsid w:val="00DF6FD2"/>
    <w:rsid w:val="00DF72EF"/>
    <w:rsid w:val="00DF7724"/>
    <w:rsid w:val="00E00956"/>
    <w:rsid w:val="00E00C1E"/>
    <w:rsid w:val="00E00F5F"/>
    <w:rsid w:val="00E014E7"/>
    <w:rsid w:val="00E0232F"/>
    <w:rsid w:val="00E026A9"/>
    <w:rsid w:val="00E0356F"/>
    <w:rsid w:val="00E03B42"/>
    <w:rsid w:val="00E03C10"/>
    <w:rsid w:val="00E0479F"/>
    <w:rsid w:val="00E04816"/>
    <w:rsid w:val="00E04D6A"/>
    <w:rsid w:val="00E05950"/>
    <w:rsid w:val="00E05CD4"/>
    <w:rsid w:val="00E06100"/>
    <w:rsid w:val="00E06E97"/>
    <w:rsid w:val="00E10DD1"/>
    <w:rsid w:val="00E1224C"/>
    <w:rsid w:val="00E1254C"/>
    <w:rsid w:val="00E12BDF"/>
    <w:rsid w:val="00E12D66"/>
    <w:rsid w:val="00E13326"/>
    <w:rsid w:val="00E14356"/>
    <w:rsid w:val="00E14961"/>
    <w:rsid w:val="00E14D76"/>
    <w:rsid w:val="00E15D6C"/>
    <w:rsid w:val="00E203DE"/>
    <w:rsid w:val="00E20CE7"/>
    <w:rsid w:val="00E217B1"/>
    <w:rsid w:val="00E222FA"/>
    <w:rsid w:val="00E229CE"/>
    <w:rsid w:val="00E22B4A"/>
    <w:rsid w:val="00E24A62"/>
    <w:rsid w:val="00E24F52"/>
    <w:rsid w:val="00E25755"/>
    <w:rsid w:val="00E26D2E"/>
    <w:rsid w:val="00E279B2"/>
    <w:rsid w:val="00E3055B"/>
    <w:rsid w:val="00E31699"/>
    <w:rsid w:val="00E31812"/>
    <w:rsid w:val="00E31889"/>
    <w:rsid w:val="00E31CE7"/>
    <w:rsid w:val="00E333D5"/>
    <w:rsid w:val="00E3394F"/>
    <w:rsid w:val="00E35A45"/>
    <w:rsid w:val="00E37A6F"/>
    <w:rsid w:val="00E40222"/>
    <w:rsid w:val="00E40406"/>
    <w:rsid w:val="00E40BCB"/>
    <w:rsid w:val="00E41DD2"/>
    <w:rsid w:val="00E4208F"/>
    <w:rsid w:val="00E43006"/>
    <w:rsid w:val="00E43551"/>
    <w:rsid w:val="00E437FA"/>
    <w:rsid w:val="00E45A2C"/>
    <w:rsid w:val="00E46A9C"/>
    <w:rsid w:val="00E47010"/>
    <w:rsid w:val="00E50BDD"/>
    <w:rsid w:val="00E50DF3"/>
    <w:rsid w:val="00E510CF"/>
    <w:rsid w:val="00E513D7"/>
    <w:rsid w:val="00E5206C"/>
    <w:rsid w:val="00E52AAB"/>
    <w:rsid w:val="00E5448E"/>
    <w:rsid w:val="00E54E0D"/>
    <w:rsid w:val="00E558E5"/>
    <w:rsid w:val="00E56144"/>
    <w:rsid w:val="00E56795"/>
    <w:rsid w:val="00E57932"/>
    <w:rsid w:val="00E606C4"/>
    <w:rsid w:val="00E60811"/>
    <w:rsid w:val="00E60AB8"/>
    <w:rsid w:val="00E63C60"/>
    <w:rsid w:val="00E64050"/>
    <w:rsid w:val="00E6514D"/>
    <w:rsid w:val="00E65161"/>
    <w:rsid w:val="00E652C9"/>
    <w:rsid w:val="00E6593B"/>
    <w:rsid w:val="00E672C6"/>
    <w:rsid w:val="00E70192"/>
    <w:rsid w:val="00E71809"/>
    <w:rsid w:val="00E71D1E"/>
    <w:rsid w:val="00E728E2"/>
    <w:rsid w:val="00E738FA"/>
    <w:rsid w:val="00E74A2B"/>
    <w:rsid w:val="00E75667"/>
    <w:rsid w:val="00E756D3"/>
    <w:rsid w:val="00E76004"/>
    <w:rsid w:val="00E760D7"/>
    <w:rsid w:val="00E769CC"/>
    <w:rsid w:val="00E77341"/>
    <w:rsid w:val="00E778B8"/>
    <w:rsid w:val="00E80AF8"/>
    <w:rsid w:val="00E816E8"/>
    <w:rsid w:val="00E82592"/>
    <w:rsid w:val="00E827BB"/>
    <w:rsid w:val="00E82D24"/>
    <w:rsid w:val="00E8357D"/>
    <w:rsid w:val="00E84212"/>
    <w:rsid w:val="00E84C04"/>
    <w:rsid w:val="00E84F72"/>
    <w:rsid w:val="00E856A2"/>
    <w:rsid w:val="00E8572B"/>
    <w:rsid w:val="00E8575B"/>
    <w:rsid w:val="00E85929"/>
    <w:rsid w:val="00E85AD2"/>
    <w:rsid w:val="00E87AE5"/>
    <w:rsid w:val="00E87CF7"/>
    <w:rsid w:val="00E87E4D"/>
    <w:rsid w:val="00E9036E"/>
    <w:rsid w:val="00E9078A"/>
    <w:rsid w:val="00E912FD"/>
    <w:rsid w:val="00E92C6E"/>
    <w:rsid w:val="00E92D0B"/>
    <w:rsid w:val="00E93195"/>
    <w:rsid w:val="00E9519E"/>
    <w:rsid w:val="00E951D8"/>
    <w:rsid w:val="00E95C2A"/>
    <w:rsid w:val="00E961CB"/>
    <w:rsid w:val="00E963BC"/>
    <w:rsid w:val="00E96E91"/>
    <w:rsid w:val="00E976BF"/>
    <w:rsid w:val="00E97DC6"/>
    <w:rsid w:val="00E97F7A"/>
    <w:rsid w:val="00EA0010"/>
    <w:rsid w:val="00EA0143"/>
    <w:rsid w:val="00EA0400"/>
    <w:rsid w:val="00EA089B"/>
    <w:rsid w:val="00EA1D28"/>
    <w:rsid w:val="00EA2E21"/>
    <w:rsid w:val="00EA37FA"/>
    <w:rsid w:val="00EA380C"/>
    <w:rsid w:val="00EA7308"/>
    <w:rsid w:val="00EB031B"/>
    <w:rsid w:val="00EB089C"/>
    <w:rsid w:val="00EB0AA8"/>
    <w:rsid w:val="00EB0C65"/>
    <w:rsid w:val="00EB1624"/>
    <w:rsid w:val="00EB169F"/>
    <w:rsid w:val="00EB1AE9"/>
    <w:rsid w:val="00EB2635"/>
    <w:rsid w:val="00EB2961"/>
    <w:rsid w:val="00EB2E1A"/>
    <w:rsid w:val="00EB2F17"/>
    <w:rsid w:val="00EB2F8A"/>
    <w:rsid w:val="00EB3268"/>
    <w:rsid w:val="00EB3298"/>
    <w:rsid w:val="00EB3CE6"/>
    <w:rsid w:val="00EB3E92"/>
    <w:rsid w:val="00EB54AB"/>
    <w:rsid w:val="00EB6257"/>
    <w:rsid w:val="00EB68E6"/>
    <w:rsid w:val="00EB71C9"/>
    <w:rsid w:val="00EB7B67"/>
    <w:rsid w:val="00EC07F1"/>
    <w:rsid w:val="00EC1E8A"/>
    <w:rsid w:val="00EC328C"/>
    <w:rsid w:val="00EC5241"/>
    <w:rsid w:val="00EC56E1"/>
    <w:rsid w:val="00EC594C"/>
    <w:rsid w:val="00EC5C7B"/>
    <w:rsid w:val="00EC66AA"/>
    <w:rsid w:val="00EC6B8F"/>
    <w:rsid w:val="00EC7371"/>
    <w:rsid w:val="00EC7A28"/>
    <w:rsid w:val="00EC7B48"/>
    <w:rsid w:val="00ED0257"/>
    <w:rsid w:val="00ED071B"/>
    <w:rsid w:val="00ED1ADE"/>
    <w:rsid w:val="00ED4A77"/>
    <w:rsid w:val="00ED5981"/>
    <w:rsid w:val="00ED6514"/>
    <w:rsid w:val="00ED66B2"/>
    <w:rsid w:val="00ED71BA"/>
    <w:rsid w:val="00ED73A1"/>
    <w:rsid w:val="00ED7CA2"/>
    <w:rsid w:val="00EE13DA"/>
    <w:rsid w:val="00EE1595"/>
    <w:rsid w:val="00EE2087"/>
    <w:rsid w:val="00EE3384"/>
    <w:rsid w:val="00EE499F"/>
    <w:rsid w:val="00EE56E2"/>
    <w:rsid w:val="00EE6D45"/>
    <w:rsid w:val="00EE6E89"/>
    <w:rsid w:val="00EF0D4B"/>
    <w:rsid w:val="00EF0FE6"/>
    <w:rsid w:val="00EF10A9"/>
    <w:rsid w:val="00EF1432"/>
    <w:rsid w:val="00EF1511"/>
    <w:rsid w:val="00EF2C5F"/>
    <w:rsid w:val="00EF3AC4"/>
    <w:rsid w:val="00EF3FF9"/>
    <w:rsid w:val="00EF41AF"/>
    <w:rsid w:val="00EF4DB4"/>
    <w:rsid w:val="00EF55E9"/>
    <w:rsid w:val="00EF5B41"/>
    <w:rsid w:val="00EF611C"/>
    <w:rsid w:val="00F00630"/>
    <w:rsid w:val="00F00922"/>
    <w:rsid w:val="00F00924"/>
    <w:rsid w:val="00F01BE6"/>
    <w:rsid w:val="00F0217A"/>
    <w:rsid w:val="00F026D3"/>
    <w:rsid w:val="00F03395"/>
    <w:rsid w:val="00F034E6"/>
    <w:rsid w:val="00F03E4C"/>
    <w:rsid w:val="00F06340"/>
    <w:rsid w:val="00F0665D"/>
    <w:rsid w:val="00F06D42"/>
    <w:rsid w:val="00F07134"/>
    <w:rsid w:val="00F0724D"/>
    <w:rsid w:val="00F07378"/>
    <w:rsid w:val="00F10B81"/>
    <w:rsid w:val="00F145D3"/>
    <w:rsid w:val="00F14B4B"/>
    <w:rsid w:val="00F14CD1"/>
    <w:rsid w:val="00F15115"/>
    <w:rsid w:val="00F15C81"/>
    <w:rsid w:val="00F15D8C"/>
    <w:rsid w:val="00F15F18"/>
    <w:rsid w:val="00F16B86"/>
    <w:rsid w:val="00F16E1A"/>
    <w:rsid w:val="00F16F92"/>
    <w:rsid w:val="00F17904"/>
    <w:rsid w:val="00F17C3E"/>
    <w:rsid w:val="00F20197"/>
    <w:rsid w:val="00F20369"/>
    <w:rsid w:val="00F20607"/>
    <w:rsid w:val="00F208BB"/>
    <w:rsid w:val="00F213D8"/>
    <w:rsid w:val="00F21A5D"/>
    <w:rsid w:val="00F21C13"/>
    <w:rsid w:val="00F22362"/>
    <w:rsid w:val="00F22796"/>
    <w:rsid w:val="00F2363A"/>
    <w:rsid w:val="00F238F7"/>
    <w:rsid w:val="00F23BA0"/>
    <w:rsid w:val="00F254C4"/>
    <w:rsid w:val="00F25641"/>
    <w:rsid w:val="00F256D8"/>
    <w:rsid w:val="00F26065"/>
    <w:rsid w:val="00F266E3"/>
    <w:rsid w:val="00F2689C"/>
    <w:rsid w:val="00F27E44"/>
    <w:rsid w:val="00F30313"/>
    <w:rsid w:val="00F303BC"/>
    <w:rsid w:val="00F317EA"/>
    <w:rsid w:val="00F318A1"/>
    <w:rsid w:val="00F31CF5"/>
    <w:rsid w:val="00F3265C"/>
    <w:rsid w:val="00F343EE"/>
    <w:rsid w:val="00F353F4"/>
    <w:rsid w:val="00F35494"/>
    <w:rsid w:val="00F35607"/>
    <w:rsid w:val="00F35DBA"/>
    <w:rsid w:val="00F3619D"/>
    <w:rsid w:val="00F36EC1"/>
    <w:rsid w:val="00F3722A"/>
    <w:rsid w:val="00F37366"/>
    <w:rsid w:val="00F37C99"/>
    <w:rsid w:val="00F419B8"/>
    <w:rsid w:val="00F41C0F"/>
    <w:rsid w:val="00F42856"/>
    <w:rsid w:val="00F43777"/>
    <w:rsid w:val="00F4482B"/>
    <w:rsid w:val="00F44F02"/>
    <w:rsid w:val="00F4526B"/>
    <w:rsid w:val="00F45F64"/>
    <w:rsid w:val="00F462DF"/>
    <w:rsid w:val="00F4662D"/>
    <w:rsid w:val="00F467BA"/>
    <w:rsid w:val="00F4689E"/>
    <w:rsid w:val="00F468AC"/>
    <w:rsid w:val="00F46A5F"/>
    <w:rsid w:val="00F47316"/>
    <w:rsid w:val="00F47507"/>
    <w:rsid w:val="00F47A01"/>
    <w:rsid w:val="00F47CEE"/>
    <w:rsid w:val="00F5052D"/>
    <w:rsid w:val="00F50C7C"/>
    <w:rsid w:val="00F51A82"/>
    <w:rsid w:val="00F51B78"/>
    <w:rsid w:val="00F5254B"/>
    <w:rsid w:val="00F53A44"/>
    <w:rsid w:val="00F54E5E"/>
    <w:rsid w:val="00F551DB"/>
    <w:rsid w:val="00F559BE"/>
    <w:rsid w:val="00F56FEF"/>
    <w:rsid w:val="00F57521"/>
    <w:rsid w:val="00F60938"/>
    <w:rsid w:val="00F60C7E"/>
    <w:rsid w:val="00F60E0A"/>
    <w:rsid w:val="00F61606"/>
    <w:rsid w:val="00F61918"/>
    <w:rsid w:val="00F61C45"/>
    <w:rsid w:val="00F62151"/>
    <w:rsid w:val="00F62CA8"/>
    <w:rsid w:val="00F630B4"/>
    <w:rsid w:val="00F635EF"/>
    <w:rsid w:val="00F63BF4"/>
    <w:rsid w:val="00F63C55"/>
    <w:rsid w:val="00F63C60"/>
    <w:rsid w:val="00F64991"/>
    <w:rsid w:val="00F65BA9"/>
    <w:rsid w:val="00F65BC8"/>
    <w:rsid w:val="00F66205"/>
    <w:rsid w:val="00F6630F"/>
    <w:rsid w:val="00F66419"/>
    <w:rsid w:val="00F67B58"/>
    <w:rsid w:val="00F67E81"/>
    <w:rsid w:val="00F71C68"/>
    <w:rsid w:val="00F724E2"/>
    <w:rsid w:val="00F74103"/>
    <w:rsid w:val="00F745A4"/>
    <w:rsid w:val="00F74C0C"/>
    <w:rsid w:val="00F75BB5"/>
    <w:rsid w:val="00F75FD5"/>
    <w:rsid w:val="00F7604C"/>
    <w:rsid w:val="00F773A9"/>
    <w:rsid w:val="00F81623"/>
    <w:rsid w:val="00F81D25"/>
    <w:rsid w:val="00F829B9"/>
    <w:rsid w:val="00F83045"/>
    <w:rsid w:val="00F83615"/>
    <w:rsid w:val="00F8421D"/>
    <w:rsid w:val="00F85329"/>
    <w:rsid w:val="00F86079"/>
    <w:rsid w:val="00F87282"/>
    <w:rsid w:val="00F878CD"/>
    <w:rsid w:val="00F87905"/>
    <w:rsid w:val="00F90C1F"/>
    <w:rsid w:val="00F910AF"/>
    <w:rsid w:val="00F91A44"/>
    <w:rsid w:val="00F9217B"/>
    <w:rsid w:val="00F97A34"/>
    <w:rsid w:val="00F97E4A"/>
    <w:rsid w:val="00F97EA1"/>
    <w:rsid w:val="00FA05C8"/>
    <w:rsid w:val="00FA0678"/>
    <w:rsid w:val="00FA0DB6"/>
    <w:rsid w:val="00FA23F7"/>
    <w:rsid w:val="00FA27EB"/>
    <w:rsid w:val="00FA3EBC"/>
    <w:rsid w:val="00FA423C"/>
    <w:rsid w:val="00FA44D0"/>
    <w:rsid w:val="00FA55A2"/>
    <w:rsid w:val="00FA672F"/>
    <w:rsid w:val="00FA7792"/>
    <w:rsid w:val="00FA7AA8"/>
    <w:rsid w:val="00FA7F1D"/>
    <w:rsid w:val="00FB0D60"/>
    <w:rsid w:val="00FB2BF5"/>
    <w:rsid w:val="00FB2F8E"/>
    <w:rsid w:val="00FB30C3"/>
    <w:rsid w:val="00FB39B0"/>
    <w:rsid w:val="00FB5138"/>
    <w:rsid w:val="00FB5A71"/>
    <w:rsid w:val="00FB7823"/>
    <w:rsid w:val="00FC05B2"/>
    <w:rsid w:val="00FC08B3"/>
    <w:rsid w:val="00FC09D7"/>
    <w:rsid w:val="00FC22D0"/>
    <w:rsid w:val="00FC38D4"/>
    <w:rsid w:val="00FC391E"/>
    <w:rsid w:val="00FC3BB7"/>
    <w:rsid w:val="00FC4345"/>
    <w:rsid w:val="00FC444A"/>
    <w:rsid w:val="00FC453D"/>
    <w:rsid w:val="00FC4A89"/>
    <w:rsid w:val="00FC665F"/>
    <w:rsid w:val="00FC6D59"/>
    <w:rsid w:val="00FC78F5"/>
    <w:rsid w:val="00FC7AD2"/>
    <w:rsid w:val="00FC7FC0"/>
    <w:rsid w:val="00FD10B3"/>
    <w:rsid w:val="00FD11C3"/>
    <w:rsid w:val="00FD154E"/>
    <w:rsid w:val="00FD24D7"/>
    <w:rsid w:val="00FD29CE"/>
    <w:rsid w:val="00FD3AE2"/>
    <w:rsid w:val="00FD3E41"/>
    <w:rsid w:val="00FD5AE4"/>
    <w:rsid w:val="00FD5F25"/>
    <w:rsid w:val="00FD60BE"/>
    <w:rsid w:val="00FD6894"/>
    <w:rsid w:val="00FD6AF0"/>
    <w:rsid w:val="00FD704D"/>
    <w:rsid w:val="00FD79B8"/>
    <w:rsid w:val="00FE0AD1"/>
    <w:rsid w:val="00FE1852"/>
    <w:rsid w:val="00FE21D3"/>
    <w:rsid w:val="00FE32B7"/>
    <w:rsid w:val="00FE33DB"/>
    <w:rsid w:val="00FE33F5"/>
    <w:rsid w:val="00FE37DD"/>
    <w:rsid w:val="00FE3C31"/>
    <w:rsid w:val="00FE4015"/>
    <w:rsid w:val="00FE44F5"/>
    <w:rsid w:val="00FE4783"/>
    <w:rsid w:val="00FE480D"/>
    <w:rsid w:val="00FE4ACC"/>
    <w:rsid w:val="00FE7DD1"/>
    <w:rsid w:val="00FF0B4F"/>
    <w:rsid w:val="00FF0B70"/>
    <w:rsid w:val="00FF1A06"/>
    <w:rsid w:val="00FF1AD3"/>
    <w:rsid w:val="00FF1B46"/>
    <w:rsid w:val="00FF219D"/>
    <w:rsid w:val="00FF49B4"/>
    <w:rsid w:val="00FF49F4"/>
    <w:rsid w:val="00FF651D"/>
    <w:rsid w:val="00FF6843"/>
    <w:rsid w:val="00FF7724"/>
    <w:rsid w:val="00FF78E2"/>
    <w:rsid w:val="010651D9"/>
    <w:rsid w:val="011C5F6B"/>
    <w:rsid w:val="01F13838"/>
    <w:rsid w:val="01F30BE6"/>
    <w:rsid w:val="02705A8A"/>
    <w:rsid w:val="0287270A"/>
    <w:rsid w:val="03AA1126"/>
    <w:rsid w:val="03BD505E"/>
    <w:rsid w:val="03DD35E4"/>
    <w:rsid w:val="0447214E"/>
    <w:rsid w:val="04976C83"/>
    <w:rsid w:val="05533B5A"/>
    <w:rsid w:val="065A6178"/>
    <w:rsid w:val="0679677D"/>
    <w:rsid w:val="070C1ACF"/>
    <w:rsid w:val="071F64B0"/>
    <w:rsid w:val="083A5432"/>
    <w:rsid w:val="08936EDD"/>
    <w:rsid w:val="08D0240C"/>
    <w:rsid w:val="08F0184F"/>
    <w:rsid w:val="09AA0393"/>
    <w:rsid w:val="0A5B7E63"/>
    <w:rsid w:val="0AC816ED"/>
    <w:rsid w:val="0B8021CD"/>
    <w:rsid w:val="0C87121B"/>
    <w:rsid w:val="0DF702FE"/>
    <w:rsid w:val="0E3D0DE4"/>
    <w:rsid w:val="0F816ACD"/>
    <w:rsid w:val="10AA5924"/>
    <w:rsid w:val="10FC16EA"/>
    <w:rsid w:val="11461486"/>
    <w:rsid w:val="118963A1"/>
    <w:rsid w:val="127723A9"/>
    <w:rsid w:val="13072A44"/>
    <w:rsid w:val="14FD2D45"/>
    <w:rsid w:val="15113624"/>
    <w:rsid w:val="151616FF"/>
    <w:rsid w:val="15FA6966"/>
    <w:rsid w:val="163E2912"/>
    <w:rsid w:val="167C4D76"/>
    <w:rsid w:val="179C402F"/>
    <w:rsid w:val="183B52C4"/>
    <w:rsid w:val="194B736A"/>
    <w:rsid w:val="1A620961"/>
    <w:rsid w:val="1B2A271F"/>
    <w:rsid w:val="1B3621C6"/>
    <w:rsid w:val="1BFA3833"/>
    <w:rsid w:val="1C100C71"/>
    <w:rsid w:val="1C5E671F"/>
    <w:rsid w:val="1D266CE1"/>
    <w:rsid w:val="1D3963AF"/>
    <w:rsid w:val="1D620BE4"/>
    <w:rsid w:val="1DA61856"/>
    <w:rsid w:val="1DA627FF"/>
    <w:rsid w:val="1E55252D"/>
    <w:rsid w:val="1E714A66"/>
    <w:rsid w:val="1E8E232E"/>
    <w:rsid w:val="1ED347CA"/>
    <w:rsid w:val="1F05384E"/>
    <w:rsid w:val="1FE868A9"/>
    <w:rsid w:val="20CF569A"/>
    <w:rsid w:val="22855074"/>
    <w:rsid w:val="24925331"/>
    <w:rsid w:val="249B7640"/>
    <w:rsid w:val="26405A2E"/>
    <w:rsid w:val="26C9674D"/>
    <w:rsid w:val="26F3566B"/>
    <w:rsid w:val="27F564E9"/>
    <w:rsid w:val="291A582F"/>
    <w:rsid w:val="294F662D"/>
    <w:rsid w:val="2B597B87"/>
    <w:rsid w:val="2B6C4E11"/>
    <w:rsid w:val="2C114640"/>
    <w:rsid w:val="2D3109B6"/>
    <w:rsid w:val="2DD15014"/>
    <w:rsid w:val="2E0E78F8"/>
    <w:rsid w:val="2E913D51"/>
    <w:rsid w:val="2F707EBA"/>
    <w:rsid w:val="2FD25781"/>
    <w:rsid w:val="3001266D"/>
    <w:rsid w:val="300D72F8"/>
    <w:rsid w:val="307A2ECC"/>
    <w:rsid w:val="317D7DC1"/>
    <w:rsid w:val="319C6071"/>
    <w:rsid w:val="326875FD"/>
    <w:rsid w:val="330E3705"/>
    <w:rsid w:val="342E63AB"/>
    <w:rsid w:val="36286998"/>
    <w:rsid w:val="364C774D"/>
    <w:rsid w:val="365302AE"/>
    <w:rsid w:val="3779519D"/>
    <w:rsid w:val="38BE5459"/>
    <w:rsid w:val="39217A57"/>
    <w:rsid w:val="3AA92893"/>
    <w:rsid w:val="3ABF360D"/>
    <w:rsid w:val="3BAA5630"/>
    <w:rsid w:val="3BE95323"/>
    <w:rsid w:val="3C5F759A"/>
    <w:rsid w:val="3C74264A"/>
    <w:rsid w:val="3CB969F7"/>
    <w:rsid w:val="3DC576F2"/>
    <w:rsid w:val="3DE77625"/>
    <w:rsid w:val="3DF14633"/>
    <w:rsid w:val="3E5360E8"/>
    <w:rsid w:val="3E6A3869"/>
    <w:rsid w:val="3E6C59AB"/>
    <w:rsid w:val="404E583C"/>
    <w:rsid w:val="40BF56E3"/>
    <w:rsid w:val="41611229"/>
    <w:rsid w:val="42435AC1"/>
    <w:rsid w:val="42E1381E"/>
    <w:rsid w:val="42E17F61"/>
    <w:rsid w:val="437A55E2"/>
    <w:rsid w:val="43DC5D68"/>
    <w:rsid w:val="44365539"/>
    <w:rsid w:val="45DA4443"/>
    <w:rsid w:val="46382E29"/>
    <w:rsid w:val="46657A0E"/>
    <w:rsid w:val="48412CFE"/>
    <w:rsid w:val="48536D44"/>
    <w:rsid w:val="498E49EF"/>
    <w:rsid w:val="49B522ED"/>
    <w:rsid w:val="49D1566E"/>
    <w:rsid w:val="4A0945EE"/>
    <w:rsid w:val="4BF7414C"/>
    <w:rsid w:val="4C0623DC"/>
    <w:rsid w:val="4E137662"/>
    <w:rsid w:val="4F3B6114"/>
    <w:rsid w:val="4FAB13A4"/>
    <w:rsid w:val="505A6518"/>
    <w:rsid w:val="517E0277"/>
    <w:rsid w:val="51972F1C"/>
    <w:rsid w:val="51A0432A"/>
    <w:rsid w:val="51E811F3"/>
    <w:rsid w:val="52501BAF"/>
    <w:rsid w:val="52A96B6F"/>
    <w:rsid w:val="52AD6901"/>
    <w:rsid w:val="52B7244D"/>
    <w:rsid w:val="53A27327"/>
    <w:rsid w:val="53C2773F"/>
    <w:rsid w:val="53EF3300"/>
    <w:rsid w:val="550764A4"/>
    <w:rsid w:val="558C7616"/>
    <w:rsid w:val="56621EC5"/>
    <w:rsid w:val="56C80B1E"/>
    <w:rsid w:val="56CE4F3E"/>
    <w:rsid w:val="57377BE3"/>
    <w:rsid w:val="577B0443"/>
    <w:rsid w:val="578D5FAB"/>
    <w:rsid w:val="579355C6"/>
    <w:rsid w:val="581802B4"/>
    <w:rsid w:val="58AE4F0C"/>
    <w:rsid w:val="58ED21B2"/>
    <w:rsid w:val="59221C29"/>
    <w:rsid w:val="59535F3C"/>
    <w:rsid w:val="5965088F"/>
    <w:rsid w:val="596C3ACF"/>
    <w:rsid w:val="596D1338"/>
    <w:rsid w:val="5A174B6F"/>
    <w:rsid w:val="5A2A7C7B"/>
    <w:rsid w:val="5B297047"/>
    <w:rsid w:val="5C534056"/>
    <w:rsid w:val="5C80234E"/>
    <w:rsid w:val="5D1D6B7A"/>
    <w:rsid w:val="5D4B0392"/>
    <w:rsid w:val="5DB71163"/>
    <w:rsid w:val="5DB7613C"/>
    <w:rsid w:val="5E261785"/>
    <w:rsid w:val="5E9423DC"/>
    <w:rsid w:val="5FCC5339"/>
    <w:rsid w:val="61054A27"/>
    <w:rsid w:val="611D2366"/>
    <w:rsid w:val="612C3076"/>
    <w:rsid w:val="615C1384"/>
    <w:rsid w:val="61834B7D"/>
    <w:rsid w:val="62885958"/>
    <w:rsid w:val="631D6C20"/>
    <w:rsid w:val="6340239F"/>
    <w:rsid w:val="63445CA8"/>
    <w:rsid w:val="63F305B2"/>
    <w:rsid w:val="64CE2EAA"/>
    <w:rsid w:val="650F02C9"/>
    <w:rsid w:val="65670449"/>
    <w:rsid w:val="65B15DA6"/>
    <w:rsid w:val="662E75B1"/>
    <w:rsid w:val="66342C2E"/>
    <w:rsid w:val="663E784C"/>
    <w:rsid w:val="6764142D"/>
    <w:rsid w:val="6AAA79BB"/>
    <w:rsid w:val="6BD23929"/>
    <w:rsid w:val="6C207531"/>
    <w:rsid w:val="6CF95CF2"/>
    <w:rsid w:val="6E35614A"/>
    <w:rsid w:val="6E6C089D"/>
    <w:rsid w:val="6E8E12EF"/>
    <w:rsid w:val="6F1A2ABD"/>
    <w:rsid w:val="6F363776"/>
    <w:rsid w:val="6FE609B1"/>
    <w:rsid w:val="6FF80D62"/>
    <w:rsid w:val="70000ED8"/>
    <w:rsid w:val="716E7A3F"/>
    <w:rsid w:val="71D43752"/>
    <w:rsid w:val="72BB3A84"/>
    <w:rsid w:val="73077337"/>
    <w:rsid w:val="7319657D"/>
    <w:rsid w:val="749C4185"/>
    <w:rsid w:val="758659A7"/>
    <w:rsid w:val="75DA2C18"/>
    <w:rsid w:val="76554A9C"/>
    <w:rsid w:val="76C36E2E"/>
    <w:rsid w:val="76D676DA"/>
    <w:rsid w:val="774A76A3"/>
    <w:rsid w:val="778A101B"/>
    <w:rsid w:val="78EE47B5"/>
    <w:rsid w:val="7A43152F"/>
    <w:rsid w:val="7A67303B"/>
    <w:rsid w:val="7AAB1D04"/>
    <w:rsid w:val="7ABA4368"/>
    <w:rsid w:val="7B257FFD"/>
    <w:rsid w:val="7B720EF2"/>
    <w:rsid w:val="7BF21DC8"/>
    <w:rsid w:val="7D147D5E"/>
    <w:rsid w:val="7D306A8D"/>
    <w:rsid w:val="7DB44FC9"/>
    <w:rsid w:val="7DF53D2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qFormat="1" w:uiPriority="99"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qFormat="1"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name="Balloon Text"/>
    <w:lsdException w:qFormat="1"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0" w:semiHidden="0" w:name=""/>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kern w:val="2"/>
      <w:sz w:val="21"/>
      <w:szCs w:val="24"/>
      <w:lang w:val="en-US" w:eastAsia="zh-CN" w:bidi="ar-SA"/>
    </w:rPr>
  </w:style>
  <w:style w:type="paragraph" w:styleId="3">
    <w:name w:val="heading 1"/>
    <w:basedOn w:val="1"/>
    <w:next w:val="1"/>
    <w:link w:val="73"/>
    <w:qFormat/>
    <w:uiPriority w:val="0"/>
    <w:pPr>
      <w:keepNext/>
      <w:keepLines/>
      <w:numPr>
        <w:ilvl w:val="0"/>
        <w:numId w:val="1"/>
      </w:numPr>
      <w:spacing w:before="340" w:beforeLines="0" w:after="330" w:afterLines="0" w:line="578" w:lineRule="auto"/>
      <w:outlineLvl w:val="0"/>
    </w:pPr>
    <w:rPr>
      <w:b/>
      <w:bCs/>
      <w:kern w:val="44"/>
      <w:sz w:val="44"/>
      <w:szCs w:val="44"/>
    </w:rPr>
  </w:style>
  <w:style w:type="paragraph" w:styleId="4">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6">
    <w:name w:val="heading 4"/>
    <w:basedOn w:val="1"/>
    <w:next w:val="1"/>
    <w:link w:val="74"/>
    <w:qFormat/>
    <w:uiPriority w:val="0"/>
    <w:pPr>
      <w:keepNext/>
      <w:keepLines/>
      <w:numPr>
        <w:ilvl w:val="3"/>
        <w:numId w:val="1"/>
      </w:numPr>
      <w:spacing w:before="280" w:beforeLines="0" w:after="290" w:afterLines="0" w:line="376" w:lineRule="auto"/>
      <w:outlineLvl w:val="3"/>
    </w:pPr>
    <w:rPr>
      <w:rFonts w:ascii="Arial" w:hAnsi="Arial" w:eastAsia="黑体"/>
      <w:b/>
      <w:bCs/>
      <w:sz w:val="28"/>
      <w:szCs w:val="28"/>
      <w:lang w:val="zh-CN"/>
    </w:rPr>
  </w:style>
  <w:style w:type="paragraph" w:styleId="7">
    <w:name w:val="heading 5"/>
    <w:basedOn w:val="1"/>
    <w:next w:val="1"/>
    <w:link w:val="75"/>
    <w:qFormat/>
    <w:uiPriority w:val="0"/>
    <w:pPr>
      <w:keepNext/>
      <w:keepLines/>
      <w:numPr>
        <w:ilvl w:val="4"/>
        <w:numId w:val="1"/>
      </w:numPr>
      <w:spacing w:before="280" w:beforeLines="0" w:after="290" w:afterLines="0" w:line="376" w:lineRule="auto"/>
      <w:outlineLvl w:val="4"/>
    </w:pPr>
    <w:rPr>
      <w:b/>
      <w:bCs/>
      <w:sz w:val="28"/>
      <w:szCs w:val="28"/>
    </w:rPr>
  </w:style>
  <w:style w:type="paragraph" w:styleId="8">
    <w:name w:val="heading 6"/>
    <w:basedOn w:val="1"/>
    <w:next w:val="1"/>
    <w:link w:val="76"/>
    <w:qFormat/>
    <w:uiPriority w:val="0"/>
    <w:pPr>
      <w:keepNext/>
      <w:keepLines/>
      <w:numPr>
        <w:ilvl w:val="5"/>
        <w:numId w:val="1"/>
      </w:numPr>
      <w:spacing w:before="240" w:beforeLines="0" w:after="64" w:afterLines="0" w:line="320" w:lineRule="auto"/>
      <w:outlineLvl w:val="5"/>
    </w:pPr>
    <w:rPr>
      <w:rFonts w:ascii="Arial" w:hAnsi="Arial" w:eastAsia="黑体"/>
      <w:b/>
      <w:bCs/>
      <w:sz w:val="24"/>
    </w:rPr>
  </w:style>
  <w:style w:type="paragraph" w:styleId="9">
    <w:name w:val="heading 7"/>
    <w:basedOn w:val="1"/>
    <w:next w:val="1"/>
    <w:link w:val="77"/>
    <w:qFormat/>
    <w:uiPriority w:val="0"/>
    <w:pPr>
      <w:keepNext/>
      <w:keepLines/>
      <w:numPr>
        <w:ilvl w:val="6"/>
        <w:numId w:val="1"/>
      </w:numPr>
      <w:spacing w:before="240" w:beforeLines="0" w:after="64" w:afterLines="0" w:line="320" w:lineRule="auto"/>
      <w:outlineLvl w:val="6"/>
    </w:pPr>
    <w:rPr>
      <w:b/>
      <w:bCs/>
      <w:sz w:val="24"/>
    </w:rPr>
  </w:style>
  <w:style w:type="paragraph" w:styleId="10">
    <w:name w:val="heading 8"/>
    <w:basedOn w:val="1"/>
    <w:next w:val="1"/>
    <w:link w:val="78"/>
    <w:qFormat/>
    <w:uiPriority w:val="0"/>
    <w:pPr>
      <w:keepNext/>
      <w:keepLines/>
      <w:numPr>
        <w:ilvl w:val="7"/>
        <w:numId w:val="1"/>
      </w:numPr>
      <w:spacing w:before="240" w:beforeLines="0" w:after="64" w:afterLines="0" w:line="320" w:lineRule="auto"/>
      <w:outlineLvl w:val="7"/>
    </w:pPr>
    <w:rPr>
      <w:rFonts w:ascii="Arial" w:hAnsi="Arial" w:eastAsia="黑体"/>
      <w:sz w:val="24"/>
    </w:rPr>
  </w:style>
  <w:style w:type="paragraph" w:styleId="11">
    <w:name w:val="heading 9"/>
    <w:basedOn w:val="1"/>
    <w:next w:val="1"/>
    <w:link w:val="79"/>
    <w:qFormat/>
    <w:uiPriority w:val="0"/>
    <w:pPr>
      <w:keepNext/>
      <w:keepLines/>
      <w:numPr>
        <w:ilvl w:val="8"/>
        <w:numId w:val="1"/>
      </w:numPr>
      <w:spacing w:before="240" w:beforeLines="0" w:after="64" w:afterLines="0" w:line="320" w:lineRule="auto"/>
      <w:outlineLvl w:val="8"/>
    </w:pPr>
    <w:rPr>
      <w:rFonts w:ascii="Arial" w:hAnsi="Arial" w:eastAsia="黑体"/>
      <w:szCs w:val="21"/>
    </w:rPr>
  </w:style>
  <w:style w:type="character" w:default="1" w:styleId="64">
    <w:name w:val="Default Paragraph Font"/>
    <w:semiHidden/>
    <w:uiPriority w:val="0"/>
    <w:rPr>
      <w:rFonts w:ascii="Arial" w:hAnsi="Arial" w:eastAsia="黑体" w:cs="Arial"/>
      <w:snapToGrid w:val="0"/>
      <w:kern w:val="0"/>
      <w:szCs w:val="21"/>
    </w:rPr>
  </w:style>
  <w:style w:type="table" w:default="1" w:styleId="62">
    <w:name w:val="Normal Table"/>
    <w:unhideWhenUsed/>
    <w:uiPriority w:val="99"/>
    <w:tblPr>
      <w:tblStyle w:val="62"/>
      <w:tblCellMar>
        <w:top w:w="0" w:type="dxa"/>
        <w:left w:w="108" w:type="dxa"/>
        <w:bottom w:w="0" w:type="dxa"/>
        <w:right w:w="108" w:type="dxa"/>
      </w:tblCellMar>
    </w:tblPr>
  </w:style>
  <w:style w:type="paragraph" w:customStyle="1" w:styleId="2">
    <w:name w:val="章正文"/>
    <w:basedOn w:val="1"/>
    <w:uiPriority w:val="0"/>
    <w:pPr>
      <w:adjustRightInd/>
      <w:spacing w:before="156" w:beforeLines="50" w:after="120" w:afterLines="0" w:line="300" w:lineRule="auto"/>
      <w:ind w:firstLine="480" w:firstLineChars="200"/>
    </w:pPr>
    <w:rPr>
      <w:rFonts w:ascii="Helvetica" w:hAnsi="Helvetica"/>
      <w:kern w:val="0"/>
      <w:sz w:val="24"/>
    </w:rPr>
  </w:style>
  <w:style w:type="paragraph" w:styleId="12">
    <w:name w:val="toc 7"/>
    <w:basedOn w:val="1"/>
    <w:next w:val="1"/>
    <w:uiPriority w:val="0"/>
    <w:pPr>
      <w:ind w:left="2520" w:leftChars="1200"/>
    </w:pPr>
  </w:style>
  <w:style w:type="paragraph" w:styleId="13">
    <w:name w:val="List Number 2"/>
    <w:basedOn w:val="1"/>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numPr>
        <w:ilvl w:val="0"/>
        <w:numId w:val="3"/>
      </w:numPr>
      <w:tabs>
        <w:tab w:val="left" w:pos="432"/>
        <w:tab w:val="clear" w:pos="1440"/>
      </w:tabs>
      <w:adjustRightInd/>
      <w:spacing w:before="40" w:after="160"/>
      <w:ind w:left="432" w:hanging="432"/>
      <w:contextualSpacing/>
      <w:jc w:val="left"/>
    </w:pPr>
    <w:rPr>
      <w:rFonts w:ascii="Cambria" w:hAnsi="Cambria" w:eastAsia="微软雅黑" w:cs="Times New Roman"/>
      <w:color w:val="595959"/>
      <w:kern w:val="20"/>
      <w:szCs w:val="20"/>
      <w:lang w:val="zh-CN"/>
    </w:rPr>
  </w:style>
  <w:style w:type="paragraph" w:styleId="15">
    <w:name w:val="List Number"/>
    <w:basedOn w:val="1"/>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link w:val="80"/>
    <w:qFormat/>
    <w:uiPriority w:val="0"/>
    <w:pPr>
      <w:widowControl/>
      <w:adjustRightInd w:val="0"/>
      <w:snapToGrid w:val="0"/>
      <w:spacing w:line="480" w:lineRule="exact"/>
      <w:ind w:firstLine="567"/>
    </w:pPr>
    <w:rPr>
      <w:rFonts w:ascii="宋体"/>
      <w:snapToGrid w:val="0"/>
      <w:color w:val="000000"/>
      <w:kern w:val="28"/>
      <w:sz w:val="28"/>
      <w:szCs w:val="20"/>
    </w:rPr>
  </w:style>
  <w:style w:type="paragraph" w:styleId="17">
    <w:name w:val="caption"/>
    <w:basedOn w:val="1"/>
    <w:next w:val="1"/>
    <w:qFormat/>
    <w:uiPriority w:val="0"/>
    <w:rPr>
      <w:b/>
      <w:sz w:val="28"/>
      <w:szCs w:val="20"/>
    </w:rPr>
  </w:style>
  <w:style w:type="paragraph" w:styleId="18">
    <w:name w:val="index 5"/>
    <w:basedOn w:val="1"/>
    <w:next w:val="1"/>
    <w:uiPriority w:val="0"/>
    <w:pPr>
      <w:adjustRightInd/>
      <w:ind w:left="800" w:leftChars="800" w:firstLine="200" w:firstLineChars="200"/>
    </w:pPr>
  </w:style>
  <w:style w:type="paragraph" w:styleId="19">
    <w:name w:val="Document Map"/>
    <w:basedOn w:val="1"/>
    <w:semiHidden/>
    <w:uiPriority w:val="0"/>
    <w:pPr>
      <w:shd w:val="clear" w:color="auto" w:fill="000080"/>
    </w:pPr>
  </w:style>
  <w:style w:type="paragraph" w:styleId="20">
    <w:name w:val="annotation text"/>
    <w:basedOn w:val="1"/>
    <w:link w:val="81"/>
    <w:uiPriority w:val="0"/>
    <w:pPr>
      <w:jc w:val="left"/>
    </w:pPr>
  </w:style>
  <w:style w:type="paragraph" w:styleId="21">
    <w:name w:val="Salutation"/>
    <w:basedOn w:val="1"/>
    <w:next w:val="1"/>
    <w:link w:val="82"/>
    <w:uiPriority w:val="0"/>
    <w:rPr>
      <w:rFonts w:ascii="仿宋_GB2312" w:eastAsia="仿宋_GB2312"/>
      <w:sz w:val="28"/>
      <w:szCs w:val="20"/>
    </w:rPr>
  </w:style>
  <w:style w:type="paragraph" w:styleId="22">
    <w:name w:val="Body Text 3"/>
    <w:basedOn w:val="1"/>
    <w:link w:val="83"/>
    <w:uiPriority w:val="0"/>
    <w:pPr>
      <w:jc w:val="center"/>
    </w:pPr>
    <w:rPr>
      <w:szCs w:val="20"/>
    </w:rPr>
  </w:style>
  <w:style w:type="paragraph" w:styleId="23">
    <w:name w:val="Body Text"/>
    <w:basedOn w:val="1"/>
    <w:link w:val="84"/>
    <w:uiPriority w:val="0"/>
    <w:pPr>
      <w:autoSpaceDE w:val="0"/>
      <w:autoSpaceDN w:val="0"/>
      <w:adjustRightInd w:val="0"/>
      <w:spacing w:line="360" w:lineRule="auto"/>
    </w:pPr>
    <w:rPr>
      <w:rFonts w:ascii="宋体" w:hAnsi="Arial" w:cs="Arial"/>
      <w:snapToGrid w:val="0"/>
      <w:sz w:val="24"/>
      <w:szCs w:val="21"/>
      <w:lang w:val="zh-CN"/>
    </w:rPr>
  </w:style>
  <w:style w:type="paragraph" w:styleId="24">
    <w:name w:val="Body Text Indent"/>
    <w:basedOn w:val="1"/>
    <w:link w:val="85"/>
    <w:uiPriority w:val="0"/>
    <w:pPr>
      <w:spacing w:line="480" w:lineRule="exact"/>
      <w:ind w:firstLine="480" w:firstLineChars="200"/>
    </w:pPr>
    <w:rPr>
      <w:rFonts w:ascii="宋体" w:hAnsi="宋体"/>
      <w:sz w:val="24"/>
    </w:rPr>
  </w:style>
  <w:style w:type="paragraph" w:styleId="25">
    <w:name w:val="List Number 3"/>
    <w:basedOn w:val="1"/>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uiPriority w:val="0"/>
    <w:pPr>
      <w:adjustRightInd/>
      <w:spacing w:line="360" w:lineRule="auto"/>
      <w:ind w:left="100" w:leftChars="200" w:hanging="200" w:hangingChars="200"/>
    </w:pPr>
    <w:rPr>
      <w:rFonts w:eastAsia="微软雅黑"/>
    </w:rPr>
  </w:style>
  <w:style w:type="paragraph" w:styleId="27">
    <w:name w:val="Block Text"/>
    <w:basedOn w:val="1"/>
    <w:uiPriority w:val="0"/>
    <w:pPr>
      <w:ind w:left="-359" w:leftChars="-171" w:rightChars="-244" w:firstLine="501" w:firstLineChars="239"/>
    </w:pPr>
    <w:rPr>
      <w:rFonts w:ascii="仿宋_GB2312" w:eastAsia="仿宋_GB2312"/>
      <w:sz w:val="30"/>
      <w:szCs w:val="20"/>
    </w:rPr>
  </w:style>
  <w:style w:type="paragraph" w:styleId="28">
    <w:name w:val="List Bullet 2"/>
    <w:basedOn w:val="1"/>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86"/>
    <w:uiPriority w:val="0"/>
    <w:pPr>
      <w:widowControl/>
      <w:adjustRightInd/>
      <w:ind w:firstLine="200" w:firstLineChars="200"/>
      <w:jc w:val="left"/>
    </w:pPr>
    <w:rPr>
      <w:rFonts w:ascii="宋体" w:hAnsi="宋体"/>
      <w:i/>
      <w:iCs/>
      <w:kern w:val="0"/>
      <w:sz w:val="24"/>
    </w:rPr>
  </w:style>
  <w:style w:type="paragraph" w:styleId="30">
    <w:name w:val="toc 5"/>
    <w:basedOn w:val="1"/>
    <w:next w:val="1"/>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lang/>
    </w:rPr>
  </w:style>
  <w:style w:type="paragraph" w:styleId="32">
    <w:name w:val="Plain Text"/>
    <w:basedOn w:val="1"/>
    <w:link w:val="87"/>
    <w:qFormat/>
    <w:uiPriority w:val="0"/>
    <w:rPr>
      <w:rFonts w:ascii="宋体" w:hAnsi="Courier New" w:cs="Arial"/>
      <w:snapToGrid w:val="0"/>
      <w:szCs w:val="21"/>
    </w:rPr>
  </w:style>
  <w:style w:type="paragraph" w:styleId="33">
    <w:name w:val="List Number 4"/>
    <w:basedOn w:val="1"/>
    <w:uiPriority w:val="0"/>
    <w:pPr>
      <w:numPr>
        <w:ilvl w:val="0"/>
        <w:numId w:val="4"/>
      </w:numPr>
      <w:autoSpaceDE w:val="0"/>
      <w:autoSpaceDN w:val="0"/>
      <w:spacing w:line="360" w:lineRule="atLeast"/>
      <w:ind w:left="840" w:hanging="420"/>
    </w:pPr>
    <w:rPr>
      <w:kern w:val="0"/>
      <w:sz w:val="24"/>
    </w:rPr>
  </w:style>
  <w:style w:type="paragraph" w:styleId="34">
    <w:name w:val="toc 8"/>
    <w:basedOn w:val="1"/>
    <w:next w:val="1"/>
    <w:uiPriority w:val="0"/>
    <w:pPr>
      <w:ind w:left="2940" w:leftChars="1400"/>
    </w:pPr>
  </w:style>
  <w:style w:type="paragraph" w:styleId="35">
    <w:name w:val="Date"/>
    <w:basedOn w:val="1"/>
    <w:next w:val="1"/>
    <w:link w:val="88"/>
    <w:uiPriority w:val="0"/>
    <w:pPr>
      <w:ind w:left="100" w:leftChars="2500"/>
    </w:pPr>
    <w:rPr>
      <w:rFonts w:ascii="宋体"/>
      <w:sz w:val="24"/>
      <w:szCs w:val="21"/>
      <w:lang w:val="zh-CN"/>
    </w:rPr>
  </w:style>
  <w:style w:type="paragraph" w:styleId="36">
    <w:name w:val="Body Text Indent 2"/>
    <w:basedOn w:val="1"/>
    <w:link w:val="89"/>
    <w:uiPriority w:val="0"/>
    <w:pPr>
      <w:adjustRightInd w:val="0"/>
      <w:spacing w:line="360" w:lineRule="auto"/>
      <w:ind w:firstLine="601"/>
      <w:textAlignment w:val="baseline"/>
    </w:pPr>
    <w:rPr>
      <w:rFonts w:ascii="宋体"/>
      <w:kern w:val="0"/>
      <w:sz w:val="28"/>
      <w:szCs w:val="20"/>
    </w:rPr>
  </w:style>
  <w:style w:type="paragraph" w:styleId="37">
    <w:name w:val="Balloon Text"/>
    <w:basedOn w:val="1"/>
    <w:link w:val="90"/>
    <w:semiHidden/>
    <w:uiPriority w:val="0"/>
    <w:rPr>
      <w:sz w:val="18"/>
      <w:szCs w:val="18"/>
    </w:rPr>
  </w:style>
  <w:style w:type="paragraph" w:styleId="38">
    <w:name w:val="footer"/>
    <w:basedOn w:val="1"/>
    <w:uiPriority w:val="99"/>
    <w:pPr>
      <w:tabs>
        <w:tab w:val="center" w:pos="4153"/>
        <w:tab w:val="right" w:pos="8306"/>
      </w:tabs>
      <w:snapToGrid w:val="0"/>
      <w:jc w:val="left"/>
    </w:pPr>
    <w:rPr>
      <w:sz w:val="18"/>
      <w:szCs w:val="18"/>
    </w:rPr>
  </w:style>
  <w:style w:type="paragraph" w:styleId="39">
    <w:name w:val="envelope return"/>
    <w:basedOn w:val="1"/>
    <w:qFormat/>
    <w:uiPriority w:val="0"/>
    <w:pPr>
      <w:snapToGrid w:val="0"/>
    </w:pPr>
    <w:rPr>
      <w:rFonts w:ascii="Arial" w:hAnsi="Arial"/>
    </w:rPr>
  </w:style>
  <w:style w:type="paragraph" w:styleId="40">
    <w:name w:val="header"/>
    <w:basedOn w:val="1"/>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91"/>
    <w:uiPriority w:val="0"/>
    <w:pPr>
      <w:adjustRightInd w:val="0"/>
      <w:spacing w:after="600" w:afterLines="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uiPriority w:val="0"/>
    <w:pPr>
      <w:ind w:left="1260" w:leftChars="600"/>
    </w:pPr>
  </w:style>
  <w:style w:type="paragraph" w:styleId="44">
    <w:name w:val="index heading"/>
    <w:basedOn w:val="1"/>
    <w:next w:val="45"/>
    <w:uiPriority w:val="0"/>
    <w:pPr>
      <w:adjustRightInd/>
      <w:ind w:firstLine="200" w:firstLineChars="200"/>
    </w:pPr>
  </w:style>
  <w:style w:type="paragraph" w:styleId="45">
    <w:name w:val="index 1"/>
    <w:basedOn w:val="1"/>
    <w:next w:val="1"/>
    <w:uiPriority w:val="0"/>
    <w:pPr>
      <w:adjustRightInd/>
      <w:spacing w:line="360" w:lineRule="auto"/>
      <w:ind w:firstLine="200" w:firstLineChars="200"/>
      <w:jc w:val="center"/>
    </w:pPr>
    <w:rPr>
      <w:sz w:val="24"/>
      <w:szCs w:val="20"/>
    </w:rPr>
  </w:style>
  <w:style w:type="paragraph" w:styleId="46">
    <w:name w:val="Subtitle"/>
    <w:link w:val="92"/>
    <w:qFormat/>
    <w:uiPriority w:val="0"/>
    <w:pPr>
      <w:adjustRightInd w:val="0"/>
      <w:snapToGrid w:val="0"/>
      <w:spacing w:before="240" w:after="480"/>
      <w:jc w:val="center"/>
    </w:pPr>
    <w:rPr>
      <w:rFonts w:ascii="Arial" w:hAnsi="Arial" w:eastAsia="隶书"/>
      <w:b/>
      <w:bCs/>
      <w:kern w:val="28"/>
      <w:sz w:val="44"/>
      <w:szCs w:val="32"/>
      <w:lang w:val="en-US" w:eastAsia="zh-CN" w:bidi="ar-SA"/>
    </w:rPr>
  </w:style>
  <w:style w:type="paragraph" w:styleId="47">
    <w:name w:val="List Number 5"/>
    <w:basedOn w:val="1"/>
    <w:uiPriority w:val="0"/>
    <w:pPr>
      <w:tabs>
        <w:tab w:val="left" w:pos="902"/>
      </w:tabs>
      <w:adjustRightInd/>
      <w:spacing w:line="400" w:lineRule="exact"/>
      <w:ind w:left="902" w:hanging="420"/>
    </w:pPr>
    <w:rPr>
      <w:sz w:val="24"/>
      <w:szCs w:val="20"/>
    </w:rPr>
  </w:style>
  <w:style w:type="paragraph" w:styleId="48">
    <w:name w:val="List"/>
    <w:basedOn w:val="1"/>
    <w:uiPriority w:val="0"/>
    <w:pPr>
      <w:ind w:left="200" w:hanging="200" w:hangingChars="200"/>
    </w:pPr>
  </w:style>
  <w:style w:type="paragraph" w:styleId="49">
    <w:name w:val="footnote text"/>
    <w:basedOn w:val="16"/>
    <w:link w:val="93"/>
    <w:uiPriority w:val="0"/>
    <w:pPr>
      <w:adjustRightInd/>
      <w:snapToGrid/>
      <w:spacing w:before="60" w:beforeLines="0" w:after="60" w:afterLines="0" w:line="300" w:lineRule="exact"/>
      <w:ind w:firstLine="0"/>
    </w:pPr>
    <w:rPr>
      <w:rFonts w:ascii="Times New Roman"/>
      <w:snapToGrid/>
      <w:color w:val="0000FF"/>
      <w:kern w:val="0"/>
      <w:sz w:val="21"/>
    </w:rPr>
  </w:style>
  <w:style w:type="paragraph" w:styleId="50">
    <w:name w:val="toc 6"/>
    <w:basedOn w:val="1"/>
    <w:next w:val="1"/>
    <w:uiPriority w:val="0"/>
    <w:pPr>
      <w:ind w:left="2100" w:leftChars="1000"/>
    </w:pPr>
  </w:style>
  <w:style w:type="paragraph" w:styleId="51">
    <w:name w:val="List 5"/>
    <w:basedOn w:val="1"/>
    <w:uiPriority w:val="0"/>
    <w:pPr>
      <w:adjustRightInd/>
      <w:ind w:left="100" w:leftChars="800" w:hanging="200" w:hangingChars="200"/>
    </w:pPr>
  </w:style>
  <w:style w:type="paragraph" w:styleId="52">
    <w:name w:val="Body Text Indent 3"/>
    <w:basedOn w:val="1"/>
    <w:link w:val="94"/>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uiPriority w:val="0"/>
    <w:pPr>
      <w:ind w:left="3360" w:leftChars="1600"/>
    </w:pPr>
  </w:style>
  <w:style w:type="paragraph" w:styleId="55">
    <w:name w:val="Body Text 2"/>
    <w:basedOn w:val="1"/>
    <w:uiPriority w:val="0"/>
    <w:pPr>
      <w:spacing w:after="120" w:afterLines="0" w:line="480" w:lineRule="auto"/>
    </w:pPr>
  </w:style>
  <w:style w:type="paragraph" w:styleId="56">
    <w:name w:val="HTML Preformatted"/>
    <w:basedOn w:val="1"/>
    <w:link w:val="95"/>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uiPriority w:val="99"/>
    <w:pPr>
      <w:widowControl/>
      <w:spacing w:before="100" w:beforeLines="0" w:beforeAutospacing="1" w:after="100" w:afterLines="0" w:afterAutospacing="1"/>
      <w:jc w:val="left"/>
    </w:pPr>
    <w:rPr>
      <w:rFonts w:ascii="宋体" w:hAnsi="宋体"/>
      <w:kern w:val="0"/>
      <w:sz w:val="24"/>
    </w:rPr>
  </w:style>
  <w:style w:type="paragraph" w:styleId="58">
    <w:name w:val="Title"/>
    <w:basedOn w:val="1"/>
    <w:qFormat/>
    <w:uiPriority w:val="0"/>
    <w:pPr>
      <w:widowControl/>
      <w:overflowPunct w:val="0"/>
      <w:autoSpaceDE w:val="0"/>
      <w:autoSpaceDN w:val="0"/>
      <w:adjustRightInd w:val="0"/>
      <w:jc w:val="center"/>
      <w:textAlignment w:val="baseline"/>
    </w:pPr>
    <w:rPr>
      <w:b/>
      <w:kern w:val="0"/>
      <w:sz w:val="24"/>
      <w:szCs w:val="20"/>
      <w:lang w:val="en-GB"/>
    </w:rPr>
  </w:style>
  <w:style w:type="paragraph" w:styleId="59">
    <w:name w:val="annotation subject"/>
    <w:basedOn w:val="20"/>
    <w:next w:val="20"/>
    <w:semiHidden/>
    <w:uiPriority w:val="0"/>
    <w:rPr>
      <w:b/>
      <w:bCs/>
    </w:rPr>
  </w:style>
  <w:style w:type="paragraph" w:styleId="60">
    <w:name w:val="Body Text First Indent"/>
    <w:basedOn w:val="23"/>
    <w:link w:val="96"/>
    <w:uiPriority w:val="0"/>
    <w:pPr>
      <w:ind w:firstLine="420"/>
    </w:pPr>
    <w:rPr>
      <w:rFonts w:hAnsi="Times New Roman" w:cs="Times New Roman"/>
      <w:snapToGrid/>
      <w:szCs w:val="20"/>
    </w:rPr>
  </w:style>
  <w:style w:type="paragraph" w:styleId="61">
    <w:name w:val="Body Text First Indent 2"/>
    <w:basedOn w:val="24"/>
    <w:link w:val="97"/>
    <w:uiPriority w:val="0"/>
    <w:pPr>
      <w:adjustRightInd/>
      <w:spacing w:after="120" w:afterLines="0" w:line="240" w:lineRule="auto"/>
      <w:ind w:left="420" w:leftChars="200" w:firstLine="210"/>
    </w:pPr>
    <w:rPr>
      <w:sz w:val="21"/>
    </w:rPr>
  </w:style>
  <w:style w:type="table" w:styleId="63">
    <w:name w:val="Table Grid"/>
    <w:qFormat/>
    <w:uiPriority w:val="39"/>
    <w:rPr>
      <w:rFonts w:eastAsia="Times New Roman"/>
      <w:lang w:val="en-US" w:eastAsia="zh-CN" w:bidi="ar-SA"/>
    </w:rPr>
    <w:tblPr>
      <w:tblStyle w:val="6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5">
    <w:name w:val="Strong"/>
    <w:qFormat/>
    <w:uiPriority w:val="0"/>
    <w:rPr>
      <w:b/>
      <w:bCs/>
    </w:rPr>
  </w:style>
  <w:style w:type="character" w:styleId="66">
    <w:name w:val="page number"/>
    <w:basedOn w:val="64"/>
    <w:uiPriority w:val="0"/>
  </w:style>
  <w:style w:type="character" w:styleId="67">
    <w:name w:val="FollowedHyperlink"/>
    <w:uiPriority w:val="0"/>
    <w:rPr>
      <w:rFonts w:ascii="Arial" w:hAnsi="Arial" w:eastAsia="黑体" w:cs="Arial"/>
      <w:snapToGrid w:val="0"/>
      <w:color w:val="000000"/>
      <w:kern w:val="0"/>
      <w:sz w:val="18"/>
      <w:szCs w:val="18"/>
      <w:u w:val="none"/>
    </w:rPr>
  </w:style>
  <w:style w:type="character" w:styleId="68">
    <w:name w:val="Emphasis"/>
    <w:qFormat/>
    <w:uiPriority w:val="0"/>
    <w:rPr>
      <w:color w:val="CC0033"/>
    </w:rPr>
  </w:style>
  <w:style w:type="character" w:styleId="69">
    <w:name w:val="line number"/>
    <w:basedOn w:val="64"/>
    <w:uiPriority w:val="0"/>
  </w:style>
  <w:style w:type="character" w:styleId="70">
    <w:name w:val="Hyperlink"/>
    <w:uiPriority w:val="0"/>
    <w:rPr>
      <w:rFonts w:ascii="Arial" w:hAnsi="Arial" w:eastAsia="黑体" w:cs="Arial"/>
      <w:snapToGrid w:val="0"/>
      <w:color w:val="000000"/>
      <w:kern w:val="0"/>
      <w:sz w:val="18"/>
      <w:szCs w:val="18"/>
      <w:u w:val="none"/>
    </w:rPr>
  </w:style>
  <w:style w:type="character" w:styleId="71">
    <w:name w:val="HTML Code"/>
    <w:uiPriority w:val="0"/>
    <w:rPr>
      <w:rFonts w:ascii="黑体" w:hAnsi="Courier New" w:eastAsia="黑体" w:cs="楷体_GB2312"/>
      <w:sz w:val="20"/>
      <w:szCs w:val="20"/>
    </w:rPr>
  </w:style>
  <w:style w:type="character" w:styleId="72">
    <w:name w:val="annotation reference"/>
    <w:uiPriority w:val="99"/>
    <w:rPr>
      <w:sz w:val="21"/>
      <w:szCs w:val="21"/>
    </w:rPr>
  </w:style>
  <w:style w:type="character" w:customStyle="1" w:styleId="73">
    <w:name w:val="标题 1 Char"/>
    <w:link w:val="3"/>
    <w:uiPriority w:val="0"/>
    <w:rPr>
      <w:b/>
      <w:bCs/>
      <w:kern w:val="44"/>
      <w:sz w:val="44"/>
      <w:szCs w:val="44"/>
    </w:rPr>
  </w:style>
  <w:style w:type="character" w:customStyle="1" w:styleId="74">
    <w:name w:val="标题 4 Char"/>
    <w:link w:val="6"/>
    <w:uiPriority w:val="0"/>
    <w:rPr>
      <w:rFonts w:ascii="Arial" w:hAnsi="Arial" w:eastAsia="黑体"/>
      <w:b/>
      <w:bCs/>
      <w:kern w:val="2"/>
      <w:sz w:val="28"/>
      <w:szCs w:val="28"/>
      <w:lang w:val="zh-CN"/>
    </w:rPr>
  </w:style>
  <w:style w:type="character" w:customStyle="1" w:styleId="75">
    <w:name w:val="标题 5 Char"/>
    <w:link w:val="7"/>
    <w:uiPriority w:val="0"/>
    <w:rPr>
      <w:b/>
      <w:bCs/>
      <w:kern w:val="2"/>
      <w:sz w:val="28"/>
      <w:szCs w:val="28"/>
    </w:rPr>
  </w:style>
  <w:style w:type="character" w:customStyle="1" w:styleId="76">
    <w:name w:val="标题 6 Char"/>
    <w:link w:val="8"/>
    <w:uiPriority w:val="0"/>
    <w:rPr>
      <w:rFonts w:ascii="Arial" w:hAnsi="Arial" w:eastAsia="黑体"/>
      <w:b/>
      <w:bCs/>
      <w:kern w:val="2"/>
      <w:sz w:val="24"/>
      <w:szCs w:val="24"/>
    </w:rPr>
  </w:style>
  <w:style w:type="character" w:customStyle="1" w:styleId="77">
    <w:name w:val="标题 7 Char"/>
    <w:link w:val="9"/>
    <w:uiPriority w:val="0"/>
    <w:rPr>
      <w:b/>
      <w:bCs/>
      <w:kern w:val="2"/>
      <w:sz w:val="24"/>
      <w:szCs w:val="24"/>
    </w:rPr>
  </w:style>
  <w:style w:type="character" w:customStyle="1" w:styleId="78">
    <w:name w:val="标题 8 Char"/>
    <w:link w:val="10"/>
    <w:uiPriority w:val="0"/>
    <w:rPr>
      <w:rFonts w:ascii="Arial" w:hAnsi="Arial" w:eastAsia="黑体"/>
      <w:kern w:val="2"/>
      <w:sz w:val="24"/>
      <w:szCs w:val="24"/>
    </w:rPr>
  </w:style>
  <w:style w:type="character" w:customStyle="1" w:styleId="79">
    <w:name w:val="标题 9 Char"/>
    <w:link w:val="11"/>
    <w:uiPriority w:val="0"/>
    <w:rPr>
      <w:rFonts w:ascii="Arial" w:hAnsi="Arial" w:eastAsia="黑体"/>
      <w:kern w:val="2"/>
      <w:sz w:val="21"/>
      <w:szCs w:val="21"/>
    </w:rPr>
  </w:style>
  <w:style w:type="character" w:customStyle="1" w:styleId="80">
    <w:name w:val="正文缩进 Char2"/>
    <w:link w:val="16"/>
    <w:uiPriority w:val="0"/>
    <w:rPr>
      <w:rFonts w:ascii="宋体" w:eastAsia="宋体"/>
      <w:snapToGrid w:val="0"/>
      <w:color w:val="000000"/>
      <w:kern w:val="28"/>
      <w:sz w:val="28"/>
      <w:lang w:val="en-US" w:eastAsia="zh-CN" w:bidi="ar-SA"/>
    </w:rPr>
  </w:style>
  <w:style w:type="character" w:customStyle="1" w:styleId="81">
    <w:name w:val="批注文字 Char1"/>
    <w:link w:val="20"/>
    <w:uiPriority w:val="0"/>
    <w:rPr>
      <w:kern w:val="2"/>
      <w:sz w:val="21"/>
      <w:szCs w:val="24"/>
    </w:rPr>
  </w:style>
  <w:style w:type="character" w:customStyle="1" w:styleId="82">
    <w:name w:val="称呼 Char"/>
    <w:link w:val="21"/>
    <w:uiPriority w:val="0"/>
    <w:rPr>
      <w:rFonts w:ascii="仿宋_GB2312" w:eastAsia="仿宋_GB2312"/>
      <w:kern w:val="2"/>
      <w:sz w:val="28"/>
    </w:rPr>
  </w:style>
  <w:style w:type="character" w:customStyle="1" w:styleId="83">
    <w:name w:val="正文文本 3 Char"/>
    <w:link w:val="22"/>
    <w:uiPriority w:val="0"/>
    <w:rPr>
      <w:kern w:val="2"/>
      <w:sz w:val="21"/>
    </w:rPr>
  </w:style>
  <w:style w:type="character" w:customStyle="1" w:styleId="84">
    <w:name w:val="正文文本 Char1"/>
    <w:link w:val="23"/>
    <w:semiHidden/>
    <w:uiPriority w:val="0"/>
    <w:rPr>
      <w:rFonts w:ascii="宋体" w:hAnsi="Arial" w:eastAsia="宋体" w:cs="Arial"/>
      <w:snapToGrid w:val="0"/>
      <w:kern w:val="2"/>
      <w:sz w:val="24"/>
      <w:szCs w:val="21"/>
      <w:lang w:val="zh-CN" w:eastAsia="zh-CN" w:bidi="ar-SA"/>
    </w:rPr>
  </w:style>
  <w:style w:type="character" w:customStyle="1" w:styleId="85">
    <w:name w:val="正文文本缩进 Char1"/>
    <w:link w:val="24"/>
    <w:uiPriority w:val="0"/>
    <w:rPr>
      <w:rFonts w:ascii="宋体" w:hAnsi="宋体"/>
      <w:kern w:val="2"/>
      <w:sz w:val="24"/>
      <w:szCs w:val="24"/>
    </w:rPr>
  </w:style>
  <w:style w:type="character" w:customStyle="1" w:styleId="86">
    <w:name w:val="HTML 地址 Char"/>
    <w:link w:val="29"/>
    <w:uiPriority w:val="0"/>
    <w:rPr>
      <w:rFonts w:ascii="宋体" w:hAnsi="宋体"/>
      <w:i/>
      <w:iCs/>
      <w:sz w:val="24"/>
      <w:szCs w:val="24"/>
    </w:rPr>
  </w:style>
  <w:style w:type="character" w:customStyle="1" w:styleId="87">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88">
    <w:name w:val="日期 Char"/>
    <w:link w:val="35"/>
    <w:uiPriority w:val="0"/>
    <w:rPr>
      <w:rFonts w:ascii="宋体"/>
      <w:kern w:val="2"/>
      <w:sz w:val="24"/>
      <w:szCs w:val="21"/>
      <w:lang w:val="zh-CN"/>
    </w:rPr>
  </w:style>
  <w:style w:type="character" w:customStyle="1" w:styleId="89">
    <w:name w:val="正文文本缩进 2 Char"/>
    <w:link w:val="36"/>
    <w:uiPriority w:val="0"/>
    <w:rPr>
      <w:rFonts w:ascii="宋体"/>
      <w:sz w:val="28"/>
    </w:rPr>
  </w:style>
  <w:style w:type="character" w:customStyle="1" w:styleId="90">
    <w:name w:val="批注框文本 Char"/>
    <w:link w:val="37"/>
    <w:semiHidden/>
    <w:uiPriority w:val="0"/>
    <w:rPr>
      <w:kern w:val="2"/>
      <w:sz w:val="18"/>
      <w:szCs w:val="18"/>
    </w:rPr>
  </w:style>
  <w:style w:type="character" w:customStyle="1" w:styleId="91">
    <w:name w:val="签名 Char"/>
    <w:link w:val="41"/>
    <w:uiPriority w:val="0"/>
    <w:rPr>
      <w:rFonts w:eastAsia="仿宋_GB2312"/>
      <w:sz w:val="24"/>
    </w:rPr>
  </w:style>
  <w:style w:type="character" w:customStyle="1" w:styleId="92">
    <w:name w:val="副标题 Char"/>
    <w:link w:val="46"/>
    <w:uiPriority w:val="0"/>
    <w:rPr>
      <w:rFonts w:ascii="Arial" w:hAnsi="Arial" w:eastAsia="隶书"/>
      <w:b/>
      <w:bCs/>
      <w:kern w:val="28"/>
      <w:sz w:val="44"/>
      <w:szCs w:val="32"/>
      <w:lang w:val="en-US" w:eastAsia="zh-CN" w:bidi="ar-SA"/>
    </w:rPr>
  </w:style>
  <w:style w:type="character" w:customStyle="1" w:styleId="93">
    <w:name w:val="脚注文本 Char"/>
    <w:link w:val="49"/>
    <w:uiPriority w:val="0"/>
    <w:rPr>
      <w:color w:val="0000FF"/>
      <w:sz w:val="21"/>
    </w:rPr>
  </w:style>
  <w:style w:type="character" w:customStyle="1" w:styleId="94">
    <w:name w:val="正文文本缩进 3 Char"/>
    <w:link w:val="52"/>
    <w:uiPriority w:val="0"/>
    <w:rPr>
      <w:kern w:val="2"/>
      <w:sz w:val="24"/>
    </w:rPr>
  </w:style>
  <w:style w:type="character" w:customStyle="1" w:styleId="95">
    <w:name w:val="HTML 预设格式 Char"/>
    <w:link w:val="56"/>
    <w:uiPriority w:val="0"/>
    <w:rPr>
      <w:rFonts w:ascii="黑体" w:hAnsi="Courier New" w:eastAsia="黑体"/>
    </w:rPr>
  </w:style>
  <w:style w:type="character" w:customStyle="1" w:styleId="96">
    <w:name w:val="正文首行缩进 Char"/>
    <w:link w:val="60"/>
    <w:uiPriority w:val="0"/>
    <w:rPr>
      <w:rFonts w:ascii="宋体"/>
      <w:kern w:val="2"/>
      <w:sz w:val="24"/>
      <w:lang w:val="zh-CN"/>
    </w:rPr>
  </w:style>
  <w:style w:type="character" w:customStyle="1" w:styleId="97">
    <w:name w:val="正文首行缩进 2 Char"/>
    <w:link w:val="61"/>
    <w:uiPriority w:val="0"/>
    <w:rPr>
      <w:rFonts w:ascii="宋体" w:hAnsi="宋体"/>
      <w:kern w:val="2"/>
      <w:sz w:val="21"/>
      <w:szCs w:val="24"/>
    </w:rPr>
  </w:style>
  <w:style w:type="character" w:customStyle="1" w:styleId="98">
    <w:name w:val="样式 标题 4h4H4Fab-4T5Ref Heading 1rh1Heading sqlsect 1.2.3.... Char"/>
    <w:link w:val="99"/>
    <w:uiPriority w:val="0"/>
    <w:rPr>
      <w:rFonts w:ascii="微软雅黑" w:hAnsi="微软雅黑" w:eastAsia="微软雅黑"/>
      <w:b/>
      <w:bCs/>
      <w:kern w:val="2"/>
      <w:sz w:val="24"/>
      <w:szCs w:val="28"/>
    </w:rPr>
  </w:style>
  <w:style w:type="paragraph" w:customStyle="1" w:styleId="99">
    <w:name w:val="样式 标题 4h4H4Fab-4T5Ref Heading 1rh1Heading sqlsect 1.2.3...."/>
    <w:basedOn w:val="6"/>
    <w:link w:val="98"/>
    <w:uiPriority w:val="0"/>
    <w:pPr>
      <w:numPr>
        <w:ilvl w:val="3"/>
        <w:numId w:val="0"/>
      </w:num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100">
    <w:name w:val=" Char Char3"/>
    <w:uiPriority w:val="0"/>
    <w:rPr>
      <w:rFonts w:eastAsia="宋体"/>
      <w:kern w:val="2"/>
      <w:sz w:val="21"/>
      <w:szCs w:val="24"/>
      <w:lang w:val="en-US" w:eastAsia="zh-CN" w:bidi="ar-SA"/>
    </w:rPr>
  </w:style>
  <w:style w:type="character" w:customStyle="1" w:styleId="101">
    <w:name w:val="t21"/>
    <w:uiPriority w:val="0"/>
    <w:rPr>
      <w:rFonts w:ascii="仿宋_GB2312" w:eastAsia="微软雅黑"/>
      <w:b/>
      <w:kern w:val="2"/>
      <w:sz w:val="23"/>
      <w:szCs w:val="23"/>
      <w:lang w:val="en-US" w:eastAsia="zh-CN" w:bidi="ar-SA"/>
    </w:rPr>
  </w:style>
  <w:style w:type="character" w:customStyle="1" w:styleId="102">
    <w:name w:val="表正文 Char1"/>
    <w:aliases w:val="正文非缩进 Char2,正文不缩进 Char2,特点 Char2,段1 Char2,标题4 Char2,特点标题 Char1,ALT+Z Char2,四号 Char2,缩进 Char2,正文（段落文字） Char1,正文编号 Char1,Justified Char1,plain paragraph Char1,pp Char1,Block text Char1,t Char1,BODY TEXT Char1,text Char1,sp Char1,sbs Char1,P Char"/>
    <w:uiPriority w:val="0"/>
    <w:rPr>
      <w:rFonts w:ascii="宋体" w:eastAsia="宋体"/>
      <w:snapToGrid w:val="0"/>
      <w:color w:val="000000"/>
      <w:kern w:val="28"/>
      <w:sz w:val="28"/>
    </w:rPr>
  </w:style>
  <w:style w:type="character" w:customStyle="1" w:styleId="103">
    <w:name w:val="myp1111"/>
    <w:uiPriority w:val="0"/>
    <w:rPr>
      <w:rFonts w:hint="default" w:ascii="ˎ̥" w:hAnsi="ˎ̥"/>
      <w:color w:val="000000"/>
      <w:sz w:val="20"/>
      <w:szCs w:val="20"/>
      <w:u w:val="none"/>
    </w:rPr>
  </w:style>
  <w:style w:type="character" w:customStyle="1" w:styleId="104">
    <w:name w:val="纯文本 字符"/>
    <w:qFormat/>
    <w:uiPriority w:val="0"/>
    <w:rPr>
      <w:rFonts w:ascii="宋体" w:hAnsi="Courier New" w:eastAsia="宋体" w:cs="Arial"/>
      <w:snapToGrid/>
      <w:kern w:val="2"/>
      <w:sz w:val="21"/>
      <w:szCs w:val="21"/>
      <w:lang w:val="en-US" w:eastAsia="zh-CN" w:bidi="ar-SA"/>
    </w:rPr>
  </w:style>
  <w:style w:type="character" w:customStyle="1" w:styleId="105">
    <w:name w:val="样式5 Char"/>
    <w:uiPriority w:val="0"/>
    <w:rPr>
      <w:rFonts w:ascii="仿宋_GB2312" w:hAnsi="仿宋" w:eastAsia="仿宋_GB2312"/>
      <w:kern w:val="2"/>
      <w:sz w:val="24"/>
      <w:szCs w:val="24"/>
    </w:rPr>
  </w:style>
  <w:style w:type="character" w:customStyle="1" w:styleId="106">
    <w:name w:val=" Char Char8"/>
    <w:uiPriority w:val="0"/>
    <w:rPr>
      <w:rFonts w:eastAsia="宋体"/>
      <w:b/>
      <w:sz w:val="24"/>
      <w:lang w:val="en-GB" w:eastAsia="zh-CN"/>
    </w:rPr>
  </w:style>
  <w:style w:type="character" w:customStyle="1" w:styleId="107">
    <w:name w:val="方案正文 Char"/>
    <w:uiPriority w:val="0"/>
    <w:rPr>
      <w:rFonts w:ascii="仿宋_GB2312" w:eastAsia="仿宋_GB2312"/>
      <w:b/>
      <w:color w:val="000000"/>
      <w:kern w:val="2"/>
      <w:sz w:val="24"/>
      <w:lang w:val="en-US" w:eastAsia="zh-CN" w:bidi="ar-SA"/>
    </w:rPr>
  </w:style>
  <w:style w:type="character" w:customStyle="1" w:styleId="108">
    <w:name w:val="apple-converted-space"/>
    <w:uiPriority w:val="0"/>
  </w:style>
  <w:style w:type="character" w:customStyle="1" w:styleId="109">
    <w:name w:val="带编号样式 Char"/>
    <w:uiPriority w:val="0"/>
    <w:rPr>
      <w:rFonts w:ascii="仿宋_GB2312" w:eastAsia="仿宋_GB2312"/>
      <w:color w:val="000000"/>
      <w:sz w:val="24"/>
      <w:lang w:bidi="ar-SA"/>
    </w:rPr>
  </w:style>
  <w:style w:type="character" w:customStyle="1" w:styleId="110">
    <w:name w:val="c7 style3"/>
    <w:uiPriority w:val="0"/>
  </w:style>
  <w:style w:type="character" w:customStyle="1" w:styleId="111">
    <w:name w:val="Ò³Ã¼ Char Char1"/>
    <w:uiPriority w:val="0"/>
    <w:rPr>
      <w:rFonts w:eastAsia="宋体"/>
      <w:kern w:val="2"/>
      <w:sz w:val="18"/>
      <w:szCs w:val="18"/>
      <w:lang w:val="en-US" w:eastAsia="zh-CN" w:bidi="ar-SA"/>
    </w:rPr>
  </w:style>
  <w:style w:type="character" w:customStyle="1" w:styleId="112">
    <w:name w:val="Char Char4"/>
    <w:uiPriority w:val="0"/>
    <w:rPr>
      <w:rFonts w:eastAsia="宋体"/>
      <w:b/>
      <w:sz w:val="24"/>
      <w:lang w:val="en-GB" w:eastAsia="zh-CN" w:bidi="ar-SA"/>
    </w:rPr>
  </w:style>
  <w:style w:type="character" w:customStyle="1" w:styleId="113">
    <w:name w:val="Font Style82"/>
    <w:uiPriority w:val="99"/>
    <w:rPr>
      <w:rFonts w:ascii="宋体" w:eastAsia="宋体" w:cs="宋体"/>
      <w:color w:val="000000"/>
      <w:sz w:val="14"/>
      <w:szCs w:val="14"/>
    </w:rPr>
  </w:style>
  <w:style w:type="character" w:customStyle="1" w:styleId="114">
    <w:name w:val="hui"/>
    <w:basedOn w:val="64"/>
    <w:uiPriority w:val="0"/>
  </w:style>
  <w:style w:type="character" w:customStyle="1" w:styleId="115">
    <w:name w:val="标题 2 Char"/>
    <w:aliases w:val="标题 2-1 Char Char,Header 2 Char,Heading2 Char,L1 Heading 2 Char,H21 Char,sect 1.21 Char,H22 Char,sect 1.22 Char,H211 Char,sect 1.211 Char,H23 Char,sect 1.23 Char,H212 Char,sect 1.212 Char,H24 Char,sect 1.24 Char,H213 Char,sect 1.213 Char"/>
    <w:uiPriority w:val="0"/>
    <w:rPr>
      <w:rFonts w:ascii="Arial" w:hAnsi="Arial" w:eastAsia="黑体"/>
      <w:b/>
      <w:kern w:val="2"/>
      <w:sz w:val="32"/>
      <w:lang w:val="en-US" w:eastAsia="zh-CN"/>
    </w:rPr>
  </w:style>
  <w:style w:type="character" w:customStyle="1" w:styleId="116">
    <w:name w:val="pt141"/>
    <w:uiPriority w:val="0"/>
    <w:rPr>
      <w:color w:val="330066"/>
      <w:sz w:val="22"/>
      <w:szCs w:val="22"/>
    </w:rPr>
  </w:style>
  <w:style w:type="character" w:customStyle="1" w:styleId="117">
    <w:name w:val="正文首行缩进 Char Char Char Char Char Char"/>
    <w:uiPriority w:val="0"/>
    <w:rPr>
      <w:rFonts w:ascii="宋体" w:eastAsia="宋体"/>
      <w:kern w:val="2"/>
      <w:sz w:val="24"/>
      <w:lang w:val="zh-CN" w:bidi="ar-SA"/>
    </w:rPr>
  </w:style>
  <w:style w:type="character" w:customStyle="1" w:styleId="118">
    <w:name w:val="正文 项目2 Char"/>
    <w:basedOn w:val="119"/>
    <w:uiPriority w:val="0"/>
  </w:style>
  <w:style w:type="character" w:customStyle="1" w:styleId="119">
    <w:name w:val="正文 项目 Char"/>
    <w:uiPriority w:val="0"/>
    <w:rPr>
      <w:rFonts w:ascii="仿宋_GB2312" w:hAnsi="仿宋_GB2312" w:eastAsia="仿宋_GB2312"/>
      <w:kern w:val="2"/>
      <w:sz w:val="24"/>
      <w:lang w:bidi="ar-SA"/>
    </w:rPr>
  </w:style>
  <w:style w:type="character" w:customStyle="1" w:styleId="120">
    <w:name w:val="冯广丽 Char"/>
    <w:link w:val="121"/>
    <w:uiPriority w:val="0"/>
    <w:rPr>
      <w:rFonts w:ascii="宋体" w:hAnsi="宋体"/>
      <w:kern w:val="2"/>
      <w:sz w:val="24"/>
      <w:szCs w:val="22"/>
    </w:rPr>
  </w:style>
  <w:style w:type="paragraph" w:customStyle="1" w:styleId="121">
    <w:name w:val="冯广丽"/>
    <w:basedOn w:val="1"/>
    <w:link w:val="120"/>
    <w:qFormat/>
    <w:uiPriority w:val="0"/>
    <w:pPr>
      <w:adjustRightInd/>
      <w:spacing w:line="360" w:lineRule="auto"/>
      <w:ind w:firstLine="480" w:firstLineChars="200"/>
    </w:pPr>
    <w:rPr>
      <w:rFonts w:ascii="宋体" w:hAnsi="宋体"/>
      <w:sz w:val="24"/>
      <w:szCs w:val="22"/>
    </w:rPr>
  </w:style>
  <w:style w:type="character" w:customStyle="1" w:styleId="122">
    <w:name w:val="h Char Char1"/>
    <w:uiPriority w:val="0"/>
    <w:rPr>
      <w:rFonts w:eastAsia="宋体"/>
      <w:kern w:val="2"/>
      <w:sz w:val="18"/>
      <w:szCs w:val="18"/>
      <w:lang w:val="en-US" w:eastAsia="zh-CN" w:bidi="ar-SA"/>
    </w:rPr>
  </w:style>
  <w:style w:type="character" w:customStyle="1" w:styleId="123">
    <w:name w:val="PI Char"/>
    <w:aliases w:val="正文文字首行缩进 Char,正文文本缩进 Char Char,正文小标题 Char,正文文字3 Char Char,正文文字3 Char,正文顶格 Char Char"/>
    <w:uiPriority w:val="0"/>
    <w:rPr>
      <w:rFonts w:ascii="宋体" w:hAnsi="宋体" w:eastAsia="宋体"/>
      <w:kern w:val="2"/>
      <w:sz w:val="24"/>
      <w:szCs w:val="24"/>
      <w:lang w:val="en-US" w:eastAsia="zh-CN" w:bidi="ar-SA"/>
    </w:rPr>
  </w:style>
  <w:style w:type="character" w:customStyle="1" w:styleId="124">
    <w:name w:val="md"/>
    <w:basedOn w:val="64"/>
    <w:uiPriority w:val="0"/>
  </w:style>
  <w:style w:type="character" w:customStyle="1" w:styleId="125">
    <w:name w:val="页脚 Char1"/>
    <w:uiPriority w:val="0"/>
    <w:rPr>
      <w:rFonts w:eastAsia="宋体"/>
      <w:kern w:val="2"/>
      <w:sz w:val="18"/>
      <w:szCs w:val="18"/>
      <w:lang w:val="en-US" w:eastAsia="zh-CN" w:bidi="ar-SA"/>
    </w:rPr>
  </w:style>
  <w:style w:type="character" w:customStyle="1" w:styleId="126">
    <w:name w:val="普通文字 Char1"/>
    <w:aliases w:val="普通文字 Char Char Char1,普通文字 Char Char3,纯文本 Char Char1,纯文本 Char Char Char Char,正 文 1 Char Char,普通文字7 Char,普通文 Char,纯文本 Char Char Char Char Char Char Char Char Char Char Char Char Char Char"/>
    <w:uiPriority w:val="0"/>
    <w:rPr>
      <w:rFonts w:ascii="宋体" w:hAnsi="Courier New" w:eastAsia="宋体"/>
      <w:kern w:val="2"/>
      <w:sz w:val="21"/>
      <w:lang w:val="en-US" w:eastAsia="zh-CN"/>
    </w:rPr>
  </w:style>
  <w:style w:type="character" w:customStyle="1" w:styleId="127">
    <w:name w:val="文本正文 Char Char"/>
    <w:locked/>
    <w:uiPriority w:val="0"/>
    <w:rPr>
      <w:sz w:val="24"/>
      <w:lang w:bidi="ar-SA"/>
    </w:rPr>
  </w:style>
  <w:style w:type="character" w:customStyle="1" w:styleId="128">
    <w:name w:val="公文正文 Char"/>
    <w:uiPriority w:val="0"/>
    <w:rPr>
      <w:rFonts w:ascii="仿宋_GB2312" w:eastAsia="仿宋_GB2312"/>
      <w:kern w:val="2"/>
      <w:sz w:val="24"/>
      <w:szCs w:val="24"/>
      <w:lang w:val="en-US" w:eastAsia="zh-CN" w:bidi="ar-SA"/>
    </w:rPr>
  </w:style>
  <w:style w:type="character" w:customStyle="1" w:styleId="129">
    <w:name w:val="Header Char"/>
    <w:semiHidden/>
    <w:locked/>
    <w:uiPriority w:val="0"/>
    <w:rPr>
      <w:rFonts w:eastAsia="宋体"/>
      <w:kern w:val="2"/>
      <w:sz w:val="18"/>
      <w:szCs w:val="18"/>
      <w:lang w:val="en-US" w:eastAsia="zh-CN" w:bidi="ar-SA"/>
    </w:rPr>
  </w:style>
  <w:style w:type="character" w:customStyle="1" w:styleId="130">
    <w:name w:val="样式2 Char"/>
    <w:uiPriority w:val="0"/>
    <w:rPr>
      <w:rFonts w:ascii="仿宋_GB2312" w:hAnsi="仿宋" w:eastAsia="仿宋_GB2312" w:cs="仿宋_GB2312"/>
      <w:b/>
      <w:bCs/>
      <w:sz w:val="32"/>
      <w:szCs w:val="30"/>
      <w:lang w:val="zh-CN"/>
    </w:rPr>
  </w:style>
  <w:style w:type="character" w:customStyle="1" w:styleId="131">
    <w:name w:val="首行缩进 Char"/>
    <w:uiPriority w:val="0"/>
    <w:rPr>
      <w:rFonts w:ascii="宋体" w:eastAsia="宋体"/>
      <w:kern w:val="2"/>
      <w:sz w:val="24"/>
      <w:lang w:val="en-US" w:eastAsia="zh-CN" w:bidi="ar-SA"/>
    </w:rPr>
  </w:style>
  <w:style w:type="character" w:customStyle="1" w:styleId="132">
    <w:name w:val="样式3 Char"/>
    <w:basedOn w:val="130"/>
    <w:uiPriority w:val="0"/>
  </w:style>
  <w:style w:type="character" w:customStyle="1" w:styleId="133">
    <w:name w:val="正文 编号 Char"/>
    <w:uiPriority w:val="0"/>
    <w:rPr>
      <w:rFonts w:ascii="仿宋_GB2312" w:hAnsi="仿宋_GB2312" w:eastAsia="仿宋_GB2312"/>
      <w:kern w:val="2"/>
      <w:sz w:val="24"/>
      <w:lang w:bidi="ar-SA"/>
    </w:rPr>
  </w:style>
  <w:style w:type="character" w:customStyle="1" w:styleId="134">
    <w:name w:val="font21"/>
    <w:basedOn w:val="64"/>
    <w:uiPriority w:val="0"/>
    <w:rPr>
      <w:rFonts w:hint="eastAsia" w:ascii="宋体" w:hAnsi="宋体" w:eastAsia="宋体"/>
      <w:kern w:val="2"/>
      <w:sz w:val="28"/>
      <w:szCs w:val="28"/>
      <w:lang w:val="en-US" w:eastAsia="zh-CN" w:bidi="ar-SA"/>
    </w:rPr>
  </w:style>
  <w:style w:type="character" w:customStyle="1" w:styleId="135">
    <w:name w:val="bod1"/>
    <w:uiPriority w:val="0"/>
    <w:rPr>
      <w:rFonts w:ascii="MS Sans Serif" w:hAnsi="MS Sans Serif" w:eastAsia="微软雅黑" w:cs="Times New Roman"/>
      <w:b/>
      <w:color w:val="000000"/>
      <w:kern w:val="2"/>
      <w:sz w:val="20"/>
      <w:szCs w:val="20"/>
      <w:lang w:val="en-US" w:eastAsia="zh-CN" w:bidi="ar-SA"/>
    </w:rPr>
  </w:style>
  <w:style w:type="character" w:customStyle="1" w:styleId="136">
    <w:name w:val="h3 Char"/>
    <w:aliases w:val="H3 Char,sect1.2.3 Char,Bold Head Char,bh Char,l3 Char,CT Char,Level 3 Head Char,Heading 3 - old Char,level_3 Char,PIM 3 Char,prop3 Char,3 Char,3heading Char,heading 3 Char,Heading 31 Char,1.1.1 Heading 3 Char,heading 3TOC Char,3rd level Char"/>
    <w:uiPriority w:val="0"/>
    <w:rPr>
      <w:rFonts w:eastAsia="宋体"/>
      <w:b/>
      <w:kern w:val="2"/>
      <w:sz w:val="32"/>
      <w:lang w:val="en-US" w:eastAsia="zh-CN" w:bidi="ar-SA"/>
    </w:rPr>
  </w:style>
  <w:style w:type="character" w:customStyle="1" w:styleId="137">
    <w:name w:val="javascript"/>
    <w:uiPriority w:val="0"/>
  </w:style>
  <w:style w:type="character" w:customStyle="1" w:styleId="138">
    <w:name w:val="Char Char6"/>
    <w:uiPriority w:val="0"/>
    <w:rPr>
      <w:rFonts w:eastAsia="宋体"/>
      <w:kern w:val="2"/>
      <w:sz w:val="21"/>
      <w:szCs w:val="24"/>
      <w:lang w:val="en-US" w:eastAsia="zh-CN" w:bidi="ar-SA"/>
    </w:rPr>
  </w:style>
  <w:style w:type="character" w:customStyle="1" w:styleId="139">
    <w:name w:val="Footer-Even Char"/>
    <w:aliases w:val="FtrF Char Char"/>
    <w:uiPriority w:val="0"/>
    <w:rPr>
      <w:rFonts w:eastAsia="宋体"/>
      <w:kern w:val="2"/>
      <w:sz w:val="18"/>
      <w:lang w:val="en-US" w:eastAsia="zh-CN" w:bidi="ar-SA"/>
    </w:rPr>
  </w:style>
  <w:style w:type="character" w:customStyle="1" w:styleId="140">
    <w:name w:val="zbggmain style9"/>
    <w:uiPriority w:val="0"/>
  </w:style>
  <w:style w:type="character" w:customStyle="1" w:styleId="141">
    <w:name w:val="Document Map Char"/>
    <w:semiHidden/>
    <w:locked/>
    <w:uiPriority w:val="0"/>
    <w:rPr>
      <w:rFonts w:eastAsia="宋体"/>
      <w:kern w:val="2"/>
      <w:sz w:val="21"/>
      <w:szCs w:val="24"/>
      <w:lang w:val="en-US" w:eastAsia="zh-CN" w:bidi="ar-SA"/>
    </w:rPr>
  </w:style>
  <w:style w:type="character" w:customStyle="1" w:styleId="142">
    <w:name w:val="hui3"/>
    <w:uiPriority w:val="0"/>
    <w:rPr>
      <w:color w:val="333333"/>
    </w:rPr>
  </w:style>
  <w:style w:type="character" w:customStyle="1" w:styleId="143">
    <w:name w:val="表格 Char Char"/>
    <w:uiPriority w:val="0"/>
    <w:rPr>
      <w:rFonts w:ascii="宋体" w:hAnsi="宋体" w:eastAsia="宋体"/>
      <w:lang w:bidi="ar-SA"/>
    </w:rPr>
  </w:style>
  <w:style w:type="character" w:customStyle="1" w:styleId="144">
    <w:name w:val="No Spacing Char"/>
    <w:link w:val="145"/>
    <w:uiPriority w:val="1"/>
    <w:rPr>
      <w:sz w:val="22"/>
      <w:szCs w:val="22"/>
      <w:lang w:val="en-US" w:eastAsia="zh-CN" w:bidi="ar-SA"/>
    </w:rPr>
  </w:style>
  <w:style w:type="paragraph" w:customStyle="1" w:styleId="145">
    <w:name w:val="无间隔1"/>
    <w:link w:val="144"/>
    <w:qFormat/>
    <w:uiPriority w:val="1"/>
    <w:rPr>
      <w:sz w:val="22"/>
      <w:szCs w:val="22"/>
      <w:lang w:val="en-US" w:eastAsia="zh-CN" w:bidi="ar-SA"/>
    </w:rPr>
  </w:style>
  <w:style w:type="character" w:customStyle="1" w:styleId="146">
    <w:name w:val="正文1 Char1"/>
    <w:uiPriority w:val="0"/>
    <w:rPr>
      <w:rFonts w:ascii="仿宋_GB2312" w:hAnsi="Courier New" w:eastAsia="仿宋_GB2312"/>
      <w:kern w:val="28"/>
      <w:sz w:val="24"/>
      <w:szCs w:val="24"/>
      <w:lang/>
    </w:rPr>
  </w:style>
  <w:style w:type="character" w:customStyle="1" w:styleId="147">
    <w:name w:val=" Char Char7"/>
    <w:semiHidden/>
    <w:uiPriority w:val="0"/>
    <w:rPr>
      <w:rFonts w:eastAsia="宋体"/>
      <w:kern w:val="2"/>
      <w:sz w:val="21"/>
      <w:szCs w:val="24"/>
      <w:lang w:val="en-US" w:eastAsia="zh-CN" w:bidi="ar-SA"/>
    </w:rPr>
  </w:style>
  <w:style w:type="character" w:customStyle="1" w:styleId="148">
    <w:name w:val="gf正文1 Char"/>
    <w:uiPriority w:val="0"/>
    <w:rPr>
      <w:rFonts w:ascii="宋体" w:hAnsi="宋体" w:eastAsia="宋体" w:cs="宋体"/>
      <w:kern w:val="2"/>
      <w:sz w:val="24"/>
      <w:szCs w:val="24"/>
      <w:lang w:val="en-US" w:eastAsia="zh-CN" w:bidi="ar-SA"/>
    </w:rPr>
  </w:style>
  <w:style w:type="character" w:customStyle="1" w:styleId="149">
    <w:name w:val="冯 Char"/>
    <w:link w:val="150"/>
    <w:uiPriority w:val="0"/>
    <w:rPr>
      <w:rFonts w:ascii="宋体" w:hAnsi="宋体"/>
      <w:color w:val="000000"/>
      <w:sz w:val="24"/>
      <w:szCs w:val="24"/>
    </w:rPr>
  </w:style>
  <w:style w:type="paragraph" w:customStyle="1" w:styleId="150">
    <w:name w:val="冯"/>
    <w:basedOn w:val="1"/>
    <w:link w:val="149"/>
    <w:qFormat/>
    <w:uiPriority w:val="0"/>
    <w:pPr>
      <w:widowControl/>
      <w:adjustRightInd/>
      <w:spacing w:line="360" w:lineRule="auto"/>
      <w:ind w:firstLine="480" w:firstLineChars="200"/>
    </w:pPr>
    <w:rPr>
      <w:rFonts w:ascii="宋体" w:hAnsi="宋体"/>
      <w:color w:val="000000"/>
      <w:kern w:val="0"/>
      <w:sz w:val="24"/>
    </w:rPr>
  </w:style>
  <w:style w:type="character" w:customStyle="1" w:styleId="151">
    <w:name w:val="标题 2 Char Char"/>
    <w:aliases w:val="H2 Char Char,h2 Char Char,2nd level Char Char,2 Char Char,Header 2 Char Char,l2 Char Char,Titre2 Char Char,Head 2 Char Char Char Char Char Char Char,Head 2 Char Char Char Char Char Char Char1"/>
    <w:uiPriority w:val="0"/>
    <w:rPr>
      <w:rFonts w:ascii="楷体_GB2312" w:hAnsi="Arial" w:eastAsia="楷体_GB2312"/>
      <w:b/>
      <w:bCs/>
      <w:kern w:val="2"/>
      <w:sz w:val="24"/>
      <w:szCs w:val="32"/>
      <w:lang w:val="en-US" w:eastAsia="zh-CN" w:bidi="ar-SA"/>
    </w:rPr>
  </w:style>
  <w:style w:type="character" w:customStyle="1" w:styleId="152">
    <w:name w:val="Table Text Char1"/>
    <w:uiPriority w:val="0"/>
    <w:rPr>
      <w:rFonts w:eastAsia="宋体"/>
      <w:sz w:val="24"/>
      <w:szCs w:val="24"/>
      <w:lang w:val="en-US" w:eastAsia="zh-CN" w:bidi="ar-SA"/>
    </w:rPr>
  </w:style>
  <w:style w:type="character" w:customStyle="1" w:styleId="153">
    <w:name w:val="font12gray1"/>
    <w:uiPriority w:val="0"/>
    <w:rPr>
      <w:rFonts w:ascii="仿宋_GB2312" w:eastAsia="微软雅黑"/>
      <w:b/>
      <w:spacing w:val="300"/>
      <w:kern w:val="2"/>
      <w:sz w:val="18"/>
      <w:szCs w:val="18"/>
      <w:lang w:val="en-US" w:eastAsia="zh-CN" w:bidi="ar-SA"/>
    </w:rPr>
  </w:style>
  <w:style w:type="character" w:customStyle="1" w:styleId="154">
    <w:name w:val="Used by Word for text of Help footnotes Char Char"/>
    <w:semiHidden/>
    <w:uiPriority w:val="0"/>
    <w:rPr>
      <w:rFonts w:ascii="Times New Roman" w:hAnsi="Times New Roman" w:eastAsia="宋体" w:cs="Times New Roman"/>
      <w:sz w:val="20"/>
      <w:szCs w:val="20"/>
    </w:rPr>
  </w:style>
  <w:style w:type="character" w:customStyle="1" w:styleId="155">
    <w:name w:val="FA正文 Char Char"/>
    <w:uiPriority w:val="0"/>
    <w:rPr>
      <w:rFonts w:hAnsi="宋体"/>
      <w:kern w:val="2"/>
      <w:sz w:val="24"/>
      <w:lang w:bidi="ar-SA"/>
    </w:rPr>
  </w:style>
  <w:style w:type="character" w:customStyle="1" w:styleId="156">
    <w:name w:val="content"/>
    <w:uiPriority w:val="0"/>
  </w:style>
  <w:style w:type="character" w:customStyle="1" w:styleId="157">
    <w:name w:val="标题 4 Char1"/>
    <w:semiHidden/>
    <w:uiPriority w:val="9"/>
    <w:rPr>
      <w:rFonts w:ascii="Cambria" w:hAnsi="Cambria" w:eastAsia="宋体" w:cs="Times New Roman"/>
      <w:b/>
      <w:bCs/>
      <w:kern w:val="2"/>
      <w:sz w:val="28"/>
      <w:szCs w:val="28"/>
    </w:rPr>
  </w:style>
  <w:style w:type="character" w:customStyle="1" w:styleId="158">
    <w:name w:val="solutionfonts"/>
    <w:uiPriority w:val="0"/>
  </w:style>
  <w:style w:type="character" w:customStyle="1" w:styleId="159">
    <w:name w:val="pubtime"/>
    <w:basedOn w:val="64"/>
    <w:uiPriority w:val="0"/>
    <w:rPr>
      <w:color w:val="000000"/>
      <w:sz w:val="14"/>
      <w:szCs w:val="14"/>
    </w:rPr>
  </w:style>
  <w:style w:type="character" w:customStyle="1" w:styleId="160">
    <w:name w:val="链接"/>
    <w:uiPriority w:val="0"/>
    <w:rPr>
      <w:color w:val="0000FF"/>
      <w:sz w:val="21"/>
      <w:szCs w:val="21"/>
      <w:u w:val="single"/>
    </w:rPr>
  </w:style>
  <w:style w:type="character" w:customStyle="1" w:styleId="161">
    <w:name w:val="正文文本缩进 Char"/>
    <w:uiPriority w:val="0"/>
    <w:rPr>
      <w:rFonts w:ascii="宋体" w:hAnsi="宋体"/>
      <w:kern w:val="2"/>
      <w:sz w:val="24"/>
      <w:szCs w:val="24"/>
    </w:rPr>
  </w:style>
  <w:style w:type="character" w:customStyle="1" w:styleId="162">
    <w:name w:val="large1"/>
    <w:uiPriority w:val="0"/>
    <w:rPr>
      <w:rFonts w:hint="eastAsia" w:ascii="宋体" w:hAnsi="宋体" w:eastAsia="宋体"/>
      <w:sz w:val="21"/>
      <w:szCs w:val="21"/>
    </w:rPr>
  </w:style>
  <w:style w:type="character" w:customStyle="1" w:styleId="163">
    <w:name w:val="标题 Char"/>
    <w:uiPriority w:val="0"/>
    <w:rPr>
      <w:rFonts w:eastAsia="宋体"/>
      <w:b/>
      <w:sz w:val="24"/>
      <w:lang w:val="en-GB" w:eastAsia="zh-CN" w:bidi="ar-SA"/>
    </w:rPr>
  </w:style>
  <w:style w:type="character" w:customStyle="1" w:styleId="164">
    <w:name w:val="tw4winJump"/>
    <w:uiPriority w:val="0"/>
    <w:rPr>
      <w:rFonts w:ascii="Courier New" w:hAnsi="Courier New" w:cs="Courier New"/>
      <w:color w:val="008080"/>
      <w:lang/>
    </w:rPr>
  </w:style>
  <w:style w:type="character" w:customStyle="1" w:styleId="165">
    <w:name w:val="纯文本 Char1"/>
    <w:link w:val="166"/>
    <w:qFormat/>
    <w:uiPriority w:val="0"/>
    <w:rPr>
      <w:rFonts w:ascii="宋体" w:hAnsi="Courier New"/>
    </w:rPr>
  </w:style>
  <w:style w:type="paragraph" w:customStyle="1" w:styleId="166">
    <w:name w:val="纯文本1"/>
    <w:basedOn w:val="1"/>
    <w:link w:val="165"/>
    <w:uiPriority w:val="0"/>
    <w:pPr>
      <w:adjustRightInd/>
    </w:pPr>
    <w:rPr>
      <w:rFonts w:ascii="宋体" w:hAnsi="Courier New"/>
      <w:kern w:val="0"/>
      <w:sz w:val="20"/>
      <w:szCs w:val="20"/>
    </w:rPr>
  </w:style>
  <w:style w:type="character" w:customStyle="1" w:styleId="167">
    <w:name w:val="标书正文格式 Char"/>
    <w:uiPriority w:val="0"/>
    <w:rPr>
      <w:rFonts w:eastAsia="楷体_GB2312"/>
      <w:kern w:val="2"/>
      <w:sz w:val="24"/>
      <w:szCs w:val="24"/>
      <w:lang w:bidi="ar-SA"/>
    </w:rPr>
  </w:style>
  <w:style w:type="character" w:customStyle="1" w:styleId="168">
    <w:name w:val="tw4winPopup"/>
    <w:uiPriority w:val="0"/>
    <w:rPr>
      <w:rFonts w:ascii="Courier New" w:hAnsi="Courier New" w:cs="Courier New"/>
      <w:color w:val="008000"/>
      <w:lang/>
    </w:rPr>
  </w:style>
  <w:style w:type="character" w:customStyle="1" w:styleId="169">
    <w:name w:val="style91"/>
    <w:uiPriority w:val="0"/>
    <w:rPr>
      <w:color w:val="333333"/>
    </w:rPr>
  </w:style>
  <w:style w:type="character" w:customStyle="1" w:styleId="170">
    <w:name w:val="tw4winError"/>
    <w:uiPriority w:val="0"/>
    <w:rPr>
      <w:rFonts w:ascii="Courier New" w:hAnsi="Courier New" w:cs="Courier New"/>
      <w:color w:val="00FF00"/>
      <w:sz w:val="40"/>
      <w:szCs w:val="40"/>
    </w:rPr>
  </w:style>
  <w:style w:type="character" w:customStyle="1" w:styleId="171">
    <w:name w:val="tw4winExternal"/>
    <w:uiPriority w:val="0"/>
    <w:rPr>
      <w:rFonts w:ascii="Courier New" w:hAnsi="Courier New" w:cs="Courier New"/>
      <w:color w:val="808080"/>
      <w:lang/>
    </w:rPr>
  </w:style>
  <w:style w:type="character" w:customStyle="1" w:styleId="172">
    <w:name w:val="样式 宋体"/>
    <w:uiPriority w:val="0"/>
    <w:rPr>
      <w:rFonts w:ascii="宋体" w:hAnsi="宋体"/>
      <w:sz w:val="24"/>
    </w:rPr>
  </w:style>
  <w:style w:type="character" w:customStyle="1" w:styleId="173">
    <w:name w:val="Item List Char"/>
    <w:link w:val="174"/>
    <w:uiPriority w:val="0"/>
    <w:rPr>
      <w:rFonts w:ascii="Arial"/>
      <w:bCs/>
      <w:sz w:val="21"/>
      <w:szCs w:val="21"/>
      <w:lang w:val="en-US" w:eastAsia="zh-CN" w:bidi="ar-SA"/>
    </w:rPr>
  </w:style>
  <w:style w:type="paragraph" w:customStyle="1" w:styleId="174">
    <w:name w:val="Item List"/>
    <w:link w:val="173"/>
    <w:uiPriority w:val="0"/>
    <w:pPr>
      <w:spacing w:after="156" w:line="360" w:lineRule="auto"/>
      <w:ind w:firstLine="424" w:firstLineChars="202"/>
      <w:jc w:val="both"/>
    </w:pPr>
    <w:rPr>
      <w:rFonts w:ascii="Arial"/>
      <w:bCs/>
      <w:sz w:val="21"/>
      <w:szCs w:val="21"/>
      <w:lang w:val="en-US" w:eastAsia="zh-CN" w:bidi="ar-SA"/>
    </w:rPr>
  </w:style>
  <w:style w:type="character" w:customStyle="1" w:styleId="175">
    <w:name w:val="正文2 Char"/>
    <w:uiPriority w:val="0"/>
    <w:rPr>
      <w:rFonts w:eastAsia="宋体"/>
      <w:kern w:val="2"/>
      <w:sz w:val="24"/>
      <w:lang w:val="en-US" w:eastAsia="zh-CN" w:bidi="ar-SA"/>
    </w:rPr>
  </w:style>
  <w:style w:type="character" w:customStyle="1" w:styleId="176">
    <w:name w:val="tw4winInternal"/>
    <w:uiPriority w:val="0"/>
    <w:rPr>
      <w:rFonts w:ascii="Courier New" w:hAnsi="Courier New" w:cs="Courier New"/>
      <w:color w:val="FF0000"/>
      <w:lang/>
    </w:rPr>
  </w:style>
  <w:style w:type="character" w:customStyle="1" w:styleId="177">
    <w:name w:val="样式7 Char"/>
    <w:uiPriority w:val="0"/>
    <w:rPr>
      <w:rFonts w:ascii="仿宋_GB2312" w:hAnsi="仿宋" w:eastAsia="仿宋_GB2312"/>
      <w:b/>
      <w:kern w:val="2"/>
      <w:sz w:val="24"/>
      <w:szCs w:val="24"/>
    </w:rPr>
  </w:style>
  <w:style w:type="character" w:customStyle="1" w:styleId="178">
    <w:name w:val="Normal Indent Char Char"/>
    <w:aliases w:val="Normal Indent Char1 Char Char,Normal Indent Char Char Char Char,Normal Indent Char1 Char Char Char Char,Normal Indent Char Char Char Char Char Char,Normal Indent Char1 Char Char Char Char Char Char,特点 Char Char Char"/>
    <w:uiPriority w:val="0"/>
    <w:rPr>
      <w:rFonts w:eastAsia="宋体"/>
      <w:kern w:val="2"/>
      <w:sz w:val="21"/>
      <w:lang w:val="en-US" w:eastAsia="zh-CN" w:bidi="ar-SA"/>
    </w:rPr>
  </w:style>
  <w:style w:type="character" w:customStyle="1" w:styleId="179">
    <w:name w:val="mdeck"/>
    <w:uiPriority w:val="0"/>
    <w:rPr>
      <w:rFonts w:ascii="仿宋_GB2312" w:eastAsia="微软雅黑"/>
      <w:b/>
      <w:kern w:val="2"/>
      <w:sz w:val="32"/>
      <w:szCs w:val="32"/>
      <w:lang w:val="en-US" w:eastAsia="zh-CN" w:bidi="ar-SA"/>
    </w:rPr>
  </w:style>
  <w:style w:type="character" w:customStyle="1" w:styleId="180">
    <w:name w:val="unnamed31"/>
    <w:uiPriority w:val="0"/>
    <w:rPr>
      <w:rFonts w:ascii="Tahoma" w:hAnsi="Tahoma" w:eastAsia="宋体"/>
      <w:b/>
      <w:kern w:val="2"/>
      <w:sz w:val="24"/>
      <w:szCs w:val="32"/>
      <w:u w:val="none"/>
      <w:lang w:val="en-US" w:eastAsia="zh-CN" w:bidi="ar-SA"/>
    </w:rPr>
  </w:style>
  <w:style w:type="character" w:customStyle="1" w:styleId="181">
    <w:name w:val="标书1 Char"/>
    <w:aliases w:val="h1 Char,H1 Char,L1 Char,boc Char,Section Head Char,1st level Char,l1 Char,1 Char,H11 Char,H12 Char,H13 Char,H14 Char,H15 Char,H16 Char,H17 Char,Level 1 Topic Heading Char,L1 Heading 1 Char,h11 Char,1st level1 Char,heading 11 Char,h12 Char"/>
    <w:uiPriority w:val="0"/>
    <w:rPr>
      <w:rFonts w:eastAsia="宋体"/>
      <w:b/>
      <w:bCs/>
      <w:kern w:val="44"/>
      <w:sz w:val="44"/>
      <w:szCs w:val="44"/>
      <w:lang w:val="en-US" w:eastAsia="zh-CN" w:bidi="ar-SA"/>
    </w:rPr>
  </w:style>
  <w:style w:type="character" w:customStyle="1" w:styleId="182">
    <w:name w:val="插图说明 Char"/>
    <w:uiPriority w:val="0"/>
    <w:rPr>
      <w:rFonts w:eastAsia="黑体"/>
      <w:sz w:val="24"/>
      <w:lang w:val="en-US" w:eastAsia="zh-CN"/>
    </w:rPr>
  </w:style>
  <w:style w:type="character" w:customStyle="1" w:styleId="183">
    <w:name w:val="Body Text(ch) Char Char"/>
    <w:uiPriority w:val="0"/>
    <w:rPr>
      <w:rFonts w:ascii="宋体"/>
      <w:kern w:val="2"/>
      <w:sz w:val="24"/>
      <w:szCs w:val="21"/>
      <w:lang w:val="zh-CN"/>
    </w:rPr>
  </w:style>
  <w:style w:type="character" w:customStyle="1" w:styleId="184">
    <w:name w:val="px14"/>
    <w:uiPriority w:val="0"/>
    <w:rPr>
      <w:rFonts w:ascii="仿宋_GB2312" w:eastAsia="微软雅黑" w:cs="Times New Roman"/>
      <w:b/>
      <w:kern w:val="2"/>
      <w:sz w:val="32"/>
      <w:szCs w:val="32"/>
      <w:lang w:val="en-US" w:eastAsia="zh-CN" w:bidi="ar-SA"/>
    </w:rPr>
  </w:style>
  <w:style w:type="character" w:customStyle="1" w:styleId="185">
    <w:name w:val="h3 Char1"/>
    <w:aliases w:val="H3 Char1,sect1.2.3 Char1,Bold Head Char1,bh Char1,l3 Char1,CT Char1,Level 3 Head Char1,Heading 3 - old Char1,level_3 Char1,PIM 3 Char1,prop3 Char1,3 Char1,3heading Char1,heading 3 Char1,Heading 31 Char1,1.1.1 Heading 3 Char1,heading 3TOC Char1"/>
    <w:uiPriority w:val="0"/>
    <w:rPr>
      <w:rFonts w:eastAsia="宋体"/>
      <w:b/>
      <w:bCs/>
      <w:kern w:val="2"/>
      <w:sz w:val="32"/>
      <w:szCs w:val="32"/>
      <w:lang w:bidi="ar-SA"/>
    </w:rPr>
  </w:style>
  <w:style w:type="character" w:customStyle="1" w:styleId="186">
    <w:name w:val="style36"/>
    <w:basedOn w:val="64"/>
    <w:uiPriority w:val="0"/>
  </w:style>
  <w:style w:type="character" w:customStyle="1" w:styleId="187">
    <w:name w:val="ca-131"/>
    <w:uiPriority w:val="0"/>
    <w:rPr>
      <w:rFonts w:hint="eastAsia" w:ascii="仿宋_GB2312" w:eastAsia="仿宋_GB2312"/>
      <w:b/>
      <w:bCs/>
      <w:color w:val="000000"/>
      <w:spacing w:val="-20"/>
      <w:sz w:val="24"/>
      <w:szCs w:val="24"/>
    </w:rPr>
  </w:style>
  <w:style w:type="character" w:customStyle="1" w:styleId="188">
    <w:name w:val="标题4-dyf Char"/>
    <w:link w:val="189"/>
    <w:uiPriority w:val="0"/>
    <w:rPr>
      <w:rFonts w:ascii="Cambria" w:hAnsi="Cambria"/>
      <w:b/>
      <w:bCs/>
      <w:color w:val="000000"/>
      <w:kern w:val="2"/>
      <w:sz w:val="21"/>
      <w:szCs w:val="21"/>
    </w:rPr>
  </w:style>
  <w:style w:type="paragraph" w:customStyle="1" w:styleId="189">
    <w:name w:val="标题4-dyf"/>
    <w:basedOn w:val="6"/>
    <w:link w:val="188"/>
    <w:qFormat/>
    <w:uiPriority w:val="0"/>
    <w:pPr>
      <w:numPr>
        <w:ilvl w:val="3"/>
        <w:numId w:val="0"/>
      </w:num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190">
    <w:name w:val="Footer-Even Char1"/>
    <w:aliases w:val="FtrF Char Char1"/>
    <w:uiPriority w:val="0"/>
    <w:rPr>
      <w:rFonts w:eastAsia="宋体"/>
      <w:kern w:val="2"/>
      <w:sz w:val="18"/>
      <w:szCs w:val="18"/>
      <w:lang w:val="en-US" w:eastAsia="zh-CN" w:bidi="ar-SA"/>
    </w:rPr>
  </w:style>
  <w:style w:type="character" w:customStyle="1" w:styleId="191">
    <w:name w:val=" Char Char5"/>
    <w:uiPriority w:val="0"/>
    <w:rPr>
      <w:rFonts w:ascii="宋体" w:hAnsi="Courier New" w:eastAsia="宋体"/>
      <w:kern w:val="2"/>
      <w:sz w:val="21"/>
      <w:lang w:val="en-US" w:eastAsia="zh-CN"/>
    </w:rPr>
  </w:style>
  <w:style w:type="character" w:customStyle="1" w:styleId="192">
    <w:name w:val="Bold"/>
    <w:aliases w:val="b"/>
    <w:uiPriority w:val="0"/>
    <w:rPr>
      <w:rFonts w:ascii="Arial" w:hAnsi="Arial" w:eastAsia="黑体" w:cs="Times New Roman"/>
      <w:b/>
      <w:kern w:val="2"/>
      <w:sz w:val="32"/>
      <w:szCs w:val="32"/>
      <w:lang w:val="en-US" w:eastAsia="zh-CN" w:bidi="ar-SA"/>
    </w:rPr>
  </w:style>
  <w:style w:type="character" w:customStyle="1" w:styleId="193">
    <w:name w:val="Char Char3"/>
    <w:semiHidden/>
    <w:uiPriority w:val="0"/>
    <w:rPr>
      <w:rFonts w:ascii="Times New Roman" w:hAnsi="Times New Roman" w:eastAsia="宋体" w:cs="Times New Roman"/>
      <w:b/>
      <w:kern w:val="2"/>
      <w:sz w:val="32"/>
      <w:szCs w:val="24"/>
      <w:lang w:val="en-US" w:eastAsia="zh-CN" w:bidi="ar-SA"/>
    </w:rPr>
  </w:style>
  <w:style w:type="character" w:customStyle="1" w:styleId="194">
    <w:name w:val="页眉 Char"/>
    <w:aliases w:val="页眉2 Char,Ò³Ã¼ Char,header odd Char,居中页眉 Char"/>
    <w:uiPriority w:val="99"/>
    <w:rPr>
      <w:rFonts w:eastAsia="仿宋_GB2312"/>
      <w:kern w:val="2"/>
      <w:sz w:val="18"/>
      <w:lang w:val="en-US" w:eastAsia="zh-CN"/>
    </w:rPr>
  </w:style>
  <w:style w:type="character" w:customStyle="1" w:styleId="195">
    <w:name w:val="正文2 Char Char"/>
    <w:link w:val="196"/>
    <w:qFormat/>
    <w:uiPriority w:val="0"/>
    <w:rPr>
      <w:rFonts w:eastAsia="宋体"/>
      <w:kern w:val="2"/>
      <w:sz w:val="24"/>
      <w:lang w:val="en-US" w:eastAsia="zh-CN" w:bidi="ar-SA"/>
    </w:rPr>
  </w:style>
  <w:style w:type="paragraph" w:customStyle="1" w:styleId="196">
    <w:name w:val="正文2"/>
    <w:basedOn w:val="1"/>
    <w:link w:val="195"/>
    <w:uiPriority w:val="0"/>
    <w:pPr>
      <w:spacing w:before="156" w:beforeLines="0" w:line="360" w:lineRule="auto"/>
      <w:ind w:firstLine="510" w:firstLineChars="200"/>
    </w:pPr>
    <w:rPr>
      <w:sz w:val="24"/>
      <w:szCs w:val="20"/>
    </w:rPr>
  </w:style>
  <w:style w:type="character" w:customStyle="1" w:styleId="197">
    <w:name w:val="此正文 Char"/>
    <w:link w:val="198"/>
    <w:uiPriority w:val="0"/>
    <w:rPr>
      <w:kern w:val="2"/>
      <w:sz w:val="24"/>
      <w:szCs w:val="24"/>
    </w:rPr>
  </w:style>
  <w:style w:type="paragraph" w:customStyle="1" w:styleId="198">
    <w:name w:val="此正文"/>
    <w:basedOn w:val="1"/>
    <w:link w:val="197"/>
    <w:uiPriority w:val="0"/>
    <w:pPr>
      <w:adjustRightInd/>
      <w:spacing w:line="360" w:lineRule="auto"/>
      <w:ind w:firstLine="200" w:firstLineChars="200"/>
    </w:pPr>
    <w:rPr>
      <w:sz w:val="24"/>
    </w:rPr>
  </w:style>
  <w:style w:type="character" w:customStyle="1" w:styleId="199">
    <w:name w:val="正文缩进 字符"/>
    <w:uiPriority w:val="0"/>
    <w:rPr>
      <w:rFonts w:ascii="宋体" w:eastAsia="宋体"/>
      <w:snapToGrid/>
      <w:color w:val="000000"/>
      <w:kern w:val="28"/>
      <w:sz w:val="28"/>
      <w:lang w:val="en-US" w:eastAsia="zh-CN" w:bidi="ar-SA"/>
    </w:rPr>
  </w:style>
  <w:style w:type="character" w:customStyle="1" w:styleId="200">
    <w:name w:val="样式8 Char"/>
    <w:uiPriority w:val="0"/>
    <w:rPr>
      <w:rFonts w:ascii="仿宋_GB2312" w:hAnsi="宋体" w:eastAsia="仿宋_GB2312"/>
      <w:b/>
      <w:bCs/>
      <w:kern w:val="2"/>
      <w:sz w:val="24"/>
      <w:szCs w:val="24"/>
    </w:rPr>
  </w:style>
  <w:style w:type="character" w:customStyle="1" w:styleId="201">
    <w:name w:val="tw4winMark"/>
    <w:uiPriority w:val="0"/>
    <w:rPr>
      <w:rFonts w:ascii="Courier New" w:hAnsi="Courier New" w:cs="Courier New"/>
      <w:vanish/>
      <w:color w:val="800080"/>
      <w:sz w:val="24"/>
      <w:szCs w:val="24"/>
      <w:vertAlign w:val="subscript"/>
    </w:rPr>
  </w:style>
  <w:style w:type="character" w:customStyle="1" w:styleId="202">
    <w:name w:val="样式4 Char"/>
    <w:uiPriority w:val="0"/>
    <w:rPr>
      <w:rFonts w:ascii="仿宋_GB2312" w:hAnsi="仿宋" w:eastAsia="仿宋_GB2312"/>
      <w:b/>
      <w:kern w:val="2"/>
      <w:sz w:val="32"/>
      <w:szCs w:val="32"/>
      <w:lang w:bidi="ar-SA"/>
    </w:rPr>
  </w:style>
  <w:style w:type="character" w:customStyle="1" w:styleId="203">
    <w:name w:val="Ò³Ã¼ Char Char"/>
    <w:uiPriority w:val="0"/>
    <w:rPr>
      <w:rFonts w:eastAsia="宋体"/>
      <w:kern w:val="2"/>
      <w:sz w:val="18"/>
      <w:lang w:val="en-US" w:eastAsia="zh-CN" w:bidi="ar-SA"/>
    </w:rPr>
  </w:style>
  <w:style w:type="character" w:customStyle="1" w:styleId="204">
    <w:name w:val="列出段落 Char"/>
    <w:aliases w:val="List Char,List1 Char"/>
    <w:qFormat/>
    <w:uiPriority w:val="34"/>
    <w:rPr>
      <w:rFonts w:eastAsia="楷体_GB2312" w:cs="Lucida Sans"/>
      <w:kern w:val="2"/>
      <w:sz w:val="24"/>
      <w:szCs w:val="24"/>
      <w:lang w:val="en-US" w:eastAsia="zh-CN" w:bidi="ar-SA"/>
    </w:rPr>
  </w:style>
  <w:style w:type="character" w:customStyle="1" w:styleId="205">
    <w:name w:val="f141"/>
    <w:uiPriority w:val="0"/>
    <w:rPr>
      <w:rFonts w:ascii="Tahoma" w:hAnsi="Tahoma" w:eastAsia="宋体"/>
      <w:b/>
      <w:kern w:val="2"/>
      <w:sz w:val="21"/>
      <w:szCs w:val="21"/>
      <w:lang w:val="en-US" w:eastAsia="zh-CN" w:bidi="ar-SA"/>
    </w:rPr>
  </w:style>
  <w:style w:type="character" w:customStyle="1" w:styleId="206">
    <w:name w:val="标书表格字体格式 Char"/>
    <w:uiPriority w:val="0"/>
    <w:rPr>
      <w:kern w:val="2"/>
      <w:sz w:val="21"/>
      <w:szCs w:val="24"/>
      <w:lang w:bidi="ar-SA"/>
    </w:rPr>
  </w:style>
  <w:style w:type="character" w:customStyle="1" w:styleId="207">
    <w:name w:val="dectext1"/>
    <w:uiPriority w:val="0"/>
    <w:rPr>
      <w:rFonts w:ascii="宋体" w:hAnsi="宋体" w:eastAsia="宋体"/>
      <w:color w:val="333333"/>
      <w:sz w:val="21"/>
      <w:szCs w:val="21"/>
      <w:u w:val="none"/>
    </w:rPr>
  </w:style>
  <w:style w:type="character" w:customStyle="1" w:styleId="208">
    <w:name w:val="纯文本 Char Char Char"/>
    <w:aliases w:val="纯文本 Char Char2,普通文字 Char Char Char Char Char,正 文 1 Char,普通文字 Char Char Char Char Char1,纯文本 Char Char Char Char1,普通文字 Char Char Char Char Char Char1,普通文字 Char2,纯文本 Char Char Char1,普通文字 Char Char Char Char Char Char,普通文字1 Char1,普通文字7 Ch"/>
    <w:uiPriority w:val="0"/>
    <w:rPr>
      <w:rFonts w:ascii="宋体" w:hAnsi="Courier New" w:eastAsia="宋体"/>
      <w:kern w:val="2"/>
      <w:sz w:val="21"/>
      <w:lang w:val="en-US" w:eastAsia="zh-CN" w:bidi="ar-SA"/>
    </w:rPr>
  </w:style>
  <w:style w:type="character" w:customStyle="1" w:styleId="209">
    <w:name w:val="shadow11"/>
    <w:uiPriority w:val="0"/>
    <w:rPr>
      <w:color w:val="000000"/>
      <w:sz w:val="21"/>
    </w:rPr>
  </w:style>
  <w:style w:type="character" w:customStyle="1" w:styleId="210">
    <w:name w:val="Comment Text Char"/>
    <w:semiHidden/>
    <w:locked/>
    <w:uiPriority w:val="0"/>
    <w:rPr>
      <w:rFonts w:ascii="宋体" w:hAnsi="宋体" w:eastAsia="宋体"/>
      <w:kern w:val="2"/>
      <w:sz w:val="24"/>
      <w:lang w:val="en-US" w:eastAsia="zh-CN" w:bidi="ar-SA"/>
    </w:rPr>
  </w:style>
  <w:style w:type="character" w:customStyle="1" w:styleId="211">
    <w:name w:val="正文文本 2 Char"/>
    <w:uiPriority w:val="0"/>
    <w:rPr>
      <w:rFonts w:eastAsia="宋体"/>
      <w:kern w:val="2"/>
      <w:sz w:val="21"/>
      <w:szCs w:val="24"/>
      <w:lang w:val="en-US" w:eastAsia="zh-CN" w:bidi="ar-SA"/>
    </w:rPr>
  </w:style>
  <w:style w:type="character" w:customStyle="1" w:styleId="212">
    <w:name w:val="批注文字 Char"/>
    <w:uiPriority w:val="99"/>
    <w:rPr>
      <w:kern w:val="2"/>
      <w:sz w:val="21"/>
      <w:szCs w:val="24"/>
    </w:rPr>
  </w:style>
  <w:style w:type="character" w:customStyle="1" w:styleId="213">
    <w:name w:val="普通文字 Char1 Char"/>
    <w:uiPriority w:val="0"/>
    <w:rPr>
      <w:rFonts w:ascii="宋体" w:hAnsi="Courier New" w:eastAsia="宋体"/>
      <w:kern w:val="2"/>
      <w:sz w:val="21"/>
      <w:szCs w:val="24"/>
      <w:lang w:val="en-US" w:eastAsia="zh-CN" w:bidi="ar-SA"/>
    </w:rPr>
  </w:style>
  <w:style w:type="character" w:customStyle="1" w:styleId="214">
    <w:name w:val="正文缩进 Char1"/>
    <w:aliases w:val="正文对齐 Char"/>
    <w:uiPriority w:val="0"/>
    <w:rPr>
      <w:rFonts w:ascii="宋体" w:eastAsia="宋体"/>
      <w:snapToGrid w:val="0"/>
      <w:color w:val="000000"/>
      <w:kern w:val="28"/>
      <w:sz w:val="28"/>
      <w:lang w:val="en-US" w:eastAsia="zh-CN" w:bidi="ar-SA"/>
    </w:rPr>
  </w:style>
  <w:style w:type="character" w:customStyle="1" w:styleId="215">
    <w:name w:val="Char Char11"/>
    <w:locked/>
    <w:uiPriority w:val="0"/>
    <w:rPr>
      <w:rFonts w:ascii="宋体" w:hAnsi="宋体" w:eastAsia="宋体"/>
      <w:b/>
      <w:kern w:val="2"/>
      <w:sz w:val="24"/>
      <w:szCs w:val="24"/>
      <w:lang w:val="en-US" w:eastAsia="zh-CN" w:bidi="ar-SA"/>
    </w:rPr>
  </w:style>
  <w:style w:type="character" w:customStyle="1" w:styleId="216">
    <w:name w:val="页脚 Char"/>
    <w:uiPriority w:val="99"/>
    <w:rPr>
      <w:rFonts w:eastAsia="仿宋_GB2312"/>
      <w:kern w:val="2"/>
      <w:sz w:val="18"/>
      <w:lang w:val="en-US" w:eastAsia="zh-CN"/>
    </w:rPr>
  </w:style>
  <w:style w:type="character" w:customStyle="1" w:styleId="217">
    <w:name w:val="正文文本 Char"/>
    <w:aliases w:val="Body Text(ch) Char,bt Char, ändrad Char,EHPT Char,Body Text2 Char,ändrad Char,EHPT1 Char,Body Text21 Char, ändrad1 Char,ändrad1 Char,body text Char,正文文字 Char1 Char,正文文字(ALT+W) Char,?ndrad Char,Indent 1 Char,正文文本 Char + 宋体 Char,黑色 Char"/>
    <w:uiPriority w:val="0"/>
    <w:rPr>
      <w:rFonts w:eastAsia="宋体"/>
      <w:kern w:val="2"/>
      <w:sz w:val="24"/>
      <w:szCs w:val="24"/>
      <w:lang w:val="en-US" w:eastAsia="zh-CN" w:bidi="ar-SA"/>
    </w:rPr>
  </w:style>
  <w:style w:type="character" w:customStyle="1" w:styleId="218">
    <w:name w:val="正文缩进 Char"/>
    <w:uiPriority w:val="0"/>
    <w:rPr>
      <w:rFonts w:eastAsia="宋体"/>
      <w:kern w:val="2"/>
      <w:sz w:val="21"/>
      <w:lang w:val="en-US" w:eastAsia="zh-CN"/>
    </w:rPr>
  </w:style>
  <w:style w:type="character" w:customStyle="1" w:styleId="219">
    <w:name w:val="标题 3 Char1"/>
    <w:aliases w:val="标题 3 Char Char,Bold Head Char Char,bh Char Char,h3 Char Char,H3 Char Char,level_3 Char Char,PIM 3 Char Char,Level 3 Head Char Char,Heading 3 - old Char Char,sect1.2.3 Char Char,sect1.2.31 Char Char,sect1.2.32 Char Char,标题 3 Char,H3 C,h31 Char"/>
    <w:uiPriority w:val="0"/>
    <w:rPr>
      <w:rFonts w:hint="eastAsia" w:ascii="华文中宋" w:hAnsi="华文中宋" w:eastAsia="华文中宋"/>
      <w:b/>
      <w:bCs/>
      <w:kern w:val="2"/>
      <w:sz w:val="32"/>
      <w:szCs w:val="32"/>
      <w:lang w:val="en-US" w:eastAsia="zh-CN" w:bidi="ar-SA"/>
    </w:rPr>
  </w:style>
  <w:style w:type="character" w:customStyle="1" w:styleId="220">
    <w:name w:val="二级标题 Char Char"/>
    <w:uiPriority w:val="0"/>
    <w:rPr>
      <w:rFonts w:ascii="宋体" w:hAnsi="宋体" w:eastAsia="宋体"/>
      <w:b/>
      <w:snapToGrid w:val="0"/>
      <w:kern w:val="2"/>
      <w:sz w:val="24"/>
      <w:szCs w:val="24"/>
      <w:lang w:val="en-US" w:eastAsia="zh-CN" w:bidi="ar-SA"/>
    </w:rPr>
  </w:style>
  <w:style w:type="character" w:customStyle="1" w:styleId="221">
    <w:name w:val="myp11"/>
    <w:uiPriority w:val="0"/>
    <w:rPr>
      <w:rFonts w:ascii="仿宋_GB2312" w:eastAsia="微软雅黑"/>
      <w:b/>
      <w:kern w:val="2"/>
      <w:sz w:val="32"/>
      <w:szCs w:val="32"/>
      <w:lang w:val="en-US" w:eastAsia="zh-CN" w:bidi="ar-SA"/>
    </w:rPr>
  </w:style>
  <w:style w:type="character" w:customStyle="1" w:styleId="222">
    <w:name w:val=" Char Char"/>
    <w:uiPriority w:val="0"/>
    <w:rPr>
      <w:rFonts w:ascii="宋体" w:hAnsi="Courier New" w:eastAsia="宋体"/>
      <w:kern w:val="2"/>
      <w:sz w:val="21"/>
      <w:lang w:val="en-US" w:eastAsia="zh-CN" w:bidi="ar-SA"/>
    </w:rPr>
  </w:style>
  <w:style w:type="character" w:customStyle="1" w:styleId="223">
    <w:name w:val="正文非缩进 Char"/>
    <w:aliases w:val="正文（首行缩进两字） Char Char Char Char1,正文（首行缩进两字） Char Char Char1,正文（首行缩进两字） Char Char1,正文（首行缩进两字） Char Char Char Char Char Char,正文（首行缩进两字） Char Char Char Char Char1,特点 Char1,段1 Char,ALT+Z Char,四号 Char,缩进 Char,标题4 Char,正文缩进 Char Char,正文不缩进 Char"/>
    <w:uiPriority w:val="0"/>
    <w:rPr>
      <w:rFonts w:ascii="宋体" w:eastAsia="宋体"/>
      <w:snapToGrid w:val="0"/>
      <w:color w:val="000000"/>
      <w:kern w:val="28"/>
      <w:sz w:val="28"/>
      <w:lang w:val="en-US" w:eastAsia="zh-CN" w:bidi="ar-SA"/>
    </w:rPr>
  </w:style>
  <w:style w:type="character" w:customStyle="1" w:styleId="224">
    <w:name w:val="正文非缩进 Char3"/>
    <w:aliases w:val="正文（首行缩进两字） Char Char Char Char2,正文（首行缩进两字） Char Char Char2,正文（首行缩进两字） Char Char2,正文（首行缩进两字） Char Char Char Char Char Char1,正文（首行缩进两字） Char Char Char Char Char2,特点 Char3,段1 Char3,ALT+Z Char3,四号 Char3,缩进 Char3,标题4 Char3,正文不缩进 Char3,水上软件 Char"/>
    <w:uiPriority w:val="0"/>
    <w:rPr>
      <w:rFonts w:ascii="宋体" w:eastAsia="宋体"/>
      <w:snapToGrid w:val="0"/>
      <w:color w:val="000000"/>
      <w:kern w:val="28"/>
      <w:sz w:val="28"/>
      <w:lang w:val="en-US" w:eastAsia="zh-CN" w:bidi="ar-SA"/>
    </w:rPr>
  </w:style>
  <w:style w:type="character" w:customStyle="1" w:styleId="225">
    <w:name w:val="标题 1 Char Char"/>
    <w:uiPriority w:val="0"/>
    <w:rPr>
      <w:rFonts w:hint="eastAsia" w:ascii="宋体" w:hAnsi="宋体" w:eastAsia="宋体"/>
      <w:b/>
      <w:spacing w:val="-2"/>
      <w:sz w:val="24"/>
      <w:lang w:val="en-US" w:eastAsia="zh-CN" w:bidi="ar-SA"/>
    </w:rPr>
  </w:style>
  <w:style w:type="character" w:customStyle="1" w:styleId="226">
    <w:name w:val="样式6 Char"/>
    <w:uiPriority w:val="0"/>
    <w:rPr>
      <w:rFonts w:ascii="仿宋_GB2312" w:hAnsi="宋体" w:eastAsia="仿宋_GB2312"/>
      <w:b/>
      <w:bCs/>
      <w:kern w:val="2"/>
      <w:sz w:val="24"/>
      <w:szCs w:val="24"/>
      <w:lang w:val="en-US" w:eastAsia="zh-CN" w:bidi="ar-SA"/>
    </w:rPr>
  </w:style>
  <w:style w:type="character" w:customStyle="1" w:styleId="227">
    <w:name w:val="hei16b1"/>
    <w:uiPriority w:val="0"/>
    <w:rPr>
      <w:rFonts w:hint="default" w:ascii="Arial" w:hAnsi="Arial" w:cs="Arial"/>
      <w:b/>
      <w:bCs/>
      <w:color w:val="000000"/>
      <w:sz w:val="24"/>
      <w:szCs w:val="24"/>
    </w:rPr>
  </w:style>
  <w:style w:type="character" w:customStyle="1" w:styleId="228">
    <w:name w:val=" Char Char2"/>
    <w:uiPriority w:val="0"/>
    <w:rPr>
      <w:rFonts w:eastAsia="宋体"/>
      <w:b/>
      <w:bCs/>
      <w:kern w:val="2"/>
      <w:sz w:val="21"/>
      <w:szCs w:val="24"/>
      <w:lang w:val="en-US" w:eastAsia="zh-CN" w:bidi="ar-SA"/>
    </w:rPr>
  </w:style>
  <w:style w:type="character" w:customStyle="1" w:styleId="229">
    <w:name w:val="unnamed11"/>
    <w:uiPriority w:val="0"/>
    <w:rPr>
      <w:sz w:val="20"/>
      <w:szCs w:val="20"/>
    </w:rPr>
  </w:style>
  <w:style w:type="character" w:customStyle="1" w:styleId="230">
    <w:name w:val="标题 3 Char2"/>
    <w:aliases w:val="标题3 Char"/>
    <w:uiPriority w:val="0"/>
    <w:rPr>
      <w:rFonts w:eastAsia="宋体"/>
      <w:b/>
      <w:bCs/>
      <w:kern w:val="2"/>
      <w:sz w:val="32"/>
      <w:szCs w:val="32"/>
      <w:lang w:val="en-US" w:eastAsia="zh-CN" w:bidi="ar-SA"/>
    </w:rPr>
  </w:style>
  <w:style w:type="character" w:customStyle="1" w:styleId="231">
    <w:name w:val="txt"/>
    <w:uiPriority w:val="0"/>
    <w:rPr>
      <w:rFonts w:ascii="仿宋_GB2312" w:eastAsia="微软雅黑"/>
      <w:b/>
      <w:kern w:val="2"/>
      <w:sz w:val="32"/>
      <w:szCs w:val="32"/>
      <w:lang w:val="en-US" w:eastAsia="zh-CN" w:bidi="ar-SA"/>
    </w:rPr>
  </w:style>
  <w:style w:type="character" w:customStyle="1" w:styleId="232">
    <w:name w:val="message1"/>
    <w:uiPriority w:val="0"/>
    <w:rPr>
      <w:rFonts w:hint="default" w:ascii="Tahoma" w:hAnsi="Tahoma" w:cs="Tahoma"/>
      <w:sz w:val="18"/>
      <w:szCs w:val="18"/>
    </w:rPr>
  </w:style>
  <w:style w:type="character" w:customStyle="1" w:styleId="233">
    <w:name w:val="批注主题 Char"/>
    <w:uiPriority w:val="0"/>
    <w:rPr>
      <w:rFonts w:eastAsia="宋体"/>
      <w:b/>
      <w:bCs/>
      <w:kern w:val="2"/>
      <w:sz w:val="21"/>
      <w:szCs w:val="24"/>
      <w:lang w:val="en-US" w:eastAsia="zh-CN" w:bidi="ar-SA"/>
    </w:rPr>
  </w:style>
  <w:style w:type="character" w:customStyle="1" w:styleId="234">
    <w:name w:val="普通文字 Char3"/>
    <w:aliases w:val="普通文字 Char Char,纯文本 Char Char Char3,纯文本 Char Char3,普通文字 Char Char Char Char Char2,正 文 1 Char1,普通文字 Char Char Char Char2,普通文字1 Char,普通文字2 Char,普通文字3 Char,普通文字4 Char,普通文字5 Char,普通文字6 Char,普通文字11 Char,普通文字21 Char,普通文字31 Char,普通文字41 Char,小 Char"/>
    <w:uiPriority w:val="0"/>
    <w:rPr>
      <w:rFonts w:ascii="宋体" w:hAnsi="Courier New" w:eastAsia="宋体"/>
      <w:kern w:val="2"/>
      <w:sz w:val="21"/>
      <w:lang w:val="en-US" w:eastAsia="zh-CN" w:bidi="ar-SA"/>
    </w:rPr>
  </w:style>
  <w:style w:type="character" w:customStyle="1" w:styleId="235">
    <w:name w:val="文档结构图 Char"/>
    <w:uiPriority w:val="0"/>
    <w:rPr>
      <w:rFonts w:eastAsia="宋体"/>
      <w:kern w:val="2"/>
      <w:sz w:val="21"/>
      <w:szCs w:val="24"/>
      <w:lang w:val="en-US" w:eastAsia="zh-CN" w:bidi="ar-SA"/>
    </w:rPr>
  </w:style>
  <w:style w:type="character" w:customStyle="1" w:styleId="236">
    <w:name w:val="h Char Char"/>
    <w:uiPriority w:val="0"/>
    <w:rPr>
      <w:rFonts w:eastAsia="宋体"/>
      <w:kern w:val="2"/>
      <w:sz w:val="18"/>
      <w:lang w:val="en-US" w:eastAsia="zh-CN" w:bidi="ar-SA"/>
    </w:rPr>
  </w:style>
  <w:style w:type="character" w:customStyle="1" w:styleId="237">
    <w:name w:val="样式 样式 标题 4h4H4Fab-4T5Ref Heading 1rh1Heading sqlsect 1.2.3.... +... Char"/>
    <w:link w:val="238"/>
    <w:uiPriority w:val="0"/>
    <w:rPr>
      <w:rFonts w:ascii="微软雅黑" w:hAnsi="微软雅黑" w:eastAsia="微软雅黑"/>
      <w:b/>
      <w:bCs/>
      <w:kern w:val="2"/>
      <w:sz w:val="24"/>
      <w:szCs w:val="28"/>
    </w:rPr>
  </w:style>
  <w:style w:type="paragraph" w:customStyle="1" w:styleId="238">
    <w:name w:val="样式 样式 标题 4h4H4Fab-4T5Ref Heading 1rh1Heading sqlsect 1.2.3.... +..."/>
    <w:basedOn w:val="99"/>
    <w:link w:val="237"/>
    <w:uiPriority w:val="0"/>
  </w:style>
  <w:style w:type="character" w:customStyle="1" w:styleId="239">
    <w:name w:val="正文首行缩进两字 Char"/>
    <w:uiPriority w:val="0"/>
    <w:rPr>
      <w:sz w:val="24"/>
      <w:szCs w:val="24"/>
      <w:lang w:val="en-US" w:eastAsia="zh-CN" w:bidi="ar-SA"/>
    </w:rPr>
  </w:style>
  <w:style w:type="character" w:customStyle="1" w:styleId="240">
    <w:name w:val="Heading 7 Char"/>
    <w:locked/>
    <w:uiPriority w:val="0"/>
    <w:rPr>
      <w:rFonts w:ascii="宋体" w:hAnsi="宋体" w:eastAsia="宋体"/>
      <w:b/>
      <w:bCs/>
      <w:kern w:val="2"/>
      <w:sz w:val="24"/>
      <w:szCs w:val="24"/>
      <w:lang w:val="en-US" w:eastAsia="zh-CN" w:bidi="ar-SA"/>
    </w:rPr>
  </w:style>
  <w:style w:type="character" w:customStyle="1" w:styleId="241">
    <w:name w:val=" Char Char6"/>
    <w:uiPriority w:val="0"/>
    <w:rPr>
      <w:rFonts w:eastAsia="宋体"/>
      <w:kern w:val="2"/>
      <w:sz w:val="21"/>
      <w:szCs w:val="24"/>
      <w:lang w:val="en-US" w:eastAsia="zh-CN" w:bidi="ar-SA"/>
    </w:rPr>
  </w:style>
  <w:style w:type="character" w:customStyle="1" w:styleId="242">
    <w:name w:val="Char Char12"/>
    <w:uiPriority w:val="0"/>
    <w:rPr>
      <w:rFonts w:ascii="仿宋_GB2312" w:eastAsia="仿宋_GB2312"/>
      <w:b/>
      <w:bCs/>
      <w:kern w:val="2"/>
      <w:sz w:val="24"/>
      <w:szCs w:val="24"/>
      <w:lang w:val="zh-CN" w:eastAsia="zh-CN" w:bidi="ar-SA"/>
    </w:rPr>
  </w:style>
  <w:style w:type="character" w:customStyle="1" w:styleId="243">
    <w:name w:val="Char Char2"/>
    <w:uiPriority w:val="0"/>
    <w:rPr>
      <w:rFonts w:eastAsia="宋体"/>
      <w:b/>
      <w:bCs/>
      <w:kern w:val="2"/>
      <w:sz w:val="21"/>
      <w:szCs w:val="24"/>
      <w:lang w:val="en-US" w:eastAsia="zh-CN" w:bidi="ar-SA"/>
    </w:rPr>
  </w:style>
  <w:style w:type="character" w:customStyle="1" w:styleId="244">
    <w:name w:val="Heading 2 Hidden Char"/>
    <w:aliases w:val="Heading 2 CCBS Char,H2 Char,2 Char,h2 Char,Level 2 Head Char,第*章 Char,sect 1.2 Char,节 Char,标题 1.1 Char,Underrubrik1 Char,prop2 Char,l2 Char,Chapter Title Char,DO NOT USE_h2 Char,chn Char,Chapter Number/Appendix Letter Char,A Char"/>
    <w:uiPriority w:val="0"/>
    <w:rPr>
      <w:rFonts w:ascii="仿宋_GB2312" w:eastAsia="仿宋_GB2312"/>
      <w:b/>
      <w:bCs/>
      <w:kern w:val="2"/>
      <w:sz w:val="24"/>
      <w:szCs w:val="24"/>
      <w:lang w:val="zh-CN" w:eastAsia="zh-CN" w:bidi="ar-SA"/>
    </w:rPr>
  </w:style>
  <w:style w:type="character" w:customStyle="1" w:styleId="245">
    <w:name w:val="tw4winTerm"/>
    <w:uiPriority w:val="0"/>
    <w:rPr>
      <w:color w:val="0000FF"/>
    </w:rPr>
  </w:style>
  <w:style w:type="character" w:customStyle="1" w:styleId="246">
    <w:name w:val="正文1 Char"/>
    <w:uiPriority w:val="0"/>
    <w:rPr>
      <w:rFonts w:ascii="宋体" w:eastAsia="宋体"/>
      <w:snapToGrid w:val="0"/>
      <w:color w:val="000000"/>
      <w:kern w:val="28"/>
      <w:sz w:val="28"/>
      <w:lang w:val="en-US" w:eastAsia="zh-CN" w:bidi="ar-SA"/>
    </w:rPr>
  </w:style>
  <w:style w:type="character" w:customStyle="1" w:styleId="247">
    <w:name w:val="dandyren_title1"/>
    <w:uiPriority w:val="0"/>
    <w:rPr>
      <w:b/>
      <w:bCs/>
      <w:color w:val="FF6633"/>
      <w:sz w:val="18"/>
      <w:szCs w:val="18"/>
    </w:rPr>
  </w:style>
  <w:style w:type="character" w:customStyle="1" w:styleId="248">
    <w:name w:val="Balloon Text Char"/>
    <w:semiHidden/>
    <w:locked/>
    <w:uiPriority w:val="0"/>
    <w:rPr>
      <w:rFonts w:eastAsia="宋体"/>
      <w:kern w:val="2"/>
      <w:sz w:val="18"/>
      <w:szCs w:val="18"/>
      <w:lang w:val="en-US" w:eastAsia="zh-CN" w:bidi="ar-SA"/>
    </w:rPr>
  </w:style>
  <w:style w:type="character" w:customStyle="1" w:styleId="249">
    <w:name w:val="Char Char5"/>
    <w:uiPriority w:val="0"/>
    <w:rPr>
      <w:rFonts w:ascii="宋体" w:hAnsi="Courier New" w:eastAsia="宋体"/>
      <w:kern w:val="2"/>
      <w:sz w:val="21"/>
      <w:lang w:val="en-US" w:eastAsia="zh-CN"/>
    </w:rPr>
  </w:style>
  <w:style w:type="character" w:customStyle="1" w:styleId="250">
    <w:name w:val="正文文本缩进 字符"/>
    <w:uiPriority w:val="0"/>
    <w:rPr>
      <w:rFonts w:ascii="宋体" w:hAnsi="宋体"/>
      <w:kern w:val="2"/>
      <w:sz w:val="24"/>
      <w:szCs w:val="24"/>
    </w:rPr>
  </w:style>
  <w:style w:type="character" w:customStyle="1" w:styleId="251">
    <w:name w:val="gray6"/>
    <w:basedOn w:val="64"/>
    <w:uiPriority w:val="0"/>
  </w:style>
  <w:style w:type="character" w:customStyle="1" w:styleId="252">
    <w:name w:val="pt9"/>
    <w:uiPriority w:val="0"/>
    <w:rPr>
      <w:rFonts w:ascii="仿宋_GB2312" w:eastAsia="微软雅黑"/>
      <w:b/>
      <w:kern w:val="2"/>
      <w:sz w:val="32"/>
      <w:szCs w:val="32"/>
      <w:lang w:val="en-US" w:eastAsia="zh-CN" w:bidi="ar-SA"/>
    </w:rPr>
  </w:style>
  <w:style w:type="character" w:customStyle="1" w:styleId="253">
    <w:name w:val=" Char Char9"/>
    <w:uiPriority w:val="0"/>
    <w:rPr>
      <w:rFonts w:eastAsia="宋体"/>
      <w:kern w:val="2"/>
      <w:sz w:val="18"/>
      <w:szCs w:val="18"/>
      <w:lang w:val="en-US" w:eastAsia="zh-CN" w:bidi="ar-SA"/>
    </w:rPr>
  </w:style>
  <w:style w:type="character" w:customStyle="1" w:styleId="254">
    <w:name w:val="正文（缩进2汉字） Char"/>
    <w:link w:val="255"/>
    <w:uiPriority w:val="0"/>
    <w:rPr>
      <w:rFonts w:ascii="宋体"/>
    </w:rPr>
  </w:style>
  <w:style w:type="paragraph" w:customStyle="1" w:styleId="255">
    <w:name w:val="正文（缩进2汉字）"/>
    <w:basedOn w:val="1"/>
    <w:link w:val="254"/>
    <w:uiPriority w:val="0"/>
    <w:pPr>
      <w:tabs>
        <w:tab w:val="left" w:pos="525"/>
      </w:tabs>
      <w:adjustRightInd/>
      <w:spacing w:before="100" w:beforeLines="0" w:beforeAutospacing="1" w:after="100" w:afterLines="0" w:afterAutospacing="1"/>
      <w:ind w:left="120" w:leftChars="50" w:firstLine="494" w:firstLineChars="206"/>
    </w:pPr>
    <w:rPr>
      <w:rFonts w:ascii="宋体"/>
      <w:kern w:val="0"/>
      <w:sz w:val="20"/>
      <w:szCs w:val="20"/>
    </w:rPr>
  </w:style>
  <w:style w:type="character" w:customStyle="1" w:styleId="256">
    <w:name w:val="标准正文格式 Char"/>
    <w:uiPriority w:val="0"/>
    <w:rPr>
      <w:rFonts w:ascii="宋体" w:eastAsia="仿宋_GB2312" w:cs="宋体"/>
      <w:color w:val="000000"/>
      <w:sz w:val="24"/>
      <w:lang w:val="en-US" w:eastAsia="zh-CN" w:bidi="ar-SA"/>
    </w:rPr>
  </w:style>
  <w:style w:type="character" w:customStyle="1" w:styleId="257">
    <w:name w:val="纯文本 Char_0"/>
    <w:link w:val="258"/>
    <w:uiPriority w:val="0"/>
    <w:rPr>
      <w:rFonts w:ascii="宋体" w:hAnsi="Courier New"/>
      <w:kern w:val="2"/>
      <w:sz w:val="21"/>
      <w:szCs w:val="21"/>
      <w:lang/>
    </w:rPr>
  </w:style>
  <w:style w:type="paragraph" w:customStyle="1" w:styleId="258">
    <w:name w:val="纯文本_0_0"/>
    <w:basedOn w:val="259"/>
    <w:link w:val="257"/>
    <w:uiPriority w:val="0"/>
    <w:rPr>
      <w:rFonts w:ascii="宋体" w:hAnsi="Courier New"/>
      <w:szCs w:val="21"/>
      <w:lang/>
    </w:rPr>
  </w:style>
  <w:style w:type="paragraph" w:customStyle="1" w:styleId="259">
    <w:name w:val="正文_1_0"/>
    <w:qFormat/>
    <w:uiPriority w:val="0"/>
    <w:pPr>
      <w:widowControl w:val="0"/>
      <w:jc w:val="both"/>
    </w:pPr>
    <w:rPr>
      <w:kern w:val="2"/>
      <w:sz w:val="21"/>
      <w:szCs w:val="24"/>
      <w:lang w:val="en-US" w:eastAsia="zh-CN" w:bidi="ar-SA"/>
    </w:rPr>
  </w:style>
  <w:style w:type="character" w:customStyle="1" w:styleId="260">
    <w:name w:val="副标题 Char1"/>
    <w:uiPriority w:val="0"/>
    <w:rPr>
      <w:rFonts w:ascii="Cambria" w:hAnsi="Cambria" w:eastAsia="宋体" w:cs="Times New Roman"/>
      <w:b/>
      <w:bCs/>
      <w:snapToGrid w:val="0"/>
      <w:kern w:val="28"/>
      <w:sz w:val="32"/>
      <w:szCs w:val="32"/>
    </w:rPr>
  </w:style>
  <w:style w:type="character" w:customStyle="1" w:styleId="261">
    <w:name w:val="DO_NOT_TRANSLATE"/>
    <w:uiPriority w:val="0"/>
    <w:rPr>
      <w:rFonts w:ascii="Courier New" w:hAnsi="Courier New" w:cs="Courier New"/>
      <w:color w:val="800000"/>
      <w:lang/>
    </w:rPr>
  </w:style>
  <w:style w:type="character" w:customStyle="1" w:styleId="262">
    <w:name w:val="页眉 Char1"/>
    <w:aliases w:val="h Char"/>
    <w:uiPriority w:val="0"/>
    <w:rPr>
      <w:rFonts w:eastAsia="宋体"/>
      <w:kern w:val="2"/>
      <w:sz w:val="18"/>
      <w:szCs w:val="18"/>
      <w:lang w:val="en-US" w:eastAsia="zh-CN" w:bidi="ar-SA"/>
    </w:rPr>
  </w:style>
  <w:style w:type="character" w:customStyle="1" w:styleId="263">
    <w:name w:val="普通文字 Char Char1"/>
    <w:aliases w:val="普通文字 Char Char2,纯文本 Char Char Char2,普通文字 Char Char Char Char1,小 Char1,普通文字2 Char1,普通文字3 Char1,普通文字4 Char1,普通文字5 Char1,普通文字6 Char1,普通文字11 Char1,普通文字21 Char1,普通文字31 Char1,普通文字41 Char1,普通文字7 Char1,纯文本 Char Char Char Char2,段14 Char1,Texte Ch"/>
    <w:uiPriority w:val="0"/>
    <w:rPr>
      <w:rFonts w:ascii="宋体" w:hAnsi="Courier New"/>
      <w:kern w:val="2"/>
      <w:sz w:val="21"/>
    </w:rPr>
  </w:style>
  <w:style w:type="character" w:customStyle="1" w:styleId="264">
    <w:name w:val="b11_01b Char"/>
    <w:link w:val="265"/>
    <w:uiPriority w:val="0"/>
    <w:rPr>
      <w:rFonts w:ascii="Verdana" w:hAnsi="Verdana"/>
      <w:b/>
      <w:bCs/>
      <w:color w:val="4A82CA"/>
      <w:sz w:val="17"/>
      <w:szCs w:val="17"/>
    </w:rPr>
  </w:style>
  <w:style w:type="paragraph" w:customStyle="1" w:styleId="265">
    <w:name w:val="b11_01b"/>
    <w:basedOn w:val="1"/>
    <w:next w:val="1"/>
    <w:link w:val="264"/>
    <w:uiPriority w:val="0"/>
    <w:pPr>
      <w:widowControl/>
      <w:adjustRightInd/>
      <w:spacing w:before="100" w:beforeLines="0" w:beforeAutospacing="1" w:after="100" w:afterLines="0" w:afterAutospacing="1" w:line="384" w:lineRule="auto"/>
      <w:jc w:val="left"/>
    </w:pPr>
    <w:rPr>
      <w:rFonts w:ascii="Verdana" w:hAnsi="Verdana"/>
      <w:b/>
      <w:bCs/>
      <w:color w:val="4A82CA"/>
      <w:kern w:val="0"/>
      <w:sz w:val="17"/>
      <w:szCs w:val="17"/>
    </w:rPr>
  </w:style>
  <w:style w:type="character" w:customStyle="1" w:styleId="266">
    <w:name w:val="Footer Char"/>
    <w:locked/>
    <w:uiPriority w:val="0"/>
    <w:rPr>
      <w:rFonts w:eastAsia="宋体"/>
      <w:kern w:val="2"/>
      <w:sz w:val="18"/>
      <w:lang w:val="en-US" w:eastAsia="zh-CN" w:bidi="ar-SA"/>
    </w:rPr>
  </w:style>
  <w:style w:type="character" w:customStyle="1" w:styleId="267">
    <w:name w:val="Char Char9"/>
    <w:uiPriority w:val="0"/>
    <w:rPr>
      <w:rFonts w:ascii="Times New Roman" w:hAnsi="Times New Roman" w:eastAsia="宋体" w:cs="Times New Roman"/>
      <w:b/>
      <w:bCs/>
      <w:kern w:val="2"/>
      <w:sz w:val="32"/>
      <w:szCs w:val="32"/>
      <w:lang w:val="en-US" w:eastAsia="zh-CN" w:bidi="ar-SA"/>
    </w:rPr>
  </w:style>
  <w:style w:type="character" w:customStyle="1" w:styleId="268">
    <w:name w:val=" Char Char4"/>
    <w:uiPriority w:val="0"/>
    <w:rPr>
      <w:rFonts w:eastAsia="宋体"/>
      <w:b/>
      <w:sz w:val="24"/>
      <w:lang w:val="en-GB" w:eastAsia="zh-CN" w:bidi="ar-SA"/>
    </w:rPr>
  </w:style>
  <w:style w:type="character" w:customStyle="1" w:styleId="269">
    <w:name w:val="哈哈正文 Char"/>
    <w:link w:val="270"/>
    <w:uiPriority w:val="0"/>
    <w:rPr>
      <w:rFonts w:ascii="宋体" w:hAnsi="宋体" w:eastAsia="宋体"/>
      <w:kern w:val="2"/>
      <w:sz w:val="24"/>
      <w:lang w:bidi="ar-SA"/>
    </w:rPr>
  </w:style>
  <w:style w:type="paragraph" w:customStyle="1" w:styleId="270">
    <w:name w:val="哈哈正文"/>
    <w:basedOn w:val="1"/>
    <w:link w:val="269"/>
    <w:uiPriority w:val="0"/>
    <w:pPr>
      <w:adjustRightInd/>
      <w:spacing w:line="360" w:lineRule="auto"/>
      <w:ind w:firstLine="200" w:firstLineChars="200"/>
    </w:pPr>
    <w:rPr>
      <w:rFonts w:ascii="宋体" w:hAnsi="宋体"/>
      <w:sz w:val="24"/>
      <w:szCs w:val="20"/>
    </w:rPr>
  </w:style>
  <w:style w:type="character" w:customStyle="1" w:styleId="271">
    <w:name w:val="highlight1"/>
    <w:uiPriority w:val="0"/>
    <w:rPr>
      <w:rFonts w:ascii="仿宋_GB2312" w:eastAsia="微软雅黑"/>
      <w:b/>
      <w:kern w:val="2"/>
      <w:sz w:val="23"/>
      <w:szCs w:val="23"/>
      <w:lang w:val="en-US" w:eastAsia="zh-CN" w:bidi="ar-SA"/>
    </w:rPr>
  </w:style>
  <w:style w:type="character" w:customStyle="1" w:styleId="272">
    <w:name w:val="Char Char8"/>
    <w:uiPriority w:val="0"/>
    <w:rPr>
      <w:rFonts w:eastAsia="宋体"/>
      <w:b/>
      <w:sz w:val="24"/>
      <w:lang w:val="en-GB" w:eastAsia="zh-CN"/>
    </w:rPr>
  </w:style>
  <w:style w:type="character" w:customStyle="1" w:styleId="273">
    <w:name w:val="big1"/>
    <w:uiPriority w:val="0"/>
    <w:rPr>
      <w:rFonts w:hint="eastAsia" w:ascii="宋体" w:hAnsi="宋体" w:eastAsia="宋体"/>
      <w:color w:val="333333"/>
      <w:sz w:val="22"/>
      <w:szCs w:val="22"/>
    </w:rPr>
  </w:style>
  <w:style w:type="character" w:customStyle="1" w:styleId="274">
    <w:name w:val="仿宋正文 Char"/>
    <w:link w:val="275"/>
    <w:uiPriority w:val="0"/>
    <w:rPr>
      <w:rFonts w:ascii="仿宋_GB2312" w:eastAsia="仿宋_GB2312"/>
      <w:kern w:val="2"/>
      <w:sz w:val="24"/>
      <w:lang w:val="en-US" w:eastAsia="zh-CN" w:bidi="ar-SA"/>
    </w:rPr>
  </w:style>
  <w:style w:type="paragraph" w:customStyle="1" w:styleId="275">
    <w:name w:val="仿宋正文"/>
    <w:basedOn w:val="1"/>
    <w:link w:val="274"/>
    <w:qFormat/>
    <w:uiPriority w:val="0"/>
    <w:pPr>
      <w:adjustRightInd/>
      <w:spacing w:line="360" w:lineRule="auto"/>
      <w:ind w:firstLine="480" w:firstLineChars="200"/>
    </w:pPr>
    <w:rPr>
      <w:rFonts w:ascii="仿宋_GB2312" w:eastAsia="仿宋_GB2312"/>
      <w:sz w:val="24"/>
      <w:szCs w:val="20"/>
    </w:rPr>
  </w:style>
  <w:style w:type="character" w:customStyle="1" w:styleId="276">
    <w:name w:val=" Char Char12"/>
    <w:uiPriority w:val="0"/>
    <w:rPr>
      <w:rFonts w:ascii="仿宋_GB2312" w:eastAsia="仿宋_GB2312"/>
      <w:b/>
      <w:bCs/>
      <w:kern w:val="2"/>
      <w:sz w:val="24"/>
      <w:szCs w:val="24"/>
      <w:lang w:val="zh-CN" w:eastAsia="zh-CN" w:bidi="ar-SA"/>
    </w:rPr>
  </w:style>
  <w:style w:type="character" w:customStyle="1" w:styleId="277">
    <w:name w:val="blue1"/>
    <w:basedOn w:val="64"/>
    <w:uiPriority w:val="0"/>
  </w:style>
  <w:style w:type="character" w:customStyle="1" w:styleId="278">
    <w:name w:val=" Char Char10"/>
    <w:semiHidden/>
    <w:uiPriority w:val="0"/>
    <w:rPr>
      <w:rFonts w:ascii="宋体" w:hAnsi="宋体"/>
      <w:kern w:val="2"/>
      <w:sz w:val="21"/>
      <w:szCs w:val="24"/>
      <w:lang/>
    </w:rPr>
  </w:style>
  <w:style w:type="character" w:customStyle="1" w:styleId="279">
    <w:name w:val="表正文 Char"/>
    <w:aliases w:val="正文非缩进 Char1,正文不缩进 Char1,特点 Char,段1 Char1,标题4 Char1,特点标题 Char,ALT+Z Char1,四号 Char1,缩进 Char1,正文（段落文字） Char,正文编号 Char,Justified Char,plain paragraph Char,pp Char,Block text Char,t Char,BODY TEXT Char,text Char,sp Char,sbs Char,block text Char"/>
    <w:uiPriority w:val="0"/>
    <w:rPr>
      <w:rFonts w:ascii="宋体" w:eastAsia="宋体"/>
      <w:snapToGrid w:val="0"/>
      <w:color w:val="000000"/>
      <w:kern w:val="28"/>
      <w:sz w:val="28"/>
      <w:lang w:val="en-US" w:eastAsia="zh-CN" w:bidi="ar-SA"/>
    </w:rPr>
  </w:style>
  <w:style w:type="paragraph" w:customStyle="1" w:styleId="280">
    <w:name w:val="La0b"/>
    <w:basedOn w:val="1"/>
    <w:uiPriority w:val="0"/>
    <w:pPr>
      <w:tabs>
        <w:tab w:val="left" w:pos="1500"/>
      </w:tabs>
      <w:adjustRightInd/>
      <w:spacing w:after="100" w:afterLines="0" w:line="240" w:lineRule="exact"/>
      <w:ind w:left="1500" w:hanging="420" w:firstLineChars="200"/>
    </w:pPr>
    <w:rPr>
      <w:rFonts w:ascii="宋体" w:hAnsi="宋体" w:eastAsia="微软雅黑"/>
      <w:b/>
      <w:sz w:val="24"/>
      <w:szCs w:val="20"/>
    </w:rPr>
  </w:style>
  <w:style w:type="paragraph" w:customStyle="1" w:styleId="281">
    <w:name w:val="main"/>
    <w:basedOn w:val="1"/>
    <w:uiPriority w:val="0"/>
    <w:pPr>
      <w:widowControl/>
      <w:adjustRightInd/>
      <w:spacing w:before="100" w:beforeLines="0" w:beforeAutospacing="1" w:after="100" w:afterLines="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82">
    <w:name w:val="Char4"/>
    <w:basedOn w:val="1"/>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283">
    <w:name w:val="font6"/>
    <w:basedOn w:val="1"/>
    <w:uiPriority w:val="0"/>
    <w:pPr>
      <w:widowControl/>
      <w:adjustRightInd/>
      <w:spacing w:before="100" w:beforeLines="0" w:beforeAutospacing="1" w:after="100" w:afterLines="0" w:afterAutospacing="1" w:line="360" w:lineRule="auto"/>
      <w:ind w:firstLine="200" w:firstLineChars="200"/>
      <w:jc w:val="left"/>
    </w:pPr>
    <w:rPr>
      <w:rFonts w:hint="eastAsia" w:ascii="宋体" w:hAnsi="宋体"/>
      <w:kern w:val="0"/>
      <w:sz w:val="20"/>
      <w:szCs w:val="20"/>
    </w:rPr>
  </w:style>
  <w:style w:type="paragraph" w:customStyle="1" w:styleId="284">
    <w:name w:val="文章总标题"/>
    <w:basedOn w:val="1"/>
    <w:uiPriority w:val="0"/>
    <w:pPr>
      <w:autoSpaceDE w:val="0"/>
      <w:autoSpaceDN w:val="0"/>
      <w:spacing w:before="566" w:beforeLines="0" w:after="544" w:afterLines="0" w:line="566" w:lineRule="atLeast"/>
      <w:ind w:firstLine="200" w:firstLineChars="200"/>
      <w:jc w:val="center"/>
    </w:pPr>
    <w:rPr>
      <w:rFonts w:ascii="Arial" w:hAnsi="Arial"/>
      <w:color w:val="000000"/>
      <w:kern w:val="0"/>
      <w:sz w:val="54"/>
      <w:szCs w:val="54"/>
    </w:rPr>
  </w:style>
  <w:style w:type="paragraph" w:customStyle="1" w:styleId="285">
    <w:name w:val="Picture"/>
    <w:basedOn w:val="1"/>
    <w:next w:val="17"/>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286">
    <w:name w:val="带编号样式"/>
    <w:basedOn w:val="287"/>
    <w:qFormat/>
    <w:uiPriority w:val="0"/>
    <w:pPr>
      <w:tabs>
        <w:tab w:val="left" w:pos="840"/>
      </w:tabs>
      <w:snapToGrid w:val="0"/>
      <w:ind w:left="840" w:hanging="420" w:firstLineChars="0"/>
    </w:pPr>
    <w:rPr>
      <w:rFonts w:ascii="仿宋_GB2312" w:eastAsia="仿宋_GB2312"/>
      <w:color w:val="000000"/>
    </w:rPr>
  </w:style>
  <w:style w:type="paragraph" w:customStyle="1" w:styleId="287">
    <w:name w:val="文本正文 Char"/>
    <w:basedOn w:val="1"/>
    <w:uiPriority w:val="0"/>
    <w:pPr>
      <w:spacing w:line="360" w:lineRule="auto"/>
      <w:ind w:firstLine="200" w:firstLineChars="200"/>
    </w:pPr>
    <w:rPr>
      <w:kern w:val="0"/>
      <w:sz w:val="24"/>
      <w:szCs w:val="20"/>
    </w:rPr>
  </w:style>
  <w:style w:type="paragraph" w:customStyle="1" w:styleId="288">
    <w:name w:val="Body Copy"/>
    <w:basedOn w:val="1"/>
    <w:uiPriority w:val="0"/>
    <w:pPr>
      <w:widowControl/>
      <w:tabs>
        <w:tab w:val="left" w:pos="1584"/>
        <w:tab w:val="left" w:pos="1613"/>
        <w:tab w:val="left" w:pos="1728"/>
        <w:tab w:val="left" w:pos="1872"/>
        <w:tab w:val="left" w:pos="2016"/>
      </w:tabs>
      <w:adjustRightInd/>
      <w:spacing w:after="180" w:afterLines="0" w:line="240" w:lineRule="exact"/>
      <w:ind w:left="1440" w:right="115" w:firstLine="200" w:firstLineChars="200"/>
      <w:jc w:val="left"/>
    </w:pPr>
    <w:rPr>
      <w:rFonts w:ascii="Aldine401 BT" w:hAnsi="Aldine401 BT"/>
      <w:kern w:val="0"/>
      <w:sz w:val="20"/>
      <w:szCs w:val="20"/>
    </w:rPr>
  </w:style>
  <w:style w:type="paragraph" w:customStyle="1" w:styleId="289">
    <w:name w:val="表格（小）"/>
    <w:basedOn w:val="1"/>
    <w:uiPriority w:val="0"/>
    <w:pPr>
      <w:adjustRightInd/>
      <w:snapToGrid w:val="0"/>
      <w:spacing w:line="300" w:lineRule="auto"/>
    </w:pPr>
    <w:rPr>
      <w:rFonts w:eastAsia="仿宋"/>
      <w:szCs w:val="21"/>
    </w:rPr>
  </w:style>
  <w:style w:type="paragraph" w:customStyle="1" w:styleId="290">
    <w:name w:val="Char Char1 Char Char Char Char Char Char"/>
    <w:basedOn w:val="1"/>
    <w:uiPriority w:val="0"/>
    <w:rPr>
      <w:rFonts w:ascii="仿宋_GB2312" w:eastAsia="仿宋_GB2312"/>
      <w:b/>
      <w:sz w:val="32"/>
      <w:szCs w:val="20"/>
    </w:rPr>
  </w:style>
  <w:style w:type="paragraph" w:customStyle="1" w:styleId="291">
    <w:name w:val="数字标题2"/>
    <w:basedOn w:val="4"/>
    <w:next w:val="1"/>
    <w:uiPriority w:val="0"/>
    <w:pPr>
      <w:numPr>
        <w:ilvl w:val="1"/>
        <w:numId w:val="5"/>
      </w:numPr>
      <w:tabs>
        <w:tab w:val="clear" w:pos="432"/>
      </w:tabs>
    </w:pPr>
    <w:rPr>
      <w:rFonts w:ascii="Times New Roman" w:eastAsia="宋体"/>
      <w:i/>
      <w:sz w:val="36"/>
      <w:szCs w:val="36"/>
      <w:lang w:val="en-US"/>
    </w:rPr>
  </w:style>
  <w:style w:type="paragraph" w:customStyle="1" w:styleId="292">
    <w:name w:val="封面表格文本"/>
    <w:basedOn w:val="1"/>
    <w:uiPriority w:val="0"/>
    <w:pPr>
      <w:autoSpaceDE w:val="0"/>
      <w:autoSpaceDN w:val="0"/>
      <w:ind w:firstLine="200" w:firstLineChars="200"/>
      <w:jc w:val="center"/>
    </w:pPr>
    <w:rPr>
      <w:rFonts w:ascii="Arial" w:hAnsi="Arial"/>
      <w:kern w:val="0"/>
      <w:szCs w:val="21"/>
    </w:rPr>
  </w:style>
  <w:style w:type="paragraph" w:customStyle="1" w:styleId="293">
    <w:name w:val="Char1 Char Char Char Char Char Char Char Char Char Char Char1 Char Char Char Char Char Char Char Char Char Char Char Char Char Char1 Char Char Char Char"/>
    <w:basedOn w:val="1"/>
    <w:uiPriority w:val="0"/>
    <w:pPr>
      <w:spacing w:line="360" w:lineRule="auto"/>
    </w:pPr>
    <w:rPr>
      <w:kern w:val="0"/>
      <w:sz w:val="24"/>
      <w:szCs w:val="20"/>
    </w:rPr>
  </w:style>
  <w:style w:type="paragraph" w:customStyle="1" w:styleId="294">
    <w:name w:val="Default"/>
    <w:uiPriority w:val="0"/>
    <w:pPr>
      <w:widowControl w:val="0"/>
      <w:autoSpaceDE w:val="0"/>
      <w:autoSpaceDN w:val="0"/>
      <w:adjustRightInd w:val="0"/>
    </w:pPr>
    <w:rPr>
      <w:rFonts w:ascii="仿宋_GB2312" w:eastAsia="仿宋_GB2312" w:cs="仿宋_GB2312"/>
      <w:color w:val="000000"/>
      <w:sz w:val="24"/>
      <w:szCs w:val="24"/>
      <w:lang w:val="en-US" w:eastAsia="zh-CN" w:bidi="ar-SA"/>
    </w:rPr>
  </w:style>
  <w:style w:type="paragraph" w:customStyle="1" w:styleId="295">
    <w:name w:val="bullet"/>
    <w:basedOn w:val="1"/>
    <w:uiPriority w:val="0"/>
    <w:pPr>
      <w:tabs>
        <w:tab w:val="left" w:pos="840"/>
      </w:tabs>
      <w:adjustRightInd/>
      <w:ind w:left="840" w:hanging="420"/>
    </w:pPr>
  </w:style>
  <w:style w:type="paragraph" w:customStyle="1" w:styleId="296">
    <w:name w:val="??"/>
    <w:uiPriority w:val="0"/>
    <w:pPr>
      <w:widowControl w:val="0"/>
      <w:overflowPunct w:val="0"/>
      <w:autoSpaceDE w:val="0"/>
      <w:autoSpaceDN w:val="0"/>
      <w:adjustRightInd w:val="0"/>
      <w:jc w:val="both"/>
      <w:textAlignment w:val="baseline"/>
    </w:pPr>
    <w:rPr>
      <w:kern w:val="2"/>
      <w:sz w:val="21"/>
      <w:lang w:val="en-US" w:eastAsia="en-US" w:bidi="ar-SA"/>
    </w:rPr>
  </w:style>
  <w:style w:type="paragraph" w:customStyle="1" w:styleId="297">
    <w:name w:val=" Char Char Char Char"/>
    <w:basedOn w:val="1"/>
    <w:uiPriority w:val="0"/>
    <w:rPr>
      <w:rFonts w:ascii="Tahoma" w:hAnsi="Tahoma"/>
      <w:sz w:val="24"/>
      <w:szCs w:val="20"/>
    </w:rPr>
  </w:style>
  <w:style w:type="paragraph" w:customStyle="1" w:styleId="298">
    <w:name w:val="四号　首行缩进"/>
    <w:basedOn w:val="1"/>
    <w:uiPriority w:val="0"/>
    <w:pPr>
      <w:adjustRightInd/>
      <w:spacing w:line="360" w:lineRule="auto"/>
    </w:pPr>
    <w:rPr>
      <w:rFonts w:ascii="宋体" w:hAnsi="宋体"/>
      <w:szCs w:val="20"/>
    </w:rPr>
  </w:style>
  <w:style w:type="paragraph" w:customStyle="1" w:styleId="299">
    <w:name w:val=" Char1 Char Char Char Char Char Char Char Char Char Char Char1 Char Char Char Char Char Char Char Char Char Char Char Char Char Char1 Char Char Char Char"/>
    <w:basedOn w:val="1"/>
    <w:uiPriority w:val="0"/>
    <w:pPr>
      <w:adjustRightInd w:val="0"/>
      <w:spacing w:line="360" w:lineRule="auto"/>
    </w:pPr>
    <w:rPr>
      <w:kern w:val="0"/>
      <w:sz w:val="24"/>
      <w:szCs w:val="20"/>
    </w:rPr>
  </w:style>
  <w:style w:type="paragraph" w:customStyle="1" w:styleId="300">
    <w:name w:val=" Char3 Char Char"/>
    <w:basedOn w:val="1"/>
    <w:uiPriority w:val="0"/>
    <w:pPr>
      <w:widowControl/>
      <w:adjustRightInd/>
      <w:spacing w:after="160" w:afterLines="0" w:line="240" w:lineRule="exact"/>
      <w:jc w:val="left"/>
    </w:pPr>
    <w:rPr>
      <w:rFonts w:ascii="Arial" w:hAnsi="Arial" w:eastAsia="Times New Roman" w:cs="Verdana"/>
      <w:b/>
      <w:kern w:val="0"/>
      <w:sz w:val="24"/>
      <w:szCs w:val="20"/>
      <w:lang w:eastAsia="en-US"/>
    </w:rPr>
  </w:style>
  <w:style w:type="paragraph" w:customStyle="1" w:styleId="301">
    <w:name w:val="Char Char Char Char Char Char1 Char"/>
    <w:basedOn w:val="1"/>
    <w:uiPriority w:val="0"/>
    <w:pPr>
      <w:widowControl/>
      <w:spacing w:after="160" w:afterLines="0" w:line="240" w:lineRule="exact"/>
      <w:jc w:val="left"/>
    </w:pPr>
    <w:rPr>
      <w:rFonts w:ascii="Verdana" w:hAnsi="Verdana"/>
      <w:kern w:val="0"/>
      <w:szCs w:val="20"/>
      <w:lang w:eastAsia="en-US"/>
    </w:rPr>
  </w:style>
  <w:style w:type="paragraph" w:customStyle="1" w:styleId="302">
    <w:name w:val="Char Char1 Char"/>
    <w:basedOn w:val="1"/>
    <w:uiPriority w:val="0"/>
    <w:pPr>
      <w:widowControl/>
      <w:snapToGrid w:val="0"/>
      <w:spacing w:before="120" w:beforeLines="0" w:after="160" w:afterLines="0" w:line="360" w:lineRule="auto"/>
      <w:ind w:right="-360"/>
      <w:jc w:val="left"/>
    </w:pPr>
    <w:rPr>
      <w:rFonts w:ascii="Arial" w:hAnsi="Arial"/>
      <w:kern w:val="0"/>
      <w:sz w:val="24"/>
      <w:lang w:eastAsia="en-US"/>
    </w:rPr>
  </w:style>
  <w:style w:type="paragraph" w:customStyle="1" w:styleId="303">
    <w:name w:val="Char Char4 Char Char"/>
    <w:basedOn w:val="1"/>
    <w:uiPriority w:val="0"/>
    <w:pPr>
      <w:widowControl/>
      <w:adjustRightInd/>
      <w:spacing w:after="160" w:line="240" w:lineRule="exact"/>
      <w:jc w:val="left"/>
    </w:pPr>
  </w:style>
  <w:style w:type="paragraph" w:customStyle="1" w:styleId="304">
    <w:name w:val="列表内容"/>
    <w:basedOn w:val="1"/>
    <w:next w:val="1"/>
    <w:uiPriority w:val="0"/>
    <w:pPr>
      <w:widowControl/>
      <w:tabs>
        <w:tab w:val="left" w:pos="840"/>
      </w:tabs>
      <w:ind w:left="840" w:hanging="420"/>
      <w:jc w:val="left"/>
    </w:pPr>
    <w:rPr>
      <w:kern w:val="0"/>
      <w:sz w:val="18"/>
    </w:rPr>
  </w:style>
  <w:style w:type="paragraph" w:customStyle="1" w:styleId="30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06">
    <w:name w:val="xl25"/>
    <w:basedOn w:val="1"/>
    <w:uiPriority w:val="0"/>
    <w:pPr>
      <w:widowControl/>
      <w:spacing w:before="100" w:beforeLines="0" w:beforeAutospacing="1" w:after="100" w:afterLines="0" w:afterAutospacing="1"/>
      <w:jc w:val="center"/>
      <w:textAlignment w:val="center"/>
    </w:pPr>
    <w:rPr>
      <w:rFonts w:hint="eastAsia" w:ascii="楷体_GB2312" w:hAnsi="宋体" w:eastAsia="楷体_GB2312"/>
      <w:kern w:val="0"/>
      <w:sz w:val="24"/>
    </w:rPr>
  </w:style>
  <w:style w:type="paragraph" w:customStyle="1" w:styleId="307">
    <w:name w:val="Char1 Char Char Char1"/>
    <w:basedOn w:val="1"/>
    <w:uiPriority w:val="0"/>
    <w:pPr>
      <w:adjustRightInd/>
      <w:ind w:firstLine="200" w:firstLineChars="200"/>
    </w:pPr>
    <w:rPr>
      <w:rFonts w:ascii="Tahoma" w:hAnsi="Tahoma"/>
      <w:sz w:val="24"/>
      <w:szCs w:val="20"/>
    </w:rPr>
  </w:style>
  <w:style w:type="paragraph" w:customStyle="1" w:styleId="308">
    <w:name w:val="正文3"/>
    <w:basedOn w:val="1"/>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309">
    <w:name w:val="±íÑùÊ½"/>
    <w:basedOn w:val="1"/>
    <w:uiPriority w:val="0"/>
    <w:pPr>
      <w:widowControl/>
      <w:tabs>
        <w:tab w:val="left" w:pos="840"/>
      </w:tabs>
      <w:overflowPunct w:val="0"/>
      <w:autoSpaceDE w:val="0"/>
      <w:autoSpaceDN w:val="0"/>
      <w:jc w:val="left"/>
      <w:textAlignment w:val="baseline"/>
    </w:pPr>
    <w:rPr>
      <w:rFonts w:ascii="Arial Narrow" w:hAnsi="Arial Narrow"/>
      <w:kern w:val="0"/>
      <w:sz w:val="18"/>
      <w:szCs w:val="20"/>
      <w:lang/>
    </w:rPr>
  </w:style>
  <w:style w:type="paragraph" w:customStyle="1" w:styleId="310">
    <w:name w:val=" Char Char11 Char Char Char Char Char Char Char Char Char Char Char Char Char"/>
    <w:basedOn w:val="1"/>
    <w:uiPriority w:val="0"/>
    <w:pPr>
      <w:adjustRightInd/>
      <w:spacing w:line="360" w:lineRule="auto"/>
    </w:pPr>
    <w:rPr>
      <w:rFonts w:ascii="Arial" w:hAnsi="Arial" w:eastAsia="黑体"/>
      <w:snapToGrid w:val="0"/>
      <w:kern w:val="0"/>
      <w:sz w:val="20"/>
      <w:szCs w:val="21"/>
      <w:lang/>
    </w:rPr>
  </w:style>
  <w:style w:type="paragraph" w:customStyle="1" w:styleId="311">
    <w:name w:val="Char Char1 Char Char1 Char Char1"/>
    <w:basedOn w:val="1"/>
    <w:uiPriority w:val="0"/>
    <w:pPr>
      <w:tabs>
        <w:tab w:val="left" w:pos="840"/>
      </w:tabs>
      <w:ind w:left="840" w:hanging="420"/>
    </w:pPr>
    <w:rPr>
      <w:rFonts w:ascii="Tahoma" w:hAnsi="Tahoma"/>
      <w:sz w:val="24"/>
    </w:rPr>
  </w:style>
  <w:style w:type="paragraph" w:customStyle="1" w:styleId="312">
    <w:name w:val=" Char2"/>
    <w:basedOn w:val="1"/>
    <w:uiPriority w:val="0"/>
    <w:rPr>
      <w:rFonts w:ascii="仿宋_GB2312" w:eastAsia="仿宋_GB2312"/>
      <w:b/>
      <w:sz w:val="32"/>
      <w:szCs w:val="32"/>
    </w:rPr>
  </w:style>
  <w:style w:type="paragraph" w:customStyle="1" w:styleId="313">
    <w:name w:val="金宏发行正文"/>
    <w:basedOn w:val="1"/>
    <w:uiPriority w:val="0"/>
    <w:pPr>
      <w:adjustRightInd/>
      <w:spacing w:line="500" w:lineRule="exact"/>
      <w:ind w:firstLine="560" w:firstLineChars="200"/>
    </w:pPr>
    <w:rPr>
      <w:rFonts w:eastAsia="仿宋_GB2312"/>
      <w:sz w:val="28"/>
      <w:szCs w:val="20"/>
    </w:rPr>
  </w:style>
  <w:style w:type="paragraph" w:customStyle="1" w:styleId="314">
    <w:name w:val="font5"/>
    <w:basedOn w:val="1"/>
    <w:uiPriority w:val="0"/>
    <w:pPr>
      <w:widowControl/>
      <w:adjustRightInd/>
      <w:spacing w:before="100" w:beforeLines="0" w:beforeAutospacing="1" w:after="100" w:afterLines="0" w:afterAutospacing="1" w:line="360" w:lineRule="auto"/>
      <w:ind w:firstLine="200" w:firstLineChars="200"/>
      <w:jc w:val="left"/>
    </w:pPr>
    <w:rPr>
      <w:rFonts w:hint="eastAsia" w:ascii="宋体" w:hAnsi="宋体"/>
      <w:kern w:val="0"/>
      <w:sz w:val="18"/>
      <w:szCs w:val="18"/>
    </w:rPr>
  </w:style>
  <w:style w:type="paragraph" w:customStyle="1" w:styleId="315">
    <w:name w:val="p0"/>
    <w:basedOn w:val="1"/>
    <w:uiPriority w:val="0"/>
    <w:pPr>
      <w:widowControl/>
      <w:adjustRightInd/>
    </w:pPr>
    <w:rPr>
      <w:kern w:val="0"/>
      <w:szCs w:val="21"/>
    </w:rPr>
  </w:style>
  <w:style w:type="paragraph" w:customStyle="1" w:styleId="316">
    <w:name w:val="样式 仿宋_GB2312 小三 左侧:  1.06 厘米"/>
    <w:basedOn w:val="1"/>
    <w:uiPriority w:val="0"/>
    <w:pPr>
      <w:spacing w:line="360" w:lineRule="auto"/>
      <w:ind w:left="601"/>
    </w:pPr>
    <w:rPr>
      <w:rFonts w:ascii="仿宋_GB2312" w:eastAsia="仿宋_GB2312"/>
      <w:sz w:val="24"/>
      <w:szCs w:val="20"/>
    </w:rPr>
  </w:style>
  <w:style w:type="paragraph" w:customStyle="1" w:styleId="317">
    <w:name w:val="样式 样式2 + 左侧:  1 字符 右侧:  1 字符"/>
    <w:basedOn w:val="318"/>
    <w:uiPriority w:val="0"/>
    <w:pPr>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eastAsia="zh-CN"/>
    </w:rPr>
  </w:style>
  <w:style w:type="paragraph" w:customStyle="1" w:styleId="318">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319">
    <w:name w:val="样式 仿宋_GB2312 三号 加粗 黑色 居中 行距: 1.5 倍行距"/>
    <w:basedOn w:val="1"/>
    <w:uiPriority w:val="0"/>
    <w:pPr>
      <w:spacing w:line="360" w:lineRule="auto"/>
      <w:jc w:val="center"/>
    </w:pPr>
    <w:rPr>
      <w:rFonts w:ascii="仿宋_GB2312" w:eastAsia="仿宋_GB2312" w:cs="宋体"/>
      <w:b/>
      <w:bCs/>
      <w:color w:val="000000"/>
      <w:sz w:val="28"/>
      <w:szCs w:val="20"/>
    </w:rPr>
  </w:style>
  <w:style w:type="paragraph" w:customStyle="1" w:styleId="320">
    <w:name w:val="表格文字（大）"/>
    <w:basedOn w:val="1"/>
    <w:uiPriority w:val="0"/>
    <w:pPr>
      <w:adjustRightInd/>
      <w:spacing w:before="20" w:beforeLines="0" w:after="20" w:afterLines="0"/>
      <w:ind w:firstLine="200" w:firstLineChars="200"/>
    </w:pPr>
    <w:rPr>
      <w:rFonts w:ascii="Century Gothic" w:hAnsi="Century Gothic"/>
      <w:sz w:val="24"/>
      <w:szCs w:val="20"/>
    </w:rPr>
  </w:style>
  <w:style w:type="paragraph" w:customStyle="1" w:styleId="321">
    <w:name w:val="Char Char Char Char Char Char Char Char Char Char Char Char1 Char"/>
    <w:basedOn w:val="1"/>
    <w:uiPriority w:val="0"/>
    <w:rPr>
      <w:rFonts w:ascii="Tahoma" w:hAnsi="Tahoma" w:cs="仿宋_GB2312"/>
      <w:sz w:val="24"/>
      <w:szCs w:val="20"/>
    </w:rPr>
  </w:style>
  <w:style w:type="paragraph" w:customStyle="1" w:styleId="322">
    <w:name w:val="WW-正文文字缩进 2"/>
    <w:basedOn w:val="1"/>
    <w:uiPriority w:val="0"/>
    <w:pPr>
      <w:suppressAutoHyphens/>
      <w:adjustRightInd/>
      <w:ind w:firstLine="420"/>
    </w:pPr>
    <w:rPr>
      <w:kern w:val="1"/>
      <w:szCs w:val="20"/>
      <w:lang/>
    </w:rPr>
  </w:style>
  <w:style w:type="paragraph" w:customStyle="1" w:styleId="323">
    <w:name w:val="Char Char11 Char Char Char Char Char Char Char Char Char"/>
    <w:basedOn w:val="1"/>
    <w:uiPriority w:val="0"/>
    <w:pPr>
      <w:spacing w:line="360" w:lineRule="auto"/>
    </w:pPr>
    <w:rPr>
      <w:szCs w:val="20"/>
    </w:rPr>
  </w:style>
  <w:style w:type="paragraph" w:customStyle="1" w:styleId="324">
    <w:name w:val="标书标题4"/>
    <w:basedOn w:val="6"/>
    <w:uiPriority w:val="0"/>
    <w:pPr>
      <w:keepLines w:val="0"/>
      <w:numPr>
        <w:ilvl w:val="3"/>
        <w:numId w:val="0"/>
      </w:numPr>
      <w:snapToGrid w:val="0"/>
      <w:spacing w:before="0" w:beforeLines="0" w:after="0" w:afterLines="0" w:line="300" w:lineRule="auto"/>
    </w:pPr>
    <w:rPr>
      <w:rFonts w:ascii="Arial Narrow" w:hAnsi="Arial Narrow" w:eastAsia="仿宋_GB2312"/>
      <w:bCs w:val="0"/>
      <w:color w:val="000000"/>
      <w:kern w:val="0"/>
      <w:szCs w:val="32"/>
      <w:lang w:val="en-US"/>
    </w:rPr>
  </w:style>
  <w:style w:type="paragraph" w:customStyle="1" w:styleId="325">
    <w:name w:val=" Char3 Char Char Char"/>
    <w:basedOn w:val="1"/>
    <w:uiPriority w:val="0"/>
    <w:pPr>
      <w:widowControl/>
      <w:adjustRightInd/>
      <w:spacing w:after="160" w:afterLines="0" w:line="240" w:lineRule="exact"/>
      <w:jc w:val="left"/>
    </w:pPr>
    <w:rPr>
      <w:szCs w:val="20"/>
    </w:rPr>
  </w:style>
  <w:style w:type="paragraph" w:customStyle="1" w:styleId="326">
    <w:name w:val="样式 标题 3h33rd level3Heading 3 - oldH3l3CTheading 3Headin..."/>
    <w:basedOn w:val="5"/>
    <w:uiPriority w:val="0"/>
    <w:pPr>
      <w:snapToGrid w:val="0"/>
      <w:ind w:left="0" w:firstLine="0"/>
      <w:jc w:val="left"/>
    </w:pPr>
    <w:rPr>
      <w:rFonts w:eastAsia="黑体" w:cs="宋体"/>
      <w:sz w:val="28"/>
      <w:szCs w:val="20"/>
    </w:rPr>
  </w:style>
  <w:style w:type="paragraph" w:customStyle="1" w:styleId="327">
    <w:name w:val=" Char3"/>
    <w:basedOn w:val="1"/>
    <w:uiPriority w:val="0"/>
    <w:pPr>
      <w:adjustRightInd/>
    </w:pPr>
    <w:rPr>
      <w:rFonts w:ascii="仿宋_GB2312" w:eastAsia="仿宋_GB2312"/>
      <w:b/>
      <w:sz w:val="32"/>
      <w:szCs w:val="32"/>
    </w:rPr>
  </w:style>
  <w:style w:type="paragraph" w:customStyle="1" w:styleId="328">
    <w:name w:val="Z5"/>
    <w:basedOn w:val="1"/>
    <w:next w:val="1"/>
    <w:uiPriority w:val="0"/>
    <w:pPr>
      <w:tabs>
        <w:tab w:val="left" w:pos="2100"/>
      </w:tabs>
      <w:adjustRightInd/>
      <w:spacing w:before="240" w:beforeLines="0"/>
      <w:ind w:firstLine="200" w:firstLineChars="200"/>
      <w:outlineLvl w:val="4"/>
    </w:pPr>
    <w:rPr>
      <w:rFonts w:ascii="Tahoma" w:hAnsi="Tahoma" w:eastAsia="幼圆"/>
    </w:rPr>
  </w:style>
  <w:style w:type="paragraph" w:customStyle="1" w:styleId="329">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330">
    <w:name w:val="插图题注"/>
    <w:next w:val="1"/>
    <w:uiPriority w:val="0"/>
    <w:pPr>
      <w:numPr>
        <w:ilvl w:val="7"/>
        <w:numId w:val="4"/>
      </w:numPr>
      <w:spacing w:after="312" w:afterLines="100"/>
      <w:ind w:left="1089" w:hanging="369"/>
      <w:jc w:val="center"/>
    </w:pPr>
    <w:rPr>
      <w:rFonts w:ascii="Arial" w:hAnsi="Arial"/>
      <w:sz w:val="18"/>
      <w:szCs w:val="18"/>
      <w:lang w:val="en-US" w:eastAsia="zh-CN" w:bidi="ar-SA"/>
    </w:rPr>
  </w:style>
  <w:style w:type="paragraph" w:customStyle="1" w:styleId="331">
    <w:name w:val=" Char3 Char Char Char Char Char Char"/>
    <w:basedOn w:val="1"/>
    <w:uiPriority w:val="0"/>
    <w:pPr>
      <w:adjustRightInd/>
      <w:spacing w:line="360" w:lineRule="auto"/>
    </w:pPr>
    <w:rPr>
      <w:rFonts w:ascii="Arial" w:hAnsi="Arial" w:eastAsia="黑体" w:cs="Arial"/>
      <w:snapToGrid w:val="0"/>
      <w:kern w:val="0"/>
      <w:szCs w:val="21"/>
    </w:rPr>
  </w:style>
  <w:style w:type="paragraph" w:customStyle="1" w:styleId="332">
    <w:name w:val=" Char Char Char Char Char Char Char"/>
    <w:basedOn w:val="1"/>
    <w:uiPriority w:val="0"/>
    <w:rPr>
      <w:rFonts w:ascii="仿宋_GB2312" w:eastAsia="仿宋_GB2312"/>
      <w:b/>
      <w:sz w:val="32"/>
      <w:szCs w:val="32"/>
    </w:rPr>
  </w:style>
  <w:style w:type="paragraph" w:customStyle="1" w:styleId="333">
    <w:name w:val="xl43"/>
    <w:basedOn w:val="1"/>
    <w:uiPriority w:val="0"/>
    <w:pPr>
      <w:widowControl/>
      <w:pBdr>
        <w:top w:val="single" w:color="auto" w:sz="4" w:space="0"/>
        <w:bottom w:val="single" w:color="auto" w:sz="4" w:space="0"/>
        <w:right w:val="single" w:color="auto" w:sz="4" w:space="0"/>
      </w:pBdr>
      <w:adjustRightInd/>
      <w:spacing w:before="100" w:beforeLines="0" w:beforeAutospacing="1" w:after="100" w:afterLines="0" w:afterAutospacing="1"/>
      <w:ind w:firstLine="200" w:firstLineChars="200"/>
      <w:jc w:val="center"/>
    </w:pPr>
    <w:rPr>
      <w:rFonts w:ascii="微软雅黑" w:hAnsi="微软雅黑" w:eastAsia="微软雅黑" w:cs="宋体"/>
      <w:b/>
      <w:bCs/>
      <w:kern w:val="0"/>
      <w:szCs w:val="21"/>
    </w:rPr>
  </w:style>
  <w:style w:type="paragraph" w:customStyle="1" w:styleId="334">
    <w:name w:val="封面公司名"/>
    <w:uiPriority w:val="0"/>
    <w:pPr>
      <w:jc w:val="center"/>
    </w:pPr>
    <w:rPr>
      <w:rFonts w:ascii="Arial" w:hAnsi="Arial" w:eastAsia="楷体_GB2312" w:cs="宋体"/>
      <w:bCs/>
      <w:kern w:val="2"/>
      <w:sz w:val="28"/>
      <w:lang w:val="en-US" w:eastAsia="zh-CN" w:bidi="ar-SA"/>
    </w:rPr>
  </w:style>
  <w:style w:type="paragraph" w:customStyle="1" w:styleId="335">
    <w:name w:val="xl41"/>
    <w:basedOn w:val="1"/>
    <w:uiPriority w:val="0"/>
    <w:pPr>
      <w:widowControl/>
      <w:pBdr>
        <w:top w:val="single" w:color="auto" w:sz="4" w:space="0"/>
        <w:bottom w:val="single" w:color="auto" w:sz="4" w:space="0"/>
      </w:pBdr>
      <w:adjustRightInd/>
      <w:spacing w:before="100" w:beforeLines="0" w:beforeAutospacing="1" w:after="100" w:afterLines="0" w:afterAutospacing="1"/>
      <w:ind w:firstLine="200" w:firstLineChars="200"/>
      <w:jc w:val="center"/>
    </w:pPr>
    <w:rPr>
      <w:rFonts w:ascii="微软雅黑" w:hAnsi="微软雅黑" w:eastAsia="微软雅黑" w:cs="宋体"/>
      <w:b/>
      <w:bCs/>
      <w:kern w:val="0"/>
      <w:sz w:val="24"/>
    </w:rPr>
  </w:style>
  <w:style w:type="paragraph" w:customStyle="1" w:styleId="336">
    <w:name w:val="xl23"/>
    <w:basedOn w:val="1"/>
    <w:uiPriority w:val="0"/>
    <w:pPr>
      <w:widowControl/>
      <w:adjustRightInd/>
      <w:spacing w:before="100" w:beforeLines="0" w:beforeAutospacing="1" w:after="100" w:afterLines="0" w:afterAutospacing="1" w:line="360" w:lineRule="auto"/>
      <w:ind w:firstLine="200" w:firstLineChars="200"/>
      <w:textAlignment w:val="top"/>
    </w:pPr>
    <w:rPr>
      <w:kern w:val="0"/>
      <w:sz w:val="24"/>
    </w:rPr>
  </w:style>
  <w:style w:type="paragraph" w:customStyle="1" w:styleId="337">
    <w:name w:val="Bulleting First Indent 1"/>
    <w:basedOn w:val="60"/>
    <w:uiPriority w:val="0"/>
    <w:pPr>
      <w:tabs>
        <w:tab w:val="left" w:pos="840"/>
      </w:tabs>
      <w:autoSpaceDE/>
      <w:autoSpaceDN/>
      <w:adjustRightInd/>
      <w:spacing w:before="20" w:after="20" w:line="300" w:lineRule="auto"/>
      <w:ind w:left="840" w:hanging="420"/>
    </w:pPr>
    <w:rPr>
      <w:rFonts w:ascii="Tahoma" w:hAnsi="Tahoma"/>
      <w:kern w:val="0"/>
      <w:sz w:val="21"/>
      <w:szCs w:val="21"/>
      <w:lang w:val="en-US" w:eastAsia="zh-CN"/>
    </w:rPr>
  </w:style>
  <w:style w:type="paragraph" w:customStyle="1" w:styleId="338">
    <w:name w:val=" Char Char11 Char Char Char"/>
    <w:basedOn w:val="1"/>
    <w:uiPriority w:val="0"/>
    <w:pPr>
      <w:spacing w:line="360" w:lineRule="auto"/>
    </w:pPr>
    <w:rPr>
      <w:szCs w:val="20"/>
    </w:rPr>
  </w:style>
  <w:style w:type="paragraph" w:customStyle="1" w:styleId="339">
    <w:name w:val="目录1"/>
    <w:basedOn w:val="1"/>
    <w:uiPriority w:val="0"/>
    <w:pPr>
      <w:tabs>
        <w:tab w:val="left" w:leader="dot" w:pos="8503"/>
      </w:tabs>
      <w:autoSpaceDE w:val="0"/>
      <w:autoSpaceDN w:val="0"/>
      <w:spacing w:after="136" w:afterLines="0" w:line="289" w:lineRule="atLeast"/>
      <w:ind w:firstLine="200" w:firstLineChars="200"/>
      <w:jc w:val="left"/>
    </w:pPr>
    <w:rPr>
      <w:rFonts w:ascii="Arial" w:hAnsi="Arial"/>
      <w:color w:val="000000"/>
      <w:kern w:val="0"/>
      <w:sz w:val="28"/>
      <w:szCs w:val="28"/>
    </w:rPr>
  </w:style>
  <w:style w:type="paragraph" w:customStyle="1" w:styleId="34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41">
    <w:name w:val="xl35"/>
    <w:basedOn w:val="1"/>
    <w:uiPriority w:val="0"/>
    <w:pPr>
      <w:widowControl/>
      <w:pBdr>
        <w:top w:val="single" w:color="auto" w:sz="4" w:space="0"/>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center"/>
    </w:pPr>
    <w:rPr>
      <w:rFonts w:ascii="宋体" w:hAnsi="宋体"/>
      <w:kern w:val="0"/>
      <w:sz w:val="20"/>
      <w:szCs w:val="20"/>
    </w:rPr>
  </w:style>
  <w:style w:type="paragraph" w:customStyle="1" w:styleId="342">
    <w:name w:val="样式3"/>
    <w:basedOn w:val="318"/>
    <w:qFormat/>
    <w:uiPriority w:val="0"/>
    <w:pPr>
      <w:spacing w:before="312" w:beforeLines="100"/>
      <w:jc w:val="left"/>
    </w:pPr>
  </w:style>
  <w:style w:type="paragraph" w:customStyle="1" w:styleId="343">
    <w:name w:val="表格题注"/>
    <w:next w:val="1"/>
    <w:uiPriority w:val="0"/>
    <w:pPr>
      <w:keepLines/>
      <w:numPr>
        <w:ilvl w:val="8"/>
        <w:numId w:val="4"/>
      </w:numPr>
      <w:spacing w:before="312" w:beforeLines="100"/>
      <w:ind w:left="1089" w:hanging="369"/>
      <w:jc w:val="center"/>
    </w:pPr>
    <w:rPr>
      <w:rFonts w:ascii="Arial" w:hAnsi="Arial"/>
      <w:sz w:val="18"/>
      <w:szCs w:val="18"/>
      <w:lang w:val="en-US" w:eastAsia="zh-CN" w:bidi="ar-SA"/>
    </w:rPr>
  </w:style>
  <w:style w:type="paragraph" w:customStyle="1" w:styleId="344">
    <w:name w:val="正文（标题三）"/>
    <w:basedOn w:val="1"/>
    <w:uiPriority w:val="0"/>
    <w:pPr>
      <w:spacing w:line="360" w:lineRule="auto"/>
      <w:ind w:firstLine="200" w:firstLineChars="200"/>
    </w:pPr>
    <w:rPr>
      <w:sz w:val="24"/>
    </w:rPr>
  </w:style>
  <w:style w:type="paragraph" w:customStyle="1" w:styleId="345">
    <w:name w:val="正文格式"/>
    <w:basedOn w:val="1"/>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346">
    <w:name w:val="默认段落字体 Para Char"/>
    <w:basedOn w:val="1"/>
    <w:uiPriority w:val="0"/>
    <w:rPr>
      <w:rFonts w:ascii="Tahoma" w:hAnsi="Tahoma"/>
      <w:sz w:val="24"/>
      <w:szCs w:val="20"/>
    </w:rPr>
  </w:style>
  <w:style w:type="paragraph" w:customStyle="1" w:styleId="347">
    <w:name w:val="Char19"/>
    <w:basedOn w:val="1"/>
    <w:uiPriority w:val="0"/>
    <w:pPr>
      <w:adjustRightInd/>
    </w:pPr>
    <w:rPr>
      <w:szCs w:val="20"/>
    </w:rPr>
  </w:style>
  <w:style w:type="paragraph" w:customStyle="1" w:styleId="348">
    <w:name w:val="封面文档标题"/>
    <w:basedOn w:val="1"/>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349">
    <w:name w:val="Char3 Char Char"/>
    <w:basedOn w:val="1"/>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50">
    <w:name w:val="Thf"/>
    <w:basedOn w:val="351"/>
    <w:uiPriority w:val="0"/>
    <w:pPr>
      <w:ind w:left="0"/>
    </w:pPr>
  </w:style>
  <w:style w:type="paragraph" w:customStyle="1" w:styleId="351">
    <w:name w:val="Th"/>
    <w:uiPriority w:val="0"/>
    <w:pPr>
      <w:keepNext/>
      <w:keepLines/>
      <w:spacing w:before="20" w:after="60" w:line="220" w:lineRule="exact"/>
      <w:ind w:left="240"/>
    </w:pPr>
    <w:rPr>
      <w:b/>
      <w:sz w:val="19"/>
      <w:lang w:val="en-US" w:eastAsia="en-US" w:bidi="ar-SA"/>
    </w:rPr>
  </w:style>
  <w:style w:type="paragraph" w:customStyle="1" w:styleId="352">
    <w:name w:val=" Char1 Char Char Char"/>
    <w:basedOn w:val="1"/>
    <w:uiPriority w:val="0"/>
    <w:rPr>
      <w:rFonts w:ascii="Tahoma" w:hAnsi="Tahoma"/>
      <w:sz w:val="24"/>
      <w:szCs w:val="20"/>
    </w:rPr>
  </w:style>
  <w:style w:type="paragraph" w:customStyle="1" w:styleId="353">
    <w:name w:val="数字标题1"/>
    <w:basedOn w:val="3"/>
    <w:next w:val="1"/>
    <w:uiPriority w:val="0"/>
    <w:pPr>
      <w:numPr>
        <w:ilvl w:val="0"/>
        <w:numId w:val="5"/>
      </w:numPr>
      <w:tabs>
        <w:tab w:val="clear" w:pos="432"/>
      </w:tabs>
    </w:pPr>
  </w:style>
  <w:style w:type="paragraph" w:customStyle="1" w:styleId="354">
    <w:name w:val="数字标题5"/>
    <w:basedOn w:val="7"/>
    <w:next w:val="1"/>
    <w:uiPriority w:val="0"/>
    <w:pPr>
      <w:numPr>
        <w:ilvl w:val="4"/>
        <w:numId w:val="5"/>
      </w:numPr>
      <w:tabs>
        <w:tab w:val="clear" w:pos="1008"/>
      </w:tabs>
    </w:pPr>
  </w:style>
  <w:style w:type="paragraph" w:customStyle="1" w:styleId="355">
    <w:name w:val="Char22"/>
    <w:basedOn w:val="1"/>
    <w:uiPriority w:val="0"/>
    <w:pPr>
      <w:adjustRightInd/>
      <w:spacing w:line="360" w:lineRule="auto"/>
      <w:ind w:firstLine="480" w:firstLineChars="200"/>
    </w:pPr>
    <w:rPr>
      <w:rFonts w:ascii="仿宋_GB2312" w:eastAsia="仿宋_GB2312"/>
      <w:b/>
      <w:sz w:val="32"/>
      <w:szCs w:val="32"/>
    </w:rPr>
  </w:style>
  <w:style w:type="paragraph" w:customStyle="1" w:styleId="356">
    <w:name w:val="body text bold"/>
    <w:basedOn w:val="23"/>
    <w:uiPriority w:val="0"/>
    <w:pPr>
      <w:widowControl/>
      <w:autoSpaceDE/>
      <w:autoSpaceDN/>
      <w:adjustRightInd/>
      <w:spacing w:line="240" w:lineRule="auto"/>
      <w:ind w:firstLineChars="200"/>
      <w:jc w:val="left"/>
    </w:pPr>
    <w:rPr>
      <w:rFonts w:ascii="Futura Hv" w:hAnsi="Futura Hv"/>
      <w:kern w:val="0"/>
      <w:sz w:val="18"/>
      <w:szCs w:val="20"/>
      <w:lang w:val="en-US" w:eastAsia="en-US"/>
    </w:rPr>
  </w:style>
  <w:style w:type="paragraph" w:customStyle="1" w:styleId="357">
    <w:name w:val="Char11"/>
    <w:basedOn w:val="1"/>
    <w:uiPriority w:val="0"/>
    <w:pPr>
      <w:tabs>
        <w:tab w:val="left" w:pos="432"/>
      </w:tabs>
      <w:adjustRightInd/>
      <w:spacing w:before="156" w:beforeLines="50" w:after="156" w:afterLines="50"/>
      <w:ind w:left="432" w:hanging="432" w:firstLineChars="200"/>
    </w:pPr>
    <w:rPr>
      <w:sz w:val="24"/>
    </w:rPr>
  </w:style>
  <w:style w:type="paragraph" w:customStyle="1" w:styleId="358">
    <w:name w:val="xl42"/>
    <w:basedOn w:val="1"/>
    <w:uiPriority w:val="0"/>
    <w:pPr>
      <w:widowControl/>
      <w:pBdr>
        <w:top w:val="single" w:color="auto" w:sz="4" w:space="0"/>
        <w:left w:val="single" w:color="auto" w:sz="4" w:space="0"/>
        <w:bottom w:val="single" w:color="auto" w:sz="4" w:space="0"/>
      </w:pBdr>
      <w:adjustRightInd/>
      <w:spacing w:before="100" w:beforeLines="0" w:beforeAutospacing="1" w:after="100" w:afterLines="0" w:afterAutospacing="1"/>
      <w:ind w:firstLine="200" w:firstLineChars="200"/>
      <w:jc w:val="center"/>
    </w:pPr>
    <w:rPr>
      <w:rFonts w:ascii="微软雅黑" w:hAnsi="微软雅黑" w:eastAsia="微软雅黑" w:cs="宋体"/>
      <w:b/>
      <w:bCs/>
      <w:kern w:val="0"/>
      <w:szCs w:val="21"/>
    </w:rPr>
  </w:style>
  <w:style w:type="paragraph" w:customStyle="1" w:styleId="359">
    <w:name w:val="List Paragraph1"/>
    <w:basedOn w:val="1"/>
    <w:qFormat/>
    <w:uiPriority w:val="34"/>
    <w:pPr>
      <w:spacing w:line="360" w:lineRule="auto"/>
      <w:ind w:firstLine="200" w:firstLineChars="200"/>
    </w:pPr>
    <w:rPr>
      <w:rFonts w:eastAsia="楷体_GB2312" w:cs="Lucida Sans"/>
      <w:sz w:val="24"/>
    </w:rPr>
  </w:style>
  <w:style w:type="paragraph" w:customStyle="1" w:styleId="360">
    <w:name w:val="a1"/>
    <w:basedOn w:val="1"/>
    <w:uiPriority w:val="0"/>
    <w:pPr>
      <w:widowControl/>
      <w:spacing w:line="300" w:lineRule="atLeast"/>
      <w:jc w:val="left"/>
    </w:pPr>
    <w:rPr>
      <w:rFonts w:ascii="宋体" w:hAnsi="宋体"/>
      <w:kern w:val="0"/>
      <w:sz w:val="18"/>
      <w:szCs w:val="20"/>
    </w:rPr>
  </w:style>
  <w:style w:type="paragraph" w:customStyle="1" w:styleId="361">
    <w:name w:val=" Char Char11 Char Char Char Char Char Char Char Char Char Char Char Char Char Char Char"/>
    <w:basedOn w:val="1"/>
    <w:uiPriority w:val="0"/>
    <w:pPr>
      <w:adjustRightInd/>
      <w:spacing w:line="360" w:lineRule="auto"/>
    </w:pPr>
    <w:rPr>
      <w:rFonts w:ascii="Arial" w:hAnsi="Arial" w:eastAsia="黑体" w:cs="Arial"/>
      <w:snapToGrid w:val="0"/>
      <w:kern w:val="0"/>
      <w:szCs w:val="21"/>
    </w:rPr>
  </w:style>
  <w:style w:type="paragraph" w:customStyle="1" w:styleId="362">
    <w:name w:val="Char Char Char Char Char Char Char"/>
    <w:basedOn w:val="1"/>
    <w:uiPriority w:val="0"/>
    <w:rPr>
      <w:rFonts w:ascii="仿宋_GB2312" w:eastAsia="仿宋_GB2312"/>
      <w:b/>
      <w:sz w:val="32"/>
      <w:szCs w:val="32"/>
    </w:rPr>
  </w:style>
  <w:style w:type="paragraph" w:customStyle="1" w:styleId="363">
    <w:name w:val="style25"/>
    <w:basedOn w:val="1"/>
    <w:uiPriority w:val="0"/>
    <w:pPr>
      <w:widowControl/>
      <w:adjustRightInd/>
      <w:spacing w:before="100" w:beforeLines="0" w:beforeAutospacing="1" w:after="100" w:afterLines="0" w:afterAutospacing="1"/>
      <w:ind w:firstLine="200" w:firstLineChars="200"/>
      <w:jc w:val="left"/>
    </w:pPr>
    <w:rPr>
      <w:rFonts w:ascii="宋体" w:hAnsi="宋体" w:cs="宋体"/>
      <w:color w:val="557AAF"/>
      <w:kern w:val="0"/>
      <w:sz w:val="18"/>
      <w:szCs w:val="18"/>
    </w:rPr>
  </w:style>
  <w:style w:type="paragraph" w:customStyle="1" w:styleId="364">
    <w:name w:val=" Char Char Char Char Char Char Char Char"/>
    <w:basedOn w:val="1"/>
    <w:uiPriority w:val="0"/>
    <w:pPr>
      <w:tabs>
        <w:tab w:val="left" w:pos="360"/>
      </w:tabs>
    </w:pPr>
    <w:rPr>
      <w:sz w:val="24"/>
      <w:szCs w:val="20"/>
    </w:rPr>
  </w:style>
  <w:style w:type="paragraph" w:styleId="365">
    <w:name w:val="No Spacing"/>
    <w:qFormat/>
    <w:uiPriority w:val="0"/>
    <w:pPr>
      <w:widowControl w:val="0"/>
      <w:jc w:val="both"/>
    </w:pPr>
    <w:rPr>
      <w:kern w:val="2"/>
      <w:sz w:val="21"/>
      <w:szCs w:val="22"/>
      <w:lang w:val="en-US" w:eastAsia="zh-CN" w:bidi="ar-SA"/>
    </w:rPr>
  </w:style>
  <w:style w:type="paragraph" w:customStyle="1" w:styleId="366">
    <w:name w:val="Char Char Char Char Char Char Char Char Char Char Char1 Char"/>
    <w:basedOn w:val="1"/>
    <w:uiPriority w:val="0"/>
    <w:pPr>
      <w:adjustRightInd/>
    </w:pPr>
    <w:rPr>
      <w:rFonts w:ascii="Tahoma" w:hAnsi="Tahoma"/>
      <w:sz w:val="24"/>
      <w:lang/>
    </w:rPr>
  </w:style>
  <w:style w:type="paragraph" w:customStyle="1" w:styleId="367">
    <w:name w:val="xl39"/>
    <w:basedOn w:val="1"/>
    <w:uiPriority w:val="0"/>
    <w:pPr>
      <w:widowControl/>
      <w:pBdr>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center"/>
    </w:pPr>
    <w:rPr>
      <w:rFonts w:ascii="宋体" w:hAnsi="宋体"/>
      <w:kern w:val="0"/>
      <w:sz w:val="20"/>
      <w:szCs w:val="20"/>
    </w:rPr>
  </w:style>
  <w:style w:type="paragraph" w:customStyle="1" w:styleId="368">
    <w:name w:val="chart text"/>
    <w:basedOn w:val="1"/>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9">
    <w:name w:val="Char"/>
    <w:basedOn w:val="1"/>
    <w:uiPriority w:val="0"/>
    <w:rPr>
      <w:rFonts w:ascii="仿宋_GB2312" w:eastAsia="仿宋_GB2312"/>
      <w:b/>
      <w:sz w:val="32"/>
      <w:szCs w:val="32"/>
    </w:rPr>
  </w:style>
  <w:style w:type="paragraph" w:customStyle="1" w:styleId="370">
    <w:name w:val="CM14"/>
    <w:basedOn w:val="294"/>
    <w:next w:val="294"/>
    <w:uiPriority w:val="0"/>
    <w:pPr>
      <w:spacing w:after="68" w:afterLines="0"/>
    </w:pPr>
    <w:rPr>
      <w:rFonts w:ascii="FHLHE E+ Futura Bk" w:eastAsia="FHLHE E+ Futura Bk" w:cs="Times New Roman"/>
      <w:color w:val="auto"/>
    </w:rPr>
  </w:style>
  <w:style w:type="paragraph" w:customStyle="1" w:styleId="371">
    <w:name w:val="Char Char1"/>
    <w:basedOn w:val="1"/>
    <w:uiPriority w:val="0"/>
    <w:pPr>
      <w:widowControl/>
      <w:spacing w:after="160" w:afterLines="0" w:line="240" w:lineRule="exact"/>
      <w:jc w:val="left"/>
    </w:pPr>
    <w:rPr>
      <w:rFonts w:eastAsia="仿宋_GB2312"/>
      <w:sz w:val="28"/>
    </w:rPr>
  </w:style>
  <w:style w:type="paragraph" w:customStyle="1" w:styleId="372">
    <w:name w:val="前言、引言标题"/>
    <w:next w:val="1"/>
    <w:uiPriority w:val="0"/>
    <w:pPr>
      <w:shd w:val="clear" w:color="FFFFFF" w:fill="FFFFFF"/>
      <w:tabs>
        <w:tab w:val="left" w:pos="840"/>
      </w:tabs>
      <w:spacing w:before="640" w:after="560"/>
      <w:ind w:left="840" w:hanging="420"/>
      <w:jc w:val="center"/>
      <w:outlineLvl w:val="0"/>
    </w:pPr>
    <w:rPr>
      <w:rFonts w:ascii="黑体" w:eastAsia="黑体"/>
      <w:sz w:val="32"/>
      <w:lang w:val="en-US" w:eastAsia="zh-CN" w:bidi="ar-SA"/>
    </w:rPr>
  </w:style>
  <w:style w:type="paragraph" w:customStyle="1" w:styleId="373">
    <w:name w:val="RFI Heading 2nd Level"/>
    <w:basedOn w:val="1"/>
    <w:uiPriority w:val="0"/>
    <w:pPr>
      <w:widowControl/>
      <w:tabs>
        <w:tab w:val="left" w:pos="1260"/>
      </w:tabs>
      <w:adjustRightInd/>
      <w:ind w:firstLineChars="200"/>
      <w:jc w:val="left"/>
    </w:pPr>
    <w:rPr>
      <w:rFonts w:ascii="Arial (W1)" w:hAnsi="Arial (W1)"/>
      <w:b/>
      <w:bCs/>
      <w:color w:val="0000FF"/>
      <w:kern w:val="0"/>
      <w:sz w:val="28"/>
      <w:lang w:val="en-GB" w:eastAsia="en-US"/>
    </w:rPr>
  </w:style>
  <w:style w:type="paragraph" w:customStyle="1" w:styleId="374">
    <w:name w:val="二级条标题"/>
    <w:basedOn w:val="375"/>
    <w:next w:val="377"/>
    <w:uiPriority w:val="0"/>
    <w:pPr>
      <w:tabs>
        <w:tab w:val="left" w:pos="2100"/>
      </w:tabs>
      <w:ind w:left="0"/>
      <w:outlineLvl w:val="3"/>
    </w:pPr>
  </w:style>
  <w:style w:type="paragraph" w:customStyle="1" w:styleId="375">
    <w:name w:val="一级条标题"/>
    <w:basedOn w:val="376"/>
    <w:next w:val="377"/>
    <w:uiPriority w:val="0"/>
    <w:pPr>
      <w:tabs>
        <w:tab w:val="left" w:pos="1680"/>
      </w:tabs>
      <w:spacing w:before="0" w:beforeLines="0" w:after="0" w:afterLines="0"/>
      <w:ind w:left="1680"/>
      <w:outlineLvl w:val="2"/>
    </w:pPr>
  </w:style>
  <w:style w:type="paragraph" w:customStyle="1" w:styleId="376">
    <w:name w:val="章标题"/>
    <w:next w:val="377"/>
    <w:uiPriority w:val="0"/>
    <w:pPr>
      <w:tabs>
        <w:tab w:val="left" w:pos="1260"/>
      </w:tabs>
      <w:spacing w:before="156" w:beforeLines="50" w:after="156" w:afterLines="50"/>
      <w:ind w:left="1260" w:hanging="420"/>
      <w:jc w:val="both"/>
      <w:outlineLvl w:val="1"/>
    </w:pPr>
    <w:rPr>
      <w:rFonts w:ascii="黑体" w:eastAsia="黑体"/>
      <w:sz w:val="21"/>
      <w:lang w:val="en-US" w:eastAsia="zh-CN" w:bidi="ar-SA"/>
    </w:rPr>
  </w:style>
  <w:style w:type="paragraph" w:customStyle="1" w:styleId="377">
    <w:name w:val="段"/>
    <w:uiPriority w:val="0"/>
    <w:pPr>
      <w:autoSpaceDE w:val="0"/>
      <w:autoSpaceDN w:val="0"/>
      <w:ind w:firstLine="200" w:firstLineChars="200"/>
      <w:jc w:val="both"/>
    </w:pPr>
    <w:rPr>
      <w:rFonts w:ascii="宋体"/>
      <w:sz w:val="21"/>
      <w:lang w:val="en-US" w:eastAsia="zh-CN" w:bidi="ar-SA"/>
    </w:rPr>
  </w:style>
  <w:style w:type="paragraph" w:customStyle="1" w:styleId="378">
    <w:name w:val="Char1 Char Char Char3"/>
    <w:basedOn w:val="1"/>
    <w:uiPriority w:val="0"/>
    <w:pPr>
      <w:adjustRightInd/>
      <w:ind w:firstLine="200" w:firstLineChars="200"/>
    </w:pPr>
    <w:rPr>
      <w:rFonts w:ascii="Tahoma" w:hAnsi="Tahoma"/>
      <w:sz w:val="24"/>
      <w:szCs w:val="20"/>
    </w:rPr>
  </w:style>
  <w:style w:type="paragraph" w:customStyle="1" w:styleId="379">
    <w:name w:val="样式 标题 1 + 黑色 段前: 0.5 行 段后: 0.5 行1"/>
    <w:basedOn w:val="3"/>
    <w:uiPriority w:val="0"/>
    <w:pPr>
      <w:keepLines w:val="0"/>
      <w:pageBreakBefore/>
      <w:numPr>
        <w:ilvl w:val="0"/>
        <w:numId w:val="0"/>
      </w:numPr>
      <w:pBdr>
        <w:top w:val="single" w:color="auto" w:sz="4" w:space="1"/>
        <w:left w:val="single" w:color="auto" w:sz="4" w:space="4"/>
        <w:bottom w:val="single" w:color="auto" w:sz="4" w:space="1"/>
        <w:right w:val="single" w:color="auto" w:sz="4" w:space="4"/>
      </w:pBdr>
      <w:shd w:val="clear" w:color="auto" w:fill="333399"/>
      <w:adjustRightInd/>
      <w:spacing w:before="0" w:beforeLines="0" w:after="0" w:afterLines="0" w:line="640" w:lineRule="exact"/>
      <w:ind w:left="431" w:hanging="431"/>
      <w:jc w:val="center"/>
    </w:pPr>
    <w:rPr>
      <w:rFonts w:ascii="黑体" w:hAnsi="黑体" w:eastAsia="黑体" w:cs="Arial"/>
      <w:caps/>
      <w:color w:val="FFFFFF"/>
      <w:kern w:val="2"/>
      <w:sz w:val="30"/>
      <w:szCs w:val="20"/>
    </w:rPr>
  </w:style>
  <w:style w:type="paragraph" w:customStyle="1" w:styleId="380">
    <w:name w:val="样式1 + (中宋体"/>
    <w:basedOn w:val="381"/>
    <w:uiPriority w:val="0"/>
    <w:pPr>
      <w:widowControl w:val="0"/>
      <w:tabs>
        <w:tab w:val="left" w:pos="1200"/>
      </w:tabs>
      <w:adjustRightInd/>
      <w:snapToGrid/>
      <w:spacing w:line="360" w:lineRule="auto"/>
      <w:ind w:left="1200" w:hanging="360" w:firstLineChars="200"/>
      <w:jc w:val="both"/>
    </w:pPr>
    <w:rPr>
      <w:kern w:val="2"/>
      <w:szCs w:val="24"/>
    </w:rPr>
  </w:style>
  <w:style w:type="paragraph" w:customStyle="1" w:styleId="381">
    <w:name w:val="样式1"/>
    <w:basedOn w:val="1"/>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82">
    <w:name w:val="font8"/>
    <w:basedOn w:val="1"/>
    <w:uiPriority w:val="0"/>
    <w:pPr>
      <w:widowControl/>
      <w:adjustRightInd/>
      <w:spacing w:before="100" w:beforeLines="0" w:beforeAutospacing="1" w:after="100" w:afterLines="0" w:afterAutospacing="1"/>
      <w:jc w:val="left"/>
    </w:pPr>
    <w:rPr>
      <w:color w:val="000000"/>
      <w:kern w:val="0"/>
      <w:sz w:val="20"/>
      <w:szCs w:val="20"/>
    </w:rPr>
  </w:style>
  <w:style w:type="paragraph" w:customStyle="1" w:styleId="383">
    <w:name w:val="aspnumfaautoadjustrightr"/>
    <w:uiPriority w:val="0"/>
    <w:pPr>
      <w:widowControl w:val="0"/>
      <w:autoSpaceDE w:val="0"/>
      <w:autoSpaceDN w:val="0"/>
      <w:adjustRightInd w:val="0"/>
      <w:ind w:firstLine="720"/>
      <w:jc w:val="both"/>
    </w:pPr>
    <w:rPr>
      <w:lang w:val="en-US" w:eastAsia="zh-CN" w:bidi="ar-SA"/>
    </w:rPr>
  </w:style>
  <w:style w:type="paragraph" w:customStyle="1" w:styleId="384">
    <w:name w:val="规范正文"/>
    <w:basedOn w:val="1"/>
    <w:uiPriority w:val="0"/>
    <w:pPr>
      <w:tabs>
        <w:tab w:val="left" w:pos="840"/>
      </w:tabs>
      <w:spacing w:before="156" w:beforeLines="50" w:line="360" w:lineRule="auto"/>
      <w:ind w:left="840" w:hanging="420"/>
      <w:textAlignment w:val="baseline"/>
    </w:pPr>
    <w:rPr>
      <w:szCs w:val="20"/>
    </w:rPr>
  </w:style>
  <w:style w:type="paragraph" w:customStyle="1" w:styleId="385">
    <w:name w:val="小节"/>
    <w:basedOn w:val="5"/>
    <w:uiPriority w:val="0"/>
    <w:pPr>
      <w:numPr>
        <w:ilvl w:val="2"/>
        <w:numId w:val="0"/>
      </w:numPr>
      <w:adjustRightInd/>
      <w:spacing w:before="200" w:beforeLines="0" w:after="200" w:afterLines="0" w:line="560" w:lineRule="exact"/>
      <w:jc w:val="left"/>
    </w:pPr>
    <w:rPr>
      <w:rFonts w:ascii="宋体" w:hAnsi="宋体"/>
      <w:bCs w:val="0"/>
      <w:color w:val="000000"/>
      <w:spacing w:val="10"/>
      <w:kern w:val="24"/>
      <w:sz w:val="28"/>
      <w:lang w:val="en-US" w:eastAsia="zh-CN"/>
    </w:rPr>
  </w:style>
  <w:style w:type="paragraph" w:customStyle="1" w:styleId="386">
    <w:name w:val="正文文字缩进"/>
    <w:basedOn w:val="1"/>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87">
    <w:name w:val=" Char Char Char1 Char"/>
    <w:basedOn w:val="1"/>
    <w:uiPriority w:val="0"/>
    <w:rPr>
      <w:szCs w:val="20"/>
    </w:rPr>
  </w:style>
  <w:style w:type="paragraph" w:customStyle="1" w:styleId="388">
    <w:name w:val="Char1 Char Char Char2"/>
    <w:basedOn w:val="1"/>
    <w:uiPriority w:val="0"/>
    <w:pPr>
      <w:adjustRightInd/>
      <w:ind w:firstLine="200" w:firstLineChars="200"/>
    </w:pPr>
    <w:rPr>
      <w:rFonts w:ascii="Tahoma" w:hAnsi="Tahoma"/>
      <w:sz w:val="24"/>
      <w:szCs w:val="20"/>
    </w:rPr>
  </w:style>
  <w:style w:type="paragraph" w:customStyle="1" w:styleId="389">
    <w:name w:val="标书表格字体格式"/>
    <w:next w:val="390"/>
    <w:uiPriority w:val="0"/>
    <w:rPr>
      <w:kern w:val="2"/>
      <w:sz w:val="21"/>
      <w:szCs w:val="24"/>
      <w:lang w:val="en-US" w:eastAsia="zh-CN" w:bidi="ar-SA"/>
    </w:rPr>
  </w:style>
  <w:style w:type="paragraph" w:customStyle="1" w:styleId="390">
    <w:name w:val="标书正文格式"/>
    <w:uiPriority w:val="0"/>
    <w:pPr>
      <w:spacing w:line="360" w:lineRule="auto"/>
      <w:ind w:firstLine="200" w:firstLineChars="200"/>
    </w:pPr>
    <w:rPr>
      <w:rFonts w:eastAsia="楷体_GB2312"/>
      <w:kern w:val="2"/>
      <w:sz w:val="24"/>
      <w:szCs w:val="24"/>
      <w:lang w:val="en-US" w:eastAsia="zh-CN" w:bidi="ar-SA"/>
    </w:rPr>
  </w:style>
  <w:style w:type="paragraph" w:customStyle="1" w:styleId="391">
    <w:name w:val="样式 样式 正文文本缩进 + 仿宋_GB2312 小四 首行缩进:  0 厘米 行距: 1.5 倍行距 + (中文) 仿宋_GB... Char Char"/>
    <w:basedOn w:val="1"/>
    <w:uiPriority w:val="0"/>
    <w:pPr>
      <w:spacing w:line="360" w:lineRule="auto"/>
      <w:ind w:firstLine="480" w:firstLineChars="200"/>
    </w:pPr>
    <w:rPr>
      <w:rFonts w:ascii="仿宋_GB2312" w:eastAsia="新宋体"/>
      <w:sz w:val="24"/>
      <w:szCs w:val="20"/>
    </w:rPr>
  </w:style>
  <w:style w:type="paragraph" w:customStyle="1" w:styleId="392">
    <w:name w:val="xl40"/>
    <w:basedOn w:val="1"/>
    <w:uiPriority w:val="0"/>
    <w:pPr>
      <w:widowControl/>
      <w:pBdr>
        <w:top w:val="single" w:color="auto" w:sz="4" w:space="0"/>
        <w:bottom w:val="single" w:color="auto" w:sz="4" w:space="0"/>
        <w:right w:val="single" w:color="auto" w:sz="4" w:space="0"/>
      </w:pBdr>
      <w:adjustRightInd/>
      <w:spacing w:before="100" w:beforeLines="0" w:beforeAutospacing="1" w:after="100" w:afterLines="0" w:afterAutospacing="1"/>
      <w:ind w:firstLine="200" w:firstLineChars="200"/>
      <w:jc w:val="center"/>
    </w:pPr>
    <w:rPr>
      <w:rFonts w:ascii="微软雅黑" w:hAnsi="微软雅黑" w:eastAsia="微软雅黑" w:cs="宋体"/>
      <w:b/>
      <w:bCs/>
      <w:kern w:val="0"/>
      <w:sz w:val="24"/>
    </w:rPr>
  </w:style>
  <w:style w:type="paragraph" w:customStyle="1" w:styleId="393">
    <w:name w:val="表格项目符号 2"/>
    <w:basedOn w:val="28"/>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394">
    <w:name w:val="xl31"/>
    <w:basedOn w:val="1"/>
    <w:uiPriority w:val="0"/>
    <w:pPr>
      <w:widowControl/>
      <w:pBdr>
        <w:top w:val="single" w:color="auto" w:sz="4" w:space="0"/>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left"/>
    </w:pPr>
    <w:rPr>
      <w:kern w:val="0"/>
      <w:sz w:val="20"/>
      <w:szCs w:val="20"/>
    </w:rPr>
  </w:style>
  <w:style w:type="paragraph" w:customStyle="1" w:styleId="395">
    <w:name w:val="样式 正文文本缩进 + 段前: 2 字符"/>
    <w:basedOn w:val="1"/>
    <w:uiPriority w:val="0"/>
    <w:pPr>
      <w:adjustRightInd/>
      <w:ind w:left="420" w:leftChars="200"/>
      <w:jc w:val="left"/>
    </w:pPr>
    <w:rPr>
      <w:sz w:val="28"/>
      <w:szCs w:val="20"/>
      <w:lang w:eastAsia="zh-TW"/>
    </w:rPr>
  </w:style>
  <w:style w:type="paragraph" w:customStyle="1" w:styleId="396">
    <w:name w:val="xl37"/>
    <w:basedOn w:val="1"/>
    <w:uiPriority w:val="0"/>
    <w:pPr>
      <w:widowControl/>
      <w:pBdr>
        <w:top w:val="single" w:color="auto" w:sz="4" w:space="0"/>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center"/>
    </w:pPr>
    <w:rPr>
      <w:rFonts w:ascii="宋体" w:hAnsi="宋体"/>
      <w:kern w:val="0"/>
      <w:sz w:val="20"/>
      <w:szCs w:val="20"/>
    </w:rPr>
  </w:style>
  <w:style w:type="paragraph" w:customStyle="1" w:styleId="397">
    <w:name w:val="单元格居中"/>
    <w:basedOn w:val="1"/>
    <w:uiPriority w:val="0"/>
    <w:pPr>
      <w:adjustRightInd/>
      <w:spacing w:line="360" w:lineRule="auto"/>
      <w:jc w:val="center"/>
    </w:pPr>
    <w:rPr>
      <w:sz w:val="24"/>
    </w:rPr>
  </w:style>
  <w:style w:type="paragraph" w:customStyle="1" w:styleId="398">
    <w:name w:val="单元格左对齐"/>
    <w:basedOn w:val="1"/>
    <w:uiPriority w:val="0"/>
    <w:pPr>
      <w:adjustRightInd/>
      <w:spacing w:line="360" w:lineRule="auto"/>
    </w:pPr>
    <w:rPr>
      <w:sz w:val="24"/>
    </w:rPr>
  </w:style>
  <w:style w:type="paragraph" w:customStyle="1" w:styleId="399">
    <w:name w:val="样式 标题 2H2h2Underrubrik1prop2l2Chapter Titlesect 1.2DO NO..."/>
    <w:basedOn w:val="4"/>
    <w:uiPriority w:val="0"/>
    <w:pPr>
      <w:numPr>
        <w:ilvl w:val="0"/>
        <w:numId w:val="0"/>
      </w:numPr>
      <w:spacing w:before="120" w:beforeLines="0" w:after="120" w:afterLines="0"/>
      <w:ind w:left="425" w:hanging="425"/>
    </w:pPr>
    <w:rPr>
      <w:rFonts w:ascii="微软雅黑" w:hAnsi="微软雅黑" w:eastAsia="微软雅黑" w:cs="宋体"/>
      <w:sz w:val="32"/>
      <w:szCs w:val="20"/>
      <w:lang w:val="en-US"/>
    </w:rPr>
  </w:style>
  <w:style w:type="paragraph" w:customStyle="1" w:styleId="400">
    <w:name w:val="模板普通正文"/>
    <w:basedOn w:val="24"/>
    <w:uiPriority w:val="0"/>
    <w:pPr>
      <w:adjustRightInd/>
      <w:spacing w:before="156" w:beforeLines="50" w:after="10" w:afterLines="0" w:line="360" w:lineRule="auto"/>
      <w:ind w:firstLine="175" w:firstLineChars="175"/>
      <w:jc w:val="left"/>
    </w:pPr>
    <w:rPr>
      <w:rFonts w:ascii="Times New Roman" w:hAnsi="Times New Roman"/>
    </w:rPr>
  </w:style>
  <w:style w:type="paragraph" w:customStyle="1" w:styleId="401">
    <w:name w:val="表格内文"/>
    <w:basedOn w:val="1"/>
    <w:uiPriority w:val="0"/>
    <w:pPr>
      <w:adjustRightInd/>
      <w:spacing w:line="360" w:lineRule="auto"/>
    </w:pPr>
    <w:rPr>
      <w:rFonts w:ascii="宋体" w:hAnsi="宋体" w:cs="宋体"/>
      <w:color w:val="000000"/>
      <w:szCs w:val="20"/>
    </w:rPr>
  </w:style>
  <w:style w:type="paragraph" w:customStyle="1" w:styleId="402">
    <w:name w:val="节标题"/>
    <w:basedOn w:val="1"/>
    <w:uiPriority w:val="0"/>
    <w:pPr>
      <w:autoSpaceDE w:val="0"/>
      <w:autoSpaceDN w:val="0"/>
      <w:spacing w:line="289" w:lineRule="atLeast"/>
      <w:ind w:firstLine="200" w:firstLineChars="200"/>
      <w:jc w:val="center"/>
    </w:pPr>
    <w:rPr>
      <w:color w:val="000000"/>
      <w:kern w:val="0"/>
      <w:sz w:val="28"/>
      <w:szCs w:val="28"/>
    </w:rPr>
  </w:style>
  <w:style w:type="paragraph" w:customStyle="1" w:styleId="403">
    <w:name w:val="Char2 Char Char"/>
    <w:basedOn w:val="1"/>
    <w:uiPriority w:val="0"/>
    <w:pPr>
      <w:adjustRightInd/>
    </w:pPr>
    <w:rPr>
      <w:rFonts w:ascii="Tahoma" w:hAnsi="Tahoma"/>
      <w:sz w:val="24"/>
      <w:szCs w:val="20"/>
    </w:rPr>
  </w:style>
  <w:style w:type="paragraph" w:customStyle="1" w:styleId="404">
    <w:name w:val="默认段落字体 Para Char Char Char Char Char Char Char"/>
    <w:basedOn w:val="1"/>
    <w:uiPriority w:val="0"/>
    <w:rPr>
      <w:rFonts w:eastAsia="仿宋_GB2312"/>
      <w:sz w:val="28"/>
      <w:szCs w:val="20"/>
    </w:rPr>
  </w:style>
  <w:style w:type="paragraph" w:customStyle="1" w:styleId="405">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406">
    <w:name w:val="说明"/>
    <w:basedOn w:val="1"/>
    <w:uiPriority w:val="0"/>
    <w:pPr>
      <w:autoSpaceDE w:val="0"/>
      <w:autoSpaceDN w:val="0"/>
      <w:spacing w:line="440" w:lineRule="exact"/>
      <w:ind w:firstLine="200" w:firstLineChars="200"/>
    </w:pPr>
    <w:rPr>
      <w:rFonts w:ascii="宋体"/>
      <w:b/>
      <w:bCs/>
      <w:i/>
      <w:iCs/>
      <w:color w:val="0000FF"/>
      <w:kern w:val="0"/>
      <w:sz w:val="24"/>
    </w:rPr>
  </w:style>
  <w:style w:type="paragraph" w:customStyle="1" w:styleId="407">
    <w:name w:val="MM Topic 3"/>
    <w:basedOn w:val="5"/>
    <w:uiPriority w:val="0"/>
    <w:pPr>
      <w:numPr>
        <w:ilvl w:val="2"/>
        <w:numId w:val="4"/>
      </w:numPr>
      <w:tabs>
        <w:tab w:val="clear" w:pos="900"/>
      </w:tabs>
      <w:adjustRightInd/>
    </w:pPr>
    <w:rPr>
      <w:lang w:val="en-US" w:eastAsia="zh-CN"/>
    </w:rPr>
  </w:style>
  <w:style w:type="paragraph" w:customStyle="1" w:styleId="408">
    <w:name w:val="注释"/>
    <w:basedOn w:val="1"/>
    <w:uiPriority w:val="0"/>
    <w:pPr>
      <w:adjustRightInd/>
      <w:spacing w:line="360" w:lineRule="auto"/>
      <w:ind w:firstLine="480"/>
    </w:pPr>
    <w:rPr>
      <w:sz w:val="24"/>
    </w:rPr>
  </w:style>
  <w:style w:type="paragraph" w:customStyle="1" w:styleId="409">
    <w:name w:val="样式 正文文本缩进 + 左侧:  2 字符 首行缩进:  2 字符"/>
    <w:basedOn w:val="24"/>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10">
    <w:name w:val=" Char2 Char Char Char"/>
    <w:basedOn w:val="1"/>
    <w:uiPriority w:val="0"/>
    <w:rPr>
      <w:rFonts w:ascii="仿宋_GB2312" w:eastAsia="仿宋_GB2312"/>
      <w:b/>
      <w:sz w:val="32"/>
      <w:szCs w:val="32"/>
    </w:rPr>
  </w:style>
  <w:style w:type="paragraph" w:customStyle="1" w:styleId="411">
    <w:name w:val="tableheading"/>
    <w:basedOn w:val="1"/>
    <w:uiPriority w:val="0"/>
    <w:pPr>
      <w:widowControl/>
      <w:adjustRightInd/>
      <w:spacing w:before="100" w:beforeLines="0" w:beforeAutospacing="1" w:after="100" w:afterLines="0" w:afterAutospacing="1"/>
      <w:jc w:val="left"/>
    </w:pPr>
    <w:rPr>
      <w:rFonts w:ascii="宋体" w:hAnsi="宋体" w:cs="宋体"/>
      <w:kern w:val="0"/>
      <w:sz w:val="24"/>
    </w:rPr>
  </w:style>
  <w:style w:type="paragraph" w:customStyle="1" w:styleId="412">
    <w:name w:val="xl24"/>
    <w:basedOn w:val="1"/>
    <w:uiPriority w:val="0"/>
    <w:pPr>
      <w:widowControl/>
      <w:pBdr>
        <w:top w:val="single" w:color="auto" w:sz="4" w:space="0"/>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left"/>
    </w:pPr>
    <w:rPr>
      <w:rFonts w:ascii="宋体" w:hAnsi="宋体"/>
      <w:kern w:val="0"/>
      <w:sz w:val="20"/>
      <w:szCs w:val="20"/>
    </w:rPr>
  </w:style>
  <w:style w:type="paragraph" w:customStyle="1" w:styleId="413">
    <w:name w:val="表格标题2"/>
    <w:basedOn w:val="401"/>
    <w:uiPriority w:val="0"/>
    <w:rPr>
      <w:b/>
    </w:rPr>
  </w:style>
  <w:style w:type="paragraph" w:customStyle="1" w:styleId="414">
    <w:name w:val="_Style 12"/>
    <w:basedOn w:val="19"/>
    <w:uiPriority w:val="0"/>
    <w:pPr>
      <w:snapToGrid w:val="0"/>
      <w:spacing w:line="360" w:lineRule="auto"/>
    </w:pPr>
  </w:style>
  <w:style w:type="paragraph" w:customStyle="1" w:styleId="415">
    <w:name w:val="style82 f9a f9a f9a"/>
    <w:basedOn w:val="1"/>
    <w:uiPriority w:val="0"/>
    <w:pPr>
      <w:widowControl/>
      <w:spacing w:before="100" w:beforeLines="0" w:beforeAutospacing="1" w:after="100" w:afterLines="0" w:afterAutospacing="1" w:line="276" w:lineRule="auto"/>
      <w:jc w:val="left"/>
    </w:pPr>
    <w:rPr>
      <w:rFonts w:ascii="宋体" w:hAnsi="宋体"/>
      <w:kern w:val="0"/>
      <w:sz w:val="24"/>
      <w:szCs w:val="20"/>
    </w:rPr>
  </w:style>
  <w:style w:type="paragraph" w:customStyle="1" w:styleId="416">
    <w:name w:val="RFI Heading 3rd Level"/>
    <w:basedOn w:val="1"/>
    <w:uiPriority w:val="0"/>
    <w:pPr>
      <w:widowControl/>
      <w:tabs>
        <w:tab w:val="left" w:pos="840"/>
      </w:tabs>
      <w:adjustRightInd/>
      <w:ind w:firstLineChars="200"/>
      <w:jc w:val="left"/>
    </w:pPr>
    <w:rPr>
      <w:rFonts w:ascii="Arial (W1)" w:hAnsi="Arial (W1)"/>
      <w:color w:val="000000"/>
      <w:kern w:val="0"/>
      <w:sz w:val="24"/>
      <w:lang w:val="en-GB" w:eastAsia="en-US"/>
    </w:rPr>
  </w:style>
  <w:style w:type="paragraph" w:customStyle="1" w:styleId="417">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418">
    <w:name w:val="表格标题1"/>
    <w:basedOn w:val="1"/>
    <w:uiPriority w:val="0"/>
    <w:pPr>
      <w:adjustRightInd/>
      <w:spacing w:line="360" w:lineRule="auto"/>
      <w:jc w:val="center"/>
    </w:pPr>
    <w:rPr>
      <w:rFonts w:ascii="宋体" w:hAnsi="宋体" w:cs="宋体"/>
      <w:b/>
      <w:bCs/>
      <w:color w:val="000000"/>
      <w:sz w:val="24"/>
      <w:szCs w:val="21"/>
    </w:rPr>
  </w:style>
  <w:style w:type="paragraph" w:customStyle="1" w:styleId="419">
    <w:name w:val="正文文字 2"/>
    <w:basedOn w:val="294"/>
    <w:next w:val="294"/>
    <w:uiPriority w:val="0"/>
    <w:rPr>
      <w:rFonts w:ascii="宋体" w:eastAsia="宋体" w:cs="Times New Roman"/>
      <w:color w:val="auto"/>
    </w:rPr>
  </w:style>
  <w:style w:type="paragraph" w:customStyle="1" w:styleId="420">
    <w:name w:val="数字标题3"/>
    <w:basedOn w:val="5"/>
    <w:next w:val="1"/>
    <w:uiPriority w:val="0"/>
    <w:pPr>
      <w:numPr>
        <w:ilvl w:val="2"/>
        <w:numId w:val="0"/>
      </w:numPr>
      <w:spacing w:line="240" w:lineRule="auto"/>
    </w:pPr>
    <w:rPr>
      <w:sz w:val="28"/>
      <w:szCs w:val="28"/>
    </w:rPr>
  </w:style>
  <w:style w:type="paragraph" w:customStyle="1" w:styleId="421">
    <w:name w:val="目录标题"/>
    <w:basedOn w:val="1"/>
    <w:uiPriority w:val="0"/>
    <w:pPr>
      <w:autoSpaceDE w:val="0"/>
      <w:autoSpaceDN w:val="0"/>
      <w:spacing w:before="566" w:beforeLines="0" w:after="544" w:afterLines="0" w:line="566" w:lineRule="atLeast"/>
      <w:ind w:firstLine="419" w:firstLineChars="200"/>
      <w:jc w:val="center"/>
    </w:pPr>
    <w:rPr>
      <w:rFonts w:ascii="Arial" w:hAnsi="Arial"/>
      <w:color w:val="000000"/>
      <w:spacing w:val="565"/>
      <w:kern w:val="0"/>
      <w:sz w:val="54"/>
      <w:szCs w:val="54"/>
    </w:rPr>
  </w:style>
  <w:style w:type="paragraph" w:customStyle="1" w:styleId="422">
    <w:name w:val="MM Topic 1"/>
    <w:basedOn w:val="3"/>
    <w:uiPriority w:val="0"/>
    <w:pPr>
      <w:numPr>
        <w:ilvl w:val="0"/>
        <w:numId w:val="0"/>
      </w:numPr>
      <w:tabs>
        <w:tab w:val="left" w:pos="840"/>
      </w:tabs>
      <w:adjustRightInd/>
      <w:ind w:left="840" w:hanging="420"/>
    </w:pPr>
  </w:style>
  <w:style w:type="paragraph" w:customStyle="1" w:styleId="423">
    <w:name w:val="样式 宋体 行距: 1.5 倍行距 首行缩进:  2 字符"/>
    <w:basedOn w:val="1"/>
    <w:uiPriority w:val="0"/>
    <w:pPr>
      <w:adjustRightInd/>
      <w:spacing w:line="360" w:lineRule="auto"/>
      <w:ind w:firstLine="420" w:firstLineChars="200"/>
    </w:pPr>
    <w:rPr>
      <w:rFonts w:ascii="宋体" w:hAnsi="宋体"/>
      <w:sz w:val="24"/>
      <w:szCs w:val="20"/>
    </w:rPr>
  </w:style>
  <w:style w:type="paragraph" w:customStyle="1" w:styleId="424">
    <w:name w:val="三级条标题"/>
    <w:basedOn w:val="374"/>
    <w:next w:val="377"/>
    <w:uiPriority w:val="0"/>
    <w:pPr>
      <w:numPr>
        <w:ilvl w:val="0"/>
        <w:numId w:val="0"/>
      </w:numPr>
      <w:tabs>
        <w:tab w:val="left" w:pos="2520"/>
        <w:tab w:val="clear" w:pos="2100"/>
      </w:tabs>
      <w:ind w:left="2520" w:hanging="420"/>
      <w:outlineLvl w:val="4"/>
    </w:pPr>
  </w:style>
  <w:style w:type="paragraph" w:customStyle="1" w:styleId="425">
    <w:name w:val="目录3"/>
    <w:basedOn w:val="1"/>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26">
    <w:name w:val="正文缩进1"/>
    <w:basedOn w:val="1"/>
    <w:next w:val="24"/>
    <w:uiPriority w:val="0"/>
    <w:pPr>
      <w:autoSpaceDE w:val="0"/>
      <w:autoSpaceDN w:val="0"/>
      <w:adjustRightInd w:val="0"/>
      <w:snapToGrid w:val="0"/>
      <w:spacing w:after="120" w:afterLines="0" w:line="360" w:lineRule="auto"/>
      <w:ind w:left="420" w:leftChars="200" w:firstLine="480" w:firstLineChars="200"/>
    </w:pPr>
    <w:rPr>
      <w:sz w:val="24"/>
      <w:szCs w:val="21"/>
    </w:rPr>
  </w:style>
  <w:style w:type="paragraph" w:customStyle="1" w:styleId="427">
    <w:name w:val="xl27"/>
    <w:basedOn w:val="1"/>
    <w:uiPriority w:val="0"/>
    <w:pPr>
      <w:widowControl/>
      <w:pBdr>
        <w:top w:val="single" w:color="auto" w:sz="4" w:space="0"/>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left"/>
      <w:textAlignment w:val="top"/>
    </w:pPr>
    <w:rPr>
      <w:rFonts w:ascii="宋体" w:hAnsi="宋体"/>
      <w:kern w:val="0"/>
      <w:sz w:val="20"/>
      <w:szCs w:val="20"/>
    </w:rPr>
  </w:style>
  <w:style w:type="paragraph" w:customStyle="1" w:styleId="428">
    <w:name w:val="Char Char Char1 Char"/>
    <w:basedOn w:val="1"/>
    <w:uiPriority w:val="0"/>
    <w:rPr>
      <w:szCs w:val="20"/>
    </w:rPr>
  </w:style>
  <w:style w:type="paragraph" w:customStyle="1" w:styleId="429">
    <w:name w:val="彩色底纹 - 强调文字颜色 11"/>
    <w:uiPriority w:val="0"/>
    <w:rPr>
      <w:kern w:val="2"/>
      <w:sz w:val="21"/>
      <w:szCs w:val="24"/>
      <w:lang w:val="en-US" w:eastAsia="zh-CN" w:bidi="ar-SA"/>
    </w:rPr>
  </w:style>
  <w:style w:type="paragraph" w:customStyle="1" w:styleId="430">
    <w:name w:val="Char3"/>
    <w:basedOn w:val="1"/>
    <w:uiPriority w:val="0"/>
    <w:pPr>
      <w:adjustRightInd/>
      <w:ind w:firstLine="200" w:firstLineChars="200"/>
    </w:pPr>
    <w:rPr>
      <w:rFonts w:ascii="Tahoma" w:hAnsi="Tahoma"/>
      <w:sz w:val="24"/>
      <w:szCs w:val="20"/>
    </w:rPr>
  </w:style>
  <w:style w:type="paragraph" w:customStyle="1" w:styleId="431">
    <w:name w:val="默认段落样式"/>
    <w:basedOn w:val="196"/>
    <w:qFormat/>
    <w:uiPriority w:val="0"/>
    <w:pPr>
      <w:spacing w:before="0" w:beforeLines="0"/>
      <w:ind w:firstLine="480"/>
      <w:outlineLvl w:val="2"/>
    </w:pPr>
    <w:rPr>
      <w:rFonts w:ascii="仿宋_GB2312" w:hAnsi="宋体" w:eastAsia="仿宋_GB2312"/>
      <w:color w:val="000000"/>
      <w:szCs w:val="24"/>
    </w:rPr>
  </w:style>
  <w:style w:type="paragraph" w:customStyle="1" w:styleId="432">
    <w:name w:val="有符号正文"/>
    <w:basedOn w:val="1"/>
    <w:uiPriority w:val="0"/>
    <w:pPr>
      <w:adjustRightInd/>
      <w:spacing w:line="400" w:lineRule="exact"/>
      <w:ind w:firstLine="200" w:firstLineChars="200"/>
    </w:pPr>
    <w:rPr>
      <w:rFonts w:ascii="Arial" w:hAnsi="Arial"/>
    </w:rPr>
  </w:style>
  <w:style w:type="paragraph" w:customStyle="1" w:styleId="433">
    <w:name w:val="MM Empty"/>
    <w:basedOn w:val="1"/>
    <w:uiPriority w:val="0"/>
    <w:pPr>
      <w:adjustRightInd/>
    </w:pPr>
  </w:style>
  <w:style w:type="paragraph" w:customStyle="1" w:styleId="434">
    <w:name w:val="正文21"/>
    <w:basedOn w:val="1"/>
    <w:uiPriority w:val="0"/>
    <w:pPr>
      <w:adjustRightInd/>
      <w:spacing w:before="156" w:beforeLines="0" w:line="360" w:lineRule="auto"/>
      <w:ind w:firstLine="510" w:firstLineChars="200"/>
    </w:pPr>
    <w:rPr>
      <w:sz w:val="24"/>
      <w:szCs w:val="20"/>
    </w:rPr>
  </w:style>
  <w:style w:type="paragraph" w:customStyle="1" w:styleId="435">
    <w:name w:val="Char21"/>
    <w:basedOn w:val="1"/>
    <w:uiPriority w:val="0"/>
    <w:pPr>
      <w:adjustRightInd/>
      <w:ind w:firstLine="200" w:firstLineChars="200"/>
    </w:pPr>
    <w:rPr>
      <w:rFonts w:ascii="仿宋_GB2312" w:eastAsia="仿宋_GB2312"/>
      <w:b/>
      <w:sz w:val="32"/>
      <w:szCs w:val="32"/>
    </w:rPr>
  </w:style>
  <w:style w:type="paragraph" w:customStyle="1" w:styleId="436">
    <w:name w:val="封面"/>
    <w:basedOn w:val="1"/>
    <w:uiPriority w:val="0"/>
    <w:pPr>
      <w:spacing w:line="360" w:lineRule="atLeast"/>
      <w:jc w:val="right"/>
      <w:textAlignment w:val="baseline"/>
    </w:pPr>
    <w:rPr>
      <w:rFonts w:ascii="Symbol" w:hAnsi="Symbol"/>
      <w:kern w:val="0"/>
      <w:szCs w:val="20"/>
    </w:rPr>
  </w:style>
  <w:style w:type="paragraph" w:customStyle="1" w:styleId="437">
    <w:name w:val=" Char Char11 Char Char Char Char Char Char Char Char Char Char Char"/>
    <w:basedOn w:val="1"/>
    <w:uiPriority w:val="0"/>
    <w:pPr>
      <w:adjustRightInd/>
      <w:spacing w:line="360" w:lineRule="auto"/>
    </w:pPr>
    <w:rPr>
      <w:rFonts w:ascii="Arial" w:hAnsi="Arial" w:eastAsia="黑体" w:cs="Arial"/>
      <w:snapToGrid w:val="0"/>
      <w:kern w:val="0"/>
      <w:szCs w:val="21"/>
    </w:rPr>
  </w:style>
  <w:style w:type="paragraph" w:customStyle="1" w:styleId="438">
    <w:name w:val=" Char Char1"/>
    <w:basedOn w:val="1"/>
    <w:uiPriority w:val="0"/>
    <w:pPr>
      <w:widowControl/>
      <w:spacing w:after="160" w:afterLines="0" w:line="240" w:lineRule="exact"/>
      <w:jc w:val="left"/>
    </w:pPr>
    <w:rPr>
      <w:rFonts w:eastAsia="仿宋_GB2312"/>
      <w:sz w:val="28"/>
    </w:rPr>
  </w:style>
  <w:style w:type="paragraph" w:customStyle="1" w:styleId="439">
    <w:name w:val="xl38"/>
    <w:basedOn w:val="1"/>
    <w:uiPriority w:val="0"/>
    <w:pPr>
      <w:widowControl/>
      <w:pBdr>
        <w:top w:val="single" w:color="auto" w:sz="4" w:space="0"/>
        <w:left w:val="single" w:color="auto" w:sz="4" w:space="0"/>
        <w:right w:val="single" w:color="auto" w:sz="4" w:space="0"/>
      </w:pBdr>
      <w:adjustRightInd/>
      <w:spacing w:before="100" w:beforeLines="0" w:beforeAutospacing="1" w:after="100" w:afterLines="0" w:afterAutospacing="1" w:line="360" w:lineRule="auto"/>
      <w:ind w:firstLine="480" w:firstLineChars="200"/>
      <w:jc w:val="center"/>
    </w:pPr>
    <w:rPr>
      <w:rFonts w:ascii="宋体" w:hAnsi="宋体" w:eastAsia="微软雅黑"/>
      <w:kern w:val="0"/>
      <w:sz w:val="20"/>
      <w:szCs w:val="20"/>
    </w:rPr>
  </w:style>
  <w:style w:type="paragraph" w:customStyle="1" w:styleId="440">
    <w:name w:val="浅色底纹 - 强调文字颜色 51"/>
    <w:semiHidden/>
    <w:uiPriority w:val="0"/>
    <w:rPr>
      <w:kern w:val="2"/>
      <w:sz w:val="21"/>
      <w:szCs w:val="24"/>
      <w:lang w:val="en-US" w:eastAsia="zh-CN" w:bidi="ar-SA"/>
    </w:rPr>
  </w:style>
  <w:style w:type="paragraph" w:customStyle="1" w:styleId="441">
    <w:name w:val="四级条标题"/>
    <w:basedOn w:val="424"/>
    <w:next w:val="377"/>
    <w:uiPriority w:val="0"/>
    <w:pPr>
      <w:numPr>
        <w:ilvl w:val="5"/>
        <w:numId w:val="4"/>
      </w:numPr>
      <w:tabs>
        <w:tab w:val="clear" w:pos="2520"/>
      </w:tabs>
      <w:outlineLvl w:val="5"/>
    </w:pPr>
  </w:style>
  <w:style w:type="paragraph" w:customStyle="1" w:styleId="442">
    <w:name w:val="CSS1级正文 Char"/>
    <w:basedOn w:val="23"/>
    <w:uiPriority w:val="0"/>
    <w:pPr>
      <w:autoSpaceDE/>
      <w:autoSpaceDN/>
      <w:snapToGrid w:val="0"/>
      <w:ind w:firstLine="480" w:firstLineChars="200"/>
    </w:pPr>
    <w:rPr>
      <w:rFonts w:ascii="Times New Roman"/>
      <w:szCs w:val="24"/>
      <w:lang w:val="en-US" w:eastAsia="zh-CN"/>
    </w:rPr>
  </w:style>
  <w:style w:type="paragraph" w:customStyle="1" w:styleId="443">
    <w:name w:val="Char Char Char Char Char Char Char Char"/>
    <w:basedOn w:val="1"/>
    <w:uiPriority w:val="0"/>
    <w:pPr>
      <w:tabs>
        <w:tab w:val="left" w:pos="360"/>
      </w:tabs>
    </w:pPr>
    <w:rPr>
      <w:sz w:val="24"/>
      <w:szCs w:val="20"/>
    </w:rPr>
  </w:style>
  <w:style w:type="paragraph" w:customStyle="1" w:styleId="444">
    <w:name w:val="样式 小四 首行缩进:  0.74 厘米 行距: 1.5 倍行距"/>
    <w:basedOn w:val="1"/>
    <w:uiPriority w:val="0"/>
    <w:pPr>
      <w:adjustRightInd/>
      <w:spacing w:before="100" w:beforeLines="0" w:beforeAutospacing="1" w:after="100" w:afterLines="0" w:afterAutospacing="1" w:line="300" w:lineRule="auto"/>
      <w:ind w:firstLine="480" w:firstLineChars="200"/>
    </w:pPr>
    <w:rPr>
      <w:rFonts w:ascii="宋体" w:hAnsi="宋体" w:eastAsia="微软雅黑"/>
      <w:sz w:val="24"/>
    </w:rPr>
  </w:style>
  <w:style w:type="paragraph" w:customStyle="1" w:styleId="445">
    <w:name w:val="小标题"/>
    <w:basedOn w:val="1"/>
    <w:uiPriority w:val="0"/>
    <w:pPr>
      <w:spacing w:before="120" w:beforeLines="0" w:line="360" w:lineRule="atLeast"/>
      <w:ind w:left="1134"/>
      <w:jc w:val="left"/>
      <w:textAlignment w:val="baseline"/>
    </w:pPr>
    <w:rPr>
      <w:rFonts w:eastAsia="黑体"/>
      <w:kern w:val="0"/>
      <w:szCs w:val="20"/>
    </w:rPr>
  </w:style>
  <w:style w:type="paragraph" w:customStyle="1" w:styleId="446">
    <w:name w:val="五级条标题"/>
    <w:basedOn w:val="441"/>
    <w:next w:val="377"/>
    <w:uiPriority w:val="0"/>
    <w:pPr>
      <w:numPr>
        <w:ilvl w:val="6"/>
        <w:numId w:val="4"/>
      </w:numPr>
      <w:tabs>
        <w:tab w:val="clear" w:pos="2940"/>
      </w:tabs>
      <w:outlineLvl w:val="6"/>
    </w:pPr>
  </w:style>
  <w:style w:type="paragraph" w:customStyle="1" w:styleId="447">
    <w:name w:val="xl33"/>
    <w:basedOn w:val="1"/>
    <w:uiPriority w:val="0"/>
    <w:pPr>
      <w:widowControl/>
      <w:pBdr>
        <w:top w:val="single" w:color="auto" w:sz="4" w:space="0"/>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left"/>
      <w:textAlignment w:val="top"/>
    </w:pPr>
    <w:rPr>
      <w:rFonts w:ascii="宋体" w:hAnsi="宋体"/>
      <w:kern w:val="0"/>
      <w:sz w:val="20"/>
      <w:szCs w:val="20"/>
    </w:rPr>
  </w:style>
  <w:style w:type="paragraph" w:customStyle="1" w:styleId="44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449">
    <w:name w:val="标准小四"/>
    <w:basedOn w:val="1"/>
    <w:uiPriority w:val="0"/>
    <w:pPr>
      <w:spacing w:line="360" w:lineRule="auto"/>
      <w:ind w:firstLine="480" w:firstLineChars="200"/>
    </w:pPr>
    <w:rPr>
      <w:rFonts w:ascii="Arial" w:hAnsi="Arial"/>
      <w:sz w:val="24"/>
      <w:szCs w:val="21"/>
    </w:rPr>
  </w:style>
  <w:style w:type="paragraph" w:customStyle="1" w:styleId="450">
    <w:name w:val="Char Char11 Char Char Char"/>
    <w:basedOn w:val="1"/>
    <w:uiPriority w:val="0"/>
    <w:pPr>
      <w:spacing w:line="360" w:lineRule="auto"/>
    </w:pPr>
    <w:rPr>
      <w:szCs w:val="20"/>
    </w:rPr>
  </w:style>
  <w:style w:type="paragraph" w:customStyle="1" w:styleId="451">
    <w:name w:val="Normal0"/>
    <w:uiPriority w:val="0"/>
    <w:rPr>
      <w:lang w:val="en-US" w:eastAsia="en-US" w:bidi="ar-SA"/>
    </w:rPr>
  </w:style>
  <w:style w:type="paragraph" w:customStyle="1" w:styleId="452">
    <w:name w:val="trademark"/>
    <w:uiPriority w:val="0"/>
    <w:pPr>
      <w:spacing w:after="60"/>
    </w:pPr>
    <w:rPr>
      <w:rFonts w:ascii="Futura Bk" w:hAnsi="Futura Bk"/>
      <w:sz w:val="15"/>
      <w:lang w:val="en-US" w:eastAsia="en-US" w:bidi="ar-SA"/>
    </w:rPr>
  </w:style>
  <w:style w:type="paragraph" w:customStyle="1" w:styleId="453">
    <w:name w:val="表文字"/>
    <w:uiPriority w:val="0"/>
    <w:rPr>
      <w:rFonts w:ascii="宋体"/>
      <w:kern w:val="2"/>
      <w:lang w:val="en-US" w:eastAsia="zh-CN" w:bidi="ar-SA"/>
    </w:rPr>
  </w:style>
  <w:style w:type="paragraph" w:customStyle="1" w:styleId="454">
    <w:name w:val="标准有序列表（L1）"/>
    <w:basedOn w:val="16"/>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455">
    <w:name w:val="索引 11"/>
    <w:basedOn w:val="1"/>
    <w:next w:val="1"/>
    <w:uiPriority w:val="0"/>
    <w:pPr>
      <w:adjustRightInd/>
      <w:spacing w:line="360" w:lineRule="auto"/>
    </w:pPr>
    <w:rPr>
      <w:rFonts w:ascii="仿宋_GB2312" w:eastAsia="仿宋_GB2312"/>
      <w:sz w:val="24"/>
      <w:szCs w:val="20"/>
    </w:rPr>
  </w:style>
  <w:style w:type="paragraph" w:customStyle="1" w:styleId="456">
    <w:name w:val="font9"/>
    <w:basedOn w:val="1"/>
    <w:uiPriority w:val="0"/>
    <w:pPr>
      <w:widowControl/>
      <w:adjustRightInd/>
      <w:spacing w:before="100" w:beforeLines="0" w:beforeAutospacing="1" w:after="100" w:afterLines="0" w:afterAutospacing="1"/>
      <w:jc w:val="left"/>
    </w:pPr>
    <w:rPr>
      <w:rFonts w:hint="eastAsia" w:ascii="宋体" w:hAnsi="宋体"/>
      <w:kern w:val="0"/>
      <w:sz w:val="20"/>
      <w:szCs w:val="20"/>
    </w:rPr>
  </w:style>
  <w:style w:type="paragraph" w:customStyle="1" w:styleId="457">
    <w:name w:val=" Char Char1 Char Char Char"/>
    <w:basedOn w:val="1"/>
    <w:uiPriority w:val="0"/>
    <w:rPr>
      <w:rFonts w:ascii="仿宋_GB2312" w:eastAsia="仿宋_GB2312"/>
      <w:b/>
      <w:sz w:val="32"/>
      <w:szCs w:val="32"/>
    </w:rPr>
  </w:style>
  <w:style w:type="paragraph" w:customStyle="1" w:styleId="458">
    <w:name w:val="zTableCellBody"/>
    <w:basedOn w:val="1"/>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459">
    <w:name w:val="样式 标题 1章节第一层h1H"/>
    <w:basedOn w:val="3"/>
    <w:uiPriority w:val="0"/>
    <w:pPr>
      <w:keepNext w:val="0"/>
      <w:keepLines w:val="0"/>
      <w:numPr>
        <w:ilvl w:val="0"/>
        <w:numId w:val="0"/>
      </w:numPr>
      <w:autoSpaceDE w:val="0"/>
      <w:autoSpaceDN w:val="0"/>
      <w:spacing w:before="0" w:beforeLines="0" w:after="0" w:afterLines="0" w:line="240" w:lineRule="auto"/>
      <w:jc w:val="left"/>
      <w:outlineLvl w:val="9"/>
    </w:pPr>
    <w:rPr>
      <w:kern w:val="0"/>
      <w:sz w:val="52"/>
      <w:szCs w:val="52"/>
      <w:lang w:val="zh-CN"/>
    </w:rPr>
  </w:style>
  <w:style w:type="paragraph" w:customStyle="1" w:styleId="460">
    <w:name w:val="公文正文"/>
    <w:basedOn w:val="1"/>
    <w:uiPriority w:val="0"/>
    <w:pPr>
      <w:adjustRightInd/>
      <w:spacing w:before="156" w:beforeLines="0" w:line="360" w:lineRule="auto"/>
      <w:ind w:firstLine="360" w:firstLineChars="200"/>
    </w:pPr>
    <w:rPr>
      <w:rFonts w:ascii="仿宋_GB2312" w:eastAsia="仿宋_GB2312"/>
      <w:sz w:val="24"/>
    </w:rPr>
  </w:style>
  <w:style w:type="paragraph" w:customStyle="1" w:styleId="461">
    <w:name w:val="样式"/>
    <w:basedOn w:val="1"/>
    <w:uiPriority w:val="0"/>
    <w:pPr>
      <w:autoSpaceDE w:val="0"/>
      <w:autoSpaceDN w:val="0"/>
      <w:snapToGrid w:val="0"/>
      <w:spacing w:before="120" w:beforeLines="0" w:after="120" w:afterLines="0" w:line="360" w:lineRule="auto"/>
    </w:pPr>
    <w:rPr>
      <w:rFonts w:ascii="宋体"/>
      <w:sz w:val="24"/>
      <w:szCs w:val="20"/>
    </w:rPr>
  </w:style>
  <w:style w:type="paragraph" w:customStyle="1" w:styleId="462">
    <w:name w:val=" Char2 Char Char"/>
    <w:basedOn w:val="1"/>
    <w:uiPriority w:val="0"/>
    <w:pPr>
      <w:adjustRightInd/>
    </w:pPr>
    <w:rPr>
      <w:rFonts w:ascii="Tahoma" w:hAnsi="Tahoma"/>
      <w:sz w:val="24"/>
      <w:szCs w:val="20"/>
    </w:rPr>
  </w:style>
  <w:style w:type="paragraph" w:customStyle="1" w:styleId="463">
    <w:name w:val="Bullet"/>
    <w:basedOn w:val="1"/>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464">
    <w:name w:val="xl29"/>
    <w:basedOn w:val="1"/>
    <w:uiPriority w:val="0"/>
    <w:pPr>
      <w:widowControl/>
      <w:pBdr>
        <w:top w:val="single" w:color="auto" w:sz="4" w:space="0"/>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left"/>
    </w:pPr>
    <w:rPr>
      <w:rFonts w:ascii="宋体" w:hAnsi="宋体"/>
      <w:kern w:val="0"/>
      <w:sz w:val="20"/>
      <w:szCs w:val="20"/>
    </w:rPr>
  </w:style>
  <w:style w:type="paragraph" w:customStyle="1" w:styleId="465">
    <w:name w:val="a2"/>
    <w:basedOn w:val="1"/>
    <w:uiPriority w:val="0"/>
    <w:pPr>
      <w:widowControl/>
      <w:adjustRightInd/>
      <w:spacing w:before="100" w:beforeLines="0" w:beforeAutospacing="1" w:after="100" w:afterLines="0" w:afterAutospacing="1"/>
      <w:jc w:val="left"/>
    </w:pPr>
    <w:rPr>
      <w:rFonts w:ascii="宋体" w:hAnsi="宋体" w:cs="宋体"/>
      <w:kern w:val="0"/>
      <w:sz w:val="24"/>
    </w:rPr>
  </w:style>
  <w:style w:type="paragraph" w:customStyle="1" w:styleId="466">
    <w:name w:val="正文文本 21"/>
    <w:basedOn w:val="1"/>
    <w:uiPriority w:val="0"/>
    <w:pPr>
      <w:widowControl/>
      <w:overflowPunct w:val="0"/>
      <w:autoSpaceDE w:val="0"/>
      <w:autoSpaceDN w:val="0"/>
      <w:ind w:left="720" w:hanging="720"/>
      <w:textAlignment w:val="baseline"/>
    </w:pPr>
    <w:rPr>
      <w:kern w:val="0"/>
      <w:sz w:val="24"/>
      <w:szCs w:val="20"/>
      <w:lang w:val="en-GB"/>
    </w:rPr>
  </w:style>
  <w:style w:type="paragraph" w:customStyle="1" w:styleId="467">
    <w:name w:val="xl36"/>
    <w:basedOn w:val="1"/>
    <w:uiPriority w:val="0"/>
    <w:pPr>
      <w:widowControl/>
      <w:pBdr>
        <w:top w:val="single" w:color="auto" w:sz="4" w:space="0"/>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center"/>
    </w:pPr>
    <w:rPr>
      <w:rFonts w:ascii="宋体" w:hAnsi="宋体"/>
      <w:kern w:val="0"/>
      <w:sz w:val="20"/>
      <w:szCs w:val="20"/>
    </w:rPr>
  </w:style>
  <w:style w:type="paragraph" w:customStyle="1" w:styleId="468">
    <w:name w:val="金宏发行正文 Char"/>
    <w:basedOn w:val="1"/>
    <w:uiPriority w:val="0"/>
    <w:pPr>
      <w:adjustRightInd/>
      <w:spacing w:line="500" w:lineRule="exact"/>
      <w:ind w:firstLine="560" w:firstLineChars="200"/>
    </w:pPr>
    <w:rPr>
      <w:rFonts w:eastAsia="仿宋_GB2312"/>
      <w:sz w:val="28"/>
      <w:szCs w:val="20"/>
    </w:rPr>
  </w:style>
  <w:style w:type="paragraph" w:customStyle="1" w:styleId="469">
    <w:name w:val=" Char Char Char"/>
    <w:basedOn w:val="1"/>
    <w:uiPriority w:val="0"/>
    <w:rPr>
      <w:rFonts w:ascii="Tahoma" w:hAnsi="Tahoma"/>
      <w:sz w:val="24"/>
      <w:szCs w:val="20"/>
    </w:rPr>
  </w:style>
  <w:style w:type="paragraph" w:customStyle="1" w:styleId="470">
    <w:name w:val="正文样式 首行缩进:  0.74 厘米"/>
    <w:basedOn w:val="1"/>
    <w:uiPriority w:val="0"/>
    <w:pPr>
      <w:adjustRightInd/>
      <w:spacing w:before="156" w:beforeLines="50" w:line="360" w:lineRule="auto"/>
      <w:ind w:firstLine="420"/>
    </w:pPr>
    <w:rPr>
      <w:rFonts w:cs="宋体"/>
      <w:sz w:val="24"/>
      <w:szCs w:val="20"/>
    </w:rPr>
  </w:style>
  <w:style w:type="paragraph" w:customStyle="1" w:styleId="471">
    <w:name w:val="样式 标题 3标题 3 Char第二层条h33Bold Headbh章标题1小标题level_3PIM 3..."/>
    <w:basedOn w:val="5"/>
    <w:uiPriority w:val="0"/>
    <w:pPr>
      <w:numPr>
        <w:ilvl w:val="2"/>
        <w:numId w:val="0"/>
      </w:numPr>
      <w:adjustRightInd w:val="0"/>
      <w:snapToGrid w:val="0"/>
      <w:spacing w:before="0" w:beforeLines="0" w:after="0" w:afterLines="0" w:line="360" w:lineRule="auto"/>
    </w:pPr>
    <w:rPr>
      <w:rFonts w:ascii="黑体" w:hAnsi="宋体" w:eastAsia="黑体" w:cs="宋体"/>
      <w:b w:val="0"/>
      <w:bCs w:val="0"/>
      <w:color w:val="000000"/>
      <w:kern w:val="0"/>
      <w:sz w:val="28"/>
      <w:szCs w:val="20"/>
    </w:rPr>
  </w:style>
  <w:style w:type="paragraph" w:customStyle="1" w:styleId="472">
    <w:name w:val="标书标题2"/>
    <w:basedOn w:val="4"/>
    <w:uiPriority w:val="0"/>
    <w:pPr>
      <w:keepLines w:val="0"/>
      <w:widowControl/>
      <w:numPr>
        <w:ilvl w:val="0"/>
        <w:numId w:val="0"/>
      </w:numPr>
      <w:tabs>
        <w:tab w:val="left" w:pos="840"/>
        <w:tab w:val="clear" w:pos="432"/>
      </w:tabs>
      <w:adjustRightInd w:val="0"/>
      <w:snapToGrid w:val="0"/>
      <w:spacing w:before="156" w:beforeLines="50" w:after="60" w:afterLines="0" w:line="300" w:lineRule="auto"/>
      <w:ind w:left="840" w:hanging="420"/>
    </w:pPr>
    <w:rPr>
      <w:rFonts w:ascii="Arial Narrow" w:hAnsi="Arial Narrow"/>
      <w:snapToGrid w:val="0"/>
      <w:kern w:val="0"/>
      <w:szCs w:val="20"/>
      <w:lang w:val="en-US"/>
    </w:rPr>
  </w:style>
  <w:style w:type="paragraph" w:styleId="473">
    <w:name w:val="List Paragraph"/>
    <w:basedOn w:val="1"/>
    <w:qFormat/>
    <w:uiPriority w:val="34"/>
    <w:pPr>
      <w:spacing w:line="360" w:lineRule="auto"/>
      <w:ind w:firstLine="200" w:firstLineChars="200"/>
    </w:pPr>
    <w:rPr>
      <w:rFonts w:eastAsia="楷体_GB2312" w:cs="Lucida Sans"/>
      <w:sz w:val="24"/>
    </w:rPr>
  </w:style>
  <w:style w:type="paragraph" w:customStyle="1" w:styleId="474">
    <w:name w:val="Bulleted List"/>
    <w:basedOn w:val="1"/>
    <w:uiPriority w:val="0"/>
    <w:pPr>
      <w:tabs>
        <w:tab w:val="left" w:pos="1260"/>
      </w:tabs>
      <w:adjustRightInd/>
      <w:ind w:left="1260" w:hanging="420"/>
    </w:pPr>
  </w:style>
  <w:style w:type="paragraph" w:customStyle="1" w:styleId="475">
    <w:name w:val="Char3 Char Char Char Char Char Char"/>
    <w:basedOn w:val="1"/>
    <w:uiPriority w:val="0"/>
    <w:pPr>
      <w:adjustRightInd/>
      <w:spacing w:line="360" w:lineRule="auto"/>
    </w:pPr>
    <w:rPr>
      <w:rFonts w:ascii="Arial" w:hAnsi="Arial" w:eastAsia="黑体" w:cs="Arial"/>
      <w:snapToGrid w:val="0"/>
      <w:kern w:val="0"/>
      <w:szCs w:val="21"/>
    </w:rPr>
  </w:style>
  <w:style w:type="paragraph" w:customStyle="1" w:styleId="476">
    <w:name w:val="Char Char1 Char Char Char Char Char Char Char Char Char Char Char Char Char Char Char"/>
    <w:basedOn w:val="1"/>
    <w:uiPriority w:val="0"/>
    <w:pPr>
      <w:widowControl/>
      <w:adjustRightInd/>
      <w:spacing w:after="160" w:afterLines="0" w:line="240" w:lineRule="exact"/>
      <w:ind w:firstLine="200" w:firstLineChars="200"/>
      <w:jc w:val="left"/>
    </w:pPr>
    <w:rPr>
      <w:rFonts w:ascii="Verdana" w:hAnsi="Verdana"/>
      <w:kern w:val="0"/>
      <w:sz w:val="20"/>
      <w:szCs w:val="20"/>
      <w:lang w:eastAsia="en-US"/>
    </w:rPr>
  </w:style>
  <w:style w:type="paragraph" w:customStyle="1" w:styleId="477">
    <w:name w:val="TOC 标题1"/>
    <w:basedOn w:val="3"/>
    <w:next w:val="1"/>
    <w:unhideWhenUsed/>
    <w:qFormat/>
    <w:uiPriority w:val="39"/>
    <w:pPr>
      <w:widowControl/>
      <w:numPr>
        <w:ilvl w:val="0"/>
        <w:numId w:val="0"/>
      </w:numPr>
      <w:adjustRightInd/>
      <w:spacing w:before="480" w:beforeLines="0" w:after="0" w:afterLines="0" w:line="276" w:lineRule="auto"/>
      <w:jc w:val="left"/>
      <w:outlineLvl w:val="9"/>
    </w:pPr>
    <w:rPr>
      <w:rFonts w:ascii="Cambria" w:hAnsi="Cambria"/>
      <w:color w:val="365F91"/>
      <w:kern w:val="0"/>
      <w:sz w:val="28"/>
      <w:szCs w:val="28"/>
    </w:rPr>
  </w:style>
  <w:style w:type="paragraph" w:customStyle="1" w:styleId="478">
    <w:name w:val="Body Text 2"/>
    <w:basedOn w:val="1"/>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479">
    <w:name w:val="Char1 Char Char Char Char Char Char Char Char Char"/>
    <w:basedOn w:val="1"/>
    <w:semiHidden/>
    <w:uiPriority w:val="0"/>
    <w:pPr>
      <w:adjustRightInd/>
      <w:spacing w:before="240" w:beforeLines="0" w:after="120" w:afterLines="0" w:line="288" w:lineRule="auto"/>
      <w:ind w:firstLine="200" w:firstLineChars="200"/>
      <w:jc w:val="left"/>
    </w:pPr>
    <w:rPr>
      <w:rFonts w:ascii="Tahoma" w:hAnsi="Tahoma"/>
      <w:sz w:val="24"/>
    </w:rPr>
  </w:style>
  <w:style w:type="paragraph" w:customStyle="1" w:styleId="480">
    <w:name w:val="数字标题4"/>
    <w:basedOn w:val="6"/>
    <w:uiPriority w:val="0"/>
    <w:pPr>
      <w:numPr>
        <w:ilvl w:val="3"/>
        <w:numId w:val="0"/>
      </w:numPr>
      <w:tabs>
        <w:tab w:val="left" w:pos="0"/>
        <w:tab w:val="clear" w:pos="864"/>
      </w:tabs>
      <w:spacing w:before="0" w:beforeLines="0" w:after="0" w:afterLines="0" w:line="360" w:lineRule="auto"/>
      <w:ind w:left="1"/>
    </w:pPr>
    <w:rPr>
      <w:rFonts w:eastAsia="仿宋_GB2312" w:cs="Arial"/>
      <w:b w:val="0"/>
      <w:bCs w:val="0"/>
      <w:color w:val="000000"/>
      <w:kern w:val="0"/>
      <w:sz w:val="24"/>
      <w:szCs w:val="24"/>
      <w:lang w:val="en-US"/>
    </w:rPr>
  </w:style>
  <w:style w:type="paragraph" w:customStyle="1" w:styleId="481">
    <w:name w:val="标1"/>
    <w:basedOn w:val="1"/>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82">
    <w:name w:val="MM Topic 2"/>
    <w:basedOn w:val="4"/>
    <w:uiPriority w:val="0"/>
    <w:pPr>
      <w:numPr>
        <w:ilvl w:val="1"/>
        <w:numId w:val="4"/>
      </w:numPr>
      <w:tabs>
        <w:tab w:val="clear" w:pos="432"/>
      </w:tabs>
    </w:pPr>
    <w:rPr>
      <w:rFonts w:ascii="Arial" w:hAnsi="Arial" w:eastAsia="黑体"/>
      <w:sz w:val="32"/>
      <w:szCs w:val="32"/>
      <w:lang w:val="en-US"/>
    </w:rPr>
  </w:style>
  <w:style w:type="paragraph" w:customStyle="1" w:styleId="483">
    <w:name w:val="MM Topic 4"/>
    <w:basedOn w:val="6"/>
    <w:uiPriority w:val="0"/>
    <w:pPr>
      <w:numPr>
        <w:ilvl w:val="3"/>
        <w:numId w:val="4"/>
      </w:numPr>
      <w:tabs>
        <w:tab w:val="clear" w:pos="864"/>
      </w:tabs>
      <w:adjustRightInd/>
    </w:pPr>
    <w:rPr>
      <w:lang w:val="en-US"/>
    </w:rPr>
  </w:style>
  <w:style w:type="paragraph" w:customStyle="1" w:styleId="484">
    <w:name w:val="样式 微软雅黑 行距: 1.5 倍行距"/>
    <w:basedOn w:val="1"/>
    <w:uiPriority w:val="0"/>
    <w:pPr>
      <w:adjustRightInd/>
      <w:spacing w:line="360" w:lineRule="auto"/>
      <w:ind w:firstLine="480" w:firstLineChars="200"/>
    </w:pPr>
    <w:rPr>
      <w:rFonts w:ascii="微软雅黑" w:hAnsi="宋体" w:eastAsia="微软雅黑" w:cs="宋体"/>
      <w:sz w:val="24"/>
      <w:szCs w:val="20"/>
    </w:rPr>
  </w:style>
  <w:style w:type="paragraph" w:customStyle="1" w:styleId="485">
    <w:name w:val="Char Char11 Char Char Char Char Char Char Char Char Char Char Char Char Char Char Char Char Char"/>
    <w:basedOn w:val="1"/>
    <w:uiPriority w:val="0"/>
    <w:pPr>
      <w:adjustRightInd/>
      <w:spacing w:line="360" w:lineRule="auto"/>
    </w:pPr>
    <w:rPr>
      <w:rFonts w:ascii="Arial" w:hAnsi="Arial" w:eastAsia="黑体" w:cs="Arial"/>
      <w:snapToGrid w:val="0"/>
      <w:kern w:val="0"/>
      <w:szCs w:val="21"/>
    </w:rPr>
  </w:style>
  <w:style w:type="paragraph" w:customStyle="1" w:styleId="486">
    <w:name w:val="列出段落2"/>
    <w:basedOn w:val="1"/>
    <w:qFormat/>
    <w:uiPriority w:val="0"/>
    <w:pPr>
      <w:adjustRightInd/>
      <w:ind w:firstLine="420" w:firstLineChars="200"/>
    </w:pPr>
    <w:rPr>
      <w:rFonts w:ascii="宋体" w:hAnsi="宋体"/>
      <w:sz w:val="24"/>
    </w:rPr>
  </w:style>
  <w:style w:type="paragraph" w:customStyle="1" w:styleId="487">
    <w:name w:val="表格"/>
    <w:basedOn w:val="1"/>
    <w:uiPriority w:val="0"/>
    <w:pPr>
      <w:snapToGrid w:val="0"/>
      <w:ind w:firstLine="42" w:firstLineChars="21"/>
    </w:pPr>
    <w:rPr>
      <w:rFonts w:ascii="宋体" w:hAnsi="宋体"/>
      <w:kern w:val="0"/>
      <w:sz w:val="20"/>
      <w:szCs w:val="20"/>
    </w:rPr>
  </w:style>
  <w:style w:type="paragraph" w:customStyle="1" w:styleId="488">
    <w:name w:val=" Char"/>
    <w:basedOn w:val="1"/>
    <w:uiPriority w:val="0"/>
    <w:rPr>
      <w:rFonts w:ascii="仿宋_GB2312" w:eastAsia="仿宋_GB2312"/>
      <w:b/>
      <w:sz w:val="32"/>
      <w:szCs w:val="32"/>
    </w:rPr>
  </w:style>
  <w:style w:type="paragraph" w:customStyle="1" w:styleId="489">
    <w:name w:val="彩色列表 - 强调文字颜色 12"/>
    <w:basedOn w:val="1"/>
    <w:qFormat/>
    <w:uiPriority w:val="0"/>
    <w:pPr>
      <w:adjustRightInd/>
      <w:ind w:firstLine="420" w:firstLineChars="200"/>
    </w:pPr>
    <w:rPr>
      <w:rFonts w:ascii="Calibri" w:hAnsi="Calibri"/>
      <w:szCs w:val="22"/>
    </w:rPr>
  </w:style>
  <w:style w:type="paragraph" w:customStyle="1" w:styleId="490">
    <w:name w:val="Table Text"/>
    <w:basedOn w:val="1"/>
    <w:uiPriority w:val="0"/>
    <w:pPr>
      <w:widowControl/>
      <w:spacing w:before="60" w:beforeLines="0" w:after="60" w:afterLines="0"/>
      <w:jc w:val="left"/>
    </w:pPr>
    <w:rPr>
      <w:kern w:val="0"/>
      <w:sz w:val="24"/>
    </w:rPr>
  </w:style>
  <w:style w:type="paragraph" w:customStyle="1" w:styleId="491">
    <w:name w:val="button"/>
    <w:basedOn w:val="1"/>
    <w:uiPriority w:val="0"/>
    <w:pPr>
      <w:widowControl/>
      <w:spacing w:before="100" w:beforeLines="0" w:beforeAutospacing="1" w:after="100" w:afterLines="0" w:afterAutospacing="1"/>
      <w:jc w:val="left"/>
    </w:pPr>
    <w:rPr>
      <w:rFonts w:ascii="Arial Unicode MS" w:hAnsi="Arial Unicode MS"/>
      <w:color w:val="000000"/>
      <w:kern w:val="0"/>
      <w:sz w:val="24"/>
    </w:rPr>
  </w:style>
  <w:style w:type="paragraph" w:customStyle="1" w:styleId="492">
    <w:name w:val="List Paragraph"/>
    <w:basedOn w:val="1"/>
    <w:uiPriority w:val="0"/>
    <w:pPr>
      <w:adjustRightInd/>
      <w:spacing w:line="360" w:lineRule="auto"/>
      <w:ind w:firstLine="420" w:firstLineChars="200"/>
    </w:pPr>
    <w:rPr>
      <w:rFonts w:ascii="Calibri" w:hAnsi="Calibri"/>
      <w:sz w:val="24"/>
      <w:szCs w:val="22"/>
    </w:rPr>
  </w:style>
  <w:style w:type="paragraph" w:customStyle="1" w:styleId="493">
    <w:name w:val="文档正文"/>
    <w:basedOn w:val="1"/>
    <w:uiPriority w:val="0"/>
    <w:pPr>
      <w:adjustRightInd w:val="0"/>
      <w:spacing w:line="480" w:lineRule="atLeast"/>
      <w:ind w:firstLine="567"/>
      <w:textAlignment w:val="baseline"/>
    </w:pPr>
    <w:rPr>
      <w:kern w:val="0"/>
      <w:sz w:val="24"/>
      <w:szCs w:val="20"/>
    </w:rPr>
  </w:style>
  <w:style w:type="paragraph" w:customStyle="1" w:styleId="494">
    <w:name w:val="正文－恩普"/>
    <w:basedOn w:val="16"/>
    <w:uiPriority w:val="0"/>
    <w:pPr>
      <w:adjustRightInd/>
      <w:snapToGrid/>
      <w:spacing w:before="100" w:beforeLines="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495">
    <w:name w:val="表格文字"/>
    <w:basedOn w:val="1"/>
    <w:next w:val="16"/>
    <w:uiPriority w:val="0"/>
    <w:pPr>
      <w:adjustRightInd/>
      <w:ind w:firstLine="200" w:firstLineChars="200"/>
    </w:pPr>
    <w:rPr>
      <w:rFonts w:ascii="Arial" w:hAnsi="Arial"/>
      <w:spacing w:val="-5"/>
      <w:kern w:val="0"/>
      <w:sz w:val="24"/>
      <w:szCs w:val="20"/>
    </w:rPr>
  </w:style>
  <w:style w:type="paragraph" w:customStyle="1" w:styleId="496">
    <w:name w:val="正文（首行缩进）"/>
    <w:basedOn w:val="24"/>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497">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98">
    <w:name w:val=" Char Char1 Char Char Char Char Char Char"/>
    <w:basedOn w:val="1"/>
    <w:uiPriority w:val="0"/>
    <w:rPr>
      <w:rFonts w:ascii="仿宋_GB2312" w:eastAsia="仿宋_GB2312"/>
      <w:b/>
      <w:sz w:val="32"/>
      <w:szCs w:val="20"/>
    </w:rPr>
  </w:style>
  <w:style w:type="paragraph" w:customStyle="1" w:styleId="499">
    <w:name w:val="小项目标题"/>
    <w:basedOn w:val="1"/>
    <w:uiPriority w:val="0"/>
    <w:pPr>
      <w:adjustRightInd/>
      <w:spacing w:before="100" w:beforeLines="0" w:beforeAutospacing="1" w:after="100" w:afterLines="0" w:afterAutospacing="1" w:line="360" w:lineRule="auto"/>
      <w:ind w:left="480" w:leftChars="200" w:firstLine="200" w:firstLineChars="200"/>
      <w:jc w:val="left"/>
    </w:pPr>
    <w:rPr>
      <w:sz w:val="24"/>
    </w:rPr>
  </w:style>
  <w:style w:type="paragraph" w:customStyle="1" w:styleId="500">
    <w:name w:val="Body"/>
    <w:basedOn w:val="1"/>
    <w:uiPriority w:val="0"/>
    <w:pPr>
      <w:widowControl/>
      <w:adjustRightInd/>
      <w:spacing w:before="120" w:beforeLines="0" w:after="120" w:afterLines="0" w:line="240" w:lineRule="exact"/>
      <w:ind w:firstLine="200" w:firstLineChars="200"/>
      <w:jc w:val="left"/>
    </w:pPr>
    <w:rPr>
      <w:rFonts w:ascii="Arial" w:hAnsi="Arial"/>
      <w:kern w:val="0"/>
      <w:sz w:val="20"/>
      <w:szCs w:val="20"/>
      <w:lang w:eastAsia="en-US"/>
    </w:rPr>
  </w:style>
  <w:style w:type="paragraph" w:styleId="501">
    <w:name w:val=""/>
    <w:uiPriority w:val="0"/>
    <w:rPr>
      <w:kern w:val="2"/>
      <w:sz w:val="21"/>
      <w:lang w:val="en-US" w:eastAsia="zh-CN" w:bidi="ar-SA"/>
    </w:rPr>
  </w:style>
  <w:style w:type="paragraph" w:customStyle="1" w:styleId="502">
    <w:name w:val="封面华为技术"/>
    <w:basedOn w:val="1"/>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03">
    <w:name w:val="xl28"/>
    <w:basedOn w:val="1"/>
    <w:uiPriority w:val="0"/>
    <w:pPr>
      <w:widowControl/>
      <w:pBdr>
        <w:top w:val="single" w:color="auto" w:sz="4" w:space="0"/>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left"/>
    </w:pPr>
    <w:rPr>
      <w:kern w:val="0"/>
      <w:sz w:val="20"/>
      <w:szCs w:val="20"/>
    </w:rPr>
  </w:style>
  <w:style w:type="paragraph" w:customStyle="1" w:styleId="504">
    <w:name w:val="默认段落字体 Para Char Char Char Char Char Char Char Char Char1 Char Char Char Char"/>
    <w:basedOn w:val="1"/>
    <w:uiPriority w:val="0"/>
    <w:pPr>
      <w:adjustRightInd/>
    </w:pPr>
    <w:rPr>
      <w:rFonts w:ascii="Tahoma" w:hAnsi="Tahoma"/>
      <w:sz w:val="24"/>
      <w:szCs w:val="20"/>
    </w:rPr>
  </w:style>
  <w:style w:type="paragraph" w:customStyle="1" w:styleId="505">
    <w:name w:val="正文首行缩进1"/>
    <w:basedOn w:val="23"/>
    <w:uiPriority w:val="0"/>
    <w:pPr>
      <w:suppressAutoHyphens/>
      <w:autoSpaceDE/>
      <w:autoSpaceDN/>
      <w:adjustRightInd/>
      <w:spacing w:after="120" w:afterLines="0" w:line="240" w:lineRule="auto"/>
      <w:ind w:firstLine="420"/>
      <w:jc w:val="left"/>
    </w:pPr>
    <w:rPr>
      <w:rFonts w:ascii="Times New Roman"/>
      <w:kern w:val="1"/>
      <w:sz w:val="28"/>
      <w:szCs w:val="24"/>
      <w:lang w:val="en-US" w:eastAsia="ar-SA"/>
    </w:rPr>
  </w:style>
  <w:style w:type="paragraph" w:customStyle="1" w:styleId="506">
    <w:name w:val="!大节"/>
    <w:basedOn w:val="4"/>
    <w:uiPriority w:val="0"/>
    <w:pPr>
      <w:numPr>
        <w:ilvl w:val="0"/>
        <w:numId w:val="0"/>
      </w:numPr>
      <w:spacing w:before="260" w:beforeLines="0" w:after="260" w:afterLines="0" w:line="415" w:lineRule="auto"/>
      <w:ind w:left="420" w:hanging="420"/>
      <w:jc w:val="left"/>
    </w:pPr>
    <w:rPr>
      <w:rFonts w:ascii="Arial" w:hAnsi="Arial" w:eastAsia="微软雅黑"/>
      <w:sz w:val="32"/>
      <w:szCs w:val="32"/>
      <w:lang w:val="en-US"/>
    </w:rPr>
  </w:style>
  <w:style w:type="paragraph" w:customStyle="1" w:styleId="50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508">
    <w:name w:val="正文 项目2"/>
    <w:basedOn w:val="507"/>
    <w:qFormat/>
    <w:uiPriority w:val="0"/>
    <w:pPr>
      <w:numPr>
        <w:ilvl w:val="0"/>
        <w:numId w:val="6"/>
      </w:numPr>
      <w:tabs>
        <w:tab w:val="clear" w:pos="840"/>
      </w:tabs>
      <w:spacing w:after="0" w:afterLines="0"/>
    </w:pPr>
  </w:style>
  <w:style w:type="paragraph" w:customStyle="1" w:styleId="509">
    <w:name w:val="正文4"/>
    <w:basedOn w:val="1"/>
    <w:uiPriority w:val="0"/>
    <w:pPr>
      <w:tabs>
        <w:tab w:val="left" w:pos="720"/>
      </w:tabs>
      <w:adjustRightInd/>
      <w:spacing w:before="60" w:beforeLines="0" w:after="60" w:afterLines="0" w:line="360" w:lineRule="auto"/>
      <w:ind w:left="575" w:leftChars="400" w:hanging="175" w:hangingChars="175"/>
    </w:pPr>
    <w:rPr>
      <w:sz w:val="24"/>
    </w:rPr>
  </w:style>
  <w:style w:type="paragraph" w:customStyle="1" w:styleId="510">
    <w:name w:val="Char1 Char Char Char"/>
    <w:basedOn w:val="1"/>
    <w:uiPriority w:val="0"/>
    <w:pPr>
      <w:widowControl/>
      <w:snapToGrid w:val="0"/>
      <w:spacing w:before="120" w:beforeLines="0" w:after="160" w:afterLines="0" w:line="360" w:lineRule="auto"/>
      <w:ind w:right="-360"/>
      <w:jc w:val="left"/>
    </w:pPr>
    <w:rPr>
      <w:rFonts w:ascii="Arial" w:hAnsi="Arial"/>
      <w:kern w:val="0"/>
      <w:sz w:val="24"/>
      <w:lang w:eastAsia="en-US"/>
    </w:rPr>
  </w:style>
  <w:style w:type="paragraph" w:customStyle="1" w:styleId="511">
    <w:name w:val=" Char Char11"/>
    <w:basedOn w:val="1"/>
    <w:uiPriority w:val="0"/>
    <w:pPr>
      <w:spacing w:line="360" w:lineRule="auto"/>
    </w:pPr>
    <w:rPr>
      <w:szCs w:val="20"/>
    </w:rPr>
  </w:style>
  <w:style w:type="paragraph" w:customStyle="1" w:styleId="512">
    <w:name w:val="正文文字格式"/>
    <w:basedOn w:val="1"/>
    <w:uiPriority w:val="0"/>
    <w:pPr>
      <w:adjustRightInd/>
      <w:spacing w:line="460" w:lineRule="exact"/>
      <w:ind w:firstLine="505"/>
      <w:jc w:val="left"/>
    </w:pPr>
    <w:rPr>
      <w:rFonts w:ascii="宋体"/>
      <w:kern w:val="24"/>
      <w:sz w:val="24"/>
      <w:szCs w:val="20"/>
    </w:rPr>
  </w:style>
  <w:style w:type="paragraph" w:customStyle="1" w:styleId="513">
    <w:name w:val="Bullet with text 4"/>
    <w:basedOn w:val="1"/>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514">
    <w:name w:val="gf正文1"/>
    <w:basedOn w:val="1"/>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paragraph" w:customStyle="1" w:styleId="515">
    <w:name w:val="默认段落字体 Para Char Char Char Char Char Char Char Char Char Char"/>
    <w:basedOn w:val="1"/>
    <w:uiPriority w:val="0"/>
    <w:pPr>
      <w:adjustRightInd/>
    </w:pPr>
    <w:rPr>
      <w:rFonts w:ascii="Tahoma" w:hAnsi="Tahoma"/>
      <w:color w:val="000000"/>
      <w:sz w:val="24"/>
      <w:szCs w:val="20"/>
    </w:rPr>
  </w:style>
  <w:style w:type="paragraph" w:customStyle="1" w:styleId="516">
    <w:name w:val="缺省文本"/>
    <w:basedOn w:val="1"/>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lang/>
    </w:rPr>
  </w:style>
  <w:style w:type="paragraph" w:customStyle="1" w:styleId="517">
    <w:name w:val="f9a style88 f9a"/>
    <w:basedOn w:val="1"/>
    <w:uiPriority w:val="0"/>
    <w:pPr>
      <w:widowControl/>
      <w:spacing w:before="100" w:beforeLines="0" w:beforeAutospacing="1" w:after="100" w:afterLines="0" w:afterAutospacing="1" w:line="276" w:lineRule="auto"/>
      <w:jc w:val="left"/>
    </w:pPr>
    <w:rPr>
      <w:rFonts w:ascii="宋体" w:hAnsi="宋体"/>
      <w:kern w:val="0"/>
      <w:sz w:val="24"/>
      <w:szCs w:val="20"/>
    </w:rPr>
  </w:style>
  <w:style w:type="paragraph" w:customStyle="1" w:styleId="518">
    <w:name w:val="图中文字"/>
    <w:basedOn w:val="1"/>
    <w:uiPriority w:val="0"/>
    <w:pPr>
      <w:snapToGrid w:val="0"/>
      <w:spacing w:line="0" w:lineRule="atLeast"/>
      <w:ind w:firstLine="200" w:firstLineChars="200"/>
      <w:jc w:val="center"/>
    </w:pPr>
    <w:rPr>
      <w:sz w:val="24"/>
      <w:szCs w:val="20"/>
    </w:rPr>
  </w:style>
  <w:style w:type="paragraph" w:customStyle="1" w:styleId="519">
    <w:name w:val="ÕýÎÄÊ×ÐÐËõ½ø"/>
    <w:basedOn w:val="1"/>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520">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21">
    <w:name w:val="Char1"/>
    <w:basedOn w:val="1"/>
    <w:uiPriority w:val="0"/>
    <w:pPr>
      <w:widowControl/>
      <w:spacing w:after="160" w:afterLines="0" w:line="240" w:lineRule="exact"/>
      <w:jc w:val="left"/>
    </w:pPr>
    <w:rPr>
      <w:rFonts w:ascii="Verdana" w:hAnsi="Verdana" w:eastAsia="仿宋_GB2312"/>
      <w:kern w:val="0"/>
      <w:sz w:val="24"/>
      <w:szCs w:val="20"/>
      <w:lang w:eastAsia="en-US"/>
    </w:rPr>
  </w:style>
  <w:style w:type="paragraph" w:customStyle="1" w:styleId="522">
    <w:name w:val="样式 正文文本缩进 2 + 仿宋_GB2312 黑色 行距: 1.5 倍行距"/>
    <w:basedOn w:val="36"/>
    <w:uiPriority w:val="0"/>
    <w:pPr>
      <w:adjustRightInd/>
      <w:ind w:firstLine="560" w:firstLineChars="200"/>
      <w:textAlignment w:val="auto"/>
    </w:pPr>
    <w:rPr>
      <w:rFonts w:hAnsi="宋体" w:cs="宋体"/>
      <w:color w:val="000000"/>
      <w:kern w:val="2"/>
      <w:sz w:val="24"/>
    </w:rPr>
  </w:style>
  <w:style w:type="paragraph" w:customStyle="1" w:styleId="523">
    <w:name w:val="subhead 2"/>
    <w:uiPriority w:val="0"/>
    <w:pPr>
      <w:spacing w:after="60" w:line="240" w:lineRule="exact"/>
    </w:pPr>
    <w:rPr>
      <w:rFonts w:ascii="Arial" w:hAnsi="Arial"/>
      <w:b/>
      <w:sz w:val="22"/>
      <w:lang w:val="en-US" w:eastAsia="en-US" w:bidi="ar-SA"/>
    </w:rPr>
  </w:style>
  <w:style w:type="paragraph" w:customStyle="1" w:styleId="524">
    <w:name w:val="9"/>
    <w:uiPriority w:val="0"/>
    <w:pPr>
      <w:widowControl w:val="0"/>
      <w:autoSpaceDE w:val="0"/>
      <w:autoSpaceDN w:val="0"/>
      <w:adjustRightInd w:val="0"/>
      <w:jc w:val="both"/>
    </w:pPr>
    <w:rPr>
      <w:rFonts w:ascii="宋体"/>
      <w:b/>
      <w:bCs/>
      <w:color w:val="000000"/>
      <w:spacing w:val="15"/>
      <w:sz w:val="18"/>
      <w:szCs w:val="18"/>
      <w:lang w:val="en-US" w:eastAsia="zh-CN" w:bidi="ar-SA"/>
    </w:rPr>
  </w:style>
  <w:style w:type="paragraph" w:customStyle="1" w:styleId="525">
    <w:name w:val="目录2"/>
    <w:basedOn w:val="1"/>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26">
    <w:name w:val="Preformatted Text"/>
    <w:basedOn w:val="1"/>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527">
    <w:name w:val="数字标题6"/>
    <w:basedOn w:val="8"/>
    <w:next w:val="1"/>
    <w:uiPriority w:val="0"/>
    <w:pPr>
      <w:numPr>
        <w:ilvl w:val="5"/>
        <w:numId w:val="5"/>
      </w:numPr>
      <w:tabs>
        <w:tab w:val="clear" w:pos="1152"/>
      </w:tabs>
    </w:pPr>
    <w:rPr>
      <w:rFonts w:ascii="Times New Roman" w:hAnsi="Times New Roman" w:eastAsia="宋体"/>
      <w:i/>
    </w:rPr>
  </w:style>
  <w:style w:type="paragraph" w:customStyle="1" w:styleId="528">
    <w:name w:val="dash bullet"/>
    <w:uiPriority w:val="0"/>
    <w:pPr>
      <w:tabs>
        <w:tab w:val="left" w:pos="187"/>
        <w:tab w:val="left" w:pos="360"/>
      </w:tabs>
      <w:spacing w:after="20"/>
      <w:ind w:left="374" w:hanging="187"/>
    </w:pPr>
    <w:rPr>
      <w:rFonts w:ascii="Futura Bk" w:hAnsi="Futura Bk"/>
      <w:sz w:val="18"/>
      <w:lang w:val="en-US" w:eastAsia="en-US" w:bidi="ar-SA"/>
    </w:rPr>
  </w:style>
  <w:style w:type="paragraph" w:customStyle="1" w:styleId="529">
    <w:name w:val="xl26"/>
    <w:basedOn w:val="1"/>
    <w:uiPriority w:val="0"/>
    <w:pPr>
      <w:widowControl/>
      <w:pBdr>
        <w:top w:val="single" w:color="auto" w:sz="4" w:space="0"/>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left"/>
    </w:pPr>
    <w:rPr>
      <w:rFonts w:ascii="宋体" w:hAnsi="宋体"/>
      <w:kern w:val="0"/>
      <w:sz w:val="20"/>
      <w:szCs w:val="20"/>
    </w:rPr>
  </w:style>
  <w:style w:type="paragraph" w:customStyle="1" w:styleId="530">
    <w:name w:val="xl34"/>
    <w:basedOn w:val="1"/>
    <w:uiPriority w:val="0"/>
    <w:pPr>
      <w:widowControl/>
      <w:pBdr>
        <w:top w:val="single" w:color="auto" w:sz="4" w:space="0"/>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left"/>
    </w:pPr>
    <w:rPr>
      <w:kern w:val="0"/>
      <w:sz w:val="20"/>
      <w:szCs w:val="20"/>
    </w:rPr>
  </w:style>
  <w:style w:type="paragraph" w:customStyle="1" w:styleId="531">
    <w:name w:val="正文表标题"/>
    <w:next w:val="377"/>
    <w:uiPriority w:val="0"/>
    <w:pPr>
      <w:tabs>
        <w:tab w:val="left" w:pos="840"/>
      </w:tabs>
      <w:ind w:left="840" w:hanging="420"/>
      <w:jc w:val="center"/>
    </w:pPr>
    <w:rPr>
      <w:rFonts w:ascii="黑体" w:eastAsia="黑体"/>
      <w:sz w:val="21"/>
      <w:lang w:val="en-US" w:eastAsia="zh-CN" w:bidi="ar-SA"/>
    </w:rPr>
  </w:style>
  <w:style w:type="paragraph" w:customStyle="1" w:styleId="532">
    <w:name w:val="Char Char Char Char1"/>
    <w:basedOn w:val="1"/>
    <w:uiPriority w:val="0"/>
    <w:pPr>
      <w:tabs>
        <w:tab w:val="left" w:pos="0"/>
      </w:tabs>
      <w:adjustRightInd/>
      <w:ind w:firstLine="200" w:firstLineChars="200"/>
    </w:pPr>
    <w:rPr>
      <w:rFonts w:ascii="宋体" w:hAnsi="宋体" w:eastAsia="仿宋_GB2312"/>
      <w:sz w:val="28"/>
    </w:rPr>
  </w:style>
  <w:style w:type="paragraph" w:customStyle="1" w:styleId="533">
    <w:name w:val="文章附标题"/>
    <w:basedOn w:val="1"/>
    <w:uiPriority w:val="0"/>
    <w:pPr>
      <w:autoSpaceDE w:val="0"/>
      <w:autoSpaceDN w:val="0"/>
      <w:spacing w:before="187" w:beforeLines="0" w:after="175" w:afterLines="0" w:line="374" w:lineRule="atLeast"/>
      <w:ind w:firstLine="200" w:firstLineChars="200"/>
      <w:jc w:val="center"/>
    </w:pPr>
    <w:rPr>
      <w:color w:val="000000"/>
      <w:kern w:val="0"/>
      <w:sz w:val="36"/>
      <w:szCs w:val="36"/>
    </w:rPr>
  </w:style>
  <w:style w:type="paragraph" w:customStyle="1" w:styleId="534">
    <w:name w:val="批注框文本1"/>
    <w:basedOn w:val="1"/>
    <w:uiPriority w:val="0"/>
    <w:pPr>
      <w:autoSpaceDE w:val="0"/>
      <w:autoSpaceDN w:val="0"/>
      <w:spacing w:line="351" w:lineRule="atLeast"/>
      <w:ind w:firstLine="419" w:firstLineChars="200"/>
    </w:pPr>
    <w:rPr>
      <w:color w:val="000000"/>
      <w:kern w:val="0"/>
      <w:sz w:val="18"/>
      <w:szCs w:val="18"/>
    </w:rPr>
  </w:style>
  <w:style w:type="paragraph" w:customStyle="1" w:styleId="535">
    <w:name w:val="正文 首行缩进:  2 字符 Char"/>
    <w:basedOn w:val="1"/>
    <w:uiPriority w:val="0"/>
    <w:pPr>
      <w:adjustRightInd/>
      <w:spacing w:line="360" w:lineRule="auto"/>
      <w:ind w:firstLine="480"/>
    </w:pPr>
    <w:rPr>
      <w:rFonts w:cs="宋体"/>
      <w:sz w:val="24"/>
      <w:szCs w:val="20"/>
    </w:rPr>
  </w:style>
  <w:style w:type="paragraph" w:customStyle="1" w:styleId="536">
    <w:name w:val="标题4_自定义"/>
    <w:basedOn w:val="6"/>
    <w:uiPriority w:val="0"/>
    <w:pPr>
      <w:numPr>
        <w:ilvl w:val="3"/>
        <w:numId w:val="0"/>
      </w:numPr>
      <w:adjustRightInd/>
      <w:spacing w:before="0" w:beforeLines="0" w:after="0" w:afterLines="0" w:line="360" w:lineRule="auto"/>
    </w:pPr>
    <w:rPr>
      <w:rFonts w:ascii="Verdana" w:eastAsia="Verdana"/>
      <w:sz w:val="21"/>
      <w:lang w:val="en-US"/>
    </w:rPr>
  </w:style>
  <w:style w:type="paragraph" w:customStyle="1" w:styleId="537">
    <w:name w:val="tabletext"/>
    <w:basedOn w:val="1"/>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538">
    <w:name w:val=" Char Char1 Char"/>
    <w:basedOn w:val="1"/>
    <w:uiPriority w:val="0"/>
    <w:rPr>
      <w:rFonts w:ascii="仿宋_GB2312" w:eastAsia="仿宋_GB2312"/>
      <w:b/>
      <w:sz w:val="32"/>
      <w:szCs w:val="32"/>
    </w:rPr>
  </w:style>
  <w:style w:type="paragraph" w:customStyle="1" w:styleId="539">
    <w:name w:val="4"/>
    <w:basedOn w:val="1"/>
    <w:next w:val="36"/>
    <w:uiPriority w:val="0"/>
    <w:pPr>
      <w:spacing w:after="120" w:afterLines="0" w:line="480" w:lineRule="auto"/>
      <w:ind w:left="420" w:leftChars="200"/>
    </w:pPr>
    <w:rPr>
      <w:sz w:val="24"/>
      <w:szCs w:val="20"/>
    </w:rPr>
  </w:style>
  <w:style w:type="paragraph" w:customStyle="1" w:styleId="540">
    <w:name w:val="Char Char Char Char Char Char"/>
    <w:basedOn w:val="1"/>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541">
    <w:name w:val="样式 首行缩进:  2 字符"/>
    <w:basedOn w:val="1"/>
    <w:uiPriority w:val="0"/>
    <w:pPr>
      <w:snapToGrid w:val="0"/>
      <w:spacing w:line="360" w:lineRule="auto"/>
    </w:pPr>
    <w:rPr>
      <w:rFonts w:ascii="仿宋_GB2312" w:hAnsi="宋体" w:eastAsia="仿宋_GB2312" w:cs="宋体"/>
      <w:color w:val="000000"/>
      <w:kern w:val="0"/>
      <w:sz w:val="28"/>
      <w:szCs w:val="21"/>
    </w:rPr>
  </w:style>
  <w:style w:type="paragraph" w:customStyle="1" w:styleId="542">
    <w:name w:val="Test2"/>
    <w:basedOn w:val="4"/>
    <w:uiPriority w:val="0"/>
    <w:pPr>
      <w:widowControl/>
      <w:adjustRightInd w:val="0"/>
      <w:snapToGrid w:val="0"/>
      <w:spacing w:before="360" w:beforeLines="0" w:after="360" w:afterLines="0" w:line="240" w:lineRule="atLeast"/>
    </w:pPr>
    <w:rPr>
      <w:rFonts w:ascii="宋体" w:hAnsi="Arial" w:eastAsia="宋体"/>
      <w:snapToGrid w:val="0"/>
      <w:kern w:val="0"/>
      <w:sz w:val="28"/>
      <w:szCs w:val="32"/>
      <w:lang w:val="en-US"/>
    </w:rPr>
  </w:style>
  <w:style w:type="paragraph" w:customStyle="1" w:styleId="543">
    <w:name w:val="左对齐表格文字"/>
    <w:basedOn w:val="1"/>
    <w:uiPriority w:val="0"/>
    <w:pPr>
      <w:adjustRightInd/>
      <w:ind w:firstLine="200" w:firstLineChars="200"/>
      <w:jc w:val="right"/>
    </w:pPr>
  </w:style>
  <w:style w:type="paragraph" w:customStyle="1" w:styleId="544">
    <w:name w:val="默认段落字体 Para Char Char Char Char"/>
    <w:basedOn w:val="1"/>
    <w:uiPriority w:val="0"/>
    <w:pPr>
      <w:spacing w:line="360" w:lineRule="auto"/>
    </w:pPr>
    <w:rPr>
      <w:szCs w:val="20"/>
    </w:rPr>
  </w:style>
  <w:style w:type="paragraph" w:customStyle="1" w:styleId="545">
    <w:name w:val="Char Char1 Char Char Char"/>
    <w:basedOn w:val="1"/>
    <w:uiPriority w:val="0"/>
    <w:rPr>
      <w:rFonts w:ascii="仿宋_GB2312" w:eastAsia="仿宋_GB2312"/>
      <w:b/>
      <w:sz w:val="32"/>
      <w:szCs w:val="20"/>
    </w:rPr>
  </w:style>
  <w:style w:type="paragraph" w:customStyle="1" w:styleId="546">
    <w:name w:val="Char Char"/>
    <w:basedOn w:val="1"/>
    <w:uiPriority w:val="0"/>
    <w:pPr>
      <w:spacing w:line="360" w:lineRule="auto"/>
    </w:pPr>
    <w:rPr>
      <w:rFonts w:ascii="Tahoma" w:hAnsi="Tahoma"/>
      <w:sz w:val="24"/>
      <w:szCs w:val="20"/>
    </w:rPr>
  </w:style>
  <w:style w:type="paragraph" w:customStyle="1" w:styleId="547">
    <w:name w:val="样式7"/>
    <w:basedOn w:val="340"/>
    <w:next w:val="1"/>
    <w:qFormat/>
    <w:uiPriority w:val="0"/>
    <w:pPr>
      <w:spacing w:after="156" w:afterLines="50"/>
      <w:jc w:val="left"/>
      <w:outlineLvl w:val="3"/>
    </w:pPr>
    <w:rPr>
      <w:sz w:val="24"/>
      <w:szCs w:val="24"/>
    </w:rPr>
  </w:style>
  <w:style w:type="paragraph" w:customStyle="1" w:styleId="548">
    <w:name w:val="样式 标题 4PIM 4H4h4bulletblbbH41H42H43H44H45H46H47H48...1"/>
    <w:basedOn w:val="6"/>
    <w:uiPriority w:val="0"/>
    <w:pPr>
      <w:widowControl/>
      <w:jc w:val="left"/>
    </w:pPr>
    <w:rPr>
      <w:rFonts w:cs="宋体"/>
      <w:sz w:val="24"/>
      <w:szCs w:val="20"/>
    </w:rPr>
  </w:style>
  <w:style w:type="paragraph" w:customStyle="1" w:styleId="549">
    <w:name w:val="legal"/>
    <w:basedOn w:val="1"/>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50">
    <w:name w:val="Char2"/>
    <w:basedOn w:val="1"/>
    <w:uiPriority w:val="0"/>
    <w:rPr>
      <w:rFonts w:ascii="仿宋_GB2312" w:eastAsia="仿宋_GB2312"/>
      <w:b/>
      <w:sz w:val="32"/>
      <w:szCs w:val="32"/>
    </w:rPr>
  </w:style>
  <w:style w:type="paragraph" w:customStyle="1" w:styleId="551">
    <w:name w:val="Char2 Char Char Char"/>
    <w:basedOn w:val="1"/>
    <w:uiPriority w:val="0"/>
    <w:rPr>
      <w:rFonts w:ascii="仿宋_GB2312" w:eastAsia="仿宋_GB2312"/>
      <w:b/>
      <w:sz w:val="32"/>
      <w:szCs w:val="32"/>
    </w:rPr>
  </w:style>
  <w:style w:type="paragraph" w:customStyle="1" w:styleId="552">
    <w:name w:val="目录4"/>
    <w:basedOn w:val="1"/>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53">
    <w:name w:val="正文首行缩进两字"/>
    <w:uiPriority w:val="0"/>
    <w:pPr>
      <w:spacing w:after="156" w:afterLines="50" w:line="300" w:lineRule="auto"/>
      <w:ind w:right="210" w:rightChars="100" w:firstLine="523" w:firstLineChars="218"/>
    </w:pPr>
    <w:rPr>
      <w:sz w:val="24"/>
      <w:szCs w:val="24"/>
      <w:lang w:val="en-US" w:eastAsia="zh-CN" w:bidi="ar-SA"/>
    </w:rPr>
  </w:style>
  <w:style w:type="paragraph" w:customStyle="1" w:styleId="554">
    <w:name w:val="trs_editor"/>
    <w:basedOn w:val="1"/>
    <w:uiPriority w:val="0"/>
    <w:pPr>
      <w:widowControl/>
      <w:adjustRightInd/>
      <w:spacing w:before="100" w:beforeAutospacing="1" w:after="100" w:afterAutospacing="1"/>
      <w:jc w:val="left"/>
    </w:pPr>
    <w:rPr>
      <w:rFonts w:ascii="宋体" w:hAnsi="宋体" w:cs="宋体"/>
      <w:kern w:val="0"/>
      <w:sz w:val="24"/>
    </w:rPr>
  </w:style>
  <w:style w:type="paragraph" w:customStyle="1" w:styleId="555">
    <w:name w:val="Char Char Char"/>
    <w:basedOn w:val="1"/>
    <w:uiPriority w:val="0"/>
    <w:pPr>
      <w:widowControl/>
      <w:spacing w:after="160" w:afterLines="0" w:line="240" w:lineRule="exact"/>
      <w:jc w:val="left"/>
    </w:pPr>
    <w:rPr>
      <w:rFonts w:ascii="Verdana" w:hAnsi="Verdana"/>
      <w:kern w:val="0"/>
      <w:sz w:val="20"/>
      <w:szCs w:val="20"/>
      <w:lang w:eastAsia="en-US"/>
    </w:rPr>
  </w:style>
  <w:style w:type="paragraph" w:styleId="556">
    <w:name w:val=""/>
    <w:basedOn w:val="3"/>
    <w:next w:val="1"/>
    <w:qFormat/>
    <w:uiPriority w:val="39"/>
    <w:pPr>
      <w:widowControl/>
      <w:numPr>
        <w:ilvl w:val="0"/>
        <w:numId w:val="0"/>
      </w:numPr>
      <w:adjustRightInd/>
      <w:spacing w:before="480" w:beforeLines="0" w:after="0" w:afterLines="0" w:line="276" w:lineRule="auto"/>
      <w:jc w:val="left"/>
      <w:outlineLvl w:val="9"/>
    </w:pPr>
    <w:rPr>
      <w:rFonts w:ascii="Cambria" w:hAnsi="Cambria"/>
      <w:color w:val="365F91"/>
      <w:kern w:val="0"/>
      <w:sz w:val="28"/>
      <w:szCs w:val="28"/>
    </w:rPr>
  </w:style>
  <w:style w:type="paragraph" w:customStyle="1" w:styleId="557">
    <w:name w:val=" Char Char11 Char Char Char Char Char Char Char Char Char Char Char Char Char1"/>
    <w:basedOn w:val="1"/>
    <w:uiPriority w:val="0"/>
    <w:pPr>
      <w:adjustRightInd/>
      <w:spacing w:line="360" w:lineRule="auto"/>
    </w:pPr>
    <w:rPr>
      <w:rFonts w:ascii="Arial" w:hAnsi="Arial" w:eastAsia="黑体" w:cs="Arial"/>
      <w:snapToGrid w:val="0"/>
      <w:kern w:val="0"/>
      <w:szCs w:val="21"/>
    </w:rPr>
  </w:style>
  <w:style w:type="paragraph" w:customStyle="1" w:styleId="558">
    <w:name w:val=" Char Char28"/>
    <w:basedOn w:val="1"/>
    <w:uiPriority w:val="0"/>
    <w:pPr>
      <w:adjustRightInd/>
      <w:snapToGrid w:val="0"/>
      <w:spacing w:line="360" w:lineRule="auto"/>
    </w:pPr>
    <w:rPr>
      <w:rFonts w:ascii="Arial" w:hAnsi="Arial" w:eastAsia="黑体"/>
      <w:snapToGrid w:val="0"/>
      <w:kern w:val="0"/>
      <w:sz w:val="20"/>
      <w:szCs w:val="21"/>
      <w:lang/>
    </w:rPr>
  </w:style>
  <w:style w:type="paragraph" w:customStyle="1" w:styleId="559">
    <w:name w:val="af17cgridlangnp1033langf"/>
    <w:uiPriority w:val="0"/>
    <w:pPr>
      <w:widowControl w:val="0"/>
      <w:autoSpaceDE w:val="0"/>
      <w:autoSpaceDN w:val="0"/>
      <w:adjustRightInd w:val="0"/>
      <w:spacing w:before="156" w:line="360" w:lineRule="atLeast"/>
      <w:ind w:left="567" w:firstLine="510"/>
      <w:jc w:val="both"/>
    </w:pPr>
    <w:rPr>
      <w:lang w:val="en-US" w:eastAsia="zh-CN" w:bidi="ar-SA"/>
    </w:rPr>
  </w:style>
  <w:style w:type="paragraph" w:customStyle="1" w:styleId="560">
    <w:name w:val="样式 标题 1Level 1 HeadPIM 1Section Headh1l11Heading 0Datash..."/>
    <w:basedOn w:val="3"/>
    <w:uiPriority w:val="0"/>
    <w:pPr>
      <w:keepNext w:val="0"/>
      <w:keepLines w:val="0"/>
      <w:widowControl/>
      <w:numPr>
        <w:ilvl w:val="0"/>
        <w:numId w:val="0"/>
      </w:numPr>
      <w:overflowPunct w:val="0"/>
      <w:autoSpaceDE w:val="0"/>
      <w:autoSpaceDN w:val="0"/>
      <w:spacing w:before="0" w:beforeLines="0" w:after="100" w:afterLines="0" w:line="360" w:lineRule="auto"/>
      <w:jc w:val="left"/>
      <w:textAlignment w:val="baseline"/>
    </w:pPr>
    <w:rPr>
      <w:rFonts w:ascii="宋体" w:hAnsi="宋体"/>
      <w:kern w:val="2"/>
      <w:sz w:val="24"/>
      <w:szCs w:val="20"/>
    </w:rPr>
  </w:style>
  <w:style w:type="paragraph" w:customStyle="1" w:styleId="561">
    <w:name w:val="Char1 Char Char Char5"/>
    <w:basedOn w:val="1"/>
    <w:uiPriority w:val="0"/>
    <w:pPr>
      <w:adjustRightInd/>
      <w:ind w:firstLine="200" w:firstLineChars="200"/>
    </w:pPr>
    <w:rPr>
      <w:rFonts w:ascii="Tahoma" w:hAnsi="Tahoma"/>
      <w:sz w:val="24"/>
      <w:szCs w:val="20"/>
    </w:rPr>
  </w:style>
  <w:style w:type="paragraph" w:customStyle="1" w:styleId="562">
    <w:name w:val=" Char Char11 Char Char Char Char Char Char Char Char Char Char Char Char Char Char Char Char Char"/>
    <w:basedOn w:val="1"/>
    <w:uiPriority w:val="0"/>
    <w:pPr>
      <w:adjustRightInd/>
      <w:spacing w:line="360" w:lineRule="auto"/>
    </w:pPr>
    <w:rPr>
      <w:rFonts w:ascii="Arial" w:hAnsi="Arial" w:eastAsia="黑体" w:cs="Arial"/>
      <w:snapToGrid w:val="0"/>
      <w:kern w:val="0"/>
      <w:szCs w:val="21"/>
    </w:rPr>
  </w:style>
  <w:style w:type="paragraph" w:customStyle="1" w:styleId="563">
    <w:name w:val="样式 正文缩进 + 首行缩进:  2 字符"/>
    <w:basedOn w:val="16"/>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564">
    <w:name w:val="Table Cell"/>
    <w:uiPriority w:val="0"/>
    <w:pPr>
      <w:adjustRightInd w:val="0"/>
      <w:snapToGrid w:val="0"/>
      <w:spacing w:before="20" w:after="20"/>
    </w:pPr>
    <w:rPr>
      <w:rFonts w:ascii="Courier New" w:hAnsi="Courier New"/>
      <w:sz w:val="24"/>
      <w:lang w:val="en-US" w:eastAsia="zh-CN" w:bidi="ar-SA"/>
    </w:rPr>
  </w:style>
  <w:style w:type="paragraph" w:customStyle="1" w:styleId="565">
    <w:name w:val=" Char Char11 Char Char Char Char Char Char Char Char Char"/>
    <w:basedOn w:val="1"/>
    <w:uiPriority w:val="0"/>
    <w:pPr>
      <w:spacing w:line="360" w:lineRule="auto"/>
    </w:pPr>
    <w:rPr>
      <w:szCs w:val="20"/>
    </w:rPr>
  </w:style>
  <w:style w:type="paragraph" w:customStyle="1" w:styleId="566">
    <w:name w:val="样式 左侧:  0.85 厘米 首行缩进:  0.85 厘米"/>
    <w:basedOn w:val="1"/>
    <w:uiPriority w:val="0"/>
    <w:pPr>
      <w:adjustRightInd/>
      <w:spacing w:line="360" w:lineRule="auto"/>
      <w:ind w:firstLine="482"/>
    </w:pPr>
    <w:rPr>
      <w:rFonts w:cs="宋体"/>
      <w:sz w:val="24"/>
      <w:szCs w:val="20"/>
    </w:rPr>
  </w:style>
  <w:style w:type="paragraph" w:customStyle="1" w:styleId="567">
    <w:name w:val="样式 正1 + 首行缩进:  2 字符"/>
    <w:basedOn w:val="1"/>
    <w:uiPriority w:val="0"/>
    <w:pPr>
      <w:adjustRightInd/>
      <w:spacing w:line="360" w:lineRule="auto"/>
      <w:ind w:firstLine="480" w:firstLineChars="200"/>
    </w:pPr>
    <w:rPr>
      <w:rFonts w:ascii="仿宋_GB2312" w:eastAsia="仿宋_GB2312"/>
      <w:sz w:val="24"/>
    </w:rPr>
  </w:style>
  <w:style w:type="paragraph" w:customStyle="1" w:styleId="568">
    <w:name w:val="默认段落字体 Para Char Char Char1 Char"/>
    <w:basedOn w:val="1"/>
    <w:uiPriority w:val="0"/>
    <w:pPr>
      <w:spacing w:line="240" w:lineRule="atLeast"/>
      <w:ind w:left="420" w:firstLine="420"/>
    </w:pPr>
    <w:rPr>
      <w:sz w:val="24"/>
    </w:rPr>
  </w:style>
  <w:style w:type="paragraph" w:customStyle="1" w:styleId="569">
    <w:name w:val="Table Contents"/>
    <w:basedOn w:val="1"/>
    <w:uiPriority w:val="0"/>
    <w:pPr>
      <w:suppressAutoHyphens/>
      <w:autoSpaceDE w:val="0"/>
      <w:spacing w:after="120" w:afterLines="0"/>
      <w:jc w:val="left"/>
    </w:pPr>
    <w:rPr>
      <w:rFonts w:ascii="Helvetica" w:hAnsi="Helvetica"/>
      <w:kern w:val="1"/>
      <w:sz w:val="20"/>
      <w:szCs w:val="20"/>
      <w:lang/>
    </w:rPr>
  </w:style>
  <w:style w:type="paragraph" w:customStyle="1" w:styleId="570">
    <w:name w:val="标准正文"/>
    <w:basedOn w:val="1"/>
    <w:uiPriority w:val="0"/>
    <w:pPr>
      <w:tabs>
        <w:tab w:val="left" w:pos="780"/>
      </w:tabs>
      <w:adjustRightInd/>
      <w:spacing w:line="360" w:lineRule="auto"/>
      <w:ind w:left="200" w:leftChars="200" w:firstLine="200" w:firstLineChars="200"/>
    </w:pPr>
    <w:rPr>
      <w:sz w:val="24"/>
    </w:rPr>
  </w:style>
  <w:style w:type="paragraph" w:customStyle="1" w:styleId="571">
    <w:name w:val="xl30"/>
    <w:basedOn w:val="1"/>
    <w:uiPriority w:val="0"/>
    <w:pPr>
      <w:widowControl/>
      <w:pBdr>
        <w:left w:val="single" w:color="auto" w:sz="4" w:space="0"/>
        <w:right w:val="single" w:color="auto" w:sz="4" w:space="0"/>
      </w:pBdr>
      <w:adjustRightInd/>
      <w:spacing w:before="100" w:beforeLines="0" w:beforeAutospacing="1" w:after="100" w:afterLines="0" w:afterAutospacing="1"/>
      <w:jc w:val="center"/>
    </w:pPr>
    <w:rPr>
      <w:rFonts w:eastAsia="Arial Unicode MS"/>
      <w:kern w:val="0"/>
      <w:szCs w:val="21"/>
    </w:rPr>
  </w:style>
  <w:style w:type="paragraph" w:customStyle="1" w:styleId="572">
    <w:name w:val="文章标题"/>
    <w:next w:val="334"/>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573">
    <w:name w:val="Char Char Char Char Char Char Char Char Char"/>
    <w:basedOn w:val="1"/>
    <w:uiPriority w:val="0"/>
    <w:pPr>
      <w:adjustRightInd/>
      <w:ind w:firstLine="200" w:firstLineChars="200"/>
    </w:pPr>
    <w:rPr>
      <w:rFonts w:ascii="Tahoma" w:hAnsi="Tahoma"/>
      <w:sz w:val="24"/>
      <w:szCs w:val="20"/>
    </w:rPr>
  </w:style>
  <w:style w:type="paragraph" w:customStyle="1" w:styleId="574">
    <w:name w:val="标题 41"/>
    <w:basedOn w:val="1"/>
    <w:next w:val="1"/>
    <w:unhideWhenUsed/>
    <w:qFormat/>
    <w:uiPriority w:val="9"/>
    <w:pPr>
      <w:keepNext/>
      <w:keepLines/>
      <w:adjustRightInd/>
      <w:spacing w:before="280" w:beforeLines="0" w:after="290" w:afterLines="0" w:line="376" w:lineRule="auto"/>
      <w:outlineLvl w:val="3"/>
    </w:pPr>
    <w:rPr>
      <w:rFonts w:ascii="Cambria" w:hAnsi="Cambria"/>
      <w:b/>
      <w:bCs/>
      <w:sz w:val="28"/>
      <w:szCs w:val="28"/>
    </w:rPr>
  </w:style>
  <w:style w:type="paragraph" w:customStyle="1" w:styleId="575">
    <w:name w:val="P1"/>
    <w:basedOn w:val="1"/>
    <w:uiPriority w:val="0"/>
    <w:pPr>
      <w:adjustRightInd/>
      <w:spacing w:line="288" w:lineRule="auto"/>
      <w:ind w:firstLine="425" w:firstLineChars="200"/>
    </w:pPr>
  </w:style>
  <w:style w:type="paragraph" w:customStyle="1" w:styleId="576">
    <w:name w:val="Ñù"/>
    <w:uiPriority w:val="0"/>
    <w:pPr>
      <w:overflowPunct w:val="0"/>
      <w:autoSpaceDE w:val="0"/>
      <w:autoSpaceDN w:val="0"/>
      <w:adjustRightInd w:val="0"/>
      <w:spacing w:line="400" w:lineRule="exact"/>
      <w:jc w:val="both"/>
      <w:textAlignment w:val="baseline"/>
    </w:pPr>
    <w:rPr>
      <w:sz w:val="24"/>
      <w:lang w:val="en-US" w:eastAsia="zh-CN" w:bidi="ar-SA"/>
    </w:rPr>
  </w:style>
  <w:style w:type="paragraph" w:customStyle="1" w:styleId="577">
    <w:name w:val=" Char1"/>
    <w:basedOn w:val="1"/>
    <w:uiPriority w:val="0"/>
    <w:rPr>
      <w:rFonts w:ascii="仿宋_GB2312" w:eastAsia="仿宋_GB2312"/>
      <w:b/>
      <w:sz w:val="32"/>
      <w:szCs w:val="32"/>
    </w:rPr>
  </w:style>
  <w:style w:type="paragraph" w:customStyle="1" w:styleId="578">
    <w:name w:val="bt_content"/>
    <w:basedOn w:val="1"/>
    <w:uiPriority w:val="0"/>
    <w:pPr>
      <w:widowControl/>
      <w:adjustRightInd/>
      <w:spacing w:before="100" w:beforeLines="0" w:beforeAutospacing="1" w:after="100" w:afterLines="0" w:afterAutospacing="1" w:line="360" w:lineRule="auto"/>
      <w:ind w:firstLine="480" w:firstLineChars="200"/>
      <w:jc w:val="left"/>
    </w:pPr>
    <w:rPr>
      <w:rFonts w:ascii="宋体" w:hAnsi="宋体" w:eastAsia="微软雅黑" w:cs="宋体"/>
      <w:kern w:val="0"/>
      <w:sz w:val="24"/>
    </w:rPr>
  </w:style>
  <w:style w:type="paragraph" w:customStyle="1" w:styleId="579">
    <w:name w:val="xl32"/>
    <w:basedOn w:val="1"/>
    <w:uiPriority w:val="0"/>
    <w:pPr>
      <w:widowControl/>
      <w:pBdr>
        <w:top w:val="single" w:color="auto" w:sz="4" w:space="0"/>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left"/>
    </w:pPr>
    <w:rPr>
      <w:rFonts w:ascii="宋体" w:hAnsi="宋体"/>
      <w:kern w:val="0"/>
      <w:sz w:val="20"/>
      <w:szCs w:val="20"/>
    </w:rPr>
  </w:style>
  <w:style w:type="paragraph" w:customStyle="1" w:styleId="580">
    <w:name w:val="样式 标题 22h2L1 Heading 2H2sect 1.2H21sect 1.21H22sect 1.2..."/>
    <w:basedOn w:val="4"/>
    <w:next w:val="1"/>
    <w:uiPriority w:val="0"/>
    <w:pPr>
      <w:numPr>
        <w:ilvl w:val="0"/>
        <w:numId w:val="0"/>
      </w:numPr>
      <w:tabs>
        <w:tab w:val="left" w:pos="425"/>
        <w:tab w:val="clear" w:pos="432"/>
      </w:tabs>
      <w:spacing w:before="260" w:beforeLines="0" w:after="260" w:afterLines="0" w:line="415" w:lineRule="auto"/>
      <w:ind w:left="425" w:hanging="425"/>
    </w:pPr>
    <w:rPr>
      <w:rFonts w:ascii="微软雅黑" w:hAnsi="微软雅黑" w:eastAsia="微软雅黑"/>
      <w:sz w:val="32"/>
      <w:szCs w:val="32"/>
      <w:lang w:val="en-US"/>
    </w:rPr>
  </w:style>
  <w:style w:type="paragraph" w:customStyle="1" w:styleId="581">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582">
    <w:name w:val="加粗正文"/>
    <w:basedOn w:val="1"/>
    <w:uiPriority w:val="0"/>
    <w:pPr>
      <w:adjustRightInd/>
      <w:spacing w:before="156" w:beforeLines="50" w:after="156" w:afterLines="50" w:line="360" w:lineRule="auto"/>
      <w:ind w:firstLine="422" w:firstLineChars="200"/>
    </w:pPr>
    <w:rPr>
      <w:b/>
      <w:bCs/>
      <w:szCs w:val="21"/>
    </w:rPr>
  </w:style>
  <w:style w:type="paragraph" w:customStyle="1" w:styleId="583">
    <w:name w:val="0"/>
    <w:basedOn w:val="1"/>
    <w:uiPriority w:val="0"/>
    <w:pPr>
      <w:widowControl/>
    </w:pPr>
    <w:rPr>
      <w:kern w:val="0"/>
      <w:sz w:val="24"/>
      <w:szCs w:val="20"/>
    </w:rPr>
  </w:style>
  <w:style w:type="paragraph" w:customStyle="1" w:styleId="584">
    <w:name w:val="FA正文"/>
    <w:basedOn w:val="1"/>
    <w:uiPriority w:val="0"/>
    <w:pPr>
      <w:spacing w:line="360" w:lineRule="auto"/>
      <w:ind w:firstLine="480" w:firstLineChars="200"/>
    </w:pPr>
    <w:rPr>
      <w:rFonts w:hAnsi="宋体"/>
      <w:sz w:val="24"/>
      <w:szCs w:val="20"/>
    </w:rPr>
  </w:style>
  <w:style w:type="paragraph" w:customStyle="1" w:styleId="585">
    <w:name w:val="小节标题"/>
    <w:basedOn w:val="1"/>
    <w:uiPriority w:val="0"/>
    <w:pPr>
      <w:autoSpaceDE w:val="0"/>
      <w:autoSpaceDN w:val="0"/>
      <w:spacing w:before="175" w:beforeLines="0" w:after="102" w:afterLines="0" w:line="351" w:lineRule="atLeast"/>
      <w:ind w:firstLine="200" w:firstLineChars="200"/>
    </w:pPr>
    <w:rPr>
      <w:color w:val="000000"/>
      <w:kern w:val="0"/>
      <w:szCs w:val="21"/>
    </w:rPr>
  </w:style>
  <w:style w:type="paragraph" w:customStyle="1" w:styleId="586">
    <w:name w:val="标题五"/>
    <w:basedOn w:val="1"/>
    <w:uiPriority w:val="0"/>
    <w:pPr>
      <w:adjustRightInd/>
      <w:spacing w:before="156" w:beforeLines="50" w:line="360" w:lineRule="auto"/>
    </w:pPr>
    <w:rPr>
      <w:b/>
      <w:sz w:val="24"/>
    </w:rPr>
  </w:style>
  <w:style w:type="paragraph" w:customStyle="1" w:styleId="587">
    <w:name w:val="部分1"/>
    <w:basedOn w:val="1"/>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588">
    <w:name w:val="正文文字缩进项目"/>
    <w:basedOn w:val="24"/>
    <w:uiPriority w:val="0"/>
    <w:pPr>
      <w:tabs>
        <w:tab w:val="left" w:pos="840"/>
      </w:tabs>
      <w:adjustRightInd/>
      <w:spacing w:after="120" w:line="240" w:lineRule="auto"/>
      <w:ind w:hanging="420" w:firstLineChars="0"/>
    </w:pPr>
    <w:rPr>
      <w:rFonts w:ascii="Tahoma" w:hAnsi="Tahoma"/>
      <w:sz w:val="22"/>
      <w:szCs w:val="20"/>
    </w:rPr>
  </w:style>
  <w:style w:type="paragraph" w:customStyle="1" w:styleId="589">
    <w:name w:val="标书标题3"/>
    <w:basedOn w:val="5"/>
    <w:uiPriority w:val="0"/>
    <w:pPr>
      <w:keepLines w:val="0"/>
      <w:widowControl/>
      <w:numPr>
        <w:ilvl w:val="2"/>
        <w:numId w:val="0"/>
      </w:numPr>
      <w:snapToGrid w:val="0"/>
      <w:spacing w:before="120" w:beforeLines="0" w:after="60" w:afterLines="0" w:line="300" w:lineRule="auto"/>
      <w:jc w:val="left"/>
    </w:pPr>
    <w:rPr>
      <w:rFonts w:ascii="Arial Narrow" w:hAnsi="Arial Narrow" w:eastAsia="仿宋_GB2312"/>
      <w:b w:val="0"/>
      <w:bCs w:val="0"/>
      <w:color w:val="000000"/>
      <w:kern w:val="0"/>
      <w:sz w:val="28"/>
      <w:lang w:val="en-US" w:eastAsia="zh-CN"/>
    </w:rPr>
  </w:style>
  <w:style w:type="paragraph" w:customStyle="1" w:styleId="590">
    <w:name w:val="font7"/>
    <w:basedOn w:val="1"/>
    <w:uiPriority w:val="0"/>
    <w:pPr>
      <w:widowControl/>
      <w:adjustRightInd/>
      <w:spacing w:before="100" w:beforeLines="0" w:beforeAutospacing="1" w:after="100" w:afterLines="0" w:afterAutospacing="1" w:line="360" w:lineRule="auto"/>
      <w:ind w:firstLine="200" w:firstLineChars="200"/>
      <w:jc w:val="left"/>
    </w:pPr>
    <w:rPr>
      <w:kern w:val="0"/>
      <w:sz w:val="20"/>
      <w:szCs w:val="20"/>
    </w:rPr>
  </w:style>
  <w:style w:type="paragraph" w:customStyle="1" w:styleId="591">
    <w:name w:val="标准正文格式"/>
    <w:basedOn w:val="1"/>
    <w:uiPriority w:val="0"/>
    <w:pPr>
      <w:widowControl/>
      <w:spacing w:before="60" w:beforeLines="0" w:after="120" w:afterLines="0" w:line="360" w:lineRule="auto"/>
      <w:ind w:firstLine="200" w:firstLineChars="200"/>
      <w:textAlignment w:val="baseline"/>
    </w:pPr>
    <w:rPr>
      <w:rFonts w:ascii="宋体" w:eastAsia="仿宋_GB2312" w:cs="宋体"/>
      <w:color w:val="000000"/>
      <w:kern w:val="0"/>
      <w:sz w:val="24"/>
      <w:szCs w:val="20"/>
    </w:rPr>
  </w:style>
  <w:style w:type="paragraph" w:customStyle="1" w:styleId="592">
    <w:name w:val="正文文本 22"/>
    <w:basedOn w:val="1"/>
    <w:uiPriority w:val="0"/>
    <w:pPr>
      <w:widowControl/>
      <w:overflowPunct w:val="0"/>
      <w:autoSpaceDE w:val="0"/>
      <w:autoSpaceDN w:val="0"/>
      <w:ind w:left="720" w:hanging="720"/>
      <w:textAlignment w:val="baseline"/>
    </w:pPr>
    <w:rPr>
      <w:kern w:val="0"/>
      <w:sz w:val="24"/>
      <w:szCs w:val="20"/>
      <w:lang w:val="en-GB"/>
    </w:rPr>
  </w:style>
  <w:style w:type="paragraph" w:customStyle="1" w:styleId="593">
    <w:name w:val="Char Char11 Char Char Char Char Char Char Char Char Char Char Char Char Char Char Char"/>
    <w:basedOn w:val="1"/>
    <w:uiPriority w:val="0"/>
    <w:pPr>
      <w:adjustRightInd/>
      <w:spacing w:line="360" w:lineRule="auto"/>
    </w:pPr>
    <w:rPr>
      <w:rFonts w:ascii="Arial" w:hAnsi="Arial" w:eastAsia="黑体" w:cs="Arial"/>
      <w:snapToGrid w:val="0"/>
      <w:kern w:val="0"/>
      <w:szCs w:val="21"/>
    </w:rPr>
  </w:style>
  <w:style w:type="paragraph" w:customStyle="1" w:styleId="594">
    <w:name w:val="普通正文"/>
    <w:basedOn w:val="1"/>
    <w:uiPriority w:val="0"/>
    <w:pPr>
      <w:tabs>
        <w:tab w:val="left" w:pos="2280"/>
      </w:tabs>
      <w:spacing w:before="120" w:beforeLines="0" w:after="120" w:afterLines="0" w:line="360" w:lineRule="auto"/>
      <w:ind w:firstLine="480" w:firstLineChars="200"/>
      <w:jc w:val="left"/>
      <w:textAlignment w:val="baseline"/>
    </w:pPr>
    <w:rPr>
      <w:rFonts w:ascii="Arial" w:hAnsi="Arial"/>
      <w:kern w:val="0"/>
      <w:sz w:val="24"/>
    </w:rPr>
  </w:style>
  <w:style w:type="paragraph" w:customStyle="1" w:styleId="595">
    <w:name w:val="Char Char Char Char"/>
    <w:basedOn w:val="1"/>
    <w:uiPriority w:val="0"/>
    <w:pPr>
      <w:widowControl/>
      <w:spacing w:after="160" w:afterLines="0" w:line="240" w:lineRule="exact"/>
      <w:jc w:val="left"/>
    </w:pPr>
    <w:rPr>
      <w:rFonts w:ascii="Arial" w:hAnsi="Arial" w:eastAsia="Times New Roman" w:cs="Verdana"/>
      <w:b/>
      <w:kern w:val="0"/>
      <w:sz w:val="24"/>
      <w:szCs w:val="20"/>
      <w:lang w:eastAsia="en-US"/>
    </w:rPr>
  </w:style>
  <w:style w:type="paragraph" w:customStyle="1" w:styleId="596">
    <w:name w:val="样式 标题 3H3 + 两端对齐"/>
    <w:basedOn w:val="5"/>
    <w:uiPriority w:val="0"/>
    <w:pPr>
      <w:keepLines w:val="0"/>
      <w:numPr>
        <w:ilvl w:val="2"/>
        <w:numId w:val="0"/>
      </w:numPr>
      <w:spacing w:before="0" w:beforeLines="0" w:after="0" w:afterLines="0" w:line="240" w:lineRule="auto"/>
      <w:jc w:val="left"/>
    </w:pPr>
    <w:rPr>
      <w:rFonts w:cs="宋体"/>
      <w:sz w:val="21"/>
      <w:szCs w:val="20"/>
    </w:rPr>
  </w:style>
  <w:style w:type="paragraph" w:customStyle="1" w:styleId="597">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598">
    <w:name w:val="Char Char11 Char Char Char Char Char Char Char Char Char Char Char"/>
    <w:basedOn w:val="1"/>
    <w:uiPriority w:val="0"/>
    <w:pPr>
      <w:adjustRightInd/>
      <w:spacing w:line="360" w:lineRule="auto"/>
    </w:pPr>
    <w:rPr>
      <w:rFonts w:ascii="Arial" w:hAnsi="Arial" w:eastAsia="黑体" w:cs="Arial"/>
      <w:snapToGrid w:val="0"/>
      <w:kern w:val="0"/>
      <w:szCs w:val="21"/>
    </w:rPr>
  </w:style>
  <w:style w:type="paragraph" w:customStyle="1" w:styleId="599">
    <w:name w:val="正文文字缩进2字"/>
    <w:basedOn w:val="23"/>
    <w:uiPriority w:val="0"/>
    <w:pPr>
      <w:autoSpaceDE/>
      <w:autoSpaceDN/>
      <w:adjustRightInd/>
      <w:spacing w:before="60" w:beforeLines="0" w:after="60" w:afterLines="0"/>
      <w:ind w:firstLineChars="200"/>
    </w:pPr>
    <w:rPr>
      <w:rFonts w:ascii="Times New Roman"/>
      <w:szCs w:val="20"/>
      <w:lang w:val="en-US" w:eastAsia="zh-CN"/>
    </w:rPr>
  </w:style>
  <w:style w:type="paragraph" w:customStyle="1" w:styleId="600">
    <w:name w:val="subhead"/>
    <w:uiPriority w:val="0"/>
    <w:pPr>
      <w:spacing w:after="120" w:line="300" w:lineRule="exact"/>
    </w:pPr>
    <w:rPr>
      <w:rFonts w:ascii="Arial" w:hAnsi="Arial"/>
      <w:b/>
      <w:sz w:val="26"/>
      <w:lang w:val="en-US" w:eastAsia="en-US" w:bidi="ar-SA"/>
    </w:rPr>
  </w:style>
  <w:style w:type="paragraph" w:customStyle="1" w:styleId="601">
    <w:name w:val=" Char Char Char Char Char Char"/>
    <w:basedOn w:val="1"/>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02">
    <w:name w:val="正文文字表格居中"/>
    <w:basedOn w:val="1"/>
    <w:next w:val="55"/>
    <w:uiPriority w:val="0"/>
    <w:pPr>
      <w:snapToGrid w:val="0"/>
      <w:spacing w:line="360" w:lineRule="auto"/>
    </w:pPr>
    <w:rPr>
      <w:rFonts w:ascii="宋体"/>
      <w:b/>
      <w:sz w:val="24"/>
      <w:szCs w:val="20"/>
    </w:rPr>
  </w:style>
  <w:style w:type="paragraph" w:customStyle="1" w:styleId="603">
    <w:name w:val="首行缩进"/>
    <w:basedOn w:val="1"/>
    <w:uiPriority w:val="0"/>
    <w:pPr>
      <w:spacing w:line="360" w:lineRule="auto"/>
      <w:ind w:firstLine="480" w:firstLineChars="200"/>
    </w:pPr>
    <w:rPr>
      <w:rFonts w:ascii="宋体"/>
      <w:sz w:val="24"/>
      <w:szCs w:val="20"/>
    </w:rPr>
  </w:style>
  <w:style w:type="paragraph" w:customStyle="1" w:styleId="604">
    <w:name w:val="MM Title"/>
    <w:basedOn w:val="58"/>
    <w:uiPriority w:val="0"/>
    <w:pPr>
      <w:widowControl w:val="0"/>
      <w:overflowPunct/>
      <w:autoSpaceDE/>
      <w:autoSpaceDN/>
      <w:adjustRightInd/>
      <w:spacing w:before="240" w:beforeLines="0" w:after="60" w:afterLines="0"/>
      <w:textAlignment w:val="auto"/>
      <w:outlineLvl w:val="0"/>
    </w:pPr>
    <w:rPr>
      <w:rFonts w:ascii="Arial" w:hAnsi="Arial" w:cs="Arial"/>
      <w:bCs/>
      <w:kern w:val="2"/>
      <w:sz w:val="32"/>
      <w:szCs w:val="32"/>
      <w:lang w:val="en-US"/>
    </w:rPr>
  </w:style>
  <w:style w:type="paragraph" w:customStyle="1" w:styleId="605">
    <w:name w:val="正文段"/>
    <w:basedOn w:val="1"/>
    <w:uiPriority w:val="0"/>
    <w:pPr>
      <w:widowControl/>
      <w:snapToGrid w:val="0"/>
      <w:spacing w:after="156" w:afterLines="50"/>
      <w:ind w:firstLine="200" w:firstLineChars="200"/>
    </w:pPr>
    <w:rPr>
      <w:kern w:val="0"/>
      <w:sz w:val="24"/>
      <w:szCs w:val="20"/>
    </w:rPr>
  </w:style>
  <w:style w:type="paragraph" w:customStyle="1" w:styleId="606">
    <w:name w:val="Char Char Char Char Char Char Char Char Char Char"/>
    <w:basedOn w:val="1"/>
    <w:uiPriority w:val="0"/>
    <w:rPr>
      <w:rFonts w:ascii="仿宋_GB2312" w:eastAsia="仿宋_GB2312"/>
      <w:b/>
      <w:sz w:val="32"/>
      <w:szCs w:val="32"/>
    </w:rPr>
  </w:style>
  <w:style w:type="paragraph" w:customStyle="1" w:styleId="607">
    <w:name w:val="标准书眉_奇数页"/>
    <w:next w:val="1"/>
    <w:uiPriority w:val="0"/>
    <w:pPr>
      <w:tabs>
        <w:tab w:val="center" w:pos="4154"/>
        <w:tab w:val="right" w:pos="8306"/>
      </w:tabs>
      <w:spacing w:after="120"/>
      <w:jc w:val="right"/>
    </w:pPr>
    <w:rPr>
      <w:sz w:val="21"/>
      <w:lang w:val="en-US" w:eastAsia="zh-CN" w:bidi="ar-SA"/>
    </w:rPr>
  </w:style>
  <w:style w:type="paragraph" w:customStyle="1" w:styleId="608">
    <w:name w:val="reader-word-layer"/>
    <w:basedOn w:val="1"/>
    <w:uiPriority w:val="0"/>
    <w:pPr>
      <w:widowControl/>
      <w:adjustRightInd/>
      <w:spacing w:before="100" w:beforeAutospacing="1" w:after="100" w:afterAutospacing="1"/>
      <w:jc w:val="left"/>
    </w:pPr>
    <w:rPr>
      <w:rFonts w:ascii="宋体" w:hAnsi="宋体" w:cs="宋体"/>
      <w:kern w:val="0"/>
      <w:sz w:val="24"/>
    </w:rPr>
  </w:style>
  <w:style w:type="paragraph" w:customStyle="1" w:styleId="609">
    <w:name w:val="Char1 Char Char Char4"/>
    <w:basedOn w:val="1"/>
    <w:uiPriority w:val="0"/>
    <w:pPr>
      <w:adjustRightInd/>
      <w:ind w:firstLine="200" w:firstLineChars="200"/>
    </w:pPr>
    <w:rPr>
      <w:rFonts w:ascii="Tahoma" w:hAnsi="Tahoma"/>
      <w:sz w:val="24"/>
      <w:szCs w:val="20"/>
    </w:rPr>
  </w:style>
  <w:style w:type="paragraph" w:customStyle="1" w:styleId="610">
    <w:name w:val="Bul Text 9/14"/>
    <w:uiPriority w:val="0"/>
    <w:pPr>
      <w:widowControl w:val="0"/>
      <w:tabs>
        <w:tab w:val="left" w:pos="840"/>
      </w:tabs>
      <w:spacing w:line="280" w:lineRule="atLeast"/>
      <w:ind w:left="160" w:hanging="160"/>
    </w:pPr>
    <w:rPr>
      <w:snapToGrid w:val="0"/>
      <w:color w:val="000000"/>
      <w:sz w:val="18"/>
      <w:lang w:val="en-US" w:eastAsia="zh-CN" w:bidi="ar-SA"/>
    </w:rPr>
  </w:style>
  <w:style w:type="paragraph" w:customStyle="1" w:styleId="611">
    <w:name w:val="正文（首行缩进2字符）"/>
    <w:basedOn w:val="1"/>
    <w:uiPriority w:val="0"/>
    <w:pPr>
      <w:adjustRightInd/>
      <w:spacing w:line="360" w:lineRule="auto"/>
      <w:ind w:firstLine="480" w:firstLineChars="200"/>
    </w:pPr>
    <w:rPr>
      <w:sz w:val="24"/>
      <w:szCs w:val="20"/>
    </w:rPr>
  </w:style>
  <w:style w:type="paragraph" w:customStyle="1" w:styleId="612">
    <w:name w:val="默认段落字体 Para Char Char Char Char Char Char Char Char Char Char Char Char Char Char Char Char Char Char Char"/>
    <w:basedOn w:val="1"/>
    <w:uiPriority w:val="0"/>
    <w:rPr>
      <w:rFonts w:ascii="Tahoma" w:hAnsi="Tahoma"/>
      <w:sz w:val="24"/>
      <w:szCs w:val="20"/>
    </w:rPr>
  </w:style>
  <w:style w:type="paragraph" w:customStyle="1" w:styleId="613">
    <w:name w:val="MM Topic 5"/>
    <w:basedOn w:val="7"/>
    <w:uiPriority w:val="0"/>
    <w:pPr>
      <w:numPr>
        <w:ilvl w:val="4"/>
        <w:numId w:val="4"/>
      </w:numPr>
      <w:tabs>
        <w:tab w:val="clear" w:pos="1008"/>
      </w:tabs>
      <w:adjustRightInd/>
    </w:pPr>
  </w:style>
  <w:style w:type="paragraph" w:customStyle="1" w:styleId="614">
    <w:name w:val="Default Text"/>
    <w:basedOn w:val="1"/>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lang/>
    </w:rPr>
  </w:style>
  <w:style w:type="paragraph" w:customStyle="1" w:styleId="615">
    <w:name w:val="Char Char11 Char Char Char Char Char Char Char Char Char Char Char Char Char1"/>
    <w:basedOn w:val="1"/>
    <w:uiPriority w:val="0"/>
    <w:pPr>
      <w:adjustRightInd/>
      <w:spacing w:line="360" w:lineRule="auto"/>
    </w:pPr>
    <w:rPr>
      <w:rFonts w:ascii="Arial" w:hAnsi="Arial" w:eastAsia="黑体" w:cs="Arial"/>
      <w:snapToGrid w:val="0"/>
      <w:kern w:val="0"/>
      <w:szCs w:val="21"/>
    </w:rPr>
  </w:style>
  <w:style w:type="paragraph" w:customStyle="1" w:styleId="616">
    <w:name w:val="规划正文"/>
    <w:basedOn w:val="1"/>
    <w:uiPriority w:val="0"/>
    <w:pPr>
      <w:adjustRightInd/>
      <w:spacing w:before="312" w:beforeLines="100" w:line="360" w:lineRule="auto"/>
      <w:jc w:val="left"/>
    </w:pPr>
    <w:rPr>
      <w:rFonts w:ascii="Arial" w:hAnsi="Arial" w:eastAsia="仿宋_GB2312"/>
      <w:bCs/>
      <w:sz w:val="28"/>
    </w:rPr>
  </w:style>
  <w:style w:type="paragraph" w:customStyle="1" w:styleId="617">
    <w:name w:val=" Char Char Char Char Char Char Char Char Char Char Char Char1 Char"/>
    <w:basedOn w:val="1"/>
    <w:uiPriority w:val="0"/>
    <w:rPr>
      <w:rFonts w:ascii="Tahoma" w:hAnsi="Tahoma" w:cs="仿宋_GB2312"/>
      <w:sz w:val="24"/>
      <w:szCs w:val="20"/>
    </w:rPr>
  </w:style>
  <w:style w:type="paragraph" w:customStyle="1" w:styleId="618">
    <w:name w:val=" Char Char Char Char Char Char Char Char Char Char"/>
    <w:basedOn w:val="1"/>
    <w:uiPriority w:val="0"/>
    <w:rPr>
      <w:rFonts w:ascii="仿宋_GB2312" w:eastAsia="仿宋_GB2312"/>
      <w:b/>
      <w:sz w:val="32"/>
      <w:szCs w:val="32"/>
    </w:rPr>
  </w:style>
  <w:style w:type="paragraph" w:customStyle="1" w:styleId="619">
    <w:name w:val=" Char Char Char Char Char Char1 Char"/>
    <w:basedOn w:val="1"/>
    <w:uiPriority w:val="0"/>
    <w:pPr>
      <w:widowControl/>
      <w:spacing w:after="160" w:afterLines="0" w:line="240" w:lineRule="exact"/>
      <w:jc w:val="left"/>
    </w:pPr>
    <w:rPr>
      <w:rFonts w:ascii="Verdana" w:hAnsi="Verdana"/>
      <w:kern w:val="0"/>
      <w:szCs w:val="20"/>
      <w:lang w:eastAsia="en-US"/>
    </w:rPr>
  </w:style>
  <w:style w:type="paragraph" w:customStyle="1" w:styleId="620">
    <w:name w:val="style3"/>
    <w:basedOn w:val="1"/>
    <w:uiPriority w:val="0"/>
    <w:pPr>
      <w:widowControl/>
      <w:adjustRightInd/>
      <w:spacing w:before="100" w:beforeLines="0" w:beforeAutospacing="1" w:after="100" w:afterLines="0" w:afterAutospacing="1" w:line="360" w:lineRule="auto"/>
      <w:ind w:firstLine="480" w:firstLineChars="200"/>
      <w:jc w:val="left"/>
    </w:pPr>
    <w:rPr>
      <w:rFonts w:ascii="宋体" w:hAnsi="宋体" w:eastAsia="微软雅黑"/>
      <w:color w:val="666666"/>
      <w:kern w:val="0"/>
      <w:sz w:val="24"/>
    </w:rPr>
  </w:style>
  <w:style w:type="paragraph" w:customStyle="1" w:styleId="621">
    <w:name w:val="插图说明"/>
    <w:basedOn w:val="1"/>
    <w:uiPriority w:val="0"/>
    <w:pPr>
      <w:spacing w:after="240" w:afterLines="0"/>
      <w:ind w:firstLineChars="200"/>
      <w:jc w:val="center"/>
      <w:textAlignment w:val="baseline"/>
    </w:pPr>
    <w:rPr>
      <w:rFonts w:eastAsia="黑体"/>
      <w:sz w:val="24"/>
      <w:szCs w:val="20"/>
    </w:rPr>
  </w:style>
  <w:style w:type="paragraph" w:customStyle="1" w:styleId="622">
    <w:name w:val="solutionfonts1"/>
    <w:basedOn w:val="1"/>
    <w:uiPriority w:val="0"/>
    <w:pPr>
      <w:widowControl/>
      <w:adjustRightInd/>
      <w:spacing w:before="100" w:beforeLines="0" w:beforeAutospacing="1" w:after="100" w:afterLines="0" w:afterAutospacing="1"/>
      <w:ind w:firstLine="200" w:firstLineChars="200"/>
      <w:jc w:val="left"/>
    </w:pPr>
    <w:rPr>
      <w:rFonts w:ascii="宋体" w:hAnsi="宋体" w:cs="宋体"/>
      <w:kern w:val="0"/>
      <w:sz w:val="24"/>
    </w:rPr>
  </w:style>
  <w:style w:type="paragraph" w:customStyle="1" w:styleId="623">
    <w:name w:val="彩色列表 - 强调文字颜色 11"/>
    <w:basedOn w:val="1"/>
    <w:qFormat/>
    <w:uiPriority w:val="0"/>
    <w:pPr>
      <w:adjustRightInd/>
      <w:ind w:firstLine="420" w:firstLineChars="200"/>
    </w:pPr>
    <w:rPr>
      <w:rFonts w:ascii="Calibri" w:hAnsi="Calibri"/>
      <w:szCs w:val="22"/>
    </w:rPr>
  </w:style>
  <w:style w:type="paragraph" w:customStyle="1" w:styleId="624">
    <w:name w:val="样式 标题 2标题2H2Heading 2 HiddenHeading 2 CCBSheading 22nd lev..."/>
    <w:basedOn w:val="4"/>
    <w:uiPriority w:val="0"/>
    <w:pPr>
      <w:widowControl/>
      <w:spacing w:before="260" w:beforeLines="0" w:after="260" w:afterLines="0" w:line="416" w:lineRule="auto"/>
      <w:ind w:left="0" w:firstLine="0"/>
    </w:pPr>
    <w:rPr>
      <w:rFonts w:ascii="Arial" w:hAnsi="Arial" w:eastAsia="黑体"/>
      <w:sz w:val="30"/>
      <w:szCs w:val="21"/>
    </w:rPr>
  </w:style>
  <w:style w:type="paragraph" w:customStyle="1" w:styleId="625">
    <w:name w:val="EB_表格"/>
    <w:basedOn w:val="1"/>
    <w:uiPriority w:val="0"/>
    <w:pPr>
      <w:adjustRightInd/>
      <w:spacing w:line="300" w:lineRule="auto"/>
      <w:jc w:val="center"/>
    </w:pPr>
  </w:style>
  <w:style w:type="paragraph" w:customStyle="1" w:styleId="626">
    <w:name w:val="Char3 Char Char Char"/>
    <w:basedOn w:val="1"/>
    <w:uiPriority w:val="0"/>
    <w:pPr>
      <w:widowControl/>
      <w:adjustRightInd/>
      <w:spacing w:after="160" w:line="240" w:lineRule="exact"/>
      <w:jc w:val="left"/>
    </w:pPr>
    <w:rPr>
      <w:szCs w:val="20"/>
    </w:rPr>
  </w:style>
  <w:style w:type="character" w:customStyle="1" w:styleId="627">
    <w:name w:val="font11"/>
    <w:basedOn w:val="64"/>
    <w:qFormat/>
    <w:uiPriority w:val="0"/>
    <w:rPr>
      <w:rFonts w:hint="eastAsia" w:ascii="宋体" w:hAnsi="宋体" w:eastAsia="宋体" w:cs="宋体"/>
      <w:color w:val="000000"/>
      <w:sz w:val="16"/>
      <w:szCs w:val="16"/>
      <w:u w:val="none"/>
    </w:rPr>
  </w:style>
  <w:style w:type="character" w:customStyle="1" w:styleId="628">
    <w:name w:val="font112"/>
    <w:basedOn w:val="64"/>
    <w:uiPriority w:val="0"/>
    <w:rPr>
      <w:rFonts w:hint="eastAsia" w:ascii="宋体" w:hAnsi="宋体" w:eastAsia="宋体" w:cs="宋体"/>
      <w:b/>
      <w:bCs/>
      <w:color w:val="000000"/>
      <w:sz w:val="20"/>
      <w:szCs w:val="20"/>
      <w:u w:val="none"/>
    </w:rPr>
  </w:style>
  <w:style w:type="character" w:customStyle="1" w:styleId="629">
    <w:name w:val="font41"/>
    <w:basedOn w:val="64"/>
    <w:uiPriority w:val="0"/>
    <w:rPr>
      <w:rFonts w:hint="eastAsia" w:ascii="宋体" w:hAnsi="宋体" w:eastAsia="宋体" w:cs="宋体"/>
      <w:color w:val="000000"/>
      <w:sz w:val="20"/>
      <w:szCs w:val="20"/>
      <w:u w:val="none"/>
    </w:rPr>
  </w:style>
  <w:style w:type="character" w:customStyle="1" w:styleId="630">
    <w:name w:val="font111"/>
    <w:basedOn w:val="64"/>
    <w:qFormat/>
    <w:uiPriority w:val="0"/>
    <w:rPr>
      <w:rFonts w:hint="eastAsia" w:ascii="宋体" w:hAnsi="宋体" w:eastAsia="宋体" w:cs="宋体"/>
      <w:b/>
      <w:bCs/>
      <w:color w:val="000000"/>
      <w:sz w:val="20"/>
      <w:szCs w:val="20"/>
      <w:u w:val="none"/>
    </w:rPr>
  </w:style>
  <w:style w:type="character" w:customStyle="1" w:styleId="631">
    <w:name w:val="font01"/>
    <w:basedOn w:val="64"/>
    <w:uiPriority w:val="0"/>
    <w:rPr>
      <w:rFonts w:hint="eastAsia" w:ascii="宋体" w:hAnsi="宋体" w:eastAsia="宋体" w:cs="宋体"/>
      <w:color w:val="000000"/>
      <w:sz w:val="20"/>
      <w:szCs w:val="20"/>
      <w:u w:val="none"/>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header5.xml" Type="http://schemas.openxmlformats.org/officeDocument/2006/relationships/header"/><Relationship Id="rId11" Target="footer4.xml" Type="http://schemas.openxmlformats.org/officeDocument/2006/relationships/footer"/><Relationship Id="rId12" Target="footer5.xml" Type="http://schemas.openxmlformats.org/officeDocument/2006/relationships/footer"/><Relationship Id="rId13" Target="footer6.xml" Type="http://schemas.openxmlformats.org/officeDocument/2006/relationships/footer"/><Relationship Id="rId14" Target="header6.xml" Type="http://schemas.openxmlformats.org/officeDocument/2006/relationships/header"/><Relationship Id="rId15" Target="header7.xml" Type="http://schemas.openxmlformats.org/officeDocument/2006/relationships/header"/><Relationship Id="rId16" Target="footer7.xml" Type="http://schemas.openxmlformats.org/officeDocument/2006/relationships/footer"/><Relationship Id="rId17" Target="footer8.xml" Type="http://schemas.openxmlformats.org/officeDocument/2006/relationships/footer"/><Relationship Id="rId18" Target="footer9.xml" Type="http://schemas.openxmlformats.org/officeDocument/2006/relationships/footer"/><Relationship Id="rId19" Target="theme/theme1.xml" Type="http://schemas.openxmlformats.org/officeDocument/2006/relationships/theme"/><Relationship Id="rId2" Target="settings.xml" Type="http://schemas.openxmlformats.org/officeDocument/2006/relationships/settings"/><Relationship Id="rId20" Target="media/image1.png" Type="http://schemas.openxmlformats.org/officeDocument/2006/relationships/image"/><Relationship Id="rId21" Target="embeddings/oleObject1.bin" Type="http://schemas.openxmlformats.org/officeDocument/2006/relationships/oleObject"/><Relationship Id="rId22" Target="media/image2.emf" Type="http://schemas.openxmlformats.org/officeDocument/2006/relationships/image"/><Relationship Id="rId23" Target="numbering.xml" Type="http://schemas.openxmlformats.org/officeDocument/2006/relationships/numbering"/><Relationship Id="rId24" Target="fontTable.xml" Type="http://schemas.openxmlformats.org/officeDocument/2006/relationships/fontTable"/><Relationship Id="rId3" Target="header1.xml" Type="http://schemas.openxmlformats.org/officeDocument/2006/relationships/header"/><Relationship Id="rId4" Target="header2.xml" Type="http://schemas.openxmlformats.org/officeDocument/2006/relationships/header"/><Relationship Id="rId5" Target="footer1.xml" Type="http://schemas.openxmlformats.org/officeDocument/2006/relationships/footer"/><Relationship Id="rId6" Target="footer2.xml" Type="http://schemas.openxmlformats.org/officeDocument/2006/relationships/footer"/><Relationship Id="rId7" Target="footer3.xml" Type="http://schemas.openxmlformats.org/officeDocument/2006/relationships/footer"/><Relationship Id="rId8" Target="header3.xml" Type="http://schemas.openxmlformats.org/officeDocument/2006/relationships/header"/><Relationship Id="rId9" Target="header4.xml" Type="http://schemas.openxmlformats.org/officeDocument/2006/relationships/header"/></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230</Pages>
  <Words>35273</Words>
  <Characters>201059</Characters>
  <Lines>1675</Lines>
  <Paragraphs>471</Paragraphs>
  <TotalTime>5</TotalTime>
  <ScaleCrop>false</ScaleCrop>
  <LinksUpToDate>false</LinksUpToDate>
  <CharactersWithSpaces>235861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2015-04-27T01:52:00Z</dcterms:created>
  <dc:creator>玥</dc:creator>
  <cp:lastModifiedBy>WPS_1701756769</cp:lastModifiedBy>
  <cp:lastPrinted>2018-12-10T05:46:00Z</cp:lastPrinted>
  <dcterms:modified xsi:type="dcterms:W3CDTF">2024-02-23T03:08:33Z</dcterms:modified>
  <cp:revision>2</cp:revision>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FA44C6471E3C47F39E16B3FCA879E416_13</vt:lpwstr>
  </property>
</Properties>
</file>