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rPr>
      </w:pPr>
    </w:p>
    <w:p>
      <w:pPr>
        <w:adjustRightInd/>
        <w:spacing w:line="360" w:lineRule="auto"/>
        <w:jc w:val="center"/>
        <w:rPr>
          <w:rFonts w:ascii="宋体" w:hAnsi="宋体" w:cs="宋体"/>
          <w:b/>
          <w:color w:val="auto"/>
          <w:sz w:val="48"/>
          <w:szCs w:val="48"/>
        </w:rPr>
      </w:pP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临安区人民政府青山湖街道办事处食材供货配送服务项目</w:t>
      </w:r>
    </w:p>
    <w:p>
      <w:pPr>
        <w:adjustRightInd/>
        <w:spacing w:line="360" w:lineRule="auto"/>
        <w:jc w:val="center"/>
        <w:rPr>
          <w:rFonts w:hint="eastAsia" w:ascii="宋体" w:hAnsi="宋体" w:cs="宋体"/>
          <w:color w:val="auto"/>
          <w:sz w:val="48"/>
          <w:szCs w:val="48"/>
        </w:rPr>
      </w:pP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w:t>
      </w:r>
      <w:r>
        <w:rPr>
          <w:rFonts w:hint="eastAsia" w:ascii="宋体" w:hAnsi="宋体" w:cs="宋体"/>
          <w:color w:val="auto"/>
          <w:sz w:val="30"/>
          <w:szCs w:val="30"/>
          <w:lang w:eastAsia="zh-CN"/>
        </w:rPr>
        <w:t>[2023]2026号</w:t>
      </w:r>
    </w:p>
    <w:p>
      <w:pPr>
        <w:adjustRightInd/>
        <w:spacing w:line="360" w:lineRule="auto"/>
        <w:rPr>
          <w:rFonts w:ascii="宋体" w:hAnsi="宋体" w:cs="宋体"/>
          <w:color w:val="auto"/>
          <w:sz w:val="28"/>
          <w:szCs w:val="20"/>
        </w:rPr>
      </w:pPr>
    </w:p>
    <w:p>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pPr>
        <w:spacing w:line="360" w:lineRule="auto"/>
        <w:jc w:val="center"/>
        <w:rPr>
          <w:rFonts w:ascii="宋体" w:hAnsi="宋体" w:cs="宋体"/>
          <w:b/>
          <w:color w:val="auto"/>
          <w:sz w:val="44"/>
          <w:szCs w:val="44"/>
        </w:rPr>
      </w:pPr>
    </w:p>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p>
      <w:pPr>
        <w:spacing w:line="360" w:lineRule="auto"/>
        <w:rPr>
          <w:rFonts w:ascii="宋体" w:hAnsi="宋体" w:cs="宋体"/>
          <w:color w:val="auto"/>
          <w:sz w:val="32"/>
          <w:szCs w:val="32"/>
        </w:rPr>
      </w:pPr>
    </w:p>
    <w:p>
      <w:pPr>
        <w:snapToGrid w:val="0"/>
        <w:spacing w:line="360" w:lineRule="auto"/>
        <w:jc w:val="center"/>
        <w:rPr>
          <w:rFonts w:ascii="宋体" w:hAnsi="宋体" w:cs="宋体"/>
          <w:color w:val="auto"/>
          <w:sz w:val="32"/>
          <w:szCs w:val="32"/>
        </w:rPr>
      </w:pPr>
      <w:r>
        <w:rPr>
          <w:rFonts w:hint="eastAsia" w:ascii="宋体" w:hAnsi="宋体" w:cs="宋体"/>
          <w:color w:val="auto"/>
          <w:sz w:val="32"/>
          <w:szCs w:val="32"/>
          <w:lang w:val="en-US" w:eastAsia="zh-CN"/>
        </w:rPr>
        <w:t>采购人：</w:t>
      </w:r>
      <w:r>
        <w:rPr>
          <w:rFonts w:hint="eastAsia" w:ascii="宋体" w:hAnsi="宋体" w:cs="宋体"/>
          <w:color w:val="auto"/>
          <w:sz w:val="32"/>
          <w:szCs w:val="32"/>
        </w:rPr>
        <w:t>杭州市临安区人民政府青山湖街道办事处</w:t>
      </w:r>
    </w:p>
    <w:p>
      <w:pPr>
        <w:snapToGrid w:val="0"/>
        <w:spacing w:line="360" w:lineRule="auto"/>
        <w:jc w:val="center"/>
        <w:rPr>
          <w:rFonts w:hint="eastAsia" w:ascii="宋体" w:hAnsi="宋体" w:cs="宋体"/>
          <w:bCs/>
          <w:color w:val="auto"/>
          <w:sz w:val="32"/>
          <w:szCs w:val="32"/>
        </w:rPr>
      </w:pPr>
      <w:r>
        <w:rPr>
          <w:rFonts w:hint="eastAsia" w:ascii="宋体" w:hAnsi="宋体" w:cs="宋体"/>
          <w:bCs/>
          <w:color w:val="auto"/>
          <w:sz w:val="32"/>
          <w:szCs w:val="32"/>
          <w:lang w:val="en-US" w:eastAsia="zh-CN"/>
        </w:rPr>
        <w:t>采购代理机构：</w:t>
      </w:r>
      <w:r>
        <w:rPr>
          <w:rFonts w:hint="eastAsia" w:ascii="宋体" w:hAnsi="宋体" w:cs="宋体"/>
          <w:bCs/>
          <w:color w:val="auto"/>
          <w:sz w:val="32"/>
          <w:szCs w:val="32"/>
        </w:rPr>
        <w:t>浙江中际工程项目管理有限公司</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三</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十一</w:t>
      </w:r>
      <w:r>
        <w:rPr>
          <w:rFonts w:hint="eastAsia" w:ascii="宋体" w:hAnsi="宋体" w:cs="宋体"/>
          <w:bCs/>
          <w:color w:val="auto"/>
          <w:sz w:val="32"/>
          <w:szCs w:val="32"/>
        </w:rPr>
        <w:t>月</w:t>
      </w:r>
    </w:p>
    <w:p>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pPr>
        <w:pStyle w:val="636"/>
        <w:rPr>
          <w:color w:val="auto"/>
        </w:rPr>
      </w:pPr>
    </w:p>
    <w:p>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pPr>
        <w:spacing w:line="360" w:lineRule="auto"/>
        <w:rPr>
          <w:rFonts w:ascii="宋体" w:hAnsi="宋体" w:cs="宋体"/>
          <w:color w:val="auto"/>
          <w:sz w:val="32"/>
          <w:szCs w:val="32"/>
        </w:rPr>
      </w:pPr>
    </w:p>
    <w:p>
      <w:pPr>
        <w:spacing w:line="360" w:lineRule="auto"/>
        <w:rPr>
          <w:rFonts w:ascii="宋体" w:hAnsi="宋体" w:cs="宋体"/>
          <w:color w:val="auto"/>
          <w:sz w:val="32"/>
          <w:szCs w:val="32"/>
        </w:rPr>
      </w:pP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pPr>
        <w:spacing w:line="360" w:lineRule="auto"/>
        <w:ind w:firstLine="549" w:firstLineChars="229"/>
        <w:rPr>
          <w:rFonts w:ascii="宋体" w:hAnsi="宋体" w:cs="宋体"/>
          <w:color w:val="auto"/>
          <w:sz w:val="24"/>
        </w:rPr>
      </w:pPr>
      <w:bookmarkStart w:id="1" w:name="_Hlt91233176"/>
      <w:bookmarkEnd w:id="1"/>
      <w:bookmarkStart w:id="2" w:name="_Toc91899869"/>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rPr>
          <w:rFonts w:ascii="宋体" w:hAnsi="宋体" w:cs="宋体"/>
          <w:color w:val="auto"/>
          <w:sz w:val="24"/>
        </w:rPr>
      </w:pPr>
    </w:p>
    <w:p>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rPr>
        <w:t>临安区人民政府青山湖街道办事处食材供货配送服务项目</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hint="eastAsia" w:ascii="宋体" w:hAnsi="宋体" w:eastAsia="宋体" w:cs="宋体"/>
          <w:snapToGrid/>
          <w:color w:val="auto"/>
          <w:kern w:val="2"/>
          <w:sz w:val="24"/>
          <w:szCs w:val="24"/>
        </w:rPr>
        <w:t>https://www.zcygov.cn/）获取（下载）招标文件，并于202</w:t>
      </w:r>
      <w:r>
        <w:rPr>
          <w:rStyle w:val="76"/>
          <w:rFonts w:hint="eastAsia" w:ascii="宋体" w:hAnsi="宋体" w:cs="宋体"/>
          <w:snapToGrid/>
          <w:color w:val="auto"/>
          <w:kern w:val="2"/>
          <w:sz w:val="24"/>
          <w:szCs w:val="24"/>
          <w:lang w:val="en-US" w:eastAsia="zh-CN"/>
        </w:rPr>
        <w:t>3</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lang w:val="en-US" w:eastAsia="zh-CN"/>
        </w:rPr>
        <w:t>12</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13</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lang w:val="en-US" w:eastAsia="zh-CN"/>
        </w:rPr>
        <w:t>14</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lang w:val="en-US" w:eastAsia="zh-CN"/>
        </w:rPr>
        <w:t>00</w:t>
      </w:r>
      <w:r>
        <w:rPr>
          <w:rStyle w:val="76"/>
          <w:rFonts w:hint="eastAsia" w:ascii="宋体" w:hAnsi="宋体" w:eastAsia="宋体" w:cs="宋体"/>
          <w:snapToGrid/>
          <w:color w:val="auto"/>
          <w:kern w:val="2"/>
          <w:sz w:val="24"/>
          <w:szCs w:val="24"/>
        </w:rPr>
        <w:t>分</w:t>
      </w:r>
      <w:r>
        <w:rPr>
          <w:rStyle w:val="76"/>
          <w:rFonts w:hint="eastAsia" w:ascii="宋体" w:hAnsi="宋体" w:eastAsia="宋体" w:cs="宋体"/>
          <w:bCs/>
          <w:snapToGrid/>
          <w:color w:val="auto"/>
          <w:kern w:val="2"/>
          <w:sz w:val="24"/>
          <w:szCs w:val="24"/>
        </w:rPr>
        <w:t>00秒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rPr>
        <w:t>：</w:t>
      </w:r>
      <w:r>
        <w:rPr>
          <w:rFonts w:hint="eastAsia" w:ascii="宋体" w:hAnsi="宋体" w:cs="宋体"/>
          <w:color w:val="auto"/>
          <w:sz w:val="24"/>
        </w:rPr>
        <w:fldChar w:fldCharType="begin"/>
      </w:r>
      <w:r>
        <w:rPr>
          <w:rFonts w:hint="eastAsia" w:ascii="宋体" w:hAnsi="宋体" w:cs="宋体"/>
          <w:color w:val="auto"/>
          <w:sz w:val="24"/>
        </w:rPr>
        <w:instrText xml:space="preserve"> HYPERLINK "https://pay.zcygov.cn/purchaseplan_front/" \l "/plan/list/view?id=1000000000012571886&amp;_app_=zcy.procurement" \t "https://www.zcygov.cn/delegation-order/_procurement_/order/_blank" </w:instrText>
      </w:r>
      <w:r>
        <w:rPr>
          <w:rFonts w:hint="eastAsia" w:ascii="宋体" w:hAnsi="宋体" w:cs="宋体"/>
          <w:color w:val="auto"/>
          <w:sz w:val="24"/>
        </w:rPr>
        <w:fldChar w:fldCharType="separate"/>
      </w:r>
      <w:r>
        <w:rPr>
          <w:rFonts w:hint="eastAsia" w:ascii="宋体" w:hAnsi="宋体" w:cs="宋体"/>
          <w:color w:val="auto"/>
          <w:sz w:val="24"/>
          <w:lang w:eastAsia="zh-CN"/>
        </w:rPr>
        <w:t>[2023]2026号</w:t>
      </w:r>
      <w:r>
        <w:rPr>
          <w:rFonts w:hint="eastAsia" w:ascii="宋体" w:hAnsi="宋体" w:cs="宋体"/>
          <w:color w:val="auto"/>
          <w:sz w:val="24"/>
        </w:rPr>
        <w:fldChar w:fldCharType="end"/>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rPr>
        <w:t>临安区人民政府青山湖街道办事处食材供货配送服务项目</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highlight w:val="none"/>
          <w:lang w:val="en-US" w:eastAsia="zh-CN"/>
        </w:rPr>
        <w:t>900000</w:t>
      </w:r>
      <w:r>
        <w:rPr>
          <w:rFonts w:ascii="宋体" w:hAnsi="宋体" w:cs="宋体"/>
          <w:color w:val="auto"/>
          <w:sz w:val="24"/>
        </w:rPr>
        <w:t xml:space="preserve"> </w:t>
      </w:r>
    </w:p>
    <w:p>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color w:val="auto"/>
          <w:sz w:val="24"/>
          <w:highlight w:val="none"/>
          <w:lang w:val="en-US" w:eastAsia="zh-CN"/>
        </w:rPr>
        <w:t>900000</w:t>
      </w:r>
      <w:r>
        <w:rPr>
          <w:rFonts w:ascii="宋体" w:hAnsi="宋体" w:cs="宋体"/>
          <w:color w:val="auto"/>
          <w:sz w:val="24"/>
        </w:rPr>
        <w:t xml:space="preserve"> </w:t>
      </w:r>
    </w:p>
    <w:p>
      <w:pPr>
        <w:pStyle w:val="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rPr>
        <w:t>临安区人民政府青山湖街道办事处食材供货配送服务项目主要内容： 具体以招标文件第三部分采购需求为准，供应商可点击本公告下方“浏览采购文件”查看采购需求。</w:t>
      </w:r>
    </w:p>
    <w:p>
      <w:pPr>
        <w:pStyle w:val="130"/>
        <w:ind w:firstLine="482"/>
        <w:outlineLvl w:val="2"/>
        <w:rPr>
          <w:rFonts w:hint="default" w:ascii="宋体" w:hAnsi="宋体" w:eastAsia="宋体" w:cs="宋体"/>
          <w:color w:val="auto"/>
          <w:highlight w:val="yellow"/>
          <w:lang w:val="en-US" w:eastAsia="zh-CN"/>
        </w:rPr>
      </w:pPr>
      <w:r>
        <w:rPr>
          <w:rFonts w:hint="eastAsia" w:ascii="宋体" w:hAnsi="宋体" w:cs="宋体"/>
          <w:b/>
          <w:color w:val="auto"/>
        </w:rPr>
        <w:t>合同履约期限：</w:t>
      </w:r>
      <w:r>
        <w:rPr>
          <w:rFonts w:hint="eastAsia" w:ascii="宋体" w:hAnsi="宋体" w:cs="宋体"/>
          <w:b/>
          <w:color w:val="auto"/>
          <w:highlight w:val="yellow"/>
          <w:lang w:val="en-US" w:eastAsia="zh-CN"/>
        </w:rPr>
        <w:t>合同签订后一年</w:t>
      </w:r>
    </w:p>
    <w:p>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color w:val="auto"/>
          <w:sz w:val="24"/>
        </w:rPr>
      </w:pPr>
      <w:r>
        <w:rPr>
          <w:rFonts w:hint="eastAsia" w:ascii="宋体" w:hAnsi="宋体" w:cs="宋体"/>
          <w:b/>
          <w:color w:val="auto"/>
          <w:sz w:val="24"/>
        </w:rPr>
        <w:t>二、申请人的资格要求：</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14102535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pPr>
        <w:rPr>
          <w:rFonts w:ascii="宋体" w:hAnsi="宋体" w:cs="宋体"/>
          <w:color w:val="auto"/>
        </w:rPr>
      </w:pP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12</w:t>
      </w:r>
      <w:r>
        <w:rPr>
          <w:rFonts w:hint="eastAsia" w:ascii="宋体" w:hAnsi="宋体" w:cs="宋体"/>
          <w:color w:val="auto"/>
          <w:sz w:val="24"/>
          <w:u w:val="single"/>
        </w:rPr>
        <w:t>月</w:t>
      </w:r>
      <w:r>
        <w:rPr>
          <w:rFonts w:hint="eastAsia" w:ascii="宋体" w:hAnsi="宋体" w:cs="宋体"/>
          <w:color w:val="auto"/>
          <w:sz w:val="24"/>
          <w:u w:val="single"/>
          <w:lang w:val="en-US" w:eastAsia="zh-CN"/>
        </w:rPr>
        <w:t>13</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12</w:t>
      </w:r>
      <w:r>
        <w:rPr>
          <w:rFonts w:hint="eastAsia" w:ascii="宋体" w:hAnsi="宋体" w:cs="宋体"/>
          <w:color w:val="auto"/>
          <w:sz w:val="24"/>
          <w:u w:val="single"/>
        </w:rPr>
        <w:t>月</w:t>
      </w:r>
      <w:r>
        <w:rPr>
          <w:rFonts w:hint="eastAsia" w:ascii="宋体" w:hAnsi="宋体" w:cs="宋体"/>
          <w:color w:val="auto"/>
          <w:sz w:val="24"/>
          <w:u w:val="single"/>
          <w:lang w:val="en-US" w:eastAsia="zh-CN"/>
        </w:rPr>
        <w:t>13</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12</w:t>
      </w:r>
      <w:r>
        <w:rPr>
          <w:rFonts w:hint="eastAsia" w:ascii="宋体" w:hAnsi="宋体" w:cs="宋体"/>
          <w:color w:val="auto"/>
          <w:sz w:val="24"/>
          <w:u w:val="single"/>
        </w:rPr>
        <w:t>月</w:t>
      </w:r>
      <w:r>
        <w:rPr>
          <w:rFonts w:hint="eastAsia" w:ascii="宋体" w:hAnsi="宋体" w:cs="宋体"/>
          <w:color w:val="auto"/>
          <w:sz w:val="24"/>
          <w:u w:val="single"/>
          <w:lang w:val="en-US" w:eastAsia="zh-CN"/>
        </w:rPr>
        <w:t>13</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bCs/>
          <w:color w:val="auto"/>
          <w:sz w:val="24"/>
          <w:u w:val="single"/>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spacing w:line="360" w:lineRule="auto"/>
        <w:rPr>
          <w:rFonts w:ascii="宋体" w:hAnsi="宋体" w:cs="宋体"/>
          <w:color w:val="auto"/>
          <w:sz w:val="24"/>
        </w:rPr>
      </w:pPr>
      <w:r>
        <w:rPr>
          <w:rFonts w:hint="eastAsia" w:ascii="宋体" w:hAnsi="宋体" w:cs="宋体"/>
          <w:b/>
          <w:color w:val="auto"/>
          <w:sz w:val="24"/>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spacing w:line="360" w:lineRule="auto"/>
        <w:rPr>
          <w:rFonts w:ascii="宋体" w:hAnsi="宋体" w:cs="宋体"/>
          <w:b/>
          <w:color w:val="auto"/>
          <w:sz w:val="24"/>
        </w:rPr>
      </w:pPr>
      <w:r>
        <w:rPr>
          <w:rFonts w:hint="eastAsia" w:ascii="宋体" w:hAnsi="宋体" w:cs="宋体"/>
          <w:b/>
          <w:color w:val="auto"/>
          <w:sz w:val="24"/>
        </w:rPr>
        <w:t>六、其他补充事宜</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pPr>
        <w:spacing w:line="360" w:lineRule="auto"/>
        <w:rPr>
          <w:rFonts w:ascii="宋体" w:hAnsi="宋体" w:cs="宋体"/>
          <w:color w:val="auto"/>
          <w:sz w:val="24"/>
        </w:rPr>
      </w:pPr>
      <w:r>
        <w:rPr>
          <w:rFonts w:hint="eastAsia" w:ascii="宋体" w:hAnsi="宋体" w:cs="宋体"/>
          <w:color w:val="auto"/>
          <w:sz w:val="24"/>
        </w:rPr>
        <w:t xml:space="preserve">    1.采购人信息</w:t>
      </w:r>
    </w:p>
    <w:p>
      <w:pPr>
        <w:spacing w:line="360" w:lineRule="auto"/>
        <w:rPr>
          <w:rFonts w:ascii="宋体" w:hAnsi="宋体" w:cs="宋体"/>
          <w:color w:val="auto"/>
          <w:sz w:val="24"/>
        </w:rPr>
      </w:pPr>
      <w:r>
        <w:rPr>
          <w:rFonts w:hint="eastAsia" w:ascii="宋体" w:hAnsi="宋体" w:cs="宋体"/>
          <w:color w:val="auto"/>
          <w:sz w:val="24"/>
        </w:rPr>
        <w:t xml:space="preserve">    名    称：杭州市临安区人民政府青山湖街道办事处 </w:t>
      </w:r>
    </w:p>
    <w:p>
      <w:pPr>
        <w:spacing w:line="360" w:lineRule="auto"/>
        <w:rPr>
          <w:rFonts w:ascii="宋体" w:hAnsi="宋体" w:cs="宋体"/>
          <w:color w:val="auto"/>
          <w:sz w:val="24"/>
        </w:rPr>
      </w:pPr>
      <w:r>
        <w:rPr>
          <w:rFonts w:hint="eastAsia" w:ascii="宋体" w:hAnsi="宋体" w:cs="宋体"/>
          <w:color w:val="auto"/>
          <w:sz w:val="24"/>
        </w:rPr>
        <w:t xml:space="preserve">    地    址：杭州市临安区青山湖街道天柱街552号       </w:t>
      </w:r>
    </w:p>
    <w:p>
      <w:pPr>
        <w:spacing w:line="360" w:lineRule="auto"/>
        <w:ind w:firstLine="480"/>
        <w:rPr>
          <w:rFonts w:ascii="宋体" w:hAnsi="宋体" w:cs="宋体"/>
          <w:color w:val="auto"/>
          <w:sz w:val="24"/>
        </w:rPr>
      </w:pPr>
      <w:r>
        <w:rPr>
          <w:rFonts w:hint="eastAsia" w:ascii="宋体" w:hAnsi="宋体" w:cs="宋体"/>
          <w:color w:val="auto"/>
          <w:sz w:val="24"/>
        </w:rPr>
        <w:t>传    真：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项目联系人（询问）：朱红</w:t>
      </w:r>
    </w:p>
    <w:p>
      <w:pPr>
        <w:spacing w:line="360" w:lineRule="auto"/>
        <w:rPr>
          <w:rFonts w:hint="eastAsia" w:ascii="宋体" w:hAnsi="宋体" w:cs="宋体"/>
          <w:color w:val="auto"/>
          <w:sz w:val="24"/>
        </w:rPr>
      </w:pPr>
      <w:r>
        <w:rPr>
          <w:rFonts w:hint="eastAsia" w:ascii="宋体" w:hAnsi="宋体" w:cs="宋体"/>
          <w:color w:val="auto"/>
          <w:sz w:val="24"/>
        </w:rPr>
        <w:t xml:space="preserve">    项目联系方式（询问）：15157165081</w:t>
      </w:r>
    </w:p>
    <w:p>
      <w:pPr>
        <w:spacing w:line="360" w:lineRule="auto"/>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 xml:space="preserve">  质疑联系人： 苏瑾  </w:t>
      </w:r>
    </w:p>
    <w:p>
      <w:pPr>
        <w:spacing w:line="360" w:lineRule="auto"/>
        <w:rPr>
          <w:rFonts w:ascii="宋体" w:hAnsi="宋体" w:cs="宋体"/>
          <w:color w:val="auto"/>
          <w:sz w:val="24"/>
        </w:rPr>
      </w:pPr>
      <w:r>
        <w:rPr>
          <w:rFonts w:hint="eastAsia" w:ascii="宋体" w:hAnsi="宋体" w:cs="宋体"/>
          <w:color w:val="auto"/>
          <w:sz w:val="24"/>
        </w:rPr>
        <w:t xml:space="preserve">    质疑联系方式：0571-63786101 </w:t>
      </w:r>
    </w:p>
    <w:p>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pPr>
        <w:spacing w:line="360" w:lineRule="auto"/>
        <w:ind w:firstLine="720" w:firstLineChars="300"/>
        <w:rPr>
          <w:rFonts w:hint="eastAsia" w:ascii="宋体" w:hAnsi="宋体" w:eastAsia="宋体" w:cs="宋体"/>
          <w:color w:val="auto"/>
          <w:sz w:val="24"/>
          <w:lang w:eastAsia="zh-CN"/>
        </w:rPr>
      </w:pPr>
      <w:r>
        <w:rPr>
          <w:rFonts w:hint="eastAsia" w:ascii="宋体" w:hAnsi="宋体" w:eastAsia="宋体" w:cs="宋体"/>
          <w:color w:val="auto"/>
          <w:sz w:val="24"/>
        </w:rPr>
        <w:t>名     称：</w:t>
      </w:r>
      <w:r>
        <w:rPr>
          <w:rFonts w:hint="eastAsia" w:ascii="宋体" w:hAnsi="宋体" w:eastAsia="宋体" w:cs="宋体"/>
          <w:color w:val="auto"/>
          <w:sz w:val="24"/>
          <w:lang w:eastAsia="zh-CN"/>
        </w:rPr>
        <w:t>浙江中际工程项目管理有限公司</w:t>
      </w:r>
    </w:p>
    <w:p>
      <w:pPr>
        <w:spacing w:line="360" w:lineRule="auto"/>
        <w:ind w:firstLine="720" w:firstLineChars="300"/>
        <w:rPr>
          <w:rFonts w:hint="eastAsia" w:ascii="宋体" w:hAnsi="宋体" w:eastAsia="宋体" w:cs="宋体"/>
          <w:color w:val="auto"/>
          <w:sz w:val="24"/>
          <w:lang w:eastAsia="zh-CN"/>
        </w:rPr>
      </w:pPr>
      <w:r>
        <w:rPr>
          <w:rFonts w:hint="eastAsia" w:ascii="宋体" w:hAnsi="宋体" w:eastAsia="宋体" w:cs="宋体"/>
          <w:color w:val="auto"/>
          <w:sz w:val="24"/>
        </w:rPr>
        <w:t>地     址：杭州市临安区锦北街道武肃街1399号6楼</w:t>
      </w:r>
    </w:p>
    <w:p>
      <w:pPr>
        <w:spacing w:line="360" w:lineRule="auto"/>
        <w:ind w:firstLine="720" w:firstLineChars="300"/>
        <w:rPr>
          <w:rFonts w:hint="eastAsia" w:ascii="宋体" w:hAnsi="宋体" w:eastAsia="宋体" w:cs="宋体"/>
          <w:color w:val="auto"/>
          <w:sz w:val="24"/>
          <w:lang w:eastAsia="zh-CN"/>
        </w:rPr>
      </w:pPr>
      <w:r>
        <w:rPr>
          <w:rFonts w:hint="eastAsia" w:ascii="宋体" w:hAnsi="宋体" w:eastAsia="宋体" w:cs="宋体"/>
          <w:color w:val="auto"/>
          <w:sz w:val="24"/>
        </w:rPr>
        <w:t>传    真：</w:t>
      </w:r>
      <w:r>
        <w:rPr>
          <w:rFonts w:hint="eastAsia" w:ascii="宋体" w:hAnsi="宋体" w:eastAsia="宋体" w:cs="宋体"/>
          <w:color w:val="auto"/>
          <w:sz w:val="24"/>
          <w:lang w:val="en-US" w:eastAsia="zh-CN"/>
        </w:rPr>
        <w:t>/</w:t>
      </w:r>
    </w:p>
    <w:p>
      <w:pPr>
        <w:spacing w:line="360" w:lineRule="auto"/>
        <w:ind w:firstLine="720" w:firstLineChars="300"/>
        <w:rPr>
          <w:rFonts w:hint="eastAsia" w:ascii="宋体" w:hAnsi="宋体" w:eastAsia="宋体" w:cs="宋体"/>
          <w:color w:val="auto"/>
          <w:sz w:val="24"/>
          <w:lang w:eastAsia="zh-CN"/>
        </w:rPr>
      </w:pPr>
      <w:r>
        <w:rPr>
          <w:rFonts w:hint="eastAsia" w:ascii="宋体" w:hAnsi="宋体" w:eastAsia="宋体" w:cs="宋体"/>
          <w:color w:val="auto"/>
          <w:sz w:val="24"/>
        </w:rPr>
        <w:t>项目联系人（询问）：</w:t>
      </w:r>
      <w:r>
        <w:rPr>
          <w:rFonts w:hint="eastAsia" w:ascii="宋体" w:hAnsi="宋体" w:eastAsia="宋体" w:cs="宋体"/>
          <w:color w:val="auto"/>
          <w:sz w:val="24"/>
          <w:lang w:eastAsia="zh-CN"/>
        </w:rPr>
        <w:t>朱琴</w:t>
      </w:r>
    </w:p>
    <w:p>
      <w:pPr>
        <w:spacing w:line="360" w:lineRule="auto"/>
        <w:ind w:firstLine="720" w:firstLineChars="300"/>
        <w:rPr>
          <w:rFonts w:hint="default" w:ascii="宋体" w:hAnsi="宋体" w:eastAsia="宋体" w:cs="宋体"/>
          <w:color w:val="auto"/>
          <w:sz w:val="24"/>
          <w:lang w:val="en-US" w:eastAsia="zh-CN"/>
        </w:rPr>
      </w:pPr>
      <w:r>
        <w:rPr>
          <w:rFonts w:hint="eastAsia" w:ascii="宋体" w:hAnsi="宋体" w:eastAsia="宋体" w:cs="宋体"/>
          <w:color w:val="auto"/>
          <w:sz w:val="24"/>
        </w:rPr>
        <w:t>项目联系方式（询问）：</w:t>
      </w:r>
      <w:r>
        <w:rPr>
          <w:rFonts w:hint="eastAsia" w:ascii="宋体" w:hAnsi="宋体" w:eastAsia="宋体" w:cs="宋体"/>
          <w:color w:val="auto"/>
          <w:sz w:val="24"/>
          <w:lang w:val="en-US" w:eastAsia="zh-CN"/>
        </w:rPr>
        <w:t>0571-86373910  13958157600</w:t>
      </w:r>
    </w:p>
    <w:p>
      <w:pPr>
        <w:spacing w:line="360" w:lineRule="auto"/>
        <w:ind w:firstLine="720" w:firstLineChars="300"/>
        <w:rPr>
          <w:rFonts w:hint="eastAsia" w:ascii="宋体" w:hAnsi="宋体" w:eastAsia="宋体" w:cs="宋体"/>
          <w:color w:val="auto"/>
          <w:sz w:val="24"/>
          <w:lang w:eastAsia="zh-CN"/>
        </w:rPr>
      </w:pPr>
      <w:r>
        <w:rPr>
          <w:rFonts w:hint="eastAsia" w:ascii="宋体" w:hAnsi="宋体" w:eastAsia="宋体" w:cs="宋体"/>
          <w:color w:val="auto"/>
          <w:sz w:val="24"/>
        </w:rPr>
        <w:t>质疑联系人：</w:t>
      </w:r>
      <w:r>
        <w:rPr>
          <w:rFonts w:hint="eastAsia" w:ascii="宋体" w:hAnsi="宋体" w:eastAsia="宋体" w:cs="宋体"/>
          <w:color w:val="auto"/>
          <w:sz w:val="24"/>
          <w:lang w:eastAsia="zh-CN"/>
        </w:rPr>
        <w:t>章梅之</w:t>
      </w:r>
    </w:p>
    <w:p>
      <w:pPr>
        <w:spacing w:line="360" w:lineRule="auto"/>
        <w:ind w:firstLine="720" w:firstLineChars="300"/>
        <w:rPr>
          <w:rFonts w:hint="eastAsia" w:ascii="宋体" w:hAnsi="宋体" w:eastAsia="宋体" w:cs="宋体"/>
          <w:color w:val="auto"/>
          <w:sz w:val="24"/>
        </w:rPr>
      </w:pPr>
      <w:r>
        <w:rPr>
          <w:rFonts w:hint="eastAsia" w:ascii="宋体" w:hAnsi="宋体" w:eastAsia="宋体" w:cs="宋体"/>
          <w:color w:val="auto"/>
          <w:sz w:val="24"/>
        </w:rPr>
        <w:t>质疑联系方式：</w:t>
      </w:r>
      <w:r>
        <w:rPr>
          <w:rFonts w:hint="eastAsia" w:ascii="宋体" w:hAnsi="宋体" w:eastAsia="宋体" w:cs="宋体"/>
          <w:color w:val="auto"/>
          <w:sz w:val="24"/>
          <w:lang w:val="en-US" w:eastAsia="zh-CN"/>
        </w:rPr>
        <w:t>0571-86373910</w:t>
      </w:r>
    </w:p>
    <w:p>
      <w:pPr>
        <w:spacing w:line="360" w:lineRule="auto"/>
        <w:ind w:firstLine="480"/>
        <w:rPr>
          <w:rFonts w:hint="eastAsia" w:ascii="宋体" w:hAnsi="宋体" w:cs="宋体"/>
          <w:color w:val="auto"/>
          <w:sz w:val="24"/>
        </w:rPr>
      </w:pPr>
      <w:r>
        <w:rPr>
          <w:rFonts w:hint="eastAsia" w:ascii="宋体" w:hAnsi="宋体" w:cs="宋体"/>
          <w:color w:val="auto"/>
          <w:sz w:val="24"/>
        </w:rPr>
        <w:t xml:space="preserve">   3.该项目由采购人处理采购争议。质疑环节，采购人委托采购代理机构处理的，可由采购代理机构答复。对质疑答复不满意的，向采购人内部设置的采购监督机构反映。   </w:t>
      </w:r>
    </w:p>
    <w:p>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lang w:val="en-US" w:eastAsia="zh-CN"/>
        </w:rPr>
        <w:t>政策咨询：陈先生、厉先生，0571-89580460、89580456</w:t>
      </w:r>
    </w:p>
    <w:p>
      <w:pPr>
        <w:spacing w:line="360" w:lineRule="auto"/>
        <w:ind w:firstLine="48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pPr>
        <w:widowControl/>
        <w:adjustRightInd/>
        <w:jc w:val="left"/>
        <w:rPr>
          <w:rFonts w:ascii="宋体" w:hAnsi="宋体" w:cs="宋体"/>
          <w:b/>
          <w:color w:val="auto"/>
          <w:sz w:val="36"/>
          <w:szCs w:val="20"/>
        </w:rPr>
      </w:pPr>
      <w:r>
        <w:rPr>
          <w:rFonts w:ascii="宋体" w:hAnsi="宋体" w:cs="宋体"/>
          <w:b/>
          <w:color w:val="auto"/>
          <w:sz w:val="36"/>
          <w:szCs w:val="20"/>
        </w:rPr>
        <w:br w:type="page"/>
      </w:r>
    </w:p>
    <w:p>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59"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食材配送   </w:t>
            </w:r>
            <w:r>
              <w:rPr>
                <w:rFonts w:hint="eastAsia" w:ascii="宋体" w:hAnsi="宋体" w:cs="宋体"/>
                <w:color w:val="auto"/>
                <w:kern w:val="0"/>
                <w:sz w:val="24"/>
              </w:rPr>
              <w:t>，属于</w:t>
            </w:r>
            <w:r>
              <w:rPr>
                <w:rFonts w:hint="eastAsia" w:ascii="宋体" w:hAnsi="宋体" w:cs="宋体"/>
                <w:color w:val="auto"/>
                <w:kern w:val="0"/>
                <w:sz w:val="24"/>
                <w:u w:val="single"/>
              </w:rPr>
              <w:t xml:space="preserve"> 其他未列明行业 </w:t>
            </w:r>
            <w:r>
              <w:rPr>
                <w:rFonts w:hint="eastAsia" w:ascii="宋体" w:hAnsi="宋体" w:cs="宋体"/>
                <w:color w:val="auto"/>
                <w:kern w:val="0"/>
                <w:sz w:val="24"/>
              </w:rPr>
              <w:t>行业；</w:t>
            </w:r>
          </w:p>
          <w:p>
            <w:pPr>
              <w:pStyle w:val="3"/>
              <w:rPr>
                <w:rFonts w:ascii="宋体" w:hAnsi="宋体" w:eastAsia="宋体" w:cs="宋体"/>
                <w:color w:val="auto"/>
                <w:lang w:val="en-US"/>
              </w:rPr>
            </w:pPr>
            <w:r>
              <w:rPr>
                <w:rFonts w:hint="eastAsia" w:ascii="宋体" w:hAnsi="宋体" w:eastAsia="宋体" w:cs="宋体"/>
                <w:color w:val="auto"/>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1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92"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color w:val="auto"/>
                <w:kern w:val="0"/>
                <w:sz w:val="24"/>
                <w:lang w:val="zh-CN"/>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6"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lang w:eastAsia="zh-CN"/>
              </w:rPr>
              <w:t>杭州市临安区锦北街道武肃街1399号6楼</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hAnsi="宋体" w:cs="宋体"/>
                <w:color w:val="auto"/>
                <w:kern w:val="28"/>
                <w:sz w:val="24"/>
                <w:szCs w:val="24"/>
                <w:lang w:val="en-US" w:eastAsia="zh-CN"/>
              </w:rPr>
              <w:t>朱琴</w:t>
            </w:r>
            <w:r>
              <w:rPr>
                <w:rFonts w:hint="eastAsia" w:hAnsi="宋体" w:cs="宋体"/>
                <w:color w:val="auto"/>
                <w:sz w:val="24"/>
                <w:u w:val="single"/>
                <w:lang w:val="en-US" w:eastAsia="zh-CN"/>
              </w:rPr>
              <w:t>13958157600</w:t>
            </w:r>
            <w:r>
              <w:rPr>
                <w:rFonts w:hint="eastAsia" w:hAnsi="宋体" w:cs="宋体"/>
                <w:b/>
                <w:color w:val="auto"/>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b/>
                <w:color w:val="auto"/>
                <w:kern w:val="2"/>
                <w:sz w:val="24"/>
                <w:szCs w:val="24"/>
                <w:lang w:val="en-US" w:eastAsia="zh-CN" w:bidi="ar-SA"/>
              </w:rPr>
            </w:pPr>
            <w:r>
              <w:rPr>
                <w:rFonts w:hint="eastAsia" w:ascii="宋体" w:hAnsi="宋体" w:cs="宋体"/>
                <w:b/>
                <w:color w:val="auto"/>
                <w:sz w:val="24"/>
              </w:rPr>
              <w:t>招标服务费</w:t>
            </w:r>
          </w:p>
        </w:tc>
        <w:tc>
          <w:tcPr>
            <w:tcW w:w="6095" w:type="dxa"/>
            <w:tcBorders>
              <w:top w:val="single" w:color="000000" w:sz="8" w:space="0"/>
              <w:left w:val="single" w:color="auto" w:sz="4" w:space="0"/>
              <w:bottom w:val="single" w:color="000000" w:sz="8" w:space="0"/>
              <w:right w:val="single" w:color="000000" w:sz="8" w:space="0"/>
            </w:tcBorders>
            <w:vAlign w:val="center"/>
          </w:tcPr>
          <w:p>
            <w:pPr>
              <w:pStyle w:val="130"/>
              <w:snapToGrid w:val="0"/>
              <w:spacing w:line="360" w:lineRule="exact"/>
              <w:ind w:firstLine="0" w:firstLineChars="0"/>
              <w:rPr>
                <w:rFonts w:ascii="宋体" w:hAnsi="宋体" w:cs="宋体"/>
                <w:color w:val="auto"/>
                <w:szCs w:val="24"/>
              </w:rPr>
            </w:pPr>
            <w:r>
              <w:rPr>
                <w:rFonts w:hint="eastAsia" w:ascii="宋体" w:hAnsi="宋体" w:cs="宋体"/>
                <w:b/>
                <w:bCs/>
                <w:color w:val="auto"/>
                <w:szCs w:val="24"/>
              </w:rPr>
              <w:t>招标服务费：代理费用付款按招标代理服务收费管理暂行办法-计价格[2002]1980 号文件，中标人在领取中标通知书前需向招标代理机构支付人民币</w:t>
            </w:r>
            <w:r>
              <w:rPr>
                <w:rFonts w:hint="eastAsia" w:ascii="宋体" w:hAnsi="宋体" w:cs="宋体"/>
                <w:b/>
                <w:bCs/>
                <w:color w:val="auto"/>
                <w:szCs w:val="24"/>
                <w:lang w:val="en-US" w:eastAsia="zh-CN"/>
              </w:rPr>
              <w:t>17000</w:t>
            </w:r>
            <w:r>
              <w:rPr>
                <w:rFonts w:hint="eastAsia" w:ascii="宋体" w:hAnsi="宋体" w:cs="宋体"/>
                <w:b/>
                <w:bCs/>
                <w:color w:val="auto"/>
                <w:szCs w:val="24"/>
              </w:rPr>
              <w:t>元招标代理服务费，费用包含在总报价中，不单独列项报价。</w:t>
            </w:r>
          </w:p>
          <w:p>
            <w:pPr>
              <w:pStyle w:val="130"/>
              <w:snapToGrid w:val="0"/>
              <w:spacing w:line="360" w:lineRule="exact"/>
              <w:ind w:firstLine="0" w:firstLineChars="0"/>
              <w:rPr>
                <w:rFonts w:hint="eastAsia" w:ascii="宋体" w:hAnsi="宋体" w:cs="宋体"/>
                <w:color w:val="auto"/>
                <w:szCs w:val="24"/>
              </w:rPr>
            </w:pPr>
            <w:r>
              <w:rPr>
                <w:rFonts w:hint="eastAsia" w:ascii="宋体" w:hAnsi="宋体" w:cs="宋体"/>
                <w:color w:val="auto"/>
                <w:szCs w:val="24"/>
              </w:rPr>
              <w:t>收费对象：本项目代理服务费向成交供应商收取</w:t>
            </w:r>
          </w:p>
          <w:p>
            <w:pPr>
              <w:pStyle w:val="130"/>
              <w:snapToGrid w:val="0"/>
              <w:spacing w:line="360" w:lineRule="exact"/>
              <w:ind w:firstLine="0" w:firstLineChars="0"/>
              <w:rPr>
                <w:rFonts w:hint="eastAsia" w:ascii="宋体" w:hAnsi="宋体" w:cs="宋体"/>
                <w:color w:val="auto"/>
                <w:szCs w:val="24"/>
              </w:rPr>
            </w:pPr>
            <w:r>
              <w:rPr>
                <w:rFonts w:hint="eastAsia" w:ascii="宋体" w:hAnsi="宋体" w:cs="宋体"/>
                <w:color w:val="auto"/>
                <w:szCs w:val="24"/>
              </w:rPr>
              <w:t>缴纳时间：中标(成交)结果公示后5个工作日内一次性付清</w:t>
            </w:r>
          </w:p>
          <w:p>
            <w:pPr>
              <w:pStyle w:val="130"/>
              <w:snapToGrid w:val="0"/>
              <w:spacing w:line="360" w:lineRule="exact"/>
              <w:ind w:firstLine="0" w:firstLineChars="0"/>
              <w:rPr>
                <w:rFonts w:hint="eastAsia" w:ascii="宋体" w:hAnsi="宋体" w:cs="宋体"/>
                <w:color w:val="auto"/>
                <w:szCs w:val="24"/>
              </w:rPr>
            </w:pPr>
            <w:r>
              <w:rPr>
                <w:rFonts w:hint="eastAsia" w:ascii="宋体" w:hAnsi="宋体" w:cs="宋体"/>
                <w:color w:val="auto"/>
                <w:szCs w:val="24"/>
              </w:rPr>
              <w:t>缴纳形式：汇票/支票/电汇/现金</w:t>
            </w:r>
          </w:p>
          <w:p>
            <w:pPr>
              <w:pStyle w:val="130"/>
              <w:snapToGrid w:val="0"/>
              <w:spacing w:line="360" w:lineRule="exact"/>
              <w:ind w:firstLine="0" w:firstLineChars="0"/>
              <w:rPr>
                <w:rFonts w:hint="eastAsia" w:ascii="宋体" w:hAnsi="宋体" w:eastAsia="宋体" w:cs="Arial"/>
                <w:color w:val="auto"/>
                <w:kern w:val="0"/>
                <w:sz w:val="24"/>
                <w:szCs w:val="20"/>
                <w:lang w:val="en-US" w:eastAsia="zh-CN" w:bidi="ar-SA"/>
              </w:rPr>
            </w:pPr>
            <w:r>
              <w:rPr>
                <w:rFonts w:hint="eastAsia" w:ascii="宋体" w:hAnsi="宋体" w:cs="宋体"/>
                <w:color w:val="auto"/>
                <w:szCs w:val="24"/>
              </w:rPr>
              <w:t>备注：放弃中标（成交）资格的供应商，须承担本项目招标代理费和专家评审费等费用。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val="0"/>
                <w:bCs w:val="0"/>
                <w:color w:val="auto"/>
                <w:sz w:val="24"/>
              </w:rPr>
              <w:t>15</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cs="宋体"/>
                <w:b/>
                <w:color w:val="auto"/>
                <w:sz w:val="24"/>
                <w:lang w:val="en-US" w:eastAsia="zh-CN"/>
              </w:rPr>
              <w:t>书面投标文件</w:t>
            </w: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中标单位需在领取中标通知书时，提供本项目纸质投标文件（资格文件”、“报价文件”和“商务技术文件”）三份（正本一份，副本二份）并提供电子投标文件与纸质投标文件内容一致承诺书三份。</w:t>
            </w:r>
          </w:p>
        </w:tc>
      </w:tr>
    </w:tbl>
    <w:p>
      <w:pPr>
        <w:snapToGrid w:val="0"/>
        <w:spacing w:line="360" w:lineRule="auto"/>
        <w:jc w:val="center"/>
        <w:rPr>
          <w:rFonts w:ascii="宋体" w:hAnsi="宋体" w:cs="宋体"/>
          <w:b/>
          <w:color w:val="auto"/>
          <w:sz w:val="32"/>
          <w:szCs w:val="20"/>
        </w:rPr>
      </w:pPr>
    </w:p>
    <w:bookmarkEnd w:id="10"/>
    <w:p>
      <w:pPr>
        <w:adjustRightInd/>
        <w:spacing w:line="360" w:lineRule="auto"/>
        <w:ind w:firstLine="3845" w:firstLineChars="1197"/>
        <w:outlineLvl w:val="0"/>
        <w:rPr>
          <w:rFonts w:ascii="宋体" w:hAnsi="宋体" w:cs="宋体"/>
          <w:b/>
          <w:color w:val="auto"/>
          <w:sz w:val="32"/>
          <w:szCs w:val="20"/>
        </w:rPr>
      </w:pPr>
      <w:bookmarkStart w:id="11" w:name="第三部分"/>
      <w:bookmarkStart w:id="12" w:name="_Toc164416483"/>
      <w:r>
        <w:rPr>
          <w:rFonts w:hint="eastAsia" w:ascii="宋体" w:hAnsi="宋体" w:cs="宋体"/>
          <w:b/>
          <w:color w:val="auto"/>
          <w:sz w:val="32"/>
          <w:szCs w:val="20"/>
        </w:rPr>
        <w:t>一、总则</w:t>
      </w:r>
    </w:p>
    <w:p>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pPr>
        <w:pStyle w:val="3"/>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r>
        <w:rPr>
          <w:rFonts w:hint="eastAsia" w:ascii="宋体" w:hAnsi="宋体" w:cs="仿宋"/>
          <w:color w:val="auto"/>
          <w:sz w:val="24"/>
        </w:rPr>
        <w:t>、补偿救济</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pPr>
        <w:pStyle w:val="32"/>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2"/>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pPr>
        <w:pStyle w:val="32"/>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pPr>
        <w:pStyle w:val="32"/>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pPr>
        <w:pStyle w:val="888"/>
        <w:shd w:val="clear" w:color="auto"/>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snapToGrid w:val="0"/>
        <w:spacing w:after="240" w:afterAutospacing="0" w:line="360" w:lineRule="auto"/>
        <w:ind w:firstLine="400"/>
        <w:contextualSpacing/>
        <w:rPr>
          <w:color w:val="auto"/>
        </w:rPr>
      </w:pPr>
      <w:r>
        <w:rPr>
          <w:rFonts w:hint="eastAsia"/>
          <w:color w:val="auto"/>
        </w:rPr>
        <w:t>质疑函范本及制作说明详见附件2。</w:t>
      </w:r>
    </w:p>
    <w:p>
      <w:pPr>
        <w:pStyle w:val="888"/>
        <w:shd w:val="clear" w:color="auto"/>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pPr>
        <w:pStyle w:val="888"/>
        <w:shd w:val="clear" w:color="auto"/>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pPr>
        <w:pStyle w:val="888"/>
        <w:shd w:val="clear" w:color="auto"/>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pPr>
        <w:pStyle w:val="888"/>
        <w:shd w:val="clear" w:color="auto"/>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pPr>
        <w:pStyle w:val="888"/>
        <w:shd w:val="clear" w:color="auto"/>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pPr>
        <w:pStyle w:val="888"/>
        <w:shd w:val="clear" w:color="auto"/>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pPr>
        <w:pStyle w:val="888"/>
        <w:shd w:val="clear" w:color="auto"/>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pPr>
        <w:pStyle w:val="888"/>
        <w:shd w:val="clear" w:color="auto"/>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pPr>
        <w:pStyle w:val="888"/>
        <w:shd w:val="clear" w:color="auto"/>
        <w:snapToGrid w:val="0"/>
        <w:spacing w:after="240" w:afterAutospacing="0" w:line="360" w:lineRule="auto"/>
        <w:ind w:firstLine="400"/>
        <w:contextualSpacing/>
        <w:rPr>
          <w:rFonts w:hint="eastAsia"/>
          <w:color w:val="auto"/>
          <w:highlight w:val="none"/>
        </w:rPr>
      </w:pPr>
      <w:r>
        <w:rPr>
          <w:rFonts w:hint="eastAsia"/>
          <w:color w:val="auto"/>
        </w:rPr>
        <w:t>4.4.5</w:t>
      </w:r>
      <w:r>
        <w:rPr>
          <w:rFonts w:hint="eastAsia"/>
          <w:color w:val="auto"/>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shd w:val="clea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pPr>
        <w:shd w:val="clea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pPr>
        <w:pStyle w:val="888"/>
        <w:shd w:val="clear" w:color="auto"/>
        <w:snapToGrid w:val="0"/>
        <w:spacing w:after="240" w:afterAutospacing="0" w:line="360" w:lineRule="auto"/>
        <w:ind w:firstLine="400"/>
        <w:contextualSpacing/>
        <w:rPr>
          <w:rFonts w:hint="eastAsia"/>
          <w:color w:val="auto"/>
          <w:highlight w:val="none"/>
        </w:rPr>
      </w:pPr>
    </w:p>
    <w:p>
      <w:pPr>
        <w:pStyle w:val="888"/>
        <w:shd w:val="clear" w:color="auto"/>
        <w:snapToGrid w:val="0"/>
        <w:spacing w:after="240" w:afterAutospacing="0" w:line="360" w:lineRule="auto"/>
        <w:ind w:firstLine="400"/>
        <w:contextualSpacing/>
        <w:rPr>
          <w:color w:val="auto"/>
        </w:rPr>
      </w:pPr>
      <w:r>
        <w:rPr>
          <w:rFonts w:hint="eastAsia"/>
          <w:color w:val="auto"/>
        </w:rPr>
        <w:t>投诉书范本及制作说明详见附件3。</w:t>
      </w:r>
    </w:p>
    <w:p>
      <w:pPr>
        <w:pStyle w:val="130"/>
        <w:snapToGrid w:val="0"/>
        <w:spacing w:before="0"/>
        <w:ind w:firstLine="360"/>
        <w:rPr>
          <w:rFonts w:ascii="宋体" w:hAnsi="宋体" w:cs="宋体"/>
          <w:color w:val="auto"/>
          <w:sz w:val="18"/>
          <w:szCs w:val="18"/>
        </w:rPr>
      </w:pPr>
    </w:p>
    <w:p>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pPr>
        <w:pStyle w:val="32"/>
        <w:spacing w:line="360" w:lineRule="auto"/>
        <w:rPr>
          <w:rFonts w:hAnsi="宋体" w:cs="宋体"/>
          <w:b/>
          <w:color w:val="auto"/>
          <w:sz w:val="24"/>
          <w:szCs w:val="24"/>
        </w:rPr>
      </w:pPr>
      <w:r>
        <w:rPr>
          <w:rFonts w:hint="eastAsia" w:hAnsi="宋体" w:cs="宋体"/>
          <w:b/>
          <w:color w:val="auto"/>
          <w:sz w:val="24"/>
          <w:szCs w:val="24"/>
        </w:rPr>
        <w:t>5．招标文件的构成</w:t>
      </w:r>
    </w:p>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pPr>
        <w:pStyle w:val="32"/>
        <w:spacing w:line="360" w:lineRule="auto"/>
        <w:rPr>
          <w:rFonts w:hAnsi="宋体" w:cs="宋体"/>
          <w:b/>
          <w:color w:val="auto"/>
          <w:sz w:val="24"/>
          <w:szCs w:val="24"/>
        </w:rPr>
      </w:pPr>
      <w:r>
        <w:rPr>
          <w:rFonts w:hint="eastAsia" w:hAnsi="宋体" w:cs="宋体"/>
          <w:b/>
          <w:color w:val="auto"/>
          <w:sz w:val="24"/>
          <w:szCs w:val="24"/>
        </w:rPr>
        <w:t>6. 招标文件的澄清、修改</w:t>
      </w:r>
    </w:p>
    <w:p>
      <w:pPr>
        <w:pStyle w:val="130"/>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pPr>
        <w:pStyle w:val="130"/>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auto"/>
          <w:sz w:val="18"/>
          <w:szCs w:val="18"/>
          <w:lang w:val="en-US"/>
        </w:rPr>
      </w:pPr>
      <w:r>
        <w:rPr>
          <w:rFonts w:hint="eastAsia" w:hAnsi="宋体" w:cs="宋体"/>
          <w:color w:val="auto"/>
          <w:szCs w:val="24"/>
          <w:lang w:val="en-US"/>
        </w:rPr>
        <w:t xml:space="preserve">    </w:t>
      </w:r>
    </w:p>
    <w:p>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pPr>
        <w:pStyle w:val="32"/>
        <w:spacing w:line="360" w:lineRule="auto"/>
        <w:rPr>
          <w:rFonts w:hAnsi="宋体" w:cs="宋体"/>
          <w:b/>
          <w:color w:val="auto"/>
          <w:sz w:val="24"/>
          <w:szCs w:val="24"/>
        </w:rPr>
      </w:pPr>
      <w:r>
        <w:rPr>
          <w:rFonts w:hint="eastAsia" w:hAnsi="宋体" w:cs="宋体"/>
          <w:b/>
          <w:color w:val="auto"/>
          <w:sz w:val="24"/>
          <w:szCs w:val="24"/>
        </w:rPr>
        <w:t>7. 招标文件的获取</w:t>
      </w:r>
    </w:p>
    <w:p>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pPr>
        <w:pStyle w:val="32"/>
        <w:spacing w:line="360" w:lineRule="auto"/>
        <w:rPr>
          <w:rFonts w:hAnsi="宋体" w:cs="宋体"/>
          <w:b/>
          <w:color w:val="auto"/>
          <w:sz w:val="24"/>
          <w:szCs w:val="24"/>
        </w:rPr>
      </w:pPr>
      <w:r>
        <w:rPr>
          <w:rFonts w:hint="eastAsia" w:hAnsi="宋体" w:cs="宋体"/>
          <w:b/>
          <w:color w:val="auto"/>
          <w:sz w:val="24"/>
          <w:szCs w:val="24"/>
        </w:rPr>
        <w:t>8.开标前答疑会或现场考察</w:t>
      </w:r>
    </w:p>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auto"/>
          <w:szCs w:val="24"/>
        </w:rPr>
      </w:pPr>
      <w:r>
        <w:rPr>
          <w:rFonts w:hint="eastAsia" w:hAnsi="宋体" w:cs="宋体"/>
          <w:b/>
          <w:color w:val="auto"/>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2"/>
        <w:spacing w:line="360" w:lineRule="auto"/>
        <w:rPr>
          <w:rFonts w:hAnsi="宋体" w:cs="宋体"/>
          <w:b/>
          <w:color w:val="auto"/>
          <w:sz w:val="24"/>
          <w:szCs w:val="24"/>
        </w:rPr>
      </w:pPr>
      <w:r>
        <w:rPr>
          <w:rFonts w:hint="eastAsia" w:hAnsi="宋体" w:cs="宋体"/>
          <w:b/>
          <w:color w:val="auto"/>
          <w:sz w:val="24"/>
          <w:szCs w:val="24"/>
        </w:rPr>
        <w:t>10. 投标文件的语言</w:t>
      </w:r>
    </w:p>
    <w:p>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pPr>
        <w:pStyle w:val="32"/>
        <w:spacing w:line="360" w:lineRule="auto"/>
        <w:rPr>
          <w:rFonts w:hAnsi="宋体" w:cs="宋体"/>
          <w:b/>
          <w:color w:val="auto"/>
          <w:sz w:val="24"/>
          <w:szCs w:val="24"/>
        </w:rPr>
      </w:pPr>
      <w:r>
        <w:rPr>
          <w:rFonts w:hint="eastAsia" w:hAnsi="宋体" w:cs="宋体"/>
          <w:b/>
          <w:color w:val="auto"/>
          <w:sz w:val="24"/>
          <w:szCs w:val="24"/>
        </w:rPr>
        <w:t>11. 投标文件的组成</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11.3.1开标一览表（报价表）；</w:t>
      </w:r>
    </w:p>
    <w:p>
      <w:pPr>
        <w:pStyle w:val="3"/>
        <w:adjustRightInd w:val="0"/>
        <w:ind w:left="0"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pPr>
        <w:spacing w:line="360" w:lineRule="auto"/>
        <w:ind w:firstLine="720" w:firstLineChars="300"/>
        <w:rPr>
          <w:color w:val="auto"/>
        </w:rPr>
      </w:pPr>
      <w:r>
        <w:rPr>
          <w:rFonts w:hint="eastAsia"/>
          <w:color w:val="auto"/>
          <w:sz w:val="24"/>
          <w:szCs w:val="24"/>
          <w:shd w:val="clear" w:color="auto" w:fill="FFFFFF"/>
          <w:lang w:val="en-US" w:eastAsia="zh-CN"/>
        </w:rPr>
        <w:t>投标人应对投标文件中材料的真实性、合法性负责。</w:t>
      </w:r>
    </w:p>
    <w:p>
      <w:pPr>
        <w:pStyle w:val="130"/>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pPr>
        <w:pStyle w:val="130"/>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pPr>
        <w:pStyle w:val="130"/>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pPr>
        <w:pStyle w:val="130"/>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pPr>
        <w:pStyle w:val="130"/>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pPr>
        <w:pStyle w:val="32"/>
        <w:spacing w:line="360" w:lineRule="auto"/>
        <w:rPr>
          <w:rFonts w:hAnsi="宋体" w:cs="宋体"/>
          <w:b/>
          <w:color w:val="auto"/>
          <w:sz w:val="24"/>
          <w:szCs w:val="24"/>
        </w:rPr>
      </w:pPr>
      <w:r>
        <w:rPr>
          <w:rFonts w:hint="eastAsia" w:hAnsi="宋体" w:cs="宋体"/>
          <w:b/>
          <w:color w:val="auto"/>
          <w:sz w:val="24"/>
          <w:szCs w:val="24"/>
        </w:rPr>
        <w:t>15.备份投标文件</w:t>
      </w:r>
    </w:p>
    <w:p>
      <w:pPr>
        <w:pStyle w:val="32"/>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pPr>
        <w:pStyle w:val="32"/>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pPr>
        <w:pStyle w:val="130"/>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pPr>
        <w:pStyle w:val="24"/>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pPr>
        <w:pStyle w:val="130"/>
        <w:spacing w:before="0"/>
        <w:ind w:firstLine="0" w:firstLineChars="0"/>
        <w:rPr>
          <w:rFonts w:ascii="宋体" w:hAnsi="宋体" w:cs="宋体"/>
          <w:b/>
          <w:color w:val="auto"/>
          <w:szCs w:val="24"/>
        </w:rPr>
      </w:pPr>
      <w:r>
        <w:rPr>
          <w:rFonts w:hint="eastAsia" w:ascii="宋体" w:hAnsi="宋体" w:cs="宋体"/>
          <w:b/>
          <w:color w:val="auto"/>
          <w:szCs w:val="24"/>
        </w:rPr>
        <w:t>17.投标有效期</w:t>
      </w:r>
    </w:p>
    <w:p>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pPr>
        <w:pStyle w:val="130"/>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pPr>
        <w:pStyle w:val="130"/>
        <w:spacing w:before="0"/>
        <w:ind w:firstLine="480"/>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pPr>
        <w:pStyle w:val="130"/>
        <w:spacing w:before="0"/>
        <w:ind w:firstLine="643"/>
        <w:rPr>
          <w:rFonts w:ascii="宋体" w:hAnsi="宋体" w:cs="宋体"/>
          <w:b/>
          <w:color w:val="auto"/>
          <w:sz w:val="32"/>
        </w:rPr>
      </w:pPr>
    </w:p>
    <w:p>
      <w:pPr>
        <w:pStyle w:val="130"/>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pPr>
        <w:pStyle w:val="556"/>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pPr>
        <w:pStyle w:val="556"/>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pPr>
        <w:pStyle w:val="130"/>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pPr>
        <w:pStyle w:val="130"/>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pPr>
        <w:pStyle w:val="130"/>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pPr>
        <w:pStyle w:val="130"/>
        <w:snapToGrid w:val="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0"/>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将在资格审查时通过“信用中国”网站(www.creditchina.gov.cn)、中国政府采购网(www.ccgp.gov.cn)渠道查询投标人接受资格时的信用记录。</w:t>
      </w:r>
    </w:p>
    <w:p>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pPr>
        <w:pStyle w:val="130"/>
        <w:spacing w:before="0"/>
        <w:ind w:firstLine="0" w:firstLineChars="0"/>
        <w:rPr>
          <w:rFonts w:ascii="宋体" w:hAnsi="宋体" w:cs="宋体"/>
          <w:color w:val="auto"/>
          <w:kern w:val="0"/>
          <w:szCs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pPr>
        <w:spacing w:line="360" w:lineRule="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pPr>
        <w:spacing w:line="360" w:lineRule="auto"/>
        <w:rPr>
          <w:rFonts w:ascii="宋体" w:hAnsi="宋体" w:cs="宋体"/>
          <w:b/>
          <w:color w:val="auto"/>
          <w:sz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pPr>
        <w:pStyle w:val="24"/>
        <w:spacing w:line="360" w:lineRule="auto"/>
        <w:ind w:left="479" w:hanging="479" w:hangingChars="199"/>
        <w:rPr>
          <w:rFonts w:cs="宋体"/>
          <w:b/>
          <w:color w:val="auto"/>
        </w:rPr>
      </w:pPr>
      <w:r>
        <w:rPr>
          <w:rFonts w:hint="eastAsia" w:cs="宋体"/>
          <w:b/>
          <w:color w:val="auto"/>
        </w:rPr>
        <w:t>22. 确定中标供应商</w:t>
      </w:r>
    </w:p>
    <w:p>
      <w:pPr>
        <w:pStyle w:val="130"/>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pPr>
        <w:pStyle w:val="130"/>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pPr>
        <w:widowControl/>
        <w:shd w:val="clear" w:color="auto"/>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pPr>
        <w:widowControl/>
        <w:shd w:val="clear" w:color="auto"/>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pPr>
        <w:widowControl/>
        <w:shd w:val="clear" w:color="auto"/>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pPr>
        <w:pStyle w:val="130"/>
        <w:shd w:val="clear"/>
        <w:adjustRightInd w:val="0"/>
        <w:snapToGrid w:val="0"/>
        <w:spacing w:before="0"/>
        <w:ind w:firstLine="482" w:firstLineChars="200"/>
        <w:rPr>
          <w:rStyle w:val="78"/>
          <w:color w:val="auto"/>
        </w:rPr>
      </w:pPr>
      <w:r>
        <w:rPr>
          <w:rFonts w:hint="eastAsia" w:ascii="宋体" w:hAnsi="宋体" w:cs="宋体"/>
          <w:b/>
          <w:color w:val="auto"/>
          <w:szCs w:val="24"/>
          <w:lang w:val="en-US" w:eastAsia="zh-CN"/>
        </w:rPr>
        <w:t xml:space="preserve">23.4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pPr>
        <w:pStyle w:val="79"/>
        <w:rPr>
          <w:color w:val="auto"/>
        </w:rPr>
      </w:pPr>
    </w:p>
    <w:p>
      <w:pPr>
        <w:snapToGrid w:val="0"/>
        <w:spacing w:line="360" w:lineRule="auto"/>
        <w:ind w:left="120" w:leftChars="57" w:firstLine="482" w:firstLineChars="150"/>
        <w:jc w:val="center"/>
        <w:rPr>
          <w:rFonts w:ascii="宋体" w:hAnsi="宋体" w:cs="宋体"/>
          <w:b/>
          <w:color w:val="auto"/>
          <w:sz w:val="32"/>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pPr>
        <w:pStyle w:val="24"/>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pPr>
        <w:pStyle w:val="24"/>
        <w:shd w:val="clear"/>
        <w:spacing w:line="360" w:lineRule="auto"/>
        <w:ind w:left="479" w:hanging="479" w:hangingChars="199"/>
        <w:rPr>
          <w:rFonts w:cs="宋体"/>
          <w:b/>
          <w:color w:val="auto"/>
        </w:rPr>
      </w:pPr>
      <w:r>
        <w:rPr>
          <w:rFonts w:hint="eastAsia" w:cs="宋体"/>
          <w:b/>
          <w:color w:val="auto"/>
        </w:rPr>
        <w:t>25. 合同的签订</w:t>
      </w:r>
    </w:p>
    <w:p>
      <w:pPr>
        <w:widowControl/>
        <w:shd w:val="clear" w:color="auto"/>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hd w:val="clear"/>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pPr>
        <w:pStyle w:val="130"/>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color w:val="auto"/>
        </w:rPr>
      </w:pPr>
      <w:r>
        <w:rPr>
          <w:rFonts w:hint="eastAsia" w:cs="宋体"/>
          <w:b/>
          <w:color w:val="auto"/>
        </w:rPr>
        <w:t>26. 履约保证金</w:t>
      </w:r>
    </w:p>
    <w:p>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pPr>
        <w:pStyle w:val="3"/>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color w:val="auto"/>
          <w:highlight w:val="none"/>
        </w:rPr>
      </w:pPr>
      <w:r>
        <w:rPr>
          <w:rFonts w:ascii="宋体" w:hAnsi="宋体" w:eastAsia="宋体"/>
          <w:b/>
          <w:bCs/>
          <w:color w:val="auto"/>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rPr>
      </w:pPr>
    </w:p>
    <w:p>
      <w:pPr>
        <w:snapToGrid w:val="0"/>
        <w:spacing w:line="360" w:lineRule="auto"/>
        <w:ind w:firstLine="3357" w:firstLineChars="1045"/>
        <w:rPr>
          <w:rFonts w:ascii="宋体" w:hAnsi="宋体" w:cs="宋体"/>
          <w:b/>
          <w:color w:val="auto"/>
          <w:sz w:val="32"/>
        </w:rPr>
      </w:pPr>
    </w:p>
    <w:p>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pPr>
        <w:pStyle w:val="130"/>
        <w:snapToGrid w:val="0"/>
        <w:spacing w:before="0"/>
        <w:ind w:firstLine="0" w:firstLineChars="0"/>
        <w:rPr>
          <w:rFonts w:ascii="宋体" w:hAnsi="宋体" w:cs="宋体"/>
          <w:color w:val="auto"/>
        </w:rPr>
      </w:pPr>
      <w:r>
        <w:rPr>
          <w:rFonts w:ascii="宋体" w:hAnsi="宋体" w:cs="宋体"/>
          <w:b/>
          <w:bCs/>
          <w:color w:val="auto"/>
          <w:sz w:val="24"/>
          <w:szCs w:val="20"/>
        </w:rPr>
        <w:t>2</w:t>
      </w:r>
      <w:r>
        <w:rPr>
          <w:rFonts w:ascii="宋体" w:hAnsi="宋体" w:cs="宋体"/>
          <w:b/>
          <w:bCs/>
          <w:color w:val="auto"/>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pPr>
        <w:pStyle w:val="130"/>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pPr>
        <w:pStyle w:val="130"/>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pPr>
        <w:pStyle w:val="130"/>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pPr>
        <w:pStyle w:val="130"/>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pPr>
        <w:pStyle w:val="130"/>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pPr>
        <w:pStyle w:val="130"/>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pPr>
        <w:pStyle w:val="24"/>
        <w:spacing w:line="360" w:lineRule="auto"/>
        <w:ind w:firstLine="0" w:firstLineChars="0"/>
        <w:rPr>
          <w:rFonts w:cs="宋体"/>
          <w:b/>
          <w:color w:val="auto"/>
        </w:rPr>
      </w:pPr>
      <w:r>
        <w:rPr>
          <w:rFonts w:hint="eastAsia" w:cs="宋体"/>
          <w:b/>
          <w:color w:val="auto"/>
        </w:rPr>
        <w:t>30.验收</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3"/>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pPr>
        <w:pStyle w:val="79"/>
        <w:rPr>
          <w:color w:val="auto"/>
        </w:rPr>
      </w:pPr>
    </w:p>
    <w:bookmarkEnd w:id="13"/>
    <w:p>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403820"/>
      <w:bookmarkEnd w:id="15"/>
      <w:bookmarkStart w:id="16" w:name="_Hlt68072998"/>
      <w:bookmarkEnd w:id="16"/>
      <w:bookmarkStart w:id="17" w:name="_Hlt75236101"/>
      <w:bookmarkEnd w:id="17"/>
      <w:bookmarkStart w:id="18" w:name="_Hlt68057669"/>
      <w:bookmarkEnd w:id="18"/>
      <w:bookmarkStart w:id="19" w:name="_Hlt75236011"/>
      <w:bookmarkEnd w:id="19"/>
      <w:bookmarkStart w:id="20" w:name="_Hlt74714665"/>
      <w:bookmarkEnd w:id="20"/>
      <w:bookmarkStart w:id="21" w:name="_Hlt74729768"/>
      <w:bookmarkEnd w:id="21"/>
      <w:bookmarkStart w:id="22" w:name="_Hlt68072990"/>
      <w:bookmarkEnd w:id="22"/>
      <w:bookmarkStart w:id="23" w:name="_Hlt74707468"/>
      <w:bookmarkEnd w:id="23"/>
      <w:bookmarkStart w:id="24" w:name="_Hlt74730295"/>
      <w:bookmarkEnd w:id="24"/>
      <w:bookmarkStart w:id="25" w:name="_Hlt68073093"/>
      <w:bookmarkEnd w:id="25"/>
      <w:bookmarkStart w:id="26" w:name="_Hlt75236290"/>
      <w:bookmarkEnd w:id="26"/>
    </w:p>
    <w:bookmarkEnd w:id="11"/>
    <w:bookmarkEnd w:id="12"/>
    <w:p>
      <w:pPr>
        <w:spacing w:line="360" w:lineRule="auto"/>
        <w:jc w:val="center"/>
        <w:outlineLvl w:val="0"/>
        <w:rPr>
          <w:rFonts w:ascii="宋体" w:hAnsi="宋体" w:cs="宋体"/>
          <w:b/>
          <w:color w:val="auto"/>
          <w:sz w:val="36"/>
          <w:szCs w:val="36"/>
        </w:rPr>
      </w:pPr>
      <w:bookmarkStart w:id="27" w:name="第四部分"/>
      <w:r>
        <w:rPr>
          <w:rFonts w:hint="eastAsia" w:ascii="宋体" w:hAnsi="宋体" w:cs="宋体"/>
          <w:b/>
          <w:color w:val="auto"/>
          <w:sz w:val="36"/>
          <w:szCs w:val="36"/>
        </w:rPr>
        <w:t>第三部分   采购需求</w:t>
      </w:r>
    </w:p>
    <w:p>
      <w:pPr>
        <w:pStyle w:val="23"/>
        <w:pageBreakBefore w:val="0"/>
        <w:widowControl w:val="0"/>
        <w:kinsoku/>
        <w:wordWrap/>
        <w:overflowPunct/>
        <w:topLinePunct w:val="0"/>
        <w:autoSpaceDE/>
        <w:autoSpaceDN/>
        <w:bidi w:val="0"/>
        <w:adjustRightInd/>
        <w:spacing w:line="360" w:lineRule="auto"/>
        <w:ind w:left="-420" w:leftChars="-200" w:firstLine="482" w:firstLineChars="200"/>
        <w:textAlignment w:val="auto"/>
        <w:rPr>
          <w:rFonts w:hint="eastAsia" w:ascii="宋体" w:hAnsi="宋体" w:eastAsia="宋体" w:cs="宋体"/>
          <w:b/>
          <w:bCs/>
          <w:color w:val="auto"/>
          <w:sz w:val="24"/>
          <w:lang w:val="zh-CN" w:eastAsia="zh-CN"/>
        </w:rPr>
      </w:pPr>
      <w:bookmarkStart w:id="28" w:name="_Toc152411297"/>
      <w:bookmarkStart w:id="29" w:name="_Toc224569645"/>
      <w:bookmarkStart w:id="30" w:name="_Toc346176963"/>
      <w:bookmarkStart w:id="31" w:name="_Toc286063114"/>
      <w:bookmarkStart w:id="32" w:name="_Toc152411296"/>
      <w:r>
        <w:rPr>
          <w:rFonts w:hint="eastAsia" w:ascii="宋体" w:hAnsi="宋体" w:eastAsia="宋体" w:cs="宋体"/>
          <w:b/>
          <w:bCs/>
          <w:color w:val="auto"/>
          <w:sz w:val="24"/>
          <w:lang w:val="zh-CN" w:eastAsia="zh-CN"/>
        </w:rPr>
        <w:t>一、</w:t>
      </w:r>
      <w:r>
        <w:rPr>
          <w:rFonts w:hint="eastAsia" w:ascii="宋体" w:hAnsi="宋体" w:eastAsia="宋体" w:cs="宋体"/>
          <w:b/>
          <w:bCs/>
          <w:color w:val="auto"/>
          <w:sz w:val="24"/>
          <w:lang w:val="zh-CN" w:eastAsia="zh-CN"/>
        </w:rPr>
        <w:tab/>
      </w:r>
      <w:r>
        <w:rPr>
          <w:rFonts w:hint="eastAsia" w:ascii="宋体" w:hAnsi="宋体" w:eastAsia="宋体" w:cs="宋体"/>
          <w:b/>
          <w:bCs/>
          <w:color w:val="auto"/>
          <w:sz w:val="24"/>
          <w:lang w:val="zh-CN" w:eastAsia="zh-CN"/>
        </w:rPr>
        <w:t>项目概况</w:t>
      </w:r>
    </w:p>
    <w:p>
      <w:pPr>
        <w:pStyle w:val="23"/>
        <w:pageBreakBefore w:val="0"/>
        <w:widowControl w:val="0"/>
        <w:kinsoku/>
        <w:wordWrap/>
        <w:overflowPunct/>
        <w:topLinePunct w:val="0"/>
        <w:autoSpaceDE/>
        <w:autoSpaceDN/>
        <w:bidi w:val="0"/>
        <w:adjustRightInd/>
        <w:spacing w:line="360" w:lineRule="auto"/>
        <w:ind w:left="0" w:leftChars="0" w:firstLine="420" w:firstLineChars="175"/>
        <w:textAlignment w:val="auto"/>
        <w:rPr>
          <w:rFonts w:hint="eastAsia" w:ascii="宋体" w:hAnsi="宋体" w:eastAsia="宋体" w:cs="宋体"/>
          <w:snapToGrid/>
          <w:color w:val="auto"/>
          <w:kern w:val="0"/>
          <w:sz w:val="24"/>
          <w:szCs w:val="24"/>
          <w:lang w:val="zh-CN" w:eastAsia="zh-CN" w:bidi="ar-SA"/>
        </w:rPr>
      </w:pPr>
      <w:r>
        <w:rPr>
          <w:rFonts w:hint="eastAsia" w:ascii="宋体" w:hAnsi="宋体" w:eastAsia="宋体" w:cs="宋体"/>
          <w:snapToGrid/>
          <w:color w:val="auto"/>
          <w:kern w:val="0"/>
          <w:sz w:val="24"/>
          <w:szCs w:val="24"/>
          <w:lang w:val="zh-CN" w:eastAsia="zh-CN" w:bidi="ar-SA"/>
        </w:rPr>
        <w:t>1.为规范食堂食材釆购，将食堂所需的米、面粉、食用植物油、干货类及腌腊肉类、 蔬菜类、水产类、鲜肉类、冷冻食品类、家禽及禽蛋类、豆制品类及酱腌菜类、调料类、 干湿面类、副食及其他类、水果类等与食品安全密切相关的原辅材料，</w:t>
      </w:r>
      <w:r>
        <w:rPr>
          <w:rFonts w:hint="eastAsia" w:ascii="宋体" w:hAnsi="宋体" w:eastAsia="宋体" w:cs="宋体"/>
          <w:snapToGrid/>
          <w:color w:val="auto"/>
          <w:kern w:val="0"/>
          <w:sz w:val="24"/>
          <w:szCs w:val="24"/>
          <w:lang w:val="en-US" w:eastAsia="zh-CN" w:bidi="ar-SA"/>
        </w:rPr>
        <w:t>通过招标方式</w:t>
      </w:r>
      <w:r>
        <w:rPr>
          <w:rFonts w:hint="eastAsia" w:ascii="宋体" w:hAnsi="宋体" w:eastAsia="宋体" w:cs="宋体"/>
          <w:snapToGrid/>
          <w:color w:val="auto"/>
          <w:kern w:val="0"/>
          <w:sz w:val="24"/>
          <w:szCs w:val="24"/>
          <w:lang w:val="zh-CN" w:eastAsia="zh-CN" w:bidi="ar-SA"/>
        </w:rPr>
        <w:t>确定</w:t>
      </w:r>
      <w:r>
        <w:rPr>
          <w:rFonts w:hint="eastAsia" w:ascii="宋体" w:hAnsi="宋体" w:eastAsia="宋体" w:cs="宋体"/>
          <w:snapToGrid/>
          <w:color w:val="auto"/>
          <w:kern w:val="0"/>
          <w:sz w:val="24"/>
          <w:szCs w:val="24"/>
          <w:lang w:val="en-US" w:eastAsia="zh-CN" w:bidi="ar-SA"/>
        </w:rPr>
        <w:t>中标</w:t>
      </w:r>
      <w:r>
        <w:rPr>
          <w:rFonts w:hint="eastAsia" w:ascii="宋体" w:hAnsi="宋体" w:eastAsia="宋体" w:cs="宋体"/>
          <w:snapToGrid/>
          <w:color w:val="auto"/>
          <w:kern w:val="0"/>
          <w:sz w:val="24"/>
          <w:szCs w:val="24"/>
          <w:lang w:val="zh-CN" w:eastAsia="zh-CN" w:bidi="ar-SA"/>
        </w:rPr>
        <w:t>供应商，实施统一釆购、配送。</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napToGrid/>
          <w:color w:val="auto"/>
          <w:kern w:val="0"/>
          <w:sz w:val="24"/>
          <w:szCs w:val="24"/>
          <w:lang w:val="en-US" w:eastAsia="zh-CN" w:bidi="ar-SA"/>
        </w:rPr>
      </w:pPr>
      <w:r>
        <w:rPr>
          <w:rFonts w:hint="eastAsia" w:ascii="宋体" w:hAnsi="宋体" w:eastAsia="宋体" w:cs="宋体"/>
          <w:snapToGrid/>
          <w:color w:val="auto"/>
          <w:kern w:val="0"/>
          <w:sz w:val="24"/>
          <w:szCs w:val="24"/>
          <w:lang w:val="zh-CN" w:eastAsia="zh-CN" w:bidi="ar-SA"/>
        </w:rPr>
        <w:t>2.</w:t>
      </w:r>
      <w:r>
        <w:rPr>
          <w:rFonts w:hint="eastAsia" w:ascii="宋体" w:hAnsi="宋体" w:eastAsia="宋体" w:cs="宋体"/>
          <w:snapToGrid/>
          <w:color w:val="auto"/>
          <w:kern w:val="0"/>
          <w:sz w:val="24"/>
          <w:szCs w:val="24"/>
          <w:lang w:val="en-US" w:eastAsia="zh-CN" w:bidi="ar-SA"/>
        </w:rPr>
        <w:t>定价：</w:t>
      </w:r>
      <w:r>
        <w:rPr>
          <w:rFonts w:hint="eastAsia" w:ascii="宋体" w:hAnsi="宋体" w:eastAsia="宋体" w:cs="宋体"/>
          <w:snapToGrid/>
          <w:color w:val="auto"/>
          <w:kern w:val="0"/>
          <w:sz w:val="24"/>
          <w:szCs w:val="24"/>
          <w:highlight w:val="none"/>
          <w:lang w:val="en-US" w:eastAsia="zh-CN" w:bidi="ar-SA"/>
        </w:rPr>
        <w:t>价格每两周核定一次，以</w:t>
      </w:r>
      <w:r>
        <w:rPr>
          <w:rFonts w:hint="eastAsia" w:hAnsi="宋体" w:cs="宋体"/>
          <w:snapToGrid/>
          <w:color w:val="auto"/>
          <w:kern w:val="0"/>
          <w:sz w:val="24"/>
          <w:szCs w:val="24"/>
          <w:highlight w:val="none"/>
          <w:lang w:val="en-US" w:eastAsia="zh-CN" w:bidi="ar-SA"/>
        </w:rPr>
        <w:t>“天下良仓”</w:t>
      </w:r>
      <w:r>
        <w:rPr>
          <w:rFonts w:hint="eastAsia" w:ascii="宋体" w:hAnsi="宋体" w:eastAsia="宋体" w:cs="宋体"/>
          <w:snapToGrid/>
          <w:color w:val="auto"/>
          <w:kern w:val="0"/>
          <w:sz w:val="24"/>
          <w:szCs w:val="24"/>
          <w:highlight w:val="none"/>
          <w:lang w:val="en-US" w:eastAsia="zh-CN" w:bidi="ar-SA"/>
        </w:rPr>
        <w:t>公布的配送食材市场零售价为基准价，结算单价=市场零售单价×折扣率。时价产品或客菜价格参照当天市场价。</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napToGrid/>
          <w:color w:val="auto"/>
          <w:kern w:val="0"/>
          <w:sz w:val="24"/>
          <w:szCs w:val="24"/>
          <w:lang w:val="en-US" w:eastAsia="zh-CN" w:bidi="ar-SA"/>
        </w:rPr>
      </w:pPr>
      <w:r>
        <w:rPr>
          <w:rFonts w:hint="eastAsia" w:ascii="宋体" w:hAnsi="宋体" w:eastAsia="宋体" w:cs="宋体"/>
          <w:snapToGrid/>
          <w:color w:val="auto"/>
          <w:kern w:val="0"/>
          <w:sz w:val="24"/>
          <w:szCs w:val="24"/>
          <w:lang w:val="en-US" w:eastAsia="zh-CN" w:bidi="ar-SA"/>
        </w:rPr>
        <w:t>3.调价：保持供货价格相对稳定，两周内价格不作调整，互相承担风险；</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napToGrid/>
          <w:color w:val="auto"/>
          <w:kern w:val="0"/>
          <w:sz w:val="24"/>
          <w:szCs w:val="24"/>
          <w:lang w:val="en-US" w:eastAsia="zh-CN" w:bidi="ar-SA"/>
        </w:rPr>
      </w:pPr>
      <w:r>
        <w:rPr>
          <w:rFonts w:hint="eastAsia" w:ascii="宋体" w:hAnsi="宋体" w:eastAsia="宋体" w:cs="宋体"/>
          <w:snapToGrid/>
          <w:color w:val="auto"/>
          <w:kern w:val="0"/>
          <w:sz w:val="24"/>
          <w:szCs w:val="24"/>
          <w:lang w:val="en-US" w:eastAsia="zh-CN" w:bidi="ar-SA"/>
        </w:rPr>
        <w:t>4.供应商拥有自有仓库及冷链配送车辆；</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napToGrid/>
          <w:color w:val="auto"/>
          <w:kern w:val="0"/>
          <w:sz w:val="24"/>
          <w:szCs w:val="24"/>
          <w:lang w:val="zh-CN" w:eastAsia="zh-CN" w:bidi="ar-SA"/>
        </w:rPr>
      </w:pPr>
      <w:r>
        <w:rPr>
          <w:rFonts w:hint="eastAsia" w:ascii="宋体" w:hAnsi="宋体" w:eastAsia="宋体" w:cs="宋体"/>
          <w:snapToGrid/>
          <w:color w:val="auto"/>
          <w:kern w:val="0"/>
          <w:sz w:val="24"/>
          <w:szCs w:val="24"/>
          <w:lang w:val="en-US" w:eastAsia="zh-CN" w:bidi="ar-SA"/>
        </w:rPr>
        <w:t>5.</w:t>
      </w:r>
      <w:r>
        <w:rPr>
          <w:rFonts w:hint="eastAsia" w:ascii="宋体" w:hAnsi="宋体" w:eastAsia="宋体" w:cs="宋体"/>
          <w:snapToGrid/>
          <w:color w:val="auto"/>
          <w:kern w:val="0"/>
          <w:sz w:val="24"/>
          <w:szCs w:val="24"/>
          <w:lang w:val="zh-CN" w:eastAsia="zh-CN" w:bidi="ar-SA"/>
        </w:rPr>
        <w:t>具体配送时间及数量以釆购入通知为准，最终以实际配送数量和中标结算率结算。</w:t>
      </w:r>
    </w:p>
    <w:p>
      <w:pPr>
        <w:pStyle w:val="23"/>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lang w:val="zh-CN" w:eastAsia="zh-CN"/>
        </w:rPr>
      </w:pPr>
      <w:r>
        <w:rPr>
          <w:rFonts w:hint="eastAsia" w:ascii="宋体" w:hAnsi="宋体" w:eastAsia="宋体" w:cs="宋体"/>
          <w:b/>
          <w:bCs/>
          <w:color w:val="auto"/>
          <w:sz w:val="24"/>
          <w:lang w:val="zh-CN" w:eastAsia="zh-CN"/>
        </w:rPr>
        <w:t>二、</w:t>
      </w:r>
      <w:r>
        <w:rPr>
          <w:rFonts w:hint="eastAsia" w:ascii="宋体" w:hAnsi="宋体" w:eastAsia="宋体" w:cs="宋体"/>
          <w:b/>
          <w:bCs/>
          <w:color w:val="auto"/>
          <w:sz w:val="24"/>
          <w:lang w:val="zh-CN" w:eastAsia="zh-CN"/>
        </w:rPr>
        <w:tab/>
      </w:r>
      <w:r>
        <w:rPr>
          <w:rFonts w:hint="eastAsia" w:ascii="宋体" w:hAnsi="宋体" w:eastAsia="宋体" w:cs="宋体"/>
          <w:b/>
          <w:bCs/>
          <w:color w:val="auto"/>
          <w:sz w:val="24"/>
          <w:lang w:val="zh-CN" w:eastAsia="zh-CN"/>
        </w:rPr>
        <w:t>食材质量要求</w:t>
      </w:r>
    </w:p>
    <w:p>
      <w:pPr>
        <w:pStyle w:val="23"/>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lang w:val="zh-CN" w:eastAsia="zh-CN"/>
        </w:rPr>
      </w:pPr>
      <w:r>
        <w:rPr>
          <w:rFonts w:hint="eastAsia" w:ascii="宋体" w:hAnsi="宋体" w:eastAsia="宋体" w:cs="宋体"/>
          <w:b/>
          <w:bCs/>
          <w:color w:val="auto"/>
          <w:sz w:val="24"/>
          <w:lang w:val="zh-CN" w:eastAsia="zh-CN"/>
        </w:rPr>
        <w:t>（-）总体要求</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供应商对所有食品原料严格把关，加强食品源头管理，做好索证索票工作，确保食品质量安全，做到来源可溯。所供各类食品原料符合国家相关标准及釆购人制定的验收要求，配送到食堂时食品有效期在该食品保质期限的一半之前，并提供所供商品生产企业的资质、产品合格证等相关证件。</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供应商的鲜活食品原料优质、新鲜、清洁卫生并符合《食品安全法》相关规定，同时对每批次食品原料进行检测，并按国家最新相关规定岀具产品合格证明、“SC”食品生产许可认证标志等条件。食品原料必须符合食品安全管理相关规定，分类仓储保鲜、分类 包装运输。</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3.所釆购货源必须持有与销售内容相对应的有效营业执照，食品生产许可证或食品流 通许可证；猪肉等肉类产品的质量要求符合肉类产品的生产、检验检疫、销售的相关规定； 禽、蛋、水产、海鲜、冻品等必须具有动物检验检疫合格证明或化验单，有外包装的需保 证外包装完好，有清晰的生产日期和保质期；蔬菜必须保证新鲜，按供货批次提供蔬菜农 药检测结果，且符合食品卫生安全法要求；调味品等符合国家食品卫生安全有关规定，从 正规渠道釆购。</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4.所有进货台账，实行电子监管。所有索证索票材料，要有供货单位的印章或签名。</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5.要符合配送规定的其他要求。</w:t>
      </w:r>
    </w:p>
    <w:p>
      <w:pPr>
        <w:pStyle w:val="23"/>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b/>
          <w:bCs/>
          <w:color w:val="auto"/>
          <w:kern w:val="2"/>
          <w:sz w:val="24"/>
          <w:szCs w:val="24"/>
          <w:lang w:val="zh-CN" w:eastAsia="zh-CN" w:bidi="ar-SA"/>
        </w:rPr>
        <w:t>（-）质量要求</w:t>
      </w:r>
      <w:r>
        <w:rPr>
          <w:rFonts w:hint="eastAsia" w:ascii="宋体" w:hAnsi="宋体" w:eastAsia="宋体" w:cs="宋体"/>
          <w:color w:val="auto"/>
          <w:kern w:val="2"/>
          <w:sz w:val="24"/>
          <w:szCs w:val="24"/>
          <w:lang w:val="zh-CN" w:eastAsia="zh-CN" w:bidi="ar-SA"/>
        </w:rPr>
        <w:t>：所有配送物品需满足有关行业标准，物品的等级规格应满足国家有 关物品等级规格标推的一级标推执行。</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1.米（供应商应按照釆购入指定品牌进行配送）</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1.1质量要求：生产企业应具有该品种有效期内的生产许可证，每批次应提供该批次产品的岀厂检验合格证或者其他合格证明。产品包装、标签标识应符合相关食品安全国家标准的要求。质量等级应达到或超过国家标准GB1354—2009《大米》中“一级”的要求, 必须为非转基因产品。需是本年度或上一年度岀产的稻谷生产的新米。</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1.2退货依据：无法提供产品岀厂检验合格证或者其他合格证明，产品质量等级达不到一级要求，不是本年度或上一年度岀厂的稻谷生产的新米；属于转基因产品。存在因配送不规范造成受潮等情况；不是釆购人指定品牌。</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2.面粉（供应商应按照釆购入指定品牌进行配送）</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2.1质量要求：①生产企业应具有该品种有效期内的生产许可证，每批次应提供该批次产品的岀厂检验合格证或者其他合格证明。产品包装、标签标识应符合相关食品安全国 家标准的要求。②面粉（分通用小麦粉、高低筋小麦粉和蛋糕、面包等专用小麦粉三大类） 的产品质量应符合其包装上明示的产品标准要求及相应的国家食品安全标准，其中通用小 麦粉质量等级应达到或超过国家标准GB1355— —1986 ＜小麦粉》中“特制一等”的要求。</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2.2退货依据：无法提供产品岀厂检验合格证或者其他合格证明，质量达不到等级要求，配送到食堂时食品有效期在保质期限的一半之后的。存在因配送不规范造成受潮等情况；不是釆购人指定品牌。</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3.食用植物油（供应商应按照釆购入指定品牌进行配送）</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3.1品类描述：包括菜籽油、大豆油、葵花籽油、玉米油、棉籽油、油茶籽油、花生油等。</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3.2质量要求：①生产企业应具有该品种有效期内的生产许可证，每批次应提供该批 次产品的岀厂检验合格证或者其他合格证明。产品包装、标签标识应符合相关食品安全国 家标准的要求。②大豆油、玉米油、菜籽油、玉米油等原料应为非转基因产品，产品质量应符合其包装上明示的产品标准要求及相应的国家食品安全标准要求，质量等级达到或超 过该种食用植物油国家标准中“一级”的要求。</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3.2退货依据：无法提供岀厂检验合格证明或其他合格证明，为转基因产品，产品质量等级达不到一级要求。配送到食堂时食品有效期在保质期限的一半之后的；不是釆购人 指定品牌。</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4.干货类及腌腊肉类</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4.1质量要求：必须是无酸变、无腐烂、无变质、整齐、均匀、完整、质优、无污染, 硫等物质含量不得超过国家有关规定，符合食品卫生要求的产品。生产企业应具有该产品 的有效期内的食品生产许可证（SC证）,并应在其包装袋上印有“SC”证证号。产品有 包装、非散称，产品标签标识规范，产品质量应符合其包装上明示的产品标准及相应的国 家食品安全标准要求。必须提供标的物具有资质的全项目检测报告。</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4.2退货依据：原材料不新鲜，添加违禁食品添加剂，无法提供有资质的检测机构岀 具的批次检测报告，存在因配送不规范造成受潮等情况。</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5.蔬菜类</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5.1品类描述：包括叶菜、根茎菜、花果菜等。</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5.2质量要求：①做到去根、去菜帮、去粗垃圾。必须是质优、新鲜、无污染、无变质，蔬菜农药残留在国家规定GB2763-2016允许的范围内，每批次应携带农药残留检测合格证明及产地准岀证明。②叶菜类：外形正常，叶梗光滑幼嫩，不干瘪凋萎，无过多黄叶, 色泽正常。去除根须，不含土，无虫害，大白菜、卷心菜心不变黑，无腐烂情形，无明显 浸水现象；农药残留不超标。③根茎菜（如萬笋、土豆等），无虫咬、发芽、发霉现象， 新鲜，形态大小与釆购人自购标准相当；农药残留不超标。④花果菜（如：西兰花、白菜 花等），无虫害，成熟度良好，新鲜固有的色泽鲜明，无发霉发黄；农药残留不超标。</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5.2退货依据：①叶菜类：味苦，鲜度嫩度明显不佳，含黄叶须根，泥土、虫害严重, 萎薦严重，浸水后仍不可恢复，农药残留超标。②根茎菜类：发芽严重、发霉，新鲜度不 佳，形态大小与釆购人自购标准存在较大负偏差，农药残留超标。③花果菜类：不新鲜， 发霉，虫害过多，农药残留超标。</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6.水产类</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6.1质量要求：必须是鲜活、质优、符合食品卫生要求的产品，每批次货物提供必要的质量证明材料。具有鲜鱼固有的鲜明体色与光泽，粘度透明；鳞完整或稍有花鳞，紧贴鱼体不易剥落，有透明站液；鲤盖紧合，鲤丝鲜红或紫红，色清晰，站液透明无异味；鱼 眼饱满，角膜光亮透明；腹部呈白色或淡玫瑰红色，破肚率小于等于5%；肌肉结实或富 有弹性；无污染、无风干、无变质、无异味。</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6.2退货依据：体表色暗淡无关，站液透明度较差、浑浊且有腐败味；鳞不完整、易 剥落；鲤盖松弛，鲤丝粘连，呈淡红暗红或灰红褐色，有显著腥味；眼球凹陷，角膜混沌 或发糊；腹部膨胀或变软，表面发暗色或淡绿色斑点；肌肉松弛，弹性差。</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7.鲜肉类</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7.1质量要求：畜禽肉及副产品：</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应符合GB2707《食品安全国家标准  鲜（冻）畜、禽产品》，并具有动物检验检疫合格证明和分销凭证。要按照食堂实际需求提供加工服务。肉类必须保证肉色鲜艳，观感好，层次分明，干浄、卫生、不注水、无病变。运输须使用符合国家卫生标准的运载工具，应当使用具有保温措施的车辆运输，车辆必须要保持清洁卫生，使用前后要清洗消毒。</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7.2退货依据：与验收标准不符，病死或者死因不明的鲜肉类及其制品等。</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8.冷冻食品类</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8.1品类描述：包括鸡腿、鸡翅等。</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8.2质量要求：①生产企业应具有该品种有效期内的生产许可证，每批次应提供该批次产品的岀厂检验合格证或者其他合格证明。产品包装、标签标识应符合相关食品安全国家标准的要求。②皮肤有光泽，呈淡黄、淡红、灰白色等，肌肉切面有光泽，指压后凹陷恢复得慢，冻品来源可靠（能提供生产厂家，联系电话和代理证明和合格证书）。</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8.3退货依据：干缩凹陷、表面干燥粘手，新切面湿润粘手，肌肉松弛，指压后凹陷 不能恢复，并有明显的痕迹；有腐败味或霉味；烧制后缩水严重，同批次产品可退货。</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9.家禽及禽蛋类</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9.1质量要求：①家禽类：本地产家禽类，必须是符合政府规定的放心肉，必须提供由养殖场岀具的动物检验检疫合格证明的复印件和分销凭证；本县域外调入的家禽类和其他肉食，必须提供畜牧部门岀具的报验单的复印件和分销凭证；保证当天屠宰，肉色鲜艳, 观感好，干浄、卫生、不注水、无病变。</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②禽蛋类：必须是不霉烂、无酸变、无腐烂、无变质、整齐、均匀、完整、质优、 无污染，硫等物质含量不得超过国家有关规定，符合食品卫生要求的产品。鲜蛋外壳有光泽；用光照，能透光，呈桔红色,气室小而透亮，蛋黄轮廓完整清晰，无斑点；用鼻闻，清新、无异味；将蛋轻轻揺动，听不到声音或感觉不到振动，鲜鸡蛋依据标准GB2748-2003 《鲜鸡蛋卫生标准》。每批次货物提供必要的质量证明材料。</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9.2退货依据：①家禽类：与验收标准不符，病死或者死因不明的畜禽及其制品等。 ②蛋类不新鲜，有散蛋黄，有破损，来源不安全可靠。</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10.豆制品及酱腌菜类：</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10.1品类描述：包括豆腐、千张、豆腐干、素鸡、油豆腐、腐竹等。</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10.2质量要求：生产企业应具有该产品的有效期内的食品生产许可证（SC证）或食品生产加工小作坊生产许可证（仅限于豆腐类、豆腐干类及腐竹类三种非发酵型非即食豆制品），拥有食品生产许可证企业的应在其包装袋上印有“SC”证证号，拥有食品生产加 工小作坊生产许可证企业的应在其包装上印有食品加工小作坊生产许可证证号。产品质量应符合其包装上明示的产品标准及相应的国家食品安全标准要求。原材料要保证新鲜、无异味，保证不添加任何违禁食品添加剂，加工场所必须整洁卫生、无蚊蝇。</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10.3退货依据：原材料不新鲜、有异味，添加违禁食品添加剂。</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11.调料类（供应商应按照釆购入指定品牌进行配送）</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11.1品类描述：包括食用盐（必须是由盐业公司提供）、味精、酱油、鸡精调味料、 食醋、酱、调味料、香料等。</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11.2质量要求：生产企业应具有该产品的有效期内的食品生产许可证（SC证）,并 应在其包装袋上印有“SC”证证号。产品质量应符合其包装上明示的产品标准及相应的国家食品安全标准要求。各类货品保证新鲜度，外包装清洁卫生，完整坚固，且包装上的商品名称、厂址、规格等与内容物相符，标示清晰，批次清楚等。</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11.2退货依据：不符合验收标准的、无“SC”食品质量安全认证的产品；无品名、 产地、厂名、生产日期、保质期及中文标识及原料说明的定型包装食品；不符合食品标签规定的定型包装食品；腐败变质，油脂酸败，霉变，生虫，污秽不洁，混有异物或者其他感官性状异常，含有毒、有害物质污染，可能对人体健康有害的食品。配送到食堂时食品有效期在保质期限的一半之后的；不是釆购人指定品牌。</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12.干湿面类</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12.1品类描述：包括干湿面条、干湿粉干、年糕、粉皮、馄饨皮、水饺皮等。</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12.2质量要求：①干面类（包括干面条、干粉干等）生产企业应具有该产品的有效 期内的食品生产许可证（SC证）,并应在其包装袋上印有“SC”证证号。产品质量应符 合其包装上明示的产品标准及相应的国家食品安全标准要求。②湿面类（含湿面条、湿粉 干、年糕、粉皮、馄饨皮、饺子皮等）要求当日加工、新鲜、无异味，保证不添加任何违 禁食品添加剂，加工场所整洁卫生、无蚊蝇和无污染。需提供定点釆购的证明或协议，可溯源。</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12.3退货依据：原材料不新鲜、有异味，添加违禁食品添加剂。</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13.副食及其他类</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13.1质量要求：①生产企业应具有该产品的有效期内的食品生产许可证（SC证）, 并应在其包装袋上印有“SC”证证号。产品质量应符合其标准上明示的产品标准及相应的 国家食品安全标准要求。②预包装食品或散装食品质量要求：不得釆购食品生产加工小作 坊或食品摊贩生产加工的预包装食品或散装食品。</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13.2退货依据：原材料不新鲜，有异味，添加违禁食品添加剂。</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14.水果类</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14.1质量要求：必须是当季水果，外形正常，成熟度良好，口感好，色泽鲜明，无 发霉发黄，无变质，无虫害、无虫咬，且大小均匀。农药残留不超标。</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14. 2退货依据：不新鲜，发霉，变质，虫害过多。农药残留超标。</w:t>
      </w:r>
    </w:p>
    <w:p>
      <w:pPr>
        <w:pStyle w:val="23"/>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kern w:val="2"/>
          <w:sz w:val="24"/>
          <w:szCs w:val="24"/>
          <w:lang w:val="zh-CN" w:eastAsia="zh-CN" w:bidi="ar-SA"/>
        </w:rPr>
      </w:pPr>
      <w:r>
        <w:rPr>
          <w:rFonts w:hint="eastAsia" w:ascii="宋体" w:hAnsi="宋体" w:eastAsia="宋体" w:cs="宋体"/>
          <w:b/>
          <w:bCs/>
          <w:color w:val="auto"/>
          <w:kern w:val="2"/>
          <w:sz w:val="24"/>
          <w:szCs w:val="24"/>
          <w:lang w:val="zh-CN" w:eastAsia="zh-CN" w:bidi="ar-SA"/>
        </w:rPr>
        <w:t>三、质量要求</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1.供应商所提供的食材必须符合国家有关食品卫生、安全质量等方面的要求。所提供 的食材数量、质量，必须经釆购入验收，验收合格后才能进入食堂。如验收达不到釆购文件要求，则应立刻退回，由此造成的一切损失由供应商承担。若供应商不听劝告，一再坚持错误继续供货，釆购入有权拒付货款，并有权终止与供应商的釆购合同，由此造成的卫生、安全质量后果，全部由供应商承担。</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供应商提供的食材必须符合卫生防疫部门检测标准，优质足量，根据釆购人要求按规定时间送到食堂并提供相应辅助服务，提供蔬果类食品农药残留检测报告，由于食材质量问题或超过送货时间造成事故的釆购人有权退货并追究责任，如不能提供规定品牌或要求的食材须提前向釆购入通报，经釆购入确认后，无质量问题方可提供。</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3.供应商必须按规定索取所经销食品的生产企业（或供货商）的营业执照、食品经营许可证或食品生产许可证、食品质量安全有效检验报告、食品包装上所明示的各类荣誉证书等其他有效证明，索证率达100%。</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4.供应商必须保证配送的食品从正规渠道釆购，具有合法、有效的检验合格证书或检测报告；所供肉类必须经农业检验部门检验检疫合格，并加盖检验印戳，做到肉色新鲜， 无变质现象；所供蔬菜符合绿色蔬菜、无公害蔬菜的国家有关标准，并做到每批次均经检验，四十八小时留样备查；生熟食品必须按照食品卫生安全相关要求分类仓储保鲜，分类 包装送货；严禁销售“三无〃食品、有毒有害、过期变质、假冒伪劣等不合格食品。</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5.运输和装卸食品的容器、工具和设备应当安全、无害，保持清洁，防止食品污染， 并符合保证食品安全所需的温度、湿度等特殊要求，不得将食品与有毒、有害物品一同贮</w:t>
      </w:r>
      <w:r>
        <w:rPr>
          <w:rFonts w:hint="eastAsia" w:ascii="宋体" w:hAnsi="宋体" w:eastAsia="宋体" w:cs="宋体"/>
          <w:color w:val="auto"/>
          <w:kern w:val="2"/>
          <w:sz w:val="24"/>
          <w:szCs w:val="24"/>
          <w:lang w:val="en-US" w:eastAsia="zh-CN" w:bidi="ar-SA"/>
        </w:rPr>
        <w:t>存</w:t>
      </w:r>
      <w:r>
        <w:rPr>
          <w:rFonts w:hint="eastAsia" w:ascii="宋体" w:hAnsi="宋体" w:eastAsia="宋体" w:cs="宋体"/>
          <w:color w:val="auto"/>
          <w:kern w:val="2"/>
          <w:sz w:val="24"/>
          <w:szCs w:val="24"/>
          <w:lang w:val="zh-CN" w:eastAsia="zh-CN" w:bidi="ar-SA"/>
        </w:rPr>
        <w:t>运输。</w:t>
      </w:r>
    </w:p>
    <w:p>
      <w:pPr>
        <w:pStyle w:val="23"/>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kern w:val="2"/>
          <w:sz w:val="24"/>
          <w:szCs w:val="24"/>
          <w:lang w:val="zh-CN" w:eastAsia="zh-CN" w:bidi="ar-SA"/>
        </w:rPr>
      </w:pPr>
      <w:r>
        <w:rPr>
          <w:rFonts w:hint="eastAsia" w:ascii="宋体" w:hAnsi="宋体" w:eastAsia="宋体" w:cs="宋体"/>
          <w:b/>
          <w:bCs/>
          <w:color w:val="auto"/>
          <w:kern w:val="2"/>
          <w:sz w:val="24"/>
          <w:szCs w:val="24"/>
          <w:lang w:val="zh-CN" w:eastAsia="zh-CN" w:bidi="ar-SA"/>
        </w:rPr>
        <w:t>四、服务要求</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1.遵守法律法规：供应商必须严格遵守《中华人民共和国食品安全法》、《中华人民共和国产品质量法》等相关规定；配送人员需持健康证上岗。</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2.配送服务：</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2.1每天必须按照</w:t>
      </w:r>
      <w:r>
        <w:rPr>
          <w:rFonts w:hint="eastAsia" w:ascii="宋体" w:hAnsi="宋体" w:eastAsia="宋体" w:cs="宋体"/>
          <w:color w:val="auto"/>
          <w:kern w:val="2"/>
          <w:sz w:val="24"/>
          <w:szCs w:val="24"/>
          <w:lang w:val="en-US" w:eastAsia="zh-CN" w:bidi="ar-SA"/>
        </w:rPr>
        <w:t>青山湖街道办事处</w:t>
      </w:r>
      <w:r>
        <w:rPr>
          <w:rFonts w:hint="eastAsia" w:ascii="宋体" w:hAnsi="宋体" w:eastAsia="宋体" w:cs="宋体"/>
          <w:color w:val="auto"/>
          <w:kern w:val="2"/>
          <w:sz w:val="24"/>
          <w:szCs w:val="24"/>
          <w:lang w:val="zh-CN" w:eastAsia="zh-CN" w:bidi="ar-SA"/>
        </w:rPr>
        <w:t>食堂管理人员提供的菜单按时配送，供应商不得更改菜单和配送数量。</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2.2白天的所有食材在上午9点钟前配送到食堂；</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2.3营业期间随时给予补货配送。</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3.售后服务：供应商保证一天内处理好釆购人投诉服务；保证每月1-2次进行回访工作并及时整改。</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4.供应商承担运输途中的安全问题。运输工具、配送人员、包装材料和食材运输途中的防护措施必须符合相关规定和要求；配送车辆和人员进入釆购人所在单位，必须遵守单位有关交通、安全等方面的相关规定。</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5.供应商必须按釆购入下达的配送数量，及时保质、保量完成配送任务，对不符合质量要求的食材需及时更换、不符合数量要求的食材需及时补足，并承担由此造成的一切损失。并附本次食品安全检测报告及配送单据（单据内容包括供货日期、食品名称、规格、 数量、生产批号、保质期、供货者名称、联系方式等，一式三联，验收签字后一张留食堂 记台帐，一张作为月底结帐凭据），不无故推诿或缓送，确保食堂正常运行。</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6.验收：釆购人指定人员进行验收，负责食材的数量及新鲜程度的把控。</w:t>
      </w:r>
    </w:p>
    <w:p>
      <w:pPr>
        <w:pStyle w:val="23"/>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kern w:val="2"/>
          <w:sz w:val="24"/>
          <w:szCs w:val="24"/>
          <w:lang w:val="zh-CN" w:eastAsia="zh-CN" w:bidi="ar-SA"/>
        </w:rPr>
      </w:pPr>
      <w:r>
        <w:rPr>
          <w:rFonts w:hint="eastAsia" w:ascii="宋体" w:hAnsi="宋体" w:eastAsia="宋体" w:cs="宋体"/>
          <w:b/>
          <w:bCs/>
          <w:color w:val="auto"/>
          <w:kern w:val="2"/>
          <w:sz w:val="24"/>
          <w:szCs w:val="24"/>
          <w:lang w:val="en-US" w:eastAsia="zh-CN" w:bidi="ar-SA"/>
        </w:rPr>
        <w:t>五、</w:t>
      </w:r>
      <w:r>
        <w:rPr>
          <w:rFonts w:hint="eastAsia" w:ascii="宋体" w:hAnsi="宋体" w:eastAsia="宋体" w:cs="宋体"/>
          <w:b/>
          <w:bCs/>
          <w:color w:val="auto"/>
          <w:kern w:val="2"/>
          <w:sz w:val="24"/>
          <w:szCs w:val="24"/>
          <w:lang w:val="zh-CN" w:eastAsia="zh-CN" w:bidi="ar-SA"/>
        </w:rPr>
        <w:t>付款</w:t>
      </w:r>
      <w:bookmarkEnd w:id="28"/>
      <w:r>
        <w:rPr>
          <w:rFonts w:hint="eastAsia" w:ascii="宋体" w:hAnsi="宋体" w:eastAsia="宋体" w:cs="宋体"/>
          <w:b/>
          <w:bCs/>
          <w:color w:val="auto"/>
          <w:kern w:val="2"/>
          <w:sz w:val="24"/>
          <w:szCs w:val="24"/>
          <w:lang w:val="zh-CN" w:eastAsia="zh-CN" w:bidi="ar-SA"/>
        </w:rPr>
        <w:t>方式</w:t>
      </w:r>
      <w:bookmarkEnd w:id="29"/>
      <w:bookmarkEnd w:id="30"/>
      <w:bookmarkEnd w:id="31"/>
      <w:bookmarkEnd w:id="32"/>
      <w:bookmarkStart w:id="33" w:name="_Toc151438330"/>
      <w:bookmarkStart w:id="34" w:name="_Toc346176964"/>
      <w:bookmarkStart w:id="35" w:name="_Toc224569646"/>
      <w:bookmarkStart w:id="36" w:name="_Toc149969107"/>
      <w:bookmarkStart w:id="37" w:name="_Toc286063115"/>
      <w:bookmarkStart w:id="38" w:name="_Toc152411298"/>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w:t>
      </w:r>
      <w:bookmarkEnd w:id="33"/>
      <w:bookmarkEnd w:id="34"/>
      <w:bookmarkEnd w:id="35"/>
      <w:bookmarkEnd w:id="36"/>
      <w:bookmarkEnd w:id="37"/>
      <w:bookmarkEnd w:id="38"/>
      <w:r>
        <w:rPr>
          <w:rFonts w:hint="eastAsia" w:ascii="宋体" w:hAnsi="宋体" w:eastAsia="宋体" w:cs="宋体"/>
          <w:color w:val="auto"/>
          <w:kern w:val="2"/>
          <w:sz w:val="24"/>
          <w:szCs w:val="24"/>
          <w:lang w:val="en-US" w:eastAsia="zh-CN" w:bidi="ar-SA"/>
        </w:rPr>
        <w:t>1、乙方配送视频货款凭相应税务发票和《配送清单》，与甲方实行每月一结；</w:t>
      </w:r>
    </w:p>
    <w:p>
      <w:pPr>
        <w:pStyle w:val="23"/>
        <w:pageBreakBefore w:val="0"/>
        <w:widowControl w:val="0"/>
        <w:kinsoku/>
        <w:wordWrap/>
        <w:overflowPunct/>
        <w:topLinePunct w:val="0"/>
        <w:autoSpaceDE/>
        <w:autoSpaceDN/>
        <w:bidi w:val="0"/>
        <w:adjustRightInd/>
        <w:spacing w:line="360" w:lineRule="auto"/>
        <w:ind w:firstLine="480" w:firstLineChars="200"/>
        <w:textAlignment w:val="auto"/>
        <w:rPr>
          <w:rFonts w:hint="default" w:ascii="宋体" w:hAnsi="宋体" w:eastAsia="宋体" w:cs="宋体"/>
          <w:color w:val="auto"/>
          <w:kern w:val="2"/>
          <w:sz w:val="24"/>
          <w:szCs w:val="24"/>
          <w:highlight w:val="yellow"/>
          <w:lang w:val="en-US" w:eastAsia="zh-CN" w:bidi="ar-SA"/>
        </w:rPr>
      </w:pPr>
      <w:r>
        <w:rPr>
          <w:rFonts w:hint="eastAsia" w:ascii="宋体" w:hAnsi="宋体" w:eastAsia="宋体" w:cs="宋体"/>
          <w:color w:val="auto"/>
          <w:kern w:val="2"/>
          <w:sz w:val="24"/>
          <w:szCs w:val="24"/>
          <w:highlight w:val="none"/>
          <w:lang w:val="en-US" w:eastAsia="zh-CN" w:bidi="ar-SA"/>
        </w:rPr>
        <w:t xml:space="preserve">  2、每月15日前双方就上月货款进行结算，结算后10日内采购人应当将货款支付给乙方。</w:t>
      </w:r>
    </w:p>
    <w:p>
      <w:pPr>
        <w:spacing w:line="360" w:lineRule="auto"/>
        <w:ind w:firstLine="181" w:firstLineChars="50"/>
        <w:rPr>
          <w:rFonts w:ascii="宋体" w:hAnsi="宋体" w:cs="宋体"/>
          <w:b/>
          <w:color w:val="auto"/>
          <w:sz w:val="36"/>
          <w:szCs w:val="36"/>
        </w:rPr>
      </w:pPr>
      <w:r>
        <w:rPr>
          <w:rFonts w:hint="eastAsia" w:ascii="宋体" w:hAnsi="宋体" w:cs="宋体"/>
          <w:b/>
          <w:color w:val="auto"/>
          <w:sz w:val="36"/>
          <w:szCs w:val="36"/>
        </w:rPr>
        <w:br w:type="page"/>
      </w:r>
    </w:p>
    <w:p>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39" w:name="_Toc184313300"/>
      <w:bookmarkEnd w:id="39"/>
      <w:bookmarkStart w:id="40" w:name="_Toc184310316"/>
      <w:bookmarkEnd w:id="40"/>
      <w:bookmarkStart w:id="41" w:name="_Toc184314478"/>
      <w:bookmarkEnd w:id="41"/>
      <w:bookmarkStart w:id="42" w:name="_Toc184308088"/>
      <w:bookmarkEnd w:id="42"/>
      <w:bookmarkStart w:id="43" w:name="_Toc184308074"/>
      <w:bookmarkEnd w:id="43"/>
      <w:bookmarkStart w:id="44" w:name="_Toc184308039"/>
      <w:bookmarkEnd w:id="44"/>
      <w:bookmarkStart w:id="45" w:name="_Toc184310328"/>
      <w:bookmarkEnd w:id="45"/>
      <w:bookmarkStart w:id="46" w:name="_Toc184313294"/>
      <w:bookmarkEnd w:id="46"/>
      <w:bookmarkStart w:id="47" w:name="_Toc184314444"/>
      <w:bookmarkEnd w:id="47"/>
      <w:bookmarkStart w:id="48" w:name="_Toc184313253"/>
      <w:bookmarkEnd w:id="48"/>
      <w:bookmarkStart w:id="49" w:name="_Toc184314433"/>
      <w:bookmarkEnd w:id="49"/>
      <w:bookmarkStart w:id="50" w:name="_Toc184312096"/>
      <w:bookmarkEnd w:id="50"/>
      <w:bookmarkStart w:id="51" w:name="_Toc184312114"/>
      <w:bookmarkEnd w:id="51"/>
      <w:bookmarkStart w:id="52" w:name="_Toc184313290"/>
      <w:bookmarkEnd w:id="52"/>
      <w:bookmarkStart w:id="53" w:name="_Toc184310329"/>
      <w:bookmarkEnd w:id="53"/>
      <w:bookmarkStart w:id="54" w:name="_Toc184312094"/>
      <w:bookmarkEnd w:id="54"/>
      <w:bookmarkStart w:id="55" w:name="_Toc184314457"/>
      <w:bookmarkEnd w:id="55"/>
      <w:bookmarkStart w:id="56" w:name="_Toc184314431"/>
      <w:bookmarkEnd w:id="56"/>
      <w:bookmarkStart w:id="57" w:name="_Toc184312087"/>
      <w:bookmarkEnd w:id="57"/>
      <w:bookmarkStart w:id="58" w:name="_Toc184312123"/>
      <w:bookmarkEnd w:id="58"/>
      <w:bookmarkStart w:id="59" w:name="_Toc184310272"/>
      <w:bookmarkEnd w:id="59"/>
      <w:bookmarkStart w:id="60" w:name="_Toc184313268"/>
      <w:bookmarkEnd w:id="60"/>
      <w:bookmarkStart w:id="61" w:name="_Toc184310285"/>
      <w:bookmarkEnd w:id="61"/>
      <w:bookmarkStart w:id="62" w:name="_Toc184314427"/>
      <w:bookmarkEnd w:id="62"/>
      <w:bookmarkStart w:id="63" w:name="_Toc184310296"/>
      <w:bookmarkEnd w:id="63"/>
      <w:bookmarkStart w:id="64" w:name="_Toc184312101"/>
      <w:bookmarkEnd w:id="64"/>
      <w:bookmarkStart w:id="65" w:name="_Toc184314447"/>
      <w:bookmarkEnd w:id="65"/>
      <w:bookmarkStart w:id="66" w:name="_Toc184314460"/>
      <w:bookmarkEnd w:id="66"/>
      <w:bookmarkStart w:id="67" w:name="_Toc184314422"/>
      <w:bookmarkEnd w:id="67"/>
      <w:bookmarkStart w:id="68" w:name="_Toc184313279"/>
      <w:bookmarkEnd w:id="68"/>
      <w:bookmarkStart w:id="69" w:name="_Toc184313308"/>
      <w:bookmarkEnd w:id="69"/>
      <w:bookmarkStart w:id="70" w:name="_Toc184313265"/>
      <w:bookmarkEnd w:id="70"/>
      <w:bookmarkStart w:id="71" w:name="_Toc184310280"/>
      <w:bookmarkEnd w:id="71"/>
      <w:bookmarkStart w:id="72" w:name="_Toc184310294"/>
      <w:bookmarkEnd w:id="72"/>
      <w:bookmarkStart w:id="73" w:name="_Toc184312104"/>
      <w:bookmarkEnd w:id="73"/>
      <w:bookmarkStart w:id="74" w:name="_Toc184312116"/>
      <w:bookmarkEnd w:id="74"/>
      <w:bookmarkStart w:id="75" w:name="_Toc184308055"/>
      <w:bookmarkEnd w:id="75"/>
      <w:bookmarkStart w:id="76" w:name="_Toc184308092"/>
      <w:bookmarkEnd w:id="76"/>
      <w:bookmarkStart w:id="77" w:name="_Toc184314462"/>
      <w:bookmarkEnd w:id="77"/>
      <w:bookmarkStart w:id="78" w:name="_Toc184314476"/>
      <w:bookmarkEnd w:id="78"/>
      <w:bookmarkStart w:id="79" w:name="_Toc184308048"/>
      <w:bookmarkEnd w:id="79"/>
      <w:bookmarkStart w:id="80" w:name="_Toc184312136"/>
      <w:bookmarkEnd w:id="80"/>
      <w:bookmarkStart w:id="81" w:name="_Toc184313238"/>
      <w:bookmarkEnd w:id="81"/>
      <w:bookmarkStart w:id="82" w:name="_Toc184310304"/>
      <w:bookmarkEnd w:id="82"/>
      <w:bookmarkStart w:id="83" w:name="_Toc184312078"/>
      <w:bookmarkEnd w:id="83"/>
      <w:bookmarkStart w:id="84" w:name="_Toc184312086"/>
      <w:bookmarkEnd w:id="84"/>
      <w:bookmarkStart w:id="85" w:name="_Toc184310323"/>
      <w:bookmarkEnd w:id="85"/>
      <w:bookmarkStart w:id="86" w:name="_Toc184312074"/>
      <w:bookmarkEnd w:id="86"/>
      <w:bookmarkStart w:id="87" w:name="_Toc184310344"/>
      <w:bookmarkEnd w:id="87"/>
      <w:bookmarkStart w:id="88" w:name="_Toc184313299"/>
      <w:bookmarkEnd w:id="88"/>
      <w:bookmarkStart w:id="89" w:name="_Toc184310284"/>
      <w:bookmarkEnd w:id="89"/>
      <w:bookmarkStart w:id="90" w:name="_Toc184313248"/>
      <w:bookmarkEnd w:id="90"/>
      <w:bookmarkStart w:id="91" w:name="_Toc184313297"/>
      <w:bookmarkEnd w:id="91"/>
      <w:bookmarkStart w:id="92" w:name="_Toc184314420"/>
      <w:bookmarkEnd w:id="92"/>
      <w:bookmarkStart w:id="93" w:name="_Toc184310326"/>
      <w:bookmarkEnd w:id="93"/>
      <w:bookmarkStart w:id="94" w:name="_Toc184312092"/>
      <w:bookmarkEnd w:id="94"/>
      <w:bookmarkStart w:id="95" w:name="_Toc184313241"/>
      <w:bookmarkEnd w:id="95"/>
      <w:bookmarkStart w:id="96" w:name="_Toc184314419"/>
      <w:bookmarkEnd w:id="96"/>
      <w:bookmarkStart w:id="97" w:name="_Toc184313295"/>
      <w:bookmarkEnd w:id="97"/>
      <w:bookmarkStart w:id="98" w:name="_Toc184314461"/>
      <w:bookmarkEnd w:id="98"/>
      <w:bookmarkStart w:id="99" w:name="_Toc184314466"/>
      <w:bookmarkEnd w:id="99"/>
      <w:bookmarkStart w:id="100" w:name="_Toc184308060"/>
      <w:bookmarkEnd w:id="100"/>
      <w:bookmarkStart w:id="101" w:name="_Toc184313255"/>
      <w:bookmarkEnd w:id="101"/>
      <w:bookmarkStart w:id="102" w:name="_Toc184310282"/>
      <w:bookmarkEnd w:id="102"/>
      <w:bookmarkStart w:id="103" w:name="_Toc184310281"/>
      <w:bookmarkEnd w:id="103"/>
      <w:bookmarkStart w:id="104" w:name="_Toc184312111"/>
      <w:bookmarkEnd w:id="104"/>
      <w:bookmarkStart w:id="105" w:name="_Toc184308068"/>
      <w:bookmarkEnd w:id="105"/>
      <w:bookmarkStart w:id="106" w:name="_Toc184308052"/>
      <w:bookmarkEnd w:id="106"/>
      <w:bookmarkStart w:id="107" w:name="_Toc184313283"/>
      <w:bookmarkEnd w:id="107"/>
      <w:bookmarkStart w:id="108" w:name="_Toc184310302"/>
      <w:bookmarkEnd w:id="108"/>
      <w:bookmarkStart w:id="109" w:name="_Toc184313263"/>
      <w:bookmarkEnd w:id="109"/>
      <w:bookmarkStart w:id="110" w:name="_Toc184314436"/>
      <w:bookmarkEnd w:id="110"/>
      <w:bookmarkStart w:id="111" w:name="_Toc184310339"/>
      <w:bookmarkEnd w:id="111"/>
      <w:bookmarkStart w:id="112" w:name="_Toc184310320"/>
      <w:bookmarkEnd w:id="112"/>
      <w:bookmarkStart w:id="113" w:name="_Toc184313275"/>
      <w:bookmarkEnd w:id="113"/>
      <w:bookmarkStart w:id="114" w:name="_Toc184312068"/>
      <w:bookmarkEnd w:id="114"/>
      <w:bookmarkStart w:id="115" w:name="_Toc184312080"/>
      <w:bookmarkEnd w:id="115"/>
      <w:bookmarkStart w:id="116" w:name="_Toc184312121"/>
      <w:bookmarkEnd w:id="116"/>
      <w:bookmarkStart w:id="117" w:name="_Toc184308099"/>
      <w:bookmarkEnd w:id="117"/>
      <w:bookmarkStart w:id="118" w:name="_Toc184312082"/>
      <w:bookmarkEnd w:id="118"/>
      <w:bookmarkStart w:id="119" w:name="_Toc184310295"/>
      <w:bookmarkEnd w:id="119"/>
      <w:bookmarkStart w:id="120" w:name="_Toc184313304"/>
      <w:bookmarkEnd w:id="120"/>
      <w:bookmarkStart w:id="121" w:name="_Toc184314423"/>
      <w:bookmarkEnd w:id="121"/>
      <w:bookmarkStart w:id="122" w:name="_Toc184314440"/>
      <w:bookmarkEnd w:id="122"/>
      <w:bookmarkStart w:id="123" w:name="_Toc184308038"/>
      <w:bookmarkEnd w:id="123"/>
      <w:bookmarkStart w:id="124" w:name="_Toc184312134"/>
      <w:bookmarkEnd w:id="124"/>
      <w:bookmarkStart w:id="125" w:name="_Toc184314413"/>
      <w:bookmarkEnd w:id="125"/>
      <w:bookmarkStart w:id="126" w:name="_Toc184314437"/>
      <w:bookmarkEnd w:id="126"/>
      <w:bookmarkStart w:id="127" w:name="_Toc184313292"/>
      <w:bookmarkEnd w:id="127"/>
      <w:bookmarkStart w:id="128" w:name="_Toc184312125"/>
      <w:bookmarkEnd w:id="128"/>
      <w:bookmarkStart w:id="129" w:name="_Toc184314474"/>
      <w:bookmarkEnd w:id="129"/>
      <w:bookmarkStart w:id="130" w:name="_Toc184310303"/>
      <w:bookmarkEnd w:id="130"/>
      <w:bookmarkStart w:id="131" w:name="_Toc184314442"/>
      <w:bookmarkEnd w:id="131"/>
      <w:bookmarkStart w:id="132" w:name="_Toc184314441"/>
      <w:bookmarkEnd w:id="132"/>
      <w:bookmarkStart w:id="133" w:name="_Toc184310279"/>
      <w:bookmarkEnd w:id="133"/>
      <w:bookmarkStart w:id="134" w:name="_Toc184310321"/>
      <w:bookmarkEnd w:id="134"/>
      <w:bookmarkStart w:id="135" w:name="_Toc184314468"/>
      <w:bookmarkEnd w:id="135"/>
      <w:bookmarkStart w:id="136" w:name="_Toc184310293"/>
      <w:bookmarkEnd w:id="136"/>
      <w:bookmarkStart w:id="137" w:name="_Toc184308057"/>
      <w:bookmarkEnd w:id="137"/>
      <w:bookmarkStart w:id="138" w:name="_Toc184308081"/>
      <w:bookmarkEnd w:id="138"/>
      <w:bookmarkStart w:id="139" w:name="_Toc184312133"/>
      <w:bookmarkEnd w:id="139"/>
      <w:bookmarkStart w:id="140" w:name="_Toc184310307"/>
      <w:bookmarkEnd w:id="140"/>
      <w:bookmarkStart w:id="141" w:name="_Toc184314416"/>
      <w:bookmarkEnd w:id="141"/>
      <w:bookmarkStart w:id="142" w:name="_Toc184310291"/>
      <w:bookmarkEnd w:id="142"/>
      <w:bookmarkStart w:id="143" w:name="_Toc184314456"/>
      <w:bookmarkEnd w:id="143"/>
      <w:bookmarkStart w:id="144" w:name="_Toc184312106"/>
      <w:bookmarkEnd w:id="144"/>
      <w:bookmarkStart w:id="145" w:name="_Toc184314455"/>
      <w:bookmarkEnd w:id="145"/>
      <w:bookmarkStart w:id="146" w:name="_Toc184314443"/>
      <w:bookmarkEnd w:id="146"/>
      <w:bookmarkStart w:id="147" w:name="_Toc184312108"/>
      <w:bookmarkEnd w:id="147"/>
      <w:bookmarkStart w:id="148" w:name="_Toc184312095"/>
      <w:bookmarkEnd w:id="148"/>
      <w:bookmarkStart w:id="149" w:name="_Toc184313270"/>
      <w:bookmarkEnd w:id="149"/>
      <w:bookmarkStart w:id="150" w:name="_Toc184312122"/>
      <w:bookmarkEnd w:id="150"/>
      <w:bookmarkStart w:id="151" w:name="_Toc184310336"/>
      <w:bookmarkEnd w:id="151"/>
      <w:bookmarkStart w:id="152" w:name="_Toc184314438"/>
      <w:bookmarkEnd w:id="152"/>
      <w:bookmarkStart w:id="153" w:name="_Toc184312069"/>
      <w:bookmarkEnd w:id="153"/>
      <w:bookmarkStart w:id="154" w:name="_Toc184310330"/>
      <w:bookmarkEnd w:id="154"/>
      <w:bookmarkStart w:id="155" w:name="_Toc184308061"/>
      <w:bookmarkEnd w:id="155"/>
      <w:bookmarkStart w:id="156" w:name="_Toc184312077"/>
      <w:bookmarkEnd w:id="156"/>
      <w:bookmarkStart w:id="157" w:name="_Toc184310297"/>
      <w:bookmarkEnd w:id="157"/>
      <w:bookmarkStart w:id="158" w:name="_Toc184313302"/>
      <w:bookmarkEnd w:id="158"/>
      <w:bookmarkStart w:id="159" w:name="_Toc184314434"/>
      <w:bookmarkEnd w:id="159"/>
      <w:bookmarkStart w:id="160" w:name="_Toc184308108"/>
      <w:bookmarkEnd w:id="160"/>
      <w:bookmarkStart w:id="161" w:name="_Toc184308107"/>
      <w:bookmarkEnd w:id="161"/>
      <w:bookmarkStart w:id="162" w:name="_Toc184314473"/>
      <w:bookmarkEnd w:id="162"/>
      <w:bookmarkStart w:id="163" w:name="_Toc184313243"/>
      <w:bookmarkEnd w:id="163"/>
      <w:bookmarkStart w:id="164" w:name="_Toc184308037"/>
      <w:bookmarkEnd w:id="164"/>
      <w:bookmarkStart w:id="165" w:name="_Toc184310273"/>
      <w:bookmarkEnd w:id="165"/>
      <w:bookmarkStart w:id="166" w:name="_Toc184310315"/>
      <w:bookmarkEnd w:id="166"/>
      <w:bookmarkStart w:id="167" w:name="_Toc184313261"/>
      <w:bookmarkEnd w:id="167"/>
      <w:bookmarkStart w:id="168" w:name="_Toc184310311"/>
      <w:bookmarkEnd w:id="168"/>
      <w:bookmarkStart w:id="169" w:name="_Toc184313272"/>
      <w:bookmarkEnd w:id="169"/>
      <w:bookmarkStart w:id="170" w:name="_Toc184314446"/>
      <w:bookmarkEnd w:id="170"/>
      <w:bookmarkStart w:id="171" w:name="_Toc184314412"/>
      <w:bookmarkEnd w:id="171"/>
      <w:bookmarkStart w:id="172" w:name="_Toc184313257"/>
      <w:bookmarkEnd w:id="172"/>
      <w:bookmarkStart w:id="173" w:name="_Toc184314481"/>
      <w:bookmarkEnd w:id="173"/>
      <w:bookmarkStart w:id="174" w:name="_Toc184310275"/>
      <w:bookmarkEnd w:id="174"/>
      <w:bookmarkStart w:id="175" w:name="_Toc184312118"/>
      <w:bookmarkEnd w:id="175"/>
      <w:bookmarkStart w:id="176" w:name="_Toc184310338"/>
      <w:bookmarkEnd w:id="176"/>
      <w:bookmarkStart w:id="177" w:name="_Toc184312102"/>
      <w:bookmarkEnd w:id="177"/>
      <w:bookmarkStart w:id="178" w:name="_Toc184314469"/>
      <w:bookmarkEnd w:id="178"/>
      <w:bookmarkStart w:id="179" w:name="_Toc184310309"/>
      <w:bookmarkEnd w:id="179"/>
      <w:bookmarkStart w:id="180" w:name="_Toc184313247"/>
      <w:bookmarkEnd w:id="180"/>
      <w:bookmarkStart w:id="181" w:name="_Toc184310308"/>
      <w:bookmarkEnd w:id="181"/>
      <w:bookmarkStart w:id="182" w:name="_Toc184314449"/>
      <w:bookmarkEnd w:id="182"/>
      <w:bookmarkStart w:id="183" w:name="_Toc184308072"/>
      <w:bookmarkEnd w:id="183"/>
      <w:bookmarkStart w:id="184" w:name="_Toc184314428"/>
      <w:bookmarkEnd w:id="184"/>
      <w:bookmarkStart w:id="185" w:name="_Toc184308091"/>
      <w:bookmarkEnd w:id="185"/>
      <w:bookmarkStart w:id="186" w:name="_Toc184312098"/>
      <w:bookmarkEnd w:id="186"/>
      <w:bookmarkStart w:id="187" w:name="_Toc184308050"/>
      <w:bookmarkEnd w:id="187"/>
      <w:bookmarkStart w:id="188" w:name="_Toc184313264"/>
      <w:bookmarkEnd w:id="188"/>
      <w:bookmarkStart w:id="189" w:name="_Toc184312073"/>
      <w:bookmarkEnd w:id="189"/>
      <w:bookmarkStart w:id="190" w:name="_Toc184313280"/>
      <w:bookmarkEnd w:id="190"/>
      <w:bookmarkStart w:id="191" w:name="_Toc184310342"/>
      <w:bookmarkEnd w:id="191"/>
      <w:bookmarkStart w:id="192" w:name="_Toc184314479"/>
      <w:bookmarkEnd w:id="192"/>
      <w:bookmarkStart w:id="193" w:name="_Toc184310313"/>
      <w:bookmarkEnd w:id="193"/>
      <w:bookmarkStart w:id="194" w:name="_Toc184308102"/>
      <w:bookmarkEnd w:id="194"/>
      <w:bookmarkStart w:id="195" w:name="_Toc184314410"/>
      <w:bookmarkEnd w:id="195"/>
      <w:bookmarkStart w:id="196" w:name="_Toc184310277"/>
      <w:bookmarkEnd w:id="196"/>
      <w:bookmarkStart w:id="197" w:name="_Toc184313245"/>
      <w:bookmarkEnd w:id="197"/>
      <w:bookmarkStart w:id="198" w:name="_Toc184314445"/>
      <w:bookmarkEnd w:id="198"/>
      <w:bookmarkStart w:id="199" w:name="_Toc184310312"/>
      <w:bookmarkEnd w:id="199"/>
      <w:bookmarkStart w:id="200" w:name="_Toc184310290"/>
      <w:bookmarkEnd w:id="200"/>
      <w:bookmarkStart w:id="201" w:name="_Toc184312112"/>
      <w:bookmarkEnd w:id="201"/>
      <w:bookmarkStart w:id="202" w:name="_Toc184313254"/>
      <w:bookmarkEnd w:id="202"/>
      <w:bookmarkStart w:id="203" w:name="_Toc184312113"/>
      <w:bookmarkEnd w:id="203"/>
      <w:bookmarkStart w:id="204" w:name="_Toc184308075"/>
      <w:bookmarkEnd w:id="204"/>
      <w:bookmarkStart w:id="205" w:name="_Toc184308101"/>
      <w:bookmarkEnd w:id="205"/>
      <w:bookmarkStart w:id="206" w:name="_Toc184313298"/>
      <w:bookmarkEnd w:id="206"/>
      <w:bookmarkStart w:id="207" w:name="_Toc184308070"/>
      <w:bookmarkEnd w:id="207"/>
      <w:bookmarkStart w:id="208" w:name="_Toc184310288"/>
      <w:bookmarkEnd w:id="208"/>
      <w:bookmarkStart w:id="209" w:name="_Toc184312076"/>
      <w:bookmarkEnd w:id="209"/>
      <w:bookmarkStart w:id="210" w:name="_Toc184313249"/>
      <w:bookmarkEnd w:id="210"/>
      <w:bookmarkStart w:id="211" w:name="_Toc184314450"/>
      <w:bookmarkEnd w:id="211"/>
      <w:bookmarkStart w:id="212" w:name="_Toc184313288"/>
      <w:bookmarkEnd w:id="212"/>
      <w:bookmarkStart w:id="213" w:name="_Toc184313260"/>
      <w:bookmarkEnd w:id="213"/>
      <w:bookmarkStart w:id="214" w:name="_Toc184313239"/>
      <w:bookmarkEnd w:id="214"/>
      <w:bookmarkStart w:id="215" w:name="_Toc184308082"/>
      <w:bookmarkEnd w:id="215"/>
      <w:bookmarkStart w:id="216" w:name="_Toc184314482"/>
      <w:bookmarkEnd w:id="216"/>
      <w:bookmarkStart w:id="217" w:name="_Toc184313250"/>
      <w:bookmarkEnd w:id="217"/>
      <w:bookmarkStart w:id="218" w:name="_Toc184312110"/>
      <w:bookmarkEnd w:id="218"/>
      <w:bookmarkStart w:id="219" w:name="_Toc184312070"/>
      <w:bookmarkEnd w:id="219"/>
      <w:bookmarkStart w:id="220" w:name="_Toc184308086"/>
      <w:bookmarkEnd w:id="220"/>
      <w:bookmarkStart w:id="221" w:name="_Toc184312107"/>
      <w:bookmarkEnd w:id="221"/>
      <w:bookmarkStart w:id="222" w:name="_Toc184312115"/>
      <w:bookmarkEnd w:id="222"/>
      <w:bookmarkStart w:id="223" w:name="_Toc184314425"/>
      <w:bookmarkEnd w:id="223"/>
      <w:bookmarkStart w:id="224" w:name="_Toc184313266"/>
      <w:bookmarkEnd w:id="224"/>
      <w:bookmarkStart w:id="225" w:name="_Toc184308094"/>
      <w:bookmarkEnd w:id="225"/>
      <w:bookmarkStart w:id="226" w:name="_Toc184310300"/>
      <w:bookmarkEnd w:id="226"/>
      <w:bookmarkStart w:id="227" w:name="_Toc184310341"/>
      <w:bookmarkEnd w:id="227"/>
      <w:bookmarkStart w:id="228" w:name="_Toc184310292"/>
      <w:bookmarkEnd w:id="228"/>
      <w:bookmarkStart w:id="229" w:name="_Toc184308054"/>
      <w:bookmarkEnd w:id="229"/>
      <w:bookmarkStart w:id="230" w:name="_Toc184308065"/>
      <w:bookmarkEnd w:id="230"/>
      <w:bookmarkStart w:id="231" w:name="_Toc184310278"/>
      <w:bookmarkEnd w:id="231"/>
      <w:bookmarkStart w:id="232" w:name="_Toc184308093"/>
      <w:bookmarkEnd w:id="232"/>
      <w:bookmarkStart w:id="233" w:name="_Toc184308077"/>
      <w:bookmarkEnd w:id="233"/>
      <w:bookmarkStart w:id="234" w:name="_Toc184314470"/>
      <w:bookmarkEnd w:id="234"/>
      <w:bookmarkStart w:id="235" w:name="_Toc184312088"/>
      <w:bookmarkEnd w:id="235"/>
      <w:bookmarkStart w:id="236" w:name="_Toc184308064"/>
      <w:bookmarkEnd w:id="236"/>
      <w:bookmarkStart w:id="237" w:name="_Toc184310286"/>
      <w:bookmarkEnd w:id="237"/>
      <w:bookmarkStart w:id="238" w:name="_Toc184312105"/>
      <w:bookmarkEnd w:id="238"/>
      <w:bookmarkStart w:id="239" w:name="_Toc184310331"/>
      <w:bookmarkEnd w:id="239"/>
      <w:bookmarkStart w:id="240" w:name="_Toc184310301"/>
      <w:bookmarkEnd w:id="240"/>
      <w:bookmarkStart w:id="241" w:name="_Toc184314477"/>
      <w:bookmarkEnd w:id="241"/>
      <w:bookmarkStart w:id="242" w:name="_Toc184313303"/>
      <w:bookmarkEnd w:id="242"/>
      <w:bookmarkStart w:id="243" w:name="_Toc184313244"/>
      <w:bookmarkEnd w:id="243"/>
      <w:bookmarkStart w:id="244" w:name="_Toc184313276"/>
      <w:bookmarkEnd w:id="244"/>
      <w:bookmarkStart w:id="245" w:name="_Toc184312109"/>
      <w:bookmarkEnd w:id="245"/>
      <w:bookmarkStart w:id="246" w:name="_Toc184310299"/>
      <w:bookmarkEnd w:id="246"/>
      <w:bookmarkStart w:id="247" w:name="_Toc184312072"/>
      <w:bookmarkEnd w:id="247"/>
      <w:bookmarkStart w:id="248" w:name="_Toc184312071"/>
      <w:bookmarkEnd w:id="248"/>
      <w:bookmarkStart w:id="249" w:name="_Toc184314467"/>
      <w:bookmarkEnd w:id="249"/>
      <w:bookmarkStart w:id="250" w:name="_Toc184312083"/>
      <w:bookmarkEnd w:id="250"/>
      <w:bookmarkStart w:id="251" w:name="_Toc184308089"/>
      <w:bookmarkEnd w:id="251"/>
      <w:bookmarkStart w:id="252" w:name="_Toc184314465"/>
      <w:bookmarkEnd w:id="252"/>
      <w:bookmarkStart w:id="253" w:name="_Toc184308105"/>
      <w:bookmarkEnd w:id="253"/>
      <w:bookmarkStart w:id="254" w:name="_Toc184314432"/>
      <w:bookmarkEnd w:id="254"/>
      <w:bookmarkStart w:id="255" w:name="_Toc184313289"/>
      <w:bookmarkEnd w:id="255"/>
      <w:bookmarkStart w:id="256" w:name="_Toc184308062"/>
      <w:bookmarkEnd w:id="256"/>
      <w:bookmarkStart w:id="257" w:name="_Toc184310274"/>
      <w:bookmarkEnd w:id="257"/>
      <w:bookmarkStart w:id="258" w:name="_Toc184308059"/>
      <w:bookmarkEnd w:id="258"/>
      <w:bookmarkStart w:id="259" w:name="_Toc184308097"/>
      <w:bookmarkEnd w:id="259"/>
      <w:bookmarkStart w:id="260" w:name="_Toc184308084"/>
      <w:bookmarkEnd w:id="260"/>
      <w:bookmarkStart w:id="261" w:name="_Toc184314458"/>
      <w:bookmarkEnd w:id="261"/>
      <w:bookmarkStart w:id="262" w:name="_Toc184310343"/>
      <w:bookmarkEnd w:id="262"/>
      <w:bookmarkStart w:id="263" w:name="_Toc184312128"/>
      <w:bookmarkEnd w:id="263"/>
      <w:bookmarkStart w:id="264" w:name="_Toc184313267"/>
      <w:bookmarkEnd w:id="264"/>
      <w:bookmarkStart w:id="265" w:name="_Toc184314448"/>
      <w:bookmarkEnd w:id="265"/>
      <w:bookmarkStart w:id="266" w:name="_Toc184308066"/>
      <w:bookmarkEnd w:id="266"/>
      <w:bookmarkStart w:id="267" w:name="_Toc184308042"/>
      <w:bookmarkEnd w:id="267"/>
      <w:bookmarkStart w:id="268" w:name="_Toc184308045"/>
      <w:bookmarkEnd w:id="268"/>
      <w:bookmarkStart w:id="269" w:name="_Toc184313285"/>
      <w:bookmarkEnd w:id="269"/>
      <w:bookmarkStart w:id="270" w:name="_Toc184312100"/>
      <w:bookmarkEnd w:id="270"/>
      <w:bookmarkStart w:id="271" w:name="_Toc184314480"/>
      <w:bookmarkEnd w:id="271"/>
      <w:bookmarkStart w:id="272" w:name="_Toc184308069"/>
      <w:bookmarkEnd w:id="272"/>
      <w:bookmarkStart w:id="273" w:name="_Toc184310337"/>
      <w:bookmarkEnd w:id="273"/>
      <w:bookmarkStart w:id="274" w:name="_Toc184314463"/>
      <w:bookmarkEnd w:id="274"/>
      <w:bookmarkStart w:id="275" w:name="_Toc184308071"/>
      <w:bookmarkEnd w:id="275"/>
      <w:bookmarkStart w:id="276" w:name="_Toc184312135"/>
      <w:bookmarkEnd w:id="276"/>
      <w:bookmarkStart w:id="277" w:name="_Toc184310333"/>
      <w:bookmarkEnd w:id="277"/>
      <w:bookmarkStart w:id="278" w:name="_Toc184308051"/>
      <w:bookmarkEnd w:id="278"/>
      <w:bookmarkStart w:id="279" w:name="_Toc184314459"/>
      <w:bookmarkEnd w:id="279"/>
      <w:bookmarkStart w:id="280" w:name="_Toc184313287"/>
      <w:bookmarkEnd w:id="280"/>
      <w:bookmarkStart w:id="281" w:name="_Toc184308096"/>
      <w:bookmarkEnd w:id="281"/>
      <w:bookmarkStart w:id="282" w:name="_Toc184313256"/>
      <w:bookmarkEnd w:id="282"/>
      <w:bookmarkStart w:id="283" w:name="_Toc184313242"/>
      <w:bookmarkEnd w:id="283"/>
      <w:bookmarkStart w:id="284" w:name="_Toc184310317"/>
      <w:bookmarkEnd w:id="284"/>
      <w:bookmarkStart w:id="285" w:name="_Toc184308087"/>
      <w:bookmarkEnd w:id="285"/>
      <w:bookmarkStart w:id="286" w:name="_Toc184313273"/>
      <w:bookmarkEnd w:id="286"/>
      <w:bookmarkStart w:id="287" w:name="_Toc184310289"/>
      <w:bookmarkEnd w:id="287"/>
      <w:bookmarkStart w:id="288" w:name="_Toc184314439"/>
      <w:bookmarkEnd w:id="288"/>
      <w:bookmarkStart w:id="289" w:name="_Toc184308078"/>
      <w:bookmarkEnd w:id="289"/>
      <w:bookmarkStart w:id="290" w:name="_Toc184310318"/>
      <w:bookmarkEnd w:id="290"/>
      <w:bookmarkStart w:id="291" w:name="_Toc184308085"/>
      <w:bookmarkEnd w:id="291"/>
      <w:bookmarkStart w:id="292" w:name="_Toc184312137"/>
      <w:bookmarkEnd w:id="292"/>
      <w:bookmarkStart w:id="293" w:name="_Toc184313293"/>
      <w:bookmarkEnd w:id="293"/>
      <w:bookmarkStart w:id="294" w:name="_Toc184308095"/>
      <w:bookmarkEnd w:id="294"/>
      <w:bookmarkStart w:id="295" w:name="_Toc184310287"/>
      <w:bookmarkEnd w:id="295"/>
      <w:bookmarkStart w:id="296" w:name="_Toc184314453"/>
      <w:bookmarkEnd w:id="296"/>
      <w:bookmarkStart w:id="297" w:name="_Toc184308079"/>
      <w:bookmarkEnd w:id="297"/>
      <w:bookmarkStart w:id="298" w:name="_Toc184312120"/>
      <w:bookmarkEnd w:id="298"/>
      <w:bookmarkStart w:id="299" w:name="_Toc184313251"/>
      <w:bookmarkEnd w:id="299"/>
      <w:bookmarkStart w:id="300" w:name="_Toc184314424"/>
      <w:bookmarkEnd w:id="300"/>
      <w:bookmarkStart w:id="301" w:name="_Toc184314454"/>
      <w:bookmarkEnd w:id="301"/>
      <w:bookmarkStart w:id="302" w:name="_Toc184312067"/>
      <w:bookmarkEnd w:id="302"/>
      <w:bookmarkStart w:id="303" w:name="_Toc184308036"/>
      <w:bookmarkEnd w:id="303"/>
      <w:bookmarkStart w:id="304" w:name="_Toc184312139"/>
      <w:bookmarkEnd w:id="304"/>
      <w:bookmarkStart w:id="305" w:name="_Toc184310283"/>
      <w:bookmarkEnd w:id="305"/>
      <w:bookmarkStart w:id="306" w:name="_Toc184312127"/>
      <w:bookmarkEnd w:id="306"/>
      <w:bookmarkStart w:id="307" w:name="_Toc184314475"/>
      <w:bookmarkEnd w:id="307"/>
      <w:bookmarkStart w:id="308" w:name="_Toc184313246"/>
      <w:bookmarkEnd w:id="308"/>
      <w:bookmarkStart w:id="309" w:name="_Toc184312084"/>
      <w:bookmarkEnd w:id="309"/>
      <w:bookmarkStart w:id="310" w:name="_Toc184308053"/>
      <w:bookmarkEnd w:id="310"/>
      <w:bookmarkStart w:id="311" w:name="_Toc184313307"/>
      <w:bookmarkEnd w:id="311"/>
      <w:bookmarkStart w:id="312" w:name="_Toc184308040"/>
      <w:bookmarkEnd w:id="312"/>
      <w:bookmarkStart w:id="313" w:name="_Toc184313306"/>
      <w:bookmarkEnd w:id="313"/>
      <w:bookmarkStart w:id="314" w:name="_Toc184313278"/>
      <w:bookmarkEnd w:id="314"/>
      <w:bookmarkStart w:id="315" w:name="_Toc184310324"/>
      <w:bookmarkEnd w:id="315"/>
      <w:bookmarkStart w:id="316" w:name="_Toc184314415"/>
      <w:bookmarkEnd w:id="316"/>
      <w:bookmarkStart w:id="317" w:name="_Toc184308100"/>
      <w:bookmarkEnd w:id="317"/>
      <w:bookmarkStart w:id="318" w:name="_Toc184312131"/>
      <w:bookmarkEnd w:id="318"/>
      <w:bookmarkStart w:id="319" w:name="_Toc184308106"/>
      <w:bookmarkEnd w:id="319"/>
      <w:bookmarkStart w:id="320" w:name="_Toc184310335"/>
      <w:bookmarkEnd w:id="320"/>
      <w:bookmarkStart w:id="321" w:name="_Toc184312117"/>
      <w:bookmarkEnd w:id="321"/>
      <w:bookmarkStart w:id="322" w:name="_Toc184314464"/>
      <w:bookmarkEnd w:id="322"/>
      <w:bookmarkStart w:id="323" w:name="_Toc184314421"/>
      <w:bookmarkEnd w:id="323"/>
      <w:bookmarkStart w:id="324" w:name="_Toc184310327"/>
      <w:bookmarkEnd w:id="324"/>
      <w:bookmarkStart w:id="325" w:name="_Toc184310334"/>
      <w:bookmarkEnd w:id="325"/>
      <w:bookmarkStart w:id="326" w:name="_Toc184313277"/>
      <w:bookmarkEnd w:id="326"/>
      <w:bookmarkStart w:id="327" w:name="_Toc184312130"/>
      <w:bookmarkEnd w:id="327"/>
      <w:bookmarkStart w:id="328" w:name="_Toc184312081"/>
      <w:bookmarkEnd w:id="328"/>
      <w:bookmarkStart w:id="329" w:name="_Toc184312090"/>
      <w:bookmarkEnd w:id="329"/>
      <w:bookmarkStart w:id="330" w:name="_Toc184310310"/>
      <w:bookmarkEnd w:id="330"/>
      <w:bookmarkStart w:id="331" w:name="_Toc184314472"/>
      <w:bookmarkEnd w:id="331"/>
      <w:bookmarkStart w:id="332" w:name="_Toc184314430"/>
      <w:bookmarkEnd w:id="332"/>
      <w:bookmarkStart w:id="333" w:name="_Toc184314435"/>
      <w:bookmarkEnd w:id="333"/>
      <w:bookmarkStart w:id="334" w:name="_Toc184310340"/>
      <w:bookmarkEnd w:id="334"/>
      <w:bookmarkStart w:id="335" w:name="_Toc184312097"/>
      <w:bookmarkEnd w:id="335"/>
      <w:bookmarkStart w:id="336" w:name="_Toc184312126"/>
      <w:bookmarkEnd w:id="336"/>
      <w:bookmarkStart w:id="337" w:name="_Toc184314451"/>
      <w:bookmarkEnd w:id="337"/>
      <w:bookmarkStart w:id="338" w:name="_Toc184308080"/>
      <w:bookmarkEnd w:id="338"/>
      <w:bookmarkStart w:id="339" w:name="_Toc184312129"/>
      <w:bookmarkEnd w:id="339"/>
      <w:bookmarkStart w:id="340" w:name="_Toc184314429"/>
      <w:bookmarkEnd w:id="340"/>
      <w:bookmarkStart w:id="341" w:name="_Toc184313258"/>
      <w:bookmarkEnd w:id="341"/>
      <w:bookmarkStart w:id="342" w:name="_Toc184308090"/>
      <w:bookmarkEnd w:id="342"/>
      <w:bookmarkStart w:id="343" w:name="_Toc184310314"/>
      <w:bookmarkEnd w:id="343"/>
      <w:bookmarkStart w:id="344" w:name="_Toc184312093"/>
      <w:bookmarkEnd w:id="344"/>
      <w:bookmarkStart w:id="345" w:name="_Toc184312103"/>
      <w:bookmarkEnd w:id="345"/>
      <w:bookmarkStart w:id="346" w:name="_Toc184313240"/>
      <w:bookmarkEnd w:id="346"/>
      <w:bookmarkStart w:id="347" w:name="_Toc184313305"/>
      <w:bookmarkEnd w:id="347"/>
      <w:bookmarkStart w:id="348" w:name="_Toc184314452"/>
      <w:bookmarkEnd w:id="348"/>
      <w:bookmarkStart w:id="349" w:name="_Toc184312079"/>
      <w:bookmarkEnd w:id="349"/>
      <w:bookmarkStart w:id="350" w:name="_Toc184314418"/>
      <w:bookmarkEnd w:id="350"/>
      <w:bookmarkStart w:id="351" w:name="_Toc184313262"/>
      <w:bookmarkEnd w:id="351"/>
      <w:bookmarkStart w:id="352" w:name="_Toc184310298"/>
      <w:bookmarkEnd w:id="352"/>
      <w:bookmarkStart w:id="353" w:name="_Toc184313259"/>
      <w:bookmarkEnd w:id="353"/>
      <w:bookmarkStart w:id="354" w:name="_Toc184308083"/>
      <w:bookmarkEnd w:id="354"/>
      <w:bookmarkStart w:id="355" w:name="_Toc184313309"/>
      <w:bookmarkEnd w:id="355"/>
      <w:bookmarkStart w:id="356" w:name="_Toc184308103"/>
      <w:bookmarkEnd w:id="356"/>
      <w:bookmarkStart w:id="357" w:name="_Toc184312132"/>
      <w:bookmarkEnd w:id="357"/>
      <w:bookmarkStart w:id="358" w:name="_Toc184310332"/>
      <w:bookmarkEnd w:id="358"/>
      <w:bookmarkStart w:id="359" w:name="_Toc184313284"/>
      <w:bookmarkEnd w:id="359"/>
      <w:bookmarkStart w:id="360" w:name="_Toc184313281"/>
      <w:bookmarkEnd w:id="360"/>
      <w:bookmarkStart w:id="361" w:name="_Toc184314417"/>
      <w:bookmarkEnd w:id="361"/>
      <w:bookmarkStart w:id="362" w:name="_Toc184312091"/>
      <w:bookmarkEnd w:id="362"/>
      <w:bookmarkStart w:id="363" w:name="_Toc184308067"/>
      <w:bookmarkEnd w:id="363"/>
      <w:bookmarkStart w:id="364" w:name="_Toc184314411"/>
      <w:bookmarkEnd w:id="364"/>
      <w:bookmarkStart w:id="365" w:name="_Toc184313291"/>
      <w:bookmarkEnd w:id="365"/>
      <w:bookmarkStart w:id="366" w:name="_Toc184312124"/>
      <w:bookmarkEnd w:id="366"/>
      <w:bookmarkStart w:id="367" w:name="_Toc184308044"/>
      <w:bookmarkEnd w:id="367"/>
      <w:bookmarkStart w:id="368" w:name="_Toc184312085"/>
      <w:bookmarkEnd w:id="368"/>
      <w:bookmarkStart w:id="369" w:name="_Toc184308098"/>
      <w:bookmarkEnd w:id="369"/>
      <w:bookmarkStart w:id="370" w:name="_Toc184308041"/>
      <w:bookmarkEnd w:id="370"/>
      <w:bookmarkStart w:id="371" w:name="_Toc184310325"/>
      <w:bookmarkEnd w:id="371"/>
      <w:bookmarkStart w:id="372" w:name="_Toc184313301"/>
      <w:bookmarkEnd w:id="372"/>
      <w:bookmarkStart w:id="373" w:name="_Toc184313269"/>
      <w:bookmarkEnd w:id="373"/>
      <w:bookmarkStart w:id="374" w:name="_Toc184313274"/>
      <w:bookmarkEnd w:id="374"/>
      <w:bookmarkStart w:id="375" w:name="_Toc184312119"/>
      <w:bookmarkEnd w:id="375"/>
      <w:bookmarkStart w:id="376" w:name="_Toc184312075"/>
      <w:bookmarkEnd w:id="376"/>
      <w:bookmarkStart w:id="377" w:name="_Toc184314414"/>
      <w:bookmarkEnd w:id="377"/>
      <w:bookmarkStart w:id="378" w:name="_Toc184310305"/>
      <w:bookmarkEnd w:id="378"/>
      <w:bookmarkStart w:id="379" w:name="_Toc184308104"/>
      <w:bookmarkEnd w:id="379"/>
      <w:bookmarkStart w:id="380" w:name="_Toc184308047"/>
      <w:bookmarkEnd w:id="380"/>
      <w:bookmarkStart w:id="381" w:name="_Toc184310319"/>
      <w:bookmarkEnd w:id="381"/>
      <w:bookmarkStart w:id="382" w:name="_Toc184314471"/>
      <w:bookmarkEnd w:id="382"/>
      <w:bookmarkStart w:id="383" w:name="_Toc184312138"/>
      <w:bookmarkEnd w:id="383"/>
      <w:bookmarkStart w:id="384" w:name="_Toc184314426"/>
      <w:bookmarkEnd w:id="384"/>
      <w:bookmarkStart w:id="385" w:name="_Toc184312099"/>
      <w:bookmarkEnd w:id="385"/>
      <w:bookmarkStart w:id="386" w:name="_Toc184308046"/>
      <w:bookmarkEnd w:id="386"/>
      <w:bookmarkStart w:id="387" w:name="_Toc184313310"/>
      <w:bookmarkEnd w:id="387"/>
      <w:bookmarkStart w:id="388" w:name="_Toc184308043"/>
      <w:bookmarkEnd w:id="388"/>
      <w:bookmarkStart w:id="389" w:name="_Toc184310322"/>
      <w:bookmarkEnd w:id="389"/>
      <w:bookmarkStart w:id="390" w:name="_Toc184308073"/>
      <w:bookmarkEnd w:id="390"/>
      <w:bookmarkStart w:id="391" w:name="_Toc184313282"/>
      <w:bookmarkEnd w:id="391"/>
      <w:bookmarkStart w:id="392" w:name="_Toc184313286"/>
      <w:bookmarkEnd w:id="392"/>
      <w:bookmarkStart w:id="393" w:name="_Toc184313252"/>
      <w:bookmarkEnd w:id="393"/>
      <w:bookmarkStart w:id="394" w:name="_Toc184308049"/>
      <w:bookmarkEnd w:id="394"/>
      <w:bookmarkStart w:id="395" w:name="_Toc184308063"/>
      <w:bookmarkEnd w:id="395"/>
      <w:bookmarkStart w:id="396" w:name="_Toc184308076"/>
      <w:bookmarkEnd w:id="396"/>
      <w:bookmarkStart w:id="397" w:name="_Toc184312089"/>
      <w:bookmarkEnd w:id="397"/>
      <w:bookmarkStart w:id="398" w:name="_Toc184310276"/>
      <w:bookmarkEnd w:id="398"/>
      <w:bookmarkStart w:id="399" w:name="_Toc184310306"/>
      <w:bookmarkEnd w:id="399"/>
      <w:bookmarkStart w:id="400" w:name="_Toc184308056"/>
      <w:bookmarkEnd w:id="400"/>
      <w:bookmarkStart w:id="401" w:name="_Toc184313296"/>
      <w:bookmarkEnd w:id="401"/>
      <w:bookmarkStart w:id="402" w:name="_Toc184313271"/>
      <w:bookmarkEnd w:id="402"/>
      <w:bookmarkStart w:id="403" w:name="_Toc184308058"/>
      <w:bookmarkEnd w:id="403"/>
      <w:r>
        <w:rPr>
          <w:rFonts w:hint="eastAsia" w:ascii="宋体" w:hAnsi="宋体" w:cs="宋体"/>
          <w:b/>
          <w:color w:val="auto"/>
          <w:sz w:val="36"/>
          <w:szCs w:val="36"/>
        </w:rPr>
        <w:t>评标办法</w:t>
      </w:r>
    </w:p>
    <w:tbl>
      <w:tblPr>
        <w:tblStyle w:val="63"/>
        <w:tblpPr w:leftFromText="180" w:rightFromText="180" w:vertAnchor="text" w:horzAnchor="page" w:tblpX="1273" w:tblpY="615"/>
        <w:tblOverlap w:val="never"/>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5070"/>
        <w:gridCol w:w="696"/>
        <w:gridCol w:w="1281"/>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5070"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评标标准</w:t>
            </w:r>
          </w:p>
        </w:tc>
        <w:tc>
          <w:tcPr>
            <w:tcW w:w="696"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权重</w:t>
            </w:r>
          </w:p>
        </w:tc>
        <w:tc>
          <w:tcPr>
            <w:tcW w:w="1281" w:type="dxa"/>
            <w:vAlign w:val="center"/>
          </w:tcPr>
          <w:p>
            <w:pPr>
              <w:snapToGrid w:val="0"/>
              <w:spacing w:line="360" w:lineRule="auto"/>
              <w:jc w:val="center"/>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主观分/客观分属性</w:t>
            </w:r>
          </w:p>
        </w:tc>
        <w:tc>
          <w:tcPr>
            <w:tcW w:w="1773" w:type="dxa"/>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5070" w:type="dxa"/>
            <w:vAlign w:val="center"/>
          </w:tcPr>
          <w:p>
            <w:pPr>
              <w:spacing w:line="360" w:lineRule="auto"/>
              <w:outlineLvl w:val="0"/>
              <w:rPr>
                <w:rFonts w:hint="eastAsia" w:asciiTheme="majorEastAsia" w:hAnsiTheme="majorEastAsia" w:eastAsiaTheme="majorEastAsia" w:cstheme="majorEastAsia"/>
                <w:color w:val="auto"/>
                <w:sz w:val="24"/>
                <w:lang w:val="en-US" w:eastAsia="zh-CN"/>
              </w:rPr>
            </w:pPr>
            <w:r>
              <w:rPr>
                <w:rFonts w:hint="eastAsia" w:asciiTheme="majorEastAsia" w:hAnsiTheme="majorEastAsia" w:eastAsiaTheme="majorEastAsia" w:cstheme="majorEastAsia"/>
                <w:color w:val="auto"/>
                <w:sz w:val="24"/>
                <w:lang w:val="en-US" w:eastAsia="zh-CN"/>
              </w:rPr>
              <w:t>投标人具有有效期内的质量管理体系认证、环境管理体系认证、职业健康安全管理体系认证、食品安全管理体系认证、HACCP体系认证的，食品相关内容的，每提供一个认证证书得1分，本项最高5分</w:t>
            </w:r>
          </w:p>
          <w:p>
            <w:pPr>
              <w:pStyle w:val="60"/>
              <w:ind w:left="0" w:leftChars="0" w:firstLine="0" w:firstLineChars="0"/>
              <w:rPr>
                <w:rFonts w:hint="default" w:ascii="宋体" w:hAnsi="Calibri" w:eastAsia="宋体" w:cs="Times New Roman"/>
                <w:snapToGrid/>
                <w:color w:val="auto"/>
                <w:kern w:val="2"/>
                <w:sz w:val="24"/>
                <w:szCs w:val="20"/>
                <w:lang w:val="en-US" w:eastAsia="zh-CN" w:bidi="ar-SA"/>
              </w:rPr>
            </w:pPr>
            <w:r>
              <w:rPr>
                <w:rFonts w:hint="eastAsia" w:asciiTheme="majorEastAsia" w:hAnsiTheme="majorEastAsia" w:eastAsiaTheme="majorEastAsia" w:cstheme="majorEastAsia"/>
                <w:color w:val="auto"/>
                <w:sz w:val="24"/>
                <w:lang w:val="en-US" w:eastAsia="zh-CN"/>
              </w:rPr>
              <w:t>（提供证书原件扫面件并加盖公章）</w:t>
            </w:r>
          </w:p>
        </w:tc>
        <w:tc>
          <w:tcPr>
            <w:tcW w:w="696" w:type="dxa"/>
            <w:vAlign w:val="center"/>
          </w:tcPr>
          <w:p>
            <w:pPr>
              <w:spacing w:line="360" w:lineRule="auto"/>
              <w:jc w:val="cente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5</w:t>
            </w:r>
          </w:p>
        </w:tc>
        <w:tc>
          <w:tcPr>
            <w:tcW w:w="1281" w:type="dxa"/>
            <w:vAlign w:val="center"/>
          </w:tcPr>
          <w:p>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客观分</w:t>
            </w:r>
          </w:p>
        </w:tc>
        <w:tc>
          <w:tcPr>
            <w:tcW w:w="1773"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5070" w:type="dxa"/>
            <w:vAlign w:val="center"/>
          </w:tcPr>
          <w:p>
            <w:pPr>
              <w:pStyle w:val="60"/>
              <w:ind w:left="0" w:leftChars="0" w:firstLine="0" w:firstLineChars="0"/>
              <w:rPr>
                <w:rFonts w:hint="eastAsia" w:asciiTheme="majorEastAsia" w:hAnsiTheme="majorEastAsia" w:eastAsiaTheme="majorEastAsia" w:cstheme="majorEastAsia"/>
                <w:color w:val="auto"/>
                <w:sz w:val="24"/>
                <w:lang w:val="en-US" w:eastAsia="zh-CN"/>
              </w:rPr>
            </w:pPr>
            <w:r>
              <w:rPr>
                <w:rFonts w:hint="eastAsia" w:asciiTheme="majorEastAsia" w:hAnsiTheme="majorEastAsia" w:eastAsiaTheme="majorEastAsia" w:cstheme="majorEastAsia"/>
                <w:color w:val="auto"/>
                <w:sz w:val="24"/>
                <w:lang w:val="en-US" w:eastAsia="zh-CN"/>
              </w:rPr>
              <w:t>投标人自2021年1月1日以来（以合同签订日期为准）完成过类似食材配送供应项目业绩的，每提供一个得0.2分，本项最高1分。</w:t>
            </w:r>
          </w:p>
          <w:p>
            <w:pPr>
              <w:pStyle w:val="60"/>
              <w:ind w:left="0" w:leftChars="0" w:firstLine="0" w:firstLineChars="0"/>
              <w:rPr>
                <w:rFonts w:hint="default" w:asciiTheme="majorEastAsia" w:hAnsiTheme="majorEastAsia" w:eastAsiaTheme="majorEastAsia" w:cstheme="majorEastAsia"/>
                <w:snapToGrid/>
                <w:color w:val="auto"/>
                <w:kern w:val="2"/>
                <w:sz w:val="24"/>
                <w:szCs w:val="20"/>
                <w:lang w:val="en-US" w:eastAsia="zh-CN" w:bidi="ar-SA"/>
              </w:rPr>
            </w:pPr>
            <w:r>
              <w:rPr>
                <w:rFonts w:hint="eastAsia" w:asciiTheme="majorEastAsia" w:hAnsiTheme="majorEastAsia" w:eastAsiaTheme="majorEastAsia" w:cstheme="majorEastAsia"/>
                <w:color w:val="auto"/>
                <w:sz w:val="24"/>
                <w:lang w:val="en-US" w:eastAsia="zh-CN"/>
              </w:rPr>
              <w:t>（提供合同原件扫描件及供货发票）</w:t>
            </w:r>
          </w:p>
        </w:tc>
        <w:tc>
          <w:tcPr>
            <w:tcW w:w="696" w:type="dxa"/>
            <w:vAlign w:val="center"/>
          </w:tcPr>
          <w:p>
            <w:pPr>
              <w:spacing w:line="360" w:lineRule="auto"/>
              <w:jc w:val="center"/>
              <w:rPr>
                <w:rFonts w:hint="default"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1</w:t>
            </w:r>
          </w:p>
        </w:tc>
        <w:tc>
          <w:tcPr>
            <w:tcW w:w="1281" w:type="dxa"/>
            <w:vAlign w:val="center"/>
          </w:tcPr>
          <w:p>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客观分</w:t>
            </w:r>
          </w:p>
        </w:tc>
        <w:tc>
          <w:tcPr>
            <w:tcW w:w="1773"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5070" w:type="dxa"/>
            <w:vAlign w:val="center"/>
          </w:tcPr>
          <w:p>
            <w:pPr>
              <w:pStyle w:val="60"/>
              <w:ind w:left="0" w:leftChars="0" w:firstLine="0" w:firstLineChars="0"/>
              <w:rPr>
                <w:rFonts w:hint="eastAsia" w:asciiTheme="majorEastAsia" w:hAnsiTheme="majorEastAsia" w:eastAsiaTheme="majorEastAsia" w:cstheme="majorEastAsia"/>
                <w:color w:val="auto"/>
                <w:sz w:val="24"/>
                <w:lang w:val="en-US" w:eastAsia="zh-CN"/>
              </w:rPr>
            </w:pPr>
            <w:r>
              <w:rPr>
                <w:rFonts w:hint="eastAsia" w:asciiTheme="majorEastAsia" w:hAnsiTheme="majorEastAsia" w:eastAsiaTheme="majorEastAsia" w:cstheme="majorEastAsia"/>
                <w:color w:val="auto"/>
                <w:sz w:val="24"/>
                <w:lang w:val="en-US" w:eastAsia="zh-CN"/>
              </w:rPr>
              <w:t>投标人有食堂管理和食材配送一体化经营业绩的得1分。</w:t>
            </w:r>
          </w:p>
          <w:p>
            <w:pPr>
              <w:pStyle w:val="60"/>
              <w:ind w:left="0" w:leftChars="0" w:firstLine="0" w:firstLineChars="0"/>
              <w:rPr>
                <w:rFonts w:hint="default" w:asciiTheme="majorEastAsia" w:hAnsiTheme="majorEastAsia" w:eastAsiaTheme="majorEastAsia" w:cstheme="majorEastAsia"/>
                <w:snapToGrid/>
                <w:color w:val="auto"/>
                <w:kern w:val="2"/>
                <w:sz w:val="24"/>
                <w:szCs w:val="20"/>
                <w:lang w:val="en-US" w:eastAsia="zh-CN" w:bidi="ar-SA"/>
              </w:rPr>
            </w:pPr>
            <w:r>
              <w:rPr>
                <w:rFonts w:hint="eastAsia" w:asciiTheme="majorEastAsia" w:hAnsiTheme="majorEastAsia" w:eastAsiaTheme="majorEastAsia" w:cstheme="majorEastAsia"/>
                <w:color w:val="auto"/>
                <w:sz w:val="24"/>
                <w:lang w:val="en-US" w:eastAsia="zh-CN"/>
              </w:rPr>
              <w:t>（提供合同原件扫描件及供货发票）</w:t>
            </w:r>
          </w:p>
        </w:tc>
        <w:tc>
          <w:tcPr>
            <w:tcW w:w="696" w:type="dxa"/>
            <w:vAlign w:val="center"/>
          </w:tcPr>
          <w:p>
            <w:pPr>
              <w:spacing w:line="360" w:lineRule="auto"/>
              <w:jc w:val="center"/>
              <w:rPr>
                <w:rFonts w:hint="default"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1</w:t>
            </w:r>
          </w:p>
        </w:tc>
        <w:tc>
          <w:tcPr>
            <w:tcW w:w="1281"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客观分</w:t>
            </w:r>
          </w:p>
        </w:tc>
        <w:tc>
          <w:tcPr>
            <w:tcW w:w="1773"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5070" w:type="dxa"/>
            <w:vAlign w:val="center"/>
          </w:tcPr>
          <w:p>
            <w:pPr>
              <w:pStyle w:val="60"/>
              <w:ind w:left="0" w:leftChars="0" w:firstLine="0" w:firstLineChars="0"/>
              <w:rPr>
                <w:rFonts w:hint="eastAsia" w:asciiTheme="majorEastAsia" w:hAnsiTheme="majorEastAsia" w:eastAsiaTheme="majorEastAsia" w:cstheme="majorEastAsia"/>
                <w:color w:val="auto"/>
                <w:sz w:val="24"/>
                <w:lang w:val="en-US" w:eastAsia="zh-CN"/>
              </w:rPr>
            </w:pPr>
            <w:r>
              <w:rPr>
                <w:rFonts w:hint="eastAsia" w:asciiTheme="majorEastAsia" w:hAnsiTheme="majorEastAsia" w:eastAsiaTheme="majorEastAsia" w:cstheme="majorEastAsia"/>
                <w:color w:val="auto"/>
                <w:sz w:val="24"/>
                <w:lang w:val="en-US" w:eastAsia="zh-CN"/>
              </w:rPr>
              <w:t>投标人具有符合食材配送服务的专业场地，场地面积在1000㎡及以上的得1分，1100㎡及以上的得2分，1200㎡及以上的得3分，本项最高3分。</w:t>
            </w:r>
          </w:p>
          <w:p>
            <w:pPr>
              <w:pStyle w:val="60"/>
              <w:ind w:left="0" w:leftChars="0" w:firstLine="0" w:firstLineChars="0"/>
              <w:rPr>
                <w:rFonts w:hint="default" w:asciiTheme="majorEastAsia" w:hAnsiTheme="majorEastAsia" w:eastAsiaTheme="majorEastAsia" w:cstheme="majorEastAsia"/>
                <w:snapToGrid/>
                <w:color w:val="auto"/>
                <w:kern w:val="2"/>
                <w:sz w:val="24"/>
                <w:szCs w:val="20"/>
                <w:lang w:val="en-US" w:eastAsia="zh-CN" w:bidi="ar-SA"/>
              </w:rPr>
            </w:pPr>
            <w:r>
              <w:rPr>
                <w:rFonts w:hint="eastAsia" w:asciiTheme="majorEastAsia" w:hAnsiTheme="majorEastAsia" w:eastAsiaTheme="majorEastAsia" w:cstheme="majorEastAsia"/>
                <w:color w:val="auto"/>
                <w:sz w:val="24"/>
                <w:lang w:val="en-US" w:eastAsia="zh-CN"/>
              </w:rPr>
              <w:t>（提供场地现场照片、产权证明或租赁合同）</w:t>
            </w:r>
          </w:p>
        </w:tc>
        <w:tc>
          <w:tcPr>
            <w:tcW w:w="696" w:type="dxa"/>
            <w:vAlign w:val="center"/>
          </w:tcPr>
          <w:p>
            <w:pPr>
              <w:spacing w:line="360" w:lineRule="auto"/>
              <w:jc w:val="center"/>
              <w:rPr>
                <w:rFonts w:hint="default"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3</w:t>
            </w:r>
          </w:p>
        </w:tc>
        <w:tc>
          <w:tcPr>
            <w:tcW w:w="1281"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客观分</w:t>
            </w:r>
          </w:p>
        </w:tc>
        <w:tc>
          <w:tcPr>
            <w:tcW w:w="1773"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napToGrid w:val="0"/>
              <w:spacing w:line="360" w:lineRule="auto"/>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5</w:t>
            </w:r>
          </w:p>
        </w:tc>
        <w:tc>
          <w:tcPr>
            <w:tcW w:w="5070" w:type="dxa"/>
            <w:vAlign w:val="center"/>
          </w:tcPr>
          <w:p>
            <w:pPr>
              <w:pStyle w:val="60"/>
              <w:ind w:left="0" w:leftChars="0" w:firstLine="0" w:firstLineChars="0"/>
              <w:rPr>
                <w:rFonts w:hint="eastAsia" w:asciiTheme="majorEastAsia" w:hAnsiTheme="majorEastAsia" w:eastAsiaTheme="majorEastAsia" w:cstheme="majorEastAsia"/>
                <w:color w:val="auto"/>
                <w:sz w:val="24"/>
                <w:lang w:val="en-US" w:eastAsia="zh-CN"/>
              </w:rPr>
            </w:pPr>
            <w:r>
              <w:rPr>
                <w:rFonts w:hint="eastAsia" w:asciiTheme="majorEastAsia" w:hAnsiTheme="majorEastAsia" w:eastAsiaTheme="majorEastAsia" w:cstheme="majorEastAsia"/>
                <w:color w:val="auto"/>
                <w:sz w:val="24"/>
                <w:lang w:val="en-US" w:eastAsia="zh-CN"/>
              </w:rPr>
              <w:t>配送企业产品采购来源含“三品一标”认证基地产品的，每有1个得1分，本项最高3分；</w:t>
            </w:r>
          </w:p>
          <w:p>
            <w:pPr>
              <w:pStyle w:val="60"/>
              <w:ind w:left="0" w:leftChars="0" w:firstLine="0" w:firstLineChars="0"/>
              <w:rPr>
                <w:rFonts w:hint="default" w:asciiTheme="majorEastAsia" w:hAnsiTheme="majorEastAsia" w:eastAsiaTheme="majorEastAsia" w:cstheme="majorEastAsia"/>
                <w:color w:val="auto"/>
                <w:sz w:val="24"/>
                <w:lang w:val="en-US" w:eastAsia="zh-CN"/>
              </w:rPr>
            </w:pPr>
            <w:r>
              <w:rPr>
                <w:rFonts w:hint="eastAsia" w:asciiTheme="majorEastAsia" w:hAnsiTheme="majorEastAsia" w:eastAsiaTheme="majorEastAsia" w:cstheme="majorEastAsia"/>
                <w:color w:val="auto"/>
                <w:sz w:val="24"/>
                <w:lang w:val="en-US" w:eastAsia="zh-CN"/>
              </w:rPr>
              <w:t>提供供货合同、认证证书及采购发票。</w:t>
            </w:r>
          </w:p>
        </w:tc>
        <w:tc>
          <w:tcPr>
            <w:tcW w:w="696" w:type="dxa"/>
            <w:vAlign w:val="center"/>
          </w:tcPr>
          <w:p>
            <w:pPr>
              <w:spacing w:line="360" w:lineRule="auto"/>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w:t>
            </w:r>
          </w:p>
        </w:tc>
        <w:tc>
          <w:tcPr>
            <w:tcW w:w="1281"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客观分</w:t>
            </w:r>
          </w:p>
        </w:tc>
        <w:tc>
          <w:tcPr>
            <w:tcW w:w="1773"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napToGrid w:val="0"/>
              <w:spacing w:line="360" w:lineRule="auto"/>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6</w:t>
            </w:r>
          </w:p>
        </w:tc>
        <w:tc>
          <w:tcPr>
            <w:tcW w:w="5070" w:type="dxa"/>
            <w:vAlign w:val="center"/>
          </w:tcPr>
          <w:p>
            <w:pPr>
              <w:pStyle w:val="60"/>
              <w:ind w:left="0" w:leftChars="0" w:firstLine="0" w:firstLineChars="0"/>
              <w:rPr>
                <w:rFonts w:hint="eastAsia" w:asciiTheme="majorEastAsia" w:hAnsiTheme="majorEastAsia" w:eastAsiaTheme="majorEastAsia" w:cstheme="majorEastAsia"/>
                <w:color w:val="auto"/>
                <w:sz w:val="24"/>
                <w:lang w:val="en-US" w:eastAsia="zh-CN"/>
              </w:rPr>
            </w:pPr>
            <w:r>
              <w:rPr>
                <w:rFonts w:hint="eastAsia" w:asciiTheme="majorEastAsia" w:hAnsiTheme="majorEastAsia" w:eastAsiaTheme="majorEastAsia" w:cstheme="majorEastAsia"/>
                <w:color w:val="auto"/>
                <w:sz w:val="24"/>
                <w:lang w:val="en-US" w:eastAsia="zh-CN"/>
              </w:rPr>
              <w:t>配送场地内设有冷库，冷藏库容积达150m³的得1.5分，冷冻库容积达150m³的得1.5分。</w:t>
            </w:r>
          </w:p>
          <w:p>
            <w:pPr>
              <w:pStyle w:val="60"/>
              <w:ind w:left="0" w:leftChars="0" w:firstLine="0" w:firstLineChars="0"/>
              <w:rPr>
                <w:rFonts w:hint="default" w:asciiTheme="majorEastAsia" w:hAnsiTheme="majorEastAsia" w:eastAsiaTheme="majorEastAsia" w:cstheme="majorEastAsia"/>
                <w:snapToGrid/>
                <w:color w:val="auto"/>
                <w:kern w:val="2"/>
                <w:sz w:val="24"/>
                <w:szCs w:val="20"/>
                <w:lang w:val="en-US" w:eastAsia="zh-CN" w:bidi="ar-SA"/>
              </w:rPr>
            </w:pPr>
            <w:r>
              <w:rPr>
                <w:rFonts w:hint="eastAsia" w:asciiTheme="majorEastAsia" w:hAnsiTheme="majorEastAsia" w:eastAsiaTheme="majorEastAsia" w:cstheme="majorEastAsia"/>
                <w:color w:val="auto"/>
                <w:sz w:val="24"/>
                <w:lang w:val="en-US" w:eastAsia="zh-CN"/>
              </w:rPr>
              <w:t>（提供现场照片、采购发票、合同或其他自有证明材料）</w:t>
            </w:r>
          </w:p>
        </w:tc>
        <w:tc>
          <w:tcPr>
            <w:tcW w:w="696" w:type="dxa"/>
            <w:vAlign w:val="center"/>
          </w:tcPr>
          <w:p>
            <w:pPr>
              <w:spacing w:line="360" w:lineRule="auto"/>
              <w:jc w:val="center"/>
              <w:rPr>
                <w:rFonts w:hint="default"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3</w:t>
            </w:r>
          </w:p>
        </w:tc>
        <w:tc>
          <w:tcPr>
            <w:tcW w:w="1281"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客观分</w:t>
            </w:r>
          </w:p>
        </w:tc>
        <w:tc>
          <w:tcPr>
            <w:tcW w:w="1773"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napToGrid w:val="0"/>
              <w:spacing w:line="36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7</w:t>
            </w:r>
          </w:p>
        </w:tc>
        <w:tc>
          <w:tcPr>
            <w:tcW w:w="5070" w:type="dxa"/>
            <w:vAlign w:val="center"/>
          </w:tcPr>
          <w:p>
            <w:pPr>
              <w:pStyle w:val="60"/>
              <w:ind w:left="0" w:leftChars="0" w:firstLine="0" w:firstLineChars="0"/>
              <w:rPr>
                <w:rFonts w:hint="eastAsia" w:asciiTheme="majorEastAsia" w:hAnsiTheme="majorEastAsia" w:eastAsiaTheme="majorEastAsia" w:cstheme="majorEastAsia"/>
                <w:color w:val="auto"/>
                <w:sz w:val="24"/>
                <w:lang w:val="en-US" w:eastAsia="zh-CN"/>
              </w:rPr>
            </w:pPr>
            <w:r>
              <w:rPr>
                <w:rFonts w:hint="eastAsia" w:asciiTheme="majorEastAsia" w:hAnsiTheme="majorEastAsia" w:eastAsiaTheme="majorEastAsia" w:cstheme="majorEastAsia"/>
                <w:color w:val="auto"/>
                <w:sz w:val="24"/>
                <w:lang w:val="en-US" w:eastAsia="zh-CN"/>
              </w:rPr>
              <w:t>1.投标人配送场地内设粮油仓库、干货辅料仓库、肉类、禽类加工车间、水产加工车间、水果分拣车间的得2分；</w:t>
            </w:r>
          </w:p>
          <w:p>
            <w:pPr>
              <w:pStyle w:val="60"/>
              <w:ind w:left="0" w:leftChars="0" w:firstLine="0" w:firstLineChars="0"/>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lang w:val="en-US" w:eastAsia="zh-CN"/>
              </w:rPr>
              <w:t>2</w:t>
            </w:r>
            <w:r>
              <w:rPr>
                <w:rFonts w:hint="eastAsia" w:asciiTheme="majorEastAsia" w:hAnsiTheme="majorEastAsia" w:eastAsiaTheme="majorEastAsia" w:cstheme="majorEastAsia"/>
                <w:color w:val="auto"/>
                <w:sz w:val="24"/>
                <w:highlight w:val="none"/>
                <w:lang w:val="en-US" w:eastAsia="zh-CN"/>
              </w:rPr>
              <w:t>.发货区面积在300㎡及以上的得2分；</w:t>
            </w:r>
          </w:p>
          <w:p>
            <w:pPr>
              <w:pStyle w:val="60"/>
              <w:ind w:left="0" w:leftChars="0" w:firstLine="0" w:firstLineChars="0"/>
              <w:rPr>
                <w:rFonts w:hint="eastAsia" w:asciiTheme="majorEastAsia" w:hAnsiTheme="majorEastAsia" w:eastAsiaTheme="majorEastAsia" w:cstheme="majorEastAsia"/>
                <w:color w:val="auto"/>
                <w:sz w:val="24"/>
                <w:lang w:val="en-US" w:eastAsia="zh-CN"/>
              </w:rPr>
            </w:pPr>
            <w:r>
              <w:rPr>
                <w:rFonts w:hint="eastAsia" w:asciiTheme="majorEastAsia" w:hAnsiTheme="majorEastAsia" w:eastAsiaTheme="majorEastAsia" w:cstheme="majorEastAsia"/>
                <w:color w:val="auto"/>
                <w:sz w:val="24"/>
                <w:lang w:val="en-US" w:eastAsia="zh-CN"/>
              </w:rPr>
              <w:t>3.各功能区具备满足配送所需的清洗、切配、分拣、加工、仓储等设施设备齐全的得2分；</w:t>
            </w:r>
          </w:p>
          <w:p>
            <w:pPr>
              <w:pStyle w:val="60"/>
              <w:ind w:left="0" w:leftChars="0" w:firstLine="0" w:firstLineChars="0"/>
              <w:rPr>
                <w:rFonts w:hint="default" w:asciiTheme="majorEastAsia" w:hAnsiTheme="majorEastAsia" w:eastAsiaTheme="majorEastAsia" w:cstheme="majorEastAsia"/>
                <w:snapToGrid/>
                <w:color w:val="auto"/>
                <w:kern w:val="2"/>
                <w:sz w:val="24"/>
                <w:szCs w:val="20"/>
                <w:lang w:val="en-US" w:eastAsia="zh-CN" w:bidi="ar-SA"/>
              </w:rPr>
            </w:pPr>
            <w:r>
              <w:rPr>
                <w:rFonts w:hint="eastAsia" w:asciiTheme="majorEastAsia" w:hAnsiTheme="majorEastAsia" w:eastAsiaTheme="majorEastAsia" w:cstheme="majorEastAsia"/>
                <w:color w:val="auto"/>
                <w:sz w:val="24"/>
                <w:lang w:val="en-US" w:eastAsia="zh-CN"/>
              </w:rPr>
              <w:t>（提供现场照片）</w:t>
            </w:r>
          </w:p>
        </w:tc>
        <w:tc>
          <w:tcPr>
            <w:tcW w:w="696" w:type="dxa"/>
            <w:vAlign w:val="center"/>
          </w:tcPr>
          <w:p>
            <w:pPr>
              <w:spacing w:line="360" w:lineRule="auto"/>
              <w:jc w:val="center"/>
              <w:rPr>
                <w:rFonts w:hint="default"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6</w:t>
            </w:r>
          </w:p>
        </w:tc>
        <w:tc>
          <w:tcPr>
            <w:tcW w:w="1281"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客观分</w:t>
            </w:r>
          </w:p>
        </w:tc>
        <w:tc>
          <w:tcPr>
            <w:tcW w:w="1773"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napToGrid w:val="0"/>
              <w:spacing w:line="36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8</w:t>
            </w:r>
          </w:p>
        </w:tc>
        <w:tc>
          <w:tcPr>
            <w:tcW w:w="5070" w:type="dxa"/>
            <w:vAlign w:val="center"/>
          </w:tcPr>
          <w:p>
            <w:pPr>
              <w:pStyle w:val="60"/>
              <w:ind w:left="0" w:leftChars="0" w:firstLine="0" w:firstLineChars="0"/>
              <w:rPr>
                <w:rFonts w:hint="eastAsia" w:asciiTheme="majorEastAsia" w:hAnsiTheme="majorEastAsia" w:eastAsiaTheme="majorEastAsia" w:cstheme="majorEastAsia"/>
                <w:color w:val="auto"/>
                <w:sz w:val="24"/>
                <w:lang w:val="en-US" w:eastAsia="zh-CN"/>
              </w:rPr>
            </w:pPr>
            <w:r>
              <w:rPr>
                <w:rFonts w:hint="eastAsia" w:asciiTheme="majorEastAsia" w:hAnsiTheme="majorEastAsia" w:eastAsiaTheme="majorEastAsia" w:cstheme="majorEastAsia"/>
                <w:color w:val="auto"/>
                <w:sz w:val="24"/>
                <w:lang w:val="en-US" w:eastAsia="zh-CN"/>
              </w:rPr>
              <w:t>1.投标人具有冷藏厢式货车，每辆得1分，最高2分；</w:t>
            </w:r>
          </w:p>
          <w:p>
            <w:pPr>
              <w:pStyle w:val="60"/>
              <w:ind w:left="0" w:leftChars="0" w:firstLine="0" w:firstLineChars="0"/>
              <w:rPr>
                <w:rFonts w:hint="eastAsia" w:asciiTheme="majorEastAsia" w:hAnsiTheme="majorEastAsia" w:eastAsiaTheme="majorEastAsia" w:cstheme="majorEastAsia"/>
                <w:color w:val="auto"/>
                <w:sz w:val="24"/>
                <w:lang w:val="en-US" w:eastAsia="zh-CN"/>
              </w:rPr>
            </w:pPr>
            <w:r>
              <w:rPr>
                <w:rFonts w:hint="eastAsia" w:asciiTheme="majorEastAsia" w:hAnsiTheme="majorEastAsia" w:eastAsiaTheme="majorEastAsia" w:cstheme="majorEastAsia"/>
                <w:color w:val="auto"/>
                <w:sz w:val="24"/>
                <w:lang w:val="en-US" w:eastAsia="zh-CN"/>
              </w:rPr>
              <w:t>2.车辆全部安装车载监控和卫星定位的得2分；</w:t>
            </w:r>
          </w:p>
          <w:p>
            <w:pPr>
              <w:pStyle w:val="60"/>
              <w:ind w:left="0" w:leftChars="0" w:firstLine="0" w:firstLineChars="0"/>
              <w:rPr>
                <w:rFonts w:hint="default" w:asciiTheme="majorEastAsia" w:hAnsiTheme="majorEastAsia" w:eastAsiaTheme="majorEastAsia" w:cstheme="majorEastAsia"/>
                <w:snapToGrid/>
                <w:color w:val="auto"/>
                <w:kern w:val="2"/>
                <w:sz w:val="24"/>
                <w:szCs w:val="20"/>
                <w:lang w:val="en-US" w:eastAsia="zh-CN" w:bidi="ar-SA"/>
              </w:rPr>
            </w:pPr>
            <w:r>
              <w:rPr>
                <w:rFonts w:hint="eastAsia" w:asciiTheme="majorEastAsia" w:hAnsiTheme="majorEastAsia" w:eastAsiaTheme="majorEastAsia" w:cstheme="majorEastAsia"/>
                <w:color w:val="auto"/>
                <w:sz w:val="24"/>
                <w:lang w:val="en-US" w:eastAsia="zh-CN"/>
              </w:rPr>
              <w:t>（提供车辆行驶证、保险单、监控及定位照片）</w:t>
            </w:r>
          </w:p>
        </w:tc>
        <w:tc>
          <w:tcPr>
            <w:tcW w:w="696" w:type="dxa"/>
            <w:vAlign w:val="center"/>
          </w:tcPr>
          <w:p>
            <w:pPr>
              <w:spacing w:line="360" w:lineRule="auto"/>
              <w:jc w:val="center"/>
              <w:rPr>
                <w:rFonts w:hint="default"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4</w:t>
            </w:r>
          </w:p>
        </w:tc>
        <w:tc>
          <w:tcPr>
            <w:tcW w:w="1281"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客观分</w:t>
            </w:r>
          </w:p>
        </w:tc>
        <w:tc>
          <w:tcPr>
            <w:tcW w:w="1773"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napToGrid w:val="0"/>
              <w:spacing w:line="36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9</w:t>
            </w:r>
          </w:p>
        </w:tc>
        <w:tc>
          <w:tcPr>
            <w:tcW w:w="5070" w:type="dxa"/>
            <w:vAlign w:val="center"/>
          </w:tcPr>
          <w:p>
            <w:pPr>
              <w:pStyle w:val="60"/>
              <w:ind w:left="0" w:leftChars="0" w:firstLine="0" w:firstLineChars="0"/>
              <w:rPr>
                <w:rFonts w:hint="eastAsia" w:asciiTheme="majorEastAsia" w:hAnsiTheme="majorEastAsia" w:eastAsiaTheme="majorEastAsia" w:cstheme="majorEastAsia"/>
                <w:color w:val="auto"/>
                <w:sz w:val="24"/>
                <w:lang w:val="en-US" w:eastAsia="zh-CN"/>
              </w:rPr>
            </w:pPr>
            <w:r>
              <w:rPr>
                <w:rFonts w:hint="eastAsia" w:asciiTheme="majorEastAsia" w:hAnsiTheme="majorEastAsia" w:eastAsiaTheme="majorEastAsia" w:cstheme="majorEastAsia"/>
                <w:color w:val="auto"/>
                <w:sz w:val="24"/>
                <w:lang w:val="en-US" w:eastAsia="zh-CN"/>
              </w:rPr>
              <w:t>1.配送场地内设有单独检测室、留样室的得2分；</w:t>
            </w:r>
          </w:p>
          <w:p>
            <w:pPr>
              <w:pStyle w:val="60"/>
              <w:ind w:left="0" w:leftChars="0" w:firstLine="0" w:firstLineChars="0"/>
              <w:rPr>
                <w:rFonts w:hint="eastAsia" w:asciiTheme="majorEastAsia" w:hAnsiTheme="majorEastAsia" w:eastAsiaTheme="majorEastAsia" w:cstheme="majorEastAsia"/>
                <w:color w:val="auto"/>
                <w:sz w:val="24"/>
                <w:lang w:val="en-US" w:eastAsia="zh-CN"/>
              </w:rPr>
            </w:pPr>
            <w:r>
              <w:rPr>
                <w:rFonts w:hint="eastAsia" w:asciiTheme="majorEastAsia" w:hAnsiTheme="majorEastAsia" w:eastAsiaTheme="majorEastAsia" w:cstheme="majorEastAsia"/>
                <w:color w:val="auto"/>
                <w:sz w:val="24"/>
                <w:lang w:val="en-US" w:eastAsia="zh-CN"/>
              </w:rPr>
              <w:t>2.有农残等食品安全检测设备的，每台得1分，最高4分；</w:t>
            </w:r>
          </w:p>
          <w:p>
            <w:pPr>
              <w:pStyle w:val="60"/>
              <w:ind w:left="0" w:leftChars="0" w:firstLine="0" w:firstLineChars="0"/>
              <w:rPr>
                <w:rFonts w:hint="eastAsia" w:asciiTheme="majorEastAsia" w:hAnsiTheme="majorEastAsia" w:eastAsiaTheme="majorEastAsia" w:cstheme="majorEastAsia"/>
                <w:color w:val="auto"/>
                <w:sz w:val="24"/>
                <w:lang w:val="en-US" w:eastAsia="zh-CN"/>
              </w:rPr>
            </w:pPr>
            <w:r>
              <w:rPr>
                <w:rFonts w:hint="eastAsia" w:asciiTheme="majorEastAsia" w:hAnsiTheme="majorEastAsia" w:eastAsiaTheme="majorEastAsia" w:cstheme="majorEastAsia"/>
                <w:color w:val="auto"/>
                <w:sz w:val="24"/>
                <w:lang w:val="en-US" w:eastAsia="zh-CN"/>
              </w:rPr>
              <w:t>3.有留样冰箱、留样设备的得1分；</w:t>
            </w:r>
          </w:p>
          <w:p>
            <w:pPr>
              <w:pStyle w:val="60"/>
              <w:ind w:left="0" w:leftChars="0" w:firstLine="0" w:firstLineChars="0"/>
              <w:rPr>
                <w:rFonts w:hint="default" w:asciiTheme="majorEastAsia" w:hAnsiTheme="majorEastAsia" w:eastAsiaTheme="majorEastAsia" w:cstheme="majorEastAsia"/>
                <w:snapToGrid/>
                <w:color w:val="auto"/>
                <w:kern w:val="2"/>
                <w:sz w:val="24"/>
                <w:szCs w:val="20"/>
                <w:lang w:val="en-US" w:eastAsia="zh-CN" w:bidi="ar-SA"/>
              </w:rPr>
            </w:pPr>
            <w:r>
              <w:rPr>
                <w:rFonts w:hint="eastAsia" w:asciiTheme="majorEastAsia" w:hAnsiTheme="majorEastAsia" w:eastAsiaTheme="majorEastAsia" w:cstheme="majorEastAsia"/>
                <w:color w:val="auto"/>
                <w:sz w:val="24"/>
                <w:lang w:val="en-US" w:eastAsia="zh-CN"/>
              </w:rPr>
              <w:t>（提供现场照片、设备采购发票或其他自有证明材料）</w:t>
            </w:r>
          </w:p>
        </w:tc>
        <w:tc>
          <w:tcPr>
            <w:tcW w:w="696" w:type="dxa"/>
            <w:vAlign w:val="center"/>
          </w:tcPr>
          <w:p>
            <w:pPr>
              <w:spacing w:line="360" w:lineRule="auto"/>
              <w:jc w:val="center"/>
              <w:rPr>
                <w:rFonts w:hint="default"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7</w:t>
            </w:r>
          </w:p>
        </w:tc>
        <w:tc>
          <w:tcPr>
            <w:tcW w:w="1281"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客观分</w:t>
            </w:r>
          </w:p>
        </w:tc>
        <w:tc>
          <w:tcPr>
            <w:tcW w:w="1773"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napToGrid w:val="0"/>
              <w:spacing w:line="36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10</w:t>
            </w:r>
          </w:p>
        </w:tc>
        <w:tc>
          <w:tcPr>
            <w:tcW w:w="5070" w:type="dxa"/>
            <w:vAlign w:val="center"/>
          </w:tcPr>
          <w:p>
            <w:pPr>
              <w:pStyle w:val="60"/>
              <w:ind w:left="0" w:leftChars="0" w:firstLine="0" w:firstLineChars="0"/>
              <w:rPr>
                <w:rFonts w:hint="eastAsia" w:asciiTheme="majorEastAsia" w:hAnsiTheme="majorEastAsia" w:eastAsiaTheme="majorEastAsia" w:cstheme="majorEastAsia"/>
                <w:color w:val="auto"/>
                <w:sz w:val="24"/>
                <w:lang w:val="en-US" w:eastAsia="zh-CN"/>
              </w:rPr>
            </w:pPr>
            <w:r>
              <w:rPr>
                <w:rFonts w:hint="eastAsia" w:asciiTheme="majorEastAsia" w:hAnsiTheme="majorEastAsia" w:eastAsiaTheme="majorEastAsia" w:cstheme="majorEastAsia"/>
                <w:color w:val="auto"/>
                <w:sz w:val="24"/>
                <w:lang w:val="en-US" w:eastAsia="zh-CN"/>
              </w:rPr>
              <w:t>拟投入本项目的人员在10人及以上的得2分，15人及以上的得4分。</w:t>
            </w:r>
          </w:p>
          <w:p>
            <w:pPr>
              <w:pStyle w:val="60"/>
              <w:ind w:left="0" w:leftChars="0" w:firstLine="0" w:firstLineChars="0"/>
              <w:rPr>
                <w:rFonts w:hint="default" w:asciiTheme="majorEastAsia" w:hAnsiTheme="majorEastAsia" w:eastAsiaTheme="majorEastAsia" w:cstheme="majorEastAsia"/>
                <w:snapToGrid/>
                <w:color w:val="auto"/>
                <w:kern w:val="2"/>
                <w:sz w:val="24"/>
                <w:szCs w:val="20"/>
                <w:lang w:val="en-US" w:eastAsia="zh-CN" w:bidi="ar-SA"/>
              </w:rPr>
            </w:pPr>
            <w:r>
              <w:rPr>
                <w:rFonts w:hint="eastAsia" w:asciiTheme="majorEastAsia" w:hAnsiTheme="majorEastAsia" w:eastAsiaTheme="majorEastAsia" w:cstheme="majorEastAsia"/>
                <w:color w:val="auto"/>
                <w:sz w:val="24"/>
                <w:lang w:val="en-US" w:eastAsia="zh-CN"/>
              </w:rPr>
              <w:t>（提供有效的健康证）</w:t>
            </w:r>
          </w:p>
        </w:tc>
        <w:tc>
          <w:tcPr>
            <w:tcW w:w="696" w:type="dxa"/>
            <w:vAlign w:val="center"/>
          </w:tcPr>
          <w:p>
            <w:pPr>
              <w:spacing w:line="360" w:lineRule="auto"/>
              <w:jc w:val="center"/>
              <w:rPr>
                <w:rFonts w:hint="default"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4</w:t>
            </w:r>
          </w:p>
        </w:tc>
        <w:tc>
          <w:tcPr>
            <w:tcW w:w="1281"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客观分</w:t>
            </w:r>
          </w:p>
        </w:tc>
        <w:tc>
          <w:tcPr>
            <w:tcW w:w="1773"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napToGrid w:val="0"/>
              <w:spacing w:line="36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11</w:t>
            </w:r>
          </w:p>
        </w:tc>
        <w:tc>
          <w:tcPr>
            <w:tcW w:w="5070" w:type="dxa"/>
            <w:vAlign w:val="center"/>
          </w:tcPr>
          <w:p>
            <w:pPr>
              <w:pStyle w:val="60"/>
              <w:ind w:left="0" w:leftChars="0" w:firstLine="0" w:firstLineChars="0"/>
              <w:rPr>
                <w:rFonts w:hint="default" w:asciiTheme="majorEastAsia" w:hAnsiTheme="majorEastAsia" w:eastAsiaTheme="majorEastAsia" w:cstheme="majorEastAsia"/>
                <w:snapToGrid/>
                <w:color w:val="auto"/>
                <w:kern w:val="2"/>
                <w:sz w:val="24"/>
                <w:szCs w:val="20"/>
                <w:lang w:val="en-US" w:eastAsia="zh-CN" w:bidi="ar-SA"/>
              </w:rPr>
            </w:pPr>
            <w:r>
              <w:rPr>
                <w:rFonts w:hint="eastAsia" w:asciiTheme="majorEastAsia" w:hAnsiTheme="majorEastAsia" w:eastAsiaTheme="majorEastAsia" w:cstheme="majorEastAsia"/>
                <w:color w:val="auto"/>
                <w:sz w:val="24"/>
                <w:lang w:val="en-US" w:eastAsia="zh-CN"/>
              </w:rPr>
              <w:t>投标人具有食品安全员2人及以上的得2分。</w:t>
            </w:r>
          </w:p>
        </w:tc>
        <w:tc>
          <w:tcPr>
            <w:tcW w:w="696" w:type="dxa"/>
            <w:vAlign w:val="center"/>
          </w:tcPr>
          <w:p>
            <w:pPr>
              <w:spacing w:line="360" w:lineRule="auto"/>
              <w:jc w:val="center"/>
              <w:rPr>
                <w:rFonts w:hint="default"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2</w:t>
            </w:r>
          </w:p>
        </w:tc>
        <w:tc>
          <w:tcPr>
            <w:tcW w:w="1281"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客观分</w:t>
            </w:r>
          </w:p>
        </w:tc>
        <w:tc>
          <w:tcPr>
            <w:tcW w:w="1773"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napToGrid w:val="0"/>
              <w:spacing w:line="36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12</w:t>
            </w:r>
          </w:p>
        </w:tc>
        <w:tc>
          <w:tcPr>
            <w:tcW w:w="5070" w:type="dxa"/>
            <w:vAlign w:val="center"/>
          </w:tcPr>
          <w:p>
            <w:pPr>
              <w:pStyle w:val="60"/>
              <w:ind w:left="0" w:leftChars="0" w:firstLine="0" w:firstLineChars="0"/>
              <w:rPr>
                <w:rFonts w:hint="default" w:asciiTheme="majorEastAsia" w:hAnsiTheme="majorEastAsia" w:eastAsiaTheme="majorEastAsia" w:cstheme="majorEastAsia"/>
                <w:snapToGrid/>
                <w:color w:val="auto"/>
                <w:kern w:val="2"/>
                <w:sz w:val="24"/>
                <w:szCs w:val="20"/>
                <w:lang w:val="en-US" w:eastAsia="zh-CN" w:bidi="ar-SA"/>
              </w:rPr>
            </w:pPr>
            <w:r>
              <w:rPr>
                <w:rFonts w:hint="eastAsia" w:asciiTheme="majorEastAsia" w:hAnsiTheme="majorEastAsia" w:eastAsiaTheme="majorEastAsia" w:cstheme="majorEastAsia"/>
                <w:color w:val="auto"/>
                <w:sz w:val="24"/>
                <w:lang w:val="en-US" w:eastAsia="zh-CN"/>
              </w:rPr>
              <w:t>拟投入本项目的驾驶员具有C1照及以上并具有2年以上驾龄的，每人得1分，最高2分。</w:t>
            </w:r>
          </w:p>
        </w:tc>
        <w:tc>
          <w:tcPr>
            <w:tcW w:w="696" w:type="dxa"/>
            <w:vAlign w:val="center"/>
          </w:tcPr>
          <w:p>
            <w:pPr>
              <w:spacing w:line="360" w:lineRule="auto"/>
              <w:jc w:val="center"/>
              <w:rPr>
                <w:rFonts w:hint="default"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2</w:t>
            </w:r>
          </w:p>
        </w:tc>
        <w:tc>
          <w:tcPr>
            <w:tcW w:w="1281"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客观分</w:t>
            </w:r>
          </w:p>
        </w:tc>
        <w:tc>
          <w:tcPr>
            <w:tcW w:w="1773"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napToGrid w:val="0"/>
              <w:spacing w:line="36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13</w:t>
            </w:r>
          </w:p>
        </w:tc>
        <w:tc>
          <w:tcPr>
            <w:tcW w:w="5070" w:type="dxa"/>
            <w:vAlign w:val="center"/>
          </w:tcPr>
          <w:p>
            <w:pPr>
              <w:pStyle w:val="60"/>
              <w:ind w:left="0" w:leftChars="0" w:firstLine="0" w:firstLineChars="0"/>
              <w:rPr>
                <w:rFonts w:hint="default" w:asciiTheme="majorEastAsia" w:hAnsiTheme="majorEastAsia" w:eastAsiaTheme="majorEastAsia" w:cstheme="majorEastAsia"/>
                <w:snapToGrid/>
                <w:color w:val="auto"/>
                <w:kern w:val="2"/>
                <w:sz w:val="24"/>
                <w:szCs w:val="20"/>
                <w:lang w:val="en-US" w:eastAsia="zh-CN" w:bidi="ar-SA"/>
              </w:rPr>
            </w:pPr>
            <w:r>
              <w:rPr>
                <w:rFonts w:hint="eastAsia" w:asciiTheme="majorEastAsia" w:hAnsiTheme="majorEastAsia" w:eastAsiaTheme="majorEastAsia" w:cstheme="majorEastAsia"/>
                <w:color w:val="auto"/>
                <w:sz w:val="24"/>
                <w:lang w:val="en-US" w:eastAsia="zh-CN"/>
              </w:rPr>
              <w:t>配送实施方案：包括</w:t>
            </w:r>
            <w:r>
              <w:rPr>
                <w:rFonts w:hint="eastAsia" w:ascii="仿宋" w:hAnsi="仿宋" w:eastAsia="仿宋" w:cs="仿宋"/>
                <w:color w:val="auto"/>
                <w:sz w:val="24"/>
                <w:lang w:val="en-US" w:eastAsia="zh-CN"/>
              </w:rPr>
              <w:t>①</w:t>
            </w:r>
            <w:r>
              <w:rPr>
                <w:rFonts w:hint="eastAsia" w:asciiTheme="majorEastAsia" w:hAnsiTheme="majorEastAsia" w:eastAsiaTheme="majorEastAsia" w:cstheme="majorEastAsia"/>
                <w:color w:val="auto"/>
                <w:sz w:val="24"/>
                <w:lang w:val="en-US" w:eastAsia="zh-CN"/>
              </w:rPr>
              <w:t>总体部署、</w:t>
            </w:r>
            <w:r>
              <w:rPr>
                <w:rFonts w:hint="eastAsia" w:ascii="仿宋" w:hAnsi="仿宋" w:eastAsia="仿宋" w:cs="仿宋"/>
                <w:color w:val="auto"/>
                <w:sz w:val="24"/>
                <w:lang w:val="en-US" w:eastAsia="zh-CN"/>
              </w:rPr>
              <w:t>②</w:t>
            </w:r>
            <w:r>
              <w:rPr>
                <w:rFonts w:hint="eastAsia" w:asciiTheme="majorEastAsia" w:hAnsiTheme="majorEastAsia" w:eastAsiaTheme="majorEastAsia" w:cstheme="majorEastAsia"/>
                <w:color w:val="auto"/>
                <w:sz w:val="24"/>
                <w:lang w:val="en-US" w:eastAsia="zh-CN"/>
              </w:rPr>
              <w:t>供货措施、</w:t>
            </w:r>
            <w:r>
              <w:rPr>
                <w:rFonts w:hint="eastAsia" w:ascii="仿宋" w:hAnsi="仿宋" w:eastAsia="仿宋" w:cs="仿宋"/>
                <w:color w:val="auto"/>
                <w:sz w:val="24"/>
                <w:lang w:val="en-US" w:eastAsia="zh-CN"/>
              </w:rPr>
              <w:t>③</w:t>
            </w:r>
            <w:r>
              <w:rPr>
                <w:rFonts w:hint="eastAsia" w:asciiTheme="majorEastAsia" w:hAnsiTheme="majorEastAsia" w:eastAsiaTheme="majorEastAsia" w:cstheme="majorEastAsia"/>
                <w:color w:val="auto"/>
                <w:sz w:val="24"/>
                <w:lang w:val="en-US" w:eastAsia="zh-CN"/>
              </w:rPr>
              <w:t>运输方案、</w:t>
            </w:r>
            <w:r>
              <w:rPr>
                <w:rFonts w:hint="eastAsia" w:ascii="仿宋" w:hAnsi="仿宋" w:eastAsia="仿宋" w:cs="仿宋"/>
                <w:color w:val="auto"/>
                <w:sz w:val="24"/>
                <w:lang w:val="en-US" w:eastAsia="zh-CN"/>
              </w:rPr>
              <w:t>④</w:t>
            </w:r>
            <w:r>
              <w:rPr>
                <w:rFonts w:hint="eastAsia" w:asciiTheme="majorEastAsia" w:hAnsiTheme="majorEastAsia" w:eastAsiaTheme="majorEastAsia" w:cstheme="majorEastAsia"/>
                <w:color w:val="auto"/>
                <w:sz w:val="24"/>
                <w:lang w:val="en-US" w:eastAsia="zh-CN"/>
              </w:rPr>
              <w:t>现场管理计划等完善、科学、合理、切合度高的视为符合，完全符合的每项得3分，基本符合的每项得2分，部分符合的得1分，不符合或未提供的不得分，本项最高12分</w:t>
            </w:r>
          </w:p>
        </w:tc>
        <w:tc>
          <w:tcPr>
            <w:tcW w:w="696" w:type="dxa"/>
            <w:vAlign w:val="center"/>
          </w:tcPr>
          <w:p>
            <w:pPr>
              <w:spacing w:line="360" w:lineRule="auto"/>
              <w:jc w:val="center"/>
              <w:rPr>
                <w:rFonts w:hint="default"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12</w:t>
            </w:r>
          </w:p>
        </w:tc>
        <w:tc>
          <w:tcPr>
            <w:tcW w:w="1281" w:type="dxa"/>
            <w:vAlign w:val="center"/>
          </w:tcPr>
          <w:p>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主观分</w:t>
            </w:r>
          </w:p>
        </w:tc>
        <w:tc>
          <w:tcPr>
            <w:tcW w:w="1773"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napToGrid w:val="0"/>
              <w:spacing w:line="36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14</w:t>
            </w:r>
          </w:p>
        </w:tc>
        <w:tc>
          <w:tcPr>
            <w:tcW w:w="5070" w:type="dxa"/>
            <w:vAlign w:val="center"/>
          </w:tcPr>
          <w:p>
            <w:pPr>
              <w:pStyle w:val="60"/>
              <w:ind w:left="0" w:leftChars="0" w:firstLine="0" w:firstLineChars="0"/>
              <w:rPr>
                <w:rFonts w:hint="default" w:asciiTheme="majorEastAsia" w:hAnsiTheme="majorEastAsia" w:eastAsiaTheme="majorEastAsia" w:cstheme="majorEastAsia"/>
                <w:snapToGrid/>
                <w:color w:val="auto"/>
                <w:kern w:val="2"/>
                <w:sz w:val="24"/>
                <w:szCs w:val="20"/>
                <w:lang w:val="en-US" w:eastAsia="zh-CN" w:bidi="ar-SA"/>
              </w:rPr>
            </w:pPr>
            <w:r>
              <w:rPr>
                <w:rFonts w:hint="eastAsia" w:asciiTheme="majorEastAsia" w:hAnsiTheme="majorEastAsia" w:eastAsiaTheme="majorEastAsia" w:cstheme="majorEastAsia"/>
                <w:color w:val="auto"/>
                <w:sz w:val="24"/>
                <w:lang w:val="en-US" w:eastAsia="zh-CN"/>
              </w:rPr>
              <w:t>投标人的</w:t>
            </w:r>
            <w:r>
              <w:rPr>
                <w:rFonts w:hint="eastAsia" w:ascii="仿宋" w:hAnsi="仿宋" w:eastAsia="仿宋" w:cs="仿宋"/>
                <w:color w:val="auto"/>
                <w:sz w:val="24"/>
                <w:lang w:val="en-US" w:eastAsia="zh-CN"/>
              </w:rPr>
              <w:t>①</w:t>
            </w:r>
            <w:r>
              <w:rPr>
                <w:rFonts w:hint="eastAsia" w:asciiTheme="majorEastAsia" w:hAnsiTheme="majorEastAsia" w:eastAsiaTheme="majorEastAsia" w:cstheme="majorEastAsia"/>
                <w:color w:val="auto"/>
                <w:sz w:val="24"/>
                <w:lang w:val="en-US" w:eastAsia="zh-CN"/>
              </w:rPr>
              <w:t>食品安全管理制度、</w:t>
            </w:r>
            <w:r>
              <w:rPr>
                <w:rFonts w:hint="eastAsia" w:ascii="仿宋" w:hAnsi="仿宋" w:eastAsia="仿宋" w:cs="仿宋"/>
                <w:color w:val="auto"/>
                <w:sz w:val="24"/>
                <w:lang w:val="en-US" w:eastAsia="zh-CN"/>
              </w:rPr>
              <w:t>②</w:t>
            </w:r>
            <w:r>
              <w:rPr>
                <w:rFonts w:hint="eastAsia" w:asciiTheme="majorEastAsia" w:hAnsiTheme="majorEastAsia" w:eastAsiaTheme="majorEastAsia" w:cstheme="majorEastAsia"/>
                <w:color w:val="auto"/>
                <w:sz w:val="24"/>
                <w:lang w:val="en-US" w:eastAsia="zh-CN"/>
              </w:rPr>
              <w:t>财务制度、</w:t>
            </w:r>
            <w:r>
              <w:rPr>
                <w:rFonts w:hint="eastAsia" w:ascii="仿宋" w:hAnsi="仿宋" w:eastAsia="仿宋" w:cs="仿宋"/>
                <w:color w:val="auto"/>
                <w:sz w:val="24"/>
                <w:lang w:val="en-US" w:eastAsia="zh-CN"/>
              </w:rPr>
              <w:t>③</w:t>
            </w:r>
            <w:r>
              <w:rPr>
                <w:rFonts w:hint="eastAsia" w:asciiTheme="majorEastAsia" w:hAnsiTheme="majorEastAsia" w:eastAsiaTheme="majorEastAsia" w:cstheme="majorEastAsia"/>
                <w:color w:val="auto"/>
                <w:sz w:val="24"/>
                <w:lang w:val="en-US" w:eastAsia="zh-CN"/>
              </w:rPr>
              <w:t>供货质量控制制度合理科学完善的视为符合，完全符合的每项得3分，基本符合的每项得2分，部分符合的得1分，不符合或未提供的不得分，本项最高9分</w:t>
            </w:r>
          </w:p>
        </w:tc>
        <w:tc>
          <w:tcPr>
            <w:tcW w:w="696" w:type="dxa"/>
            <w:vAlign w:val="center"/>
          </w:tcPr>
          <w:p>
            <w:pPr>
              <w:spacing w:line="360" w:lineRule="auto"/>
              <w:jc w:val="center"/>
              <w:rPr>
                <w:rFonts w:hint="default"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9</w:t>
            </w:r>
          </w:p>
        </w:tc>
        <w:tc>
          <w:tcPr>
            <w:tcW w:w="1281"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主观分</w:t>
            </w:r>
          </w:p>
        </w:tc>
        <w:tc>
          <w:tcPr>
            <w:tcW w:w="1773"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napToGrid w:val="0"/>
              <w:spacing w:line="36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15</w:t>
            </w:r>
          </w:p>
        </w:tc>
        <w:tc>
          <w:tcPr>
            <w:tcW w:w="5070" w:type="dxa"/>
            <w:vAlign w:val="center"/>
          </w:tcPr>
          <w:p>
            <w:pPr>
              <w:pStyle w:val="60"/>
              <w:ind w:left="0" w:leftChars="0" w:firstLine="0" w:firstLineChars="0"/>
              <w:rPr>
                <w:rFonts w:hint="default" w:asciiTheme="majorEastAsia" w:hAnsiTheme="majorEastAsia" w:eastAsiaTheme="majorEastAsia" w:cstheme="majorEastAsia"/>
                <w:snapToGrid/>
                <w:color w:val="auto"/>
                <w:kern w:val="2"/>
                <w:sz w:val="24"/>
                <w:szCs w:val="20"/>
                <w:lang w:val="en-US" w:eastAsia="zh-CN" w:bidi="ar-SA"/>
              </w:rPr>
            </w:pPr>
            <w:r>
              <w:rPr>
                <w:rFonts w:hint="eastAsia" w:asciiTheme="majorEastAsia" w:hAnsiTheme="majorEastAsia" w:eastAsiaTheme="majorEastAsia" w:cstheme="majorEastAsia"/>
                <w:color w:val="auto"/>
                <w:sz w:val="24"/>
                <w:lang w:val="en-US" w:eastAsia="zh-CN"/>
              </w:rPr>
              <w:t>根据投标人对供货中突发事件的解决措施，急件采购的应急方案科学、完善、合理的视为符合，完全符合的每项得3分，基本符合的每项得2分，部分符合的得1分，不符合或未提供的不得分，本项最高6分</w:t>
            </w:r>
          </w:p>
        </w:tc>
        <w:tc>
          <w:tcPr>
            <w:tcW w:w="696" w:type="dxa"/>
            <w:vAlign w:val="center"/>
          </w:tcPr>
          <w:p>
            <w:pPr>
              <w:spacing w:line="360" w:lineRule="auto"/>
              <w:jc w:val="center"/>
              <w:rPr>
                <w:rFonts w:hint="default"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6</w:t>
            </w:r>
          </w:p>
        </w:tc>
        <w:tc>
          <w:tcPr>
            <w:tcW w:w="1281"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主观分</w:t>
            </w:r>
          </w:p>
        </w:tc>
        <w:tc>
          <w:tcPr>
            <w:tcW w:w="1773"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napToGrid w:val="0"/>
              <w:spacing w:line="36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16</w:t>
            </w:r>
          </w:p>
        </w:tc>
        <w:tc>
          <w:tcPr>
            <w:tcW w:w="5070" w:type="dxa"/>
            <w:vAlign w:val="center"/>
          </w:tcPr>
          <w:p>
            <w:pPr>
              <w:pStyle w:val="60"/>
              <w:ind w:left="0" w:leftChars="0" w:firstLine="0" w:firstLineChars="0"/>
              <w:rPr>
                <w:rFonts w:hint="default" w:asciiTheme="majorEastAsia" w:hAnsiTheme="majorEastAsia" w:eastAsiaTheme="majorEastAsia" w:cstheme="majorEastAsia"/>
                <w:snapToGrid/>
                <w:color w:val="auto"/>
                <w:kern w:val="2"/>
                <w:sz w:val="24"/>
                <w:szCs w:val="20"/>
                <w:lang w:val="en-US" w:eastAsia="zh-CN" w:bidi="ar-SA"/>
              </w:rPr>
            </w:pPr>
            <w:r>
              <w:rPr>
                <w:rFonts w:hint="eastAsia" w:asciiTheme="majorEastAsia" w:hAnsiTheme="majorEastAsia" w:eastAsiaTheme="majorEastAsia" w:cstheme="majorEastAsia"/>
                <w:color w:val="auto"/>
                <w:sz w:val="24"/>
                <w:lang w:val="en-US" w:eastAsia="zh-CN"/>
              </w:rPr>
              <w:t>根据投标人提供的售后服务方案完善合理的视为符合，完全符合的得3分，基本符合的得2分，部分符合的得1分，不符合或者未提供的不得分。</w:t>
            </w:r>
          </w:p>
        </w:tc>
        <w:tc>
          <w:tcPr>
            <w:tcW w:w="696" w:type="dxa"/>
            <w:vAlign w:val="center"/>
          </w:tcPr>
          <w:p>
            <w:pPr>
              <w:spacing w:line="360" w:lineRule="auto"/>
              <w:jc w:val="center"/>
              <w:rPr>
                <w:rFonts w:hint="default"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3</w:t>
            </w:r>
          </w:p>
        </w:tc>
        <w:tc>
          <w:tcPr>
            <w:tcW w:w="1281"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主观分</w:t>
            </w:r>
          </w:p>
        </w:tc>
        <w:tc>
          <w:tcPr>
            <w:tcW w:w="1773"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napToGrid w:val="0"/>
              <w:spacing w:line="36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17</w:t>
            </w:r>
          </w:p>
        </w:tc>
        <w:tc>
          <w:tcPr>
            <w:tcW w:w="5070" w:type="dxa"/>
            <w:vAlign w:val="center"/>
          </w:tcPr>
          <w:p>
            <w:pPr>
              <w:spacing w:line="360" w:lineRule="auto"/>
              <w:outlineLvl w:val="0"/>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0"/>
              </w:rPr>
              <w:t>卫生管理控制方案（食品卫生、</w:t>
            </w:r>
            <w:r>
              <w:rPr>
                <w:rFonts w:hint="eastAsia" w:asciiTheme="majorEastAsia" w:hAnsiTheme="majorEastAsia" w:eastAsiaTheme="majorEastAsia" w:cstheme="majorEastAsia"/>
                <w:color w:val="auto"/>
                <w:sz w:val="24"/>
                <w:szCs w:val="20"/>
                <w:lang w:val="en-US" w:eastAsia="zh-CN"/>
              </w:rPr>
              <w:t>送货</w:t>
            </w:r>
            <w:r>
              <w:rPr>
                <w:rFonts w:hint="eastAsia" w:asciiTheme="majorEastAsia" w:hAnsiTheme="majorEastAsia" w:eastAsiaTheme="majorEastAsia" w:cstheme="majorEastAsia"/>
                <w:color w:val="auto"/>
                <w:sz w:val="24"/>
                <w:szCs w:val="20"/>
              </w:rPr>
              <w:t>人员卫生等），方案的完整、科学、合理</w:t>
            </w:r>
            <w:r>
              <w:rPr>
                <w:rFonts w:hint="eastAsia" w:asciiTheme="majorEastAsia" w:hAnsiTheme="majorEastAsia" w:eastAsiaTheme="majorEastAsia" w:cstheme="majorEastAsia"/>
                <w:color w:val="auto"/>
                <w:sz w:val="24"/>
                <w:szCs w:val="20"/>
                <w:lang w:val="en-US" w:eastAsia="zh-CN"/>
              </w:rPr>
              <w:t>的视为符合</w:t>
            </w:r>
            <w:r>
              <w:rPr>
                <w:rFonts w:hint="eastAsia" w:asciiTheme="majorEastAsia" w:hAnsiTheme="majorEastAsia" w:eastAsiaTheme="majorEastAsia" w:cstheme="majorEastAsia"/>
                <w:color w:val="auto"/>
                <w:sz w:val="24"/>
                <w:szCs w:val="20"/>
                <w:lang w:eastAsia="zh-CN"/>
              </w:rPr>
              <w:t>，</w:t>
            </w:r>
            <w:r>
              <w:rPr>
                <w:rFonts w:hint="eastAsia" w:asciiTheme="majorEastAsia" w:hAnsiTheme="majorEastAsia" w:eastAsiaTheme="majorEastAsia" w:cstheme="majorEastAsia"/>
                <w:color w:val="auto"/>
                <w:sz w:val="24"/>
                <w:szCs w:val="20"/>
                <w:lang w:val="en-US" w:eastAsia="zh-CN"/>
              </w:rPr>
              <w:t>完全符合的得3分，基本符合的得1分，不符合或者未提供的不得分</w:t>
            </w:r>
            <w:r>
              <w:rPr>
                <w:rFonts w:hint="eastAsia" w:asciiTheme="majorEastAsia" w:hAnsiTheme="majorEastAsia" w:eastAsiaTheme="majorEastAsia" w:cstheme="majorEastAsia"/>
                <w:color w:val="auto"/>
                <w:sz w:val="24"/>
                <w:szCs w:val="20"/>
              </w:rPr>
              <w:t>。</w:t>
            </w:r>
          </w:p>
        </w:tc>
        <w:tc>
          <w:tcPr>
            <w:tcW w:w="696" w:type="dxa"/>
            <w:vAlign w:val="center"/>
          </w:tcPr>
          <w:p>
            <w:pPr>
              <w:spacing w:line="360" w:lineRule="auto"/>
              <w:jc w:val="cente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3</w:t>
            </w:r>
          </w:p>
        </w:tc>
        <w:tc>
          <w:tcPr>
            <w:tcW w:w="1281"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主观分</w:t>
            </w:r>
          </w:p>
        </w:tc>
        <w:tc>
          <w:tcPr>
            <w:tcW w:w="1773"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napToGrid w:val="0"/>
              <w:spacing w:line="36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18</w:t>
            </w:r>
          </w:p>
        </w:tc>
        <w:tc>
          <w:tcPr>
            <w:tcW w:w="5070" w:type="dxa"/>
            <w:vAlign w:val="center"/>
          </w:tcPr>
          <w:p>
            <w:pPr>
              <w:widowControl/>
              <w:spacing w:line="380" w:lineRule="exact"/>
              <w:jc w:val="left"/>
              <w:rPr>
                <w:rFonts w:hint="default"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pacing w:val="-10"/>
                <w:sz w:val="24"/>
              </w:rPr>
              <w:t>评委根据投标人针对本项目提交的合理化建议</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每提供一条得1分，本项最高3分。</w:t>
            </w:r>
          </w:p>
        </w:tc>
        <w:tc>
          <w:tcPr>
            <w:tcW w:w="696" w:type="dxa"/>
            <w:vAlign w:val="center"/>
          </w:tcPr>
          <w:p>
            <w:pPr>
              <w:spacing w:line="360" w:lineRule="auto"/>
              <w:jc w:val="cente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3</w:t>
            </w:r>
          </w:p>
        </w:tc>
        <w:tc>
          <w:tcPr>
            <w:tcW w:w="1281"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主观分</w:t>
            </w:r>
          </w:p>
        </w:tc>
        <w:tc>
          <w:tcPr>
            <w:tcW w:w="1773"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napToGrid w:val="0"/>
              <w:spacing w:line="360" w:lineRule="auto"/>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19</w:t>
            </w:r>
          </w:p>
        </w:tc>
        <w:tc>
          <w:tcPr>
            <w:tcW w:w="5070" w:type="dxa"/>
            <w:vAlign w:val="center"/>
          </w:tcPr>
          <w:p>
            <w:pPr>
              <w:widowControl/>
              <w:spacing w:line="380" w:lineRule="exact"/>
              <w:jc w:val="left"/>
              <w:rPr>
                <w:rFonts w:hint="default" w:asciiTheme="majorEastAsia" w:hAnsiTheme="majorEastAsia" w:eastAsiaTheme="majorEastAsia" w:cstheme="majorEastAsia"/>
                <w:color w:val="auto"/>
                <w:spacing w:val="-10"/>
                <w:kern w:val="2"/>
                <w:sz w:val="24"/>
                <w:szCs w:val="24"/>
                <w:lang w:val="en-US" w:eastAsia="zh-CN" w:bidi="ar-SA"/>
              </w:rPr>
            </w:pPr>
            <w:r>
              <w:rPr>
                <w:rFonts w:hint="eastAsia" w:asciiTheme="majorEastAsia" w:hAnsiTheme="majorEastAsia" w:eastAsiaTheme="majorEastAsia" w:cstheme="majorEastAsia"/>
                <w:color w:val="auto"/>
                <w:spacing w:val="-10"/>
                <w:sz w:val="24"/>
                <w:lang w:val="en-US" w:eastAsia="zh-CN"/>
              </w:rPr>
              <w:t>根据投标人针对本项目提供的特色服务进行打分，每提供一条得1分，本项最高3分。</w:t>
            </w:r>
          </w:p>
        </w:tc>
        <w:tc>
          <w:tcPr>
            <w:tcW w:w="696" w:type="dxa"/>
            <w:vAlign w:val="center"/>
          </w:tcPr>
          <w:p>
            <w:pPr>
              <w:spacing w:line="360" w:lineRule="auto"/>
              <w:jc w:val="center"/>
              <w:rPr>
                <w:rFonts w:hint="default"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sz w:val="24"/>
                <w:szCs w:val="24"/>
                <w:lang w:val="en-US" w:eastAsia="zh-CN"/>
              </w:rPr>
              <w:t>3</w:t>
            </w:r>
          </w:p>
        </w:tc>
        <w:tc>
          <w:tcPr>
            <w:tcW w:w="1281" w:type="dxa"/>
            <w:vAlign w:val="center"/>
          </w:tcPr>
          <w:p>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主观分</w:t>
            </w:r>
          </w:p>
        </w:tc>
        <w:tc>
          <w:tcPr>
            <w:tcW w:w="1773" w:type="dxa"/>
          </w:tcPr>
          <w:p>
            <w:pPr>
              <w:snapToGrid w:val="0"/>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20</w:t>
            </w:r>
          </w:p>
        </w:tc>
        <w:tc>
          <w:tcPr>
            <w:tcW w:w="5070" w:type="dxa"/>
          </w:tcPr>
          <w:p>
            <w:pPr>
              <w:pStyle w:val="23"/>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sz w:val="24"/>
                <w:szCs w:val="24"/>
                <w:highlight w:val="none"/>
                <w:lang w:val="en-US" w:eastAsia="zh-CN"/>
              </w:rPr>
              <w:t>①食堂配送</w:t>
            </w:r>
            <w:r>
              <w:rPr>
                <w:rFonts w:hint="eastAsia" w:ascii="宋体" w:hAnsi="宋体" w:eastAsia="宋体" w:cs="宋体"/>
                <w:b/>
                <w:bCs/>
                <w:color w:val="auto"/>
                <w:sz w:val="24"/>
                <w:szCs w:val="24"/>
                <w:highlight w:val="none"/>
                <w:lang w:val="zh-CN" w:eastAsia="zh-CN"/>
              </w:rPr>
              <w:t>有效投标报价的最低价作为评标基准价，其最低报价为满分；按［</w:t>
            </w:r>
            <w:r>
              <w:rPr>
                <w:rFonts w:hint="eastAsia" w:ascii="宋体" w:hAnsi="宋体" w:eastAsia="宋体" w:cs="宋体"/>
                <w:b/>
                <w:bCs/>
                <w:color w:val="auto"/>
                <w:sz w:val="24"/>
                <w:szCs w:val="24"/>
                <w:highlight w:val="none"/>
              </w:rPr>
              <w:t>（蔬菜类评标基准折扣/蔬菜类投标人投标折扣）×</w:t>
            </w:r>
            <w:r>
              <w:rPr>
                <w:rFonts w:hint="eastAsia"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w:t>
            </w:r>
            <w:r>
              <w:rPr>
                <w:rFonts w:hint="eastAsia" w:hAnsi="宋体" w:cs="宋体"/>
                <w:b/>
                <w:bCs/>
                <w:color w:val="auto"/>
                <w:sz w:val="24"/>
                <w:szCs w:val="24"/>
                <w:highlight w:val="none"/>
                <w:lang w:val="en-US" w:eastAsia="zh-CN"/>
              </w:rPr>
              <w:t>粮油类</w:t>
            </w:r>
            <w:r>
              <w:rPr>
                <w:rFonts w:hint="eastAsia" w:ascii="宋体" w:hAnsi="宋体" w:eastAsia="宋体" w:cs="宋体"/>
                <w:b/>
                <w:bCs/>
                <w:color w:val="auto"/>
                <w:sz w:val="24"/>
                <w:szCs w:val="24"/>
                <w:highlight w:val="none"/>
              </w:rPr>
              <w:t>评标基准折扣/</w:t>
            </w:r>
            <w:r>
              <w:rPr>
                <w:rFonts w:hint="eastAsia" w:hAnsi="宋体" w:cs="宋体"/>
                <w:b/>
                <w:bCs/>
                <w:color w:val="auto"/>
                <w:sz w:val="24"/>
                <w:szCs w:val="24"/>
                <w:highlight w:val="none"/>
                <w:lang w:val="en-US" w:eastAsia="zh-CN"/>
              </w:rPr>
              <w:t>粮油类</w:t>
            </w:r>
            <w:r>
              <w:rPr>
                <w:rFonts w:hint="eastAsia" w:ascii="宋体" w:hAnsi="宋体" w:eastAsia="宋体" w:cs="宋体"/>
                <w:b/>
                <w:bCs/>
                <w:color w:val="auto"/>
                <w:sz w:val="24"/>
                <w:szCs w:val="24"/>
                <w:highlight w:val="none"/>
              </w:rPr>
              <w:t>投标人投标折扣）×</w:t>
            </w:r>
            <w:r>
              <w:rPr>
                <w:rFonts w:hint="eastAsia"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w:t>
            </w:r>
            <w:r>
              <w:rPr>
                <w:rFonts w:hint="eastAsia" w:hAnsi="宋体" w:cs="宋体"/>
                <w:b/>
                <w:bCs/>
                <w:color w:val="auto"/>
                <w:sz w:val="24"/>
                <w:szCs w:val="24"/>
                <w:highlight w:val="none"/>
                <w:lang w:val="en-US" w:eastAsia="zh-CN"/>
              </w:rPr>
              <w:t>冷冻品类</w:t>
            </w:r>
            <w:r>
              <w:rPr>
                <w:rFonts w:hint="eastAsia" w:ascii="宋体" w:hAnsi="宋体" w:eastAsia="宋体" w:cs="宋体"/>
                <w:b/>
                <w:bCs/>
                <w:color w:val="auto"/>
                <w:sz w:val="24"/>
                <w:szCs w:val="24"/>
                <w:highlight w:val="none"/>
                <w:lang w:val="en-US"/>
              </w:rPr>
              <w:t>评标基准折扣</w:t>
            </w:r>
            <w:r>
              <w:rPr>
                <w:rFonts w:hint="eastAsia" w:ascii="宋体" w:hAnsi="宋体" w:eastAsia="宋体" w:cs="宋体"/>
                <w:b/>
                <w:bCs/>
                <w:color w:val="auto"/>
                <w:sz w:val="24"/>
                <w:szCs w:val="24"/>
                <w:highlight w:val="none"/>
              </w:rPr>
              <w:t>/</w:t>
            </w:r>
            <w:r>
              <w:rPr>
                <w:rFonts w:hint="eastAsia" w:hAnsi="宋体" w:cs="宋体"/>
                <w:b/>
                <w:bCs/>
                <w:color w:val="auto"/>
                <w:sz w:val="24"/>
                <w:szCs w:val="24"/>
                <w:highlight w:val="none"/>
                <w:lang w:val="en-US" w:eastAsia="zh-CN"/>
              </w:rPr>
              <w:t>冷冻品类</w:t>
            </w:r>
            <w:r>
              <w:rPr>
                <w:rFonts w:hint="eastAsia" w:ascii="宋体" w:hAnsi="宋体" w:eastAsia="宋体" w:cs="宋体"/>
                <w:b/>
                <w:bCs/>
                <w:color w:val="auto"/>
                <w:sz w:val="24"/>
                <w:szCs w:val="24"/>
                <w:highlight w:val="none"/>
                <w:lang w:val="en-US"/>
              </w:rPr>
              <w:t>投标人投标折扣</w:t>
            </w:r>
            <w:r>
              <w:rPr>
                <w:rFonts w:hint="eastAsia" w:ascii="宋体" w:hAnsi="宋体" w:eastAsia="宋体" w:cs="宋体"/>
                <w:b/>
                <w:bCs/>
                <w:color w:val="auto"/>
                <w:sz w:val="24"/>
                <w:szCs w:val="24"/>
                <w:highlight w:val="none"/>
              </w:rPr>
              <w:t>）×</w:t>
            </w:r>
            <w:r>
              <w:rPr>
                <w:rFonts w:hint="eastAsia"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w:t>
            </w:r>
            <w:r>
              <w:rPr>
                <w:rFonts w:hint="eastAsia" w:hAnsi="宋体" w:cs="宋体"/>
                <w:b/>
                <w:bCs/>
                <w:color w:val="auto"/>
                <w:sz w:val="24"/>
                <w:szCs w:val="24"/>
                <w:highlight w:val="none"/>
                <w:lang w:val="en-US" w:eastAsia="zh-CN"/>
              </w:rPr>
              <w:t>调味品类</w:t>
            </w:r>
            <w:r>
              <w:rPr>
                <w:rFonts w:hint="eastAsia" w:ascii="宋体" w:hAnsi="宋体" w:eastAsia="宋体" w:cs="宋体"/>
                <w:b/>
                <w:bCs/>
                <w:color w:val="auto"/>
                <w:sz w:val="24"/>
                <w:szCs w:val="24"/>
                <w:highlight w:val="none"/>
              </w:rPr>
              <w:t>评标基准折扣/</w:t>
            </w:r>
            <w:r>
              <w:rPr>
                <w:rFonts w:hint="eastAsia" w:hAnsi="宋体" w:cs="宋体"/>
                <w:b/>
                <w:bCs/>
                <w:color w:val="auto"/>
                <w:sz w:val="24"/>
                <w:szCs w:val="24"/>
                <w:highlight w:val="none"/>
                <w:lang w:val="en-US" w:eastAsia="zh-CN"/>
              </w:rPr>
              <w:t>调味品类</w:t>
            </w:r>
            <w:r>
              <w:rPr>
                <w:rFonts w:hint="eastAsia" w:ascii="宋体" w:hAnsi="宋体" w:eastAsia="宋体" w:cs="宋体"/>
                <w:b/>
                <w:bCs/>
                <w:color w:val="auto"/>
                <w:sz w:val="24"/>
                <w:szCs w:val="24"/>
                <w:highlight w:val="none"/>
              </w:rPr>
              <w:t>投标人投标折扣）×</w:t>
            </w:r>
            <w:r>
              <w:rPr>
                <w:rFonts w:hint="eastAsia"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w:t>
            </w:r>
            <w:r>
              <w:rPr>
                <w:rFonts w:hint="eastAsia" w:hAnsi="宋体" w:cs="宋体"/>
                <w:b/>
                <w:bCs/>
                <w:color w:val="auto"/>
                <w:sz w:val="24"/>
                <w:szCs w:val="24"/>
                <w:highlight w:val="none"/>
                <w:lang w:val="en-US" w:eastAsia="zh-CN"/>
              </w:rPr>
              <w:t>其他</w:t>
            </w:r>
            <w:r>
              <w:rPr>
                <w:rFonts w:hint="eastAsia" w:ascii="宋体" w:hAnsi="宋体" w:eastAsia="宋体" w:cs="宋体"/>
                <w:b/>
                <w:bCs/>
                <w:color w:val="auto"/>
                <w:sz w:val="24"/>
                <w:szCs w:val="24"/>
                <w:highlight w:val="none"/>
              </w:rPr>
              <w:t>类</w:t>
            </w:r>
            <w:r>
              <w:rPr>
                <w:rFonts w:hint="eastAsia" w:hAnsi="宋体" w:cs="宋体"/>
                <w:b/>
                <w:bCs/>
                <w:color w:val="auto"/>
                <w:sz w:val="24"/>
                <w:szCs w:val="24"/>
                <w:highlight w:val="none"/>
                <w:lang w:eastAsia="zh-CN"/>
              </w:rPr>
              <w:t>（</w:t>
            </w:r>
            <w:r>
              <w:rPr>
                <w:rFonts w:hint="eastAsia" w:hAnsi="宋体" w:cs="宋体"/>
                <w:b/>
                <w:bCs/>
                <w:color w:val="auto"/>
                <w:sz w:val="24"/>
                <w:szCs w:val="24"/>
                <w:highlight w:val="none"/>
                <w:lang w:val="en-US" w:eastAsia="zh-CN"/>
              </w:rPr>
              <w:t>包括水产类、禽肉类、干货类、豆制品类、禽蛋类、鲜猪肉类、水果类、点心饮品类、厨房用品类等</w:t>
            </w:r>
            <w:r>
              <w:rPr>
                <w:rFonts w:hint="eastAsia"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评标基准折扣/</w:t>
            </w:r>
            <w:r>
              <w:rPr>
                <w:rFonts w:hint="eastAsia" w:hAnsi="宋体" w:cs="宋体"/>
                <w:b/>
                <w:bCs/>
                <w:color w:val="auto"/>
                <w:sz w:val="24"/>
                <w:szCs w:val="24"/>
                <w:highlight w:val="none"/>
                <w:lang w:val="en-US" w:eastAsia="zh-CN"/>
              </w:rPr>
              <w:t>其他</w:t>
            </w:r>
            <w:r>
              <w:rPr>
                <w:rFonts w:hint="eastAsia" w:ascii="宋体" w:hAnsi="宋体" w:eastAsia="宋体" w:cs="宋体"/>
                <w:b/>
                <w:bCs/>
                <w:color w:val="auto"/>
                <w:sz w:val="24"/>
                <w:szCs w:val="24"/>
                <w:highlight w:val="none"/>
              </w:rPr>
              <w:t>类投标人投标折扣）×</w:t>
            </w:r>
            <w:r>
              <w:rPr>
                <w:rFonts w:hint="eastAsia"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（四舍五入后保留小数2位）</w:t>
            </w:r>
            <w:r>
              <w:rPr>
                <w:rFonts w:hint="eastAsia" w:ascii="宋体" w:hAnsi="宋体" w:eastAsia="宋体" w:cs="宋体"/>
                <w:b/>
                <w:bCs/>
                <w:color w:val="auto"/>
                <w:kern w:val="2"/>
                <w:sz w:val="24"/>
                <w:szCs w:val="24"/>
                <w:highlight w:val="none"/>
                <w:lang w:val="zh-CN" w:eastAsia="zh-CN" w:bidi="ar-SA"/>
              </w:rPr>
              <w:t>］的计算公式计算。</w:t>
            </w:r>
          </w:p>
          <w:p>
            <w:pPr>
              <w:pStyle w:val="2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（例如：投标报价为：8折和7折时，则7折为评标基准价。在政采云平台制作投标文件，录入相应产品的投标报价（折扣）时）：</w:t>
            </w:r>
          </w:p>
          <w:p>
            <w:pPr>
              <w:pStyle w:val="2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8折对应80%，即为单类货物实际结算价=单类货物零售结算单价×80%（折扣）；</w:t>
            </w:r>
          </w:p>
          <w:p>
            <w:pPr>
              <w:pStyle w:val="2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7折对应70%，即为单类货物实际结算价=单类货物零售结算单价×70%（折扣）</w:t>
            </w:r>
          </w:p>
          <w:p>
            <w:pPr>
              <w:widowControl/>
              <w:shd w:val="clear" w:color="auto" w:fill="FFFFFF"/>
              <w:adjustRightInd/>
              <w:spacing w:after="225" w:line="315" w:lineRule="atLeast"/>
              <w:ind w:firstLine="420"/>
              <w:jc w:val="left"/>
              <w:rPr>
                <w:rFonts w:asciiTheme="minorEastAsia" w:hAnsiTheme="minorEastAsia" w:eastAsiaTheme="minorEastAsia"/>
                <w:color w:val="auto"/>
                <w:sz w:val="24"/>
              </w:rPr>
            </w:pPr>
            <w:r>
              <w:rPr>
                <w:rFonts w:hint="eastAsia" w:ascii="宋体" w:hAnsi="宋体" w:eastAsia="宋体" w:cs="宋体"/>
                <w:color w:val="auto"/>
                <w:sz w:val="24"/>
                <w:szCs w:val="24"/>
                <w:highlight w:val="none"/>
              </w:rPr>
              <w:t>因落实政府采购政策需要进行价格调整的，以调整后的价格计算评标基准价和投标报价。</w:t>
            </w:r>
          </w:p>
        </w:tc>
        <w:tc>
          <w:tcPr>
            <w:tcW w:w="696" w:type="dxa"/>
            <w:vAlign w:val="center"/>
          </w:tcPr>
          <w:p>
            <w:pPr>
              <w:spacing w:line="360" w:lineRule="auto"/>
              <w:jc w:val="center"/>
              <w:outlineLvl w:val="0"/>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20</w:t>
            </w:r>
          </w:p>
        </w:tc>
        <w:tc>
          <w:tcPr>
            <w:tcW w:w="1281" w:type="dxa"/>
            <w:vAlign w:val="center"/>
          </w:tcPr>
          <w:p>
            <w:pPr>
              <w:spacing w:line="360" w:lineRule="auto"/>
              <w:jc w:val="center"/>
              <w:outlineLvl w:val="0"/>
              <w:rPr>
                <w:rFonts w:cs="仿宋_GB2312" w:asciiTheme="minorEastAsia" w:hAnsiTheme="minorEastAsia" w:eastAsiaTheme="minorEastAsia"/>
                <w:color w:val="auto"/>
                <w:sz w:val="24"/>
              </w:rPr>
            </w:pPr>
          </w:p>
        </w:tc>
        <w:tc>
          <w:tcPr>
            <w:tcW w:w="1773" w:type="dxa"/>
            <w:vAlign w:val="center"/>
          </w:tcPr>
          <w:p>
            <w:pPr>
              <w:spacing w:line="360" w:lineRule="auto"/>
              <w:jc w:val="center"/>
              <w:outlineLvl w:val="0"/>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w:t>
            </w:r>
          </w:p>
        </w:tc>
      </w:tr>
    </w:tbl>
    <w:p>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p>
      <w:pPr>
        <w:rPr>
          <w:color w:val="auto"/>
        </w:rPr>
      </w:pPr>
    </w:p>
    <w:p>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bookmarkStart w:id="530" w:name="_GoBack"/>
      <w:bookmarkEnd w:id="530"/>
    </w:p>
    <w:p>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pPr>
        <w:pStyle w:val="130"/>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hd w:val="clea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pPr>
        <w:pStyle w:val="130"/>
        <w:shd w:val="clear"/>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pPr>
        <w:pStyle w:val="3"/>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pPr>
        <w:pStyle w:val="24"/>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pPr>
        <w:pStyle w:val="24"/>
        <w:snapToGrid w:val="0"/>
        <w:spacing w:line="360" w:lineRule="auto"/>
        <w:rPr>
          <w:rFonts w:cs="宋体"/>
          <w:color w:val="auto"/>
        </w:rPr>
      </w:pPr>
      <w:r>
        <w:rPr>
          <w:rFonts w:hint="eastAsia" w:cs="宋体"/>
          <w:color w:val="auto"/>
        </w:rPr>
        <w:t>5.1符合专业条件的供应商或者对招标文件作实质响应的供应商不足3家的；</w:t>
      </w:r>
    </w:p>
    <w:p>
      <w:pPr>
        <w:pStyle w:val="24"/>
        <w:snapToGrid w:val="0"/>
        <w:spacing w:line="360" w:lineRule="auto"/>
        <w:rPr>
          <w:rFonts w:cs="宋体"/>
          <w:color w:val="auto"/>
        </w:rPr>
      </w:pPr>
      <w:r>
        <w:rPr>
          <w:rFonts w:hint="eastAsia" w:cs="宋体"/>
          <w:color w:val="auto"/>
        </w:rPr>
        <w:t>5.2出现影响采购公正的违法、违规行为的；</w:t>
      </w:r>
    </w:p>
    <w:p>
      <w:pPr>
        <w:pStyle w:val="24"/>
        <w:snapToGrid w:val="0"/>
        <w:spacing w:line="360" w:lineRule="auto"/>
        <w:rPr>
          <w:rFonts w:cs="宋体"/>
          <w:color w:val="auto"/>
        </w:rPr>
      </w:pPr>
      <w:r>
        <w:rPr>
          <w:rFonts w:hint="eastAsia" w:cs="宋体"/>
          <w:color w:val="auto"/>
        </w:rPr>
        <w:t>5.3投标人的报价均超过了采购预算，采购人不能支付的；</w:t>
      </w:r>
    </w:p>
    <w:p>
      <w:pPr>
        <w:pStyle w:val="24"/>
        <w:snapToGrid w:val="0"/>
        <w:spacing w:line="360" w:lineRule="auto"/>
        <w:rPr>
          <w:rFonts w:cs="宋体"/>
          <w:color w:val="auto"/>
        </w:rPr>
      </w:pPr>
      <w:r>
        <w:rPr>
          <w:rFonts w:hint="eastAsia" w:cs="宋体"/>
          <w:color w:val="auto"/>
        </w:rPr>
        <w:t>5.4因重大变故，采购任务取消的。</w:t>
      </w:r>
    </w:p>
    <w:p>
      <w:pPr>
        <w:pStyle w:val="24"/>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pPr>
        <w:pStyle w:val="24"/>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pPr>
        <w:pStyle w:val="24"/>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pPr>
        <w:pStyle w:val="24"/>
        <w:snapToGrid w:val="0"/>
        <w:spacing w:line="360" w:lineRule="auto"/>
        <w:rPr>
          <w:rFonts w:cs="宋体"/>
          <w:color w:val="auto"/>
        </w:rPr>
      </w:pPr>
      <w:r>
        <w:rPr>
          <w:rFonts w:hint="eastAsia" w:cs="宋体"/>
          <w:color w:val="auto"/>
        </w:rPr>
        <w:t>7.1未确定中标供应商的，终止本次政府采购活动，重新开展政府采购活动。</w:t>
      </w:r>
    </w:p>
    <w:p>
      <w:pPr>
        <w:pStyle w:val="24"/>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auto"/>
        </w:rPr>
      </w:pPr>
      <w:r>
        <w:rPr>
          <w:rFonts w:hint="eastAsia" w:cs="宋体"/>
          <w:color w:val="auto"/>
        </w:rPr>
        <w:t>7.4政府采购合同已经履行，给采购人、供应商造成损失的，由责任人承担赔偿责任。</w:t>
      </w:r>
    </w:p>
    <w:p>
      <w:pPr>
        <w:pStyle w:val="24"/>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color w:val="auto"/>
        </w:rPr>
      </w:pPr>
    </w:p>
    <w:bookmarkEnd w:id="27"/>
    <w:p>
      <w:pPr>
        <w:spacing w:line="360" w:lineRule="auto"/>
        <w:ind w:left="720" w:leftChars="343" w:firstLine="1084" w:firstLineChars="300"/>
        <w:outlineLvl w:val="0"/>
        <w:rPr>
          <w:rFonts w:ascii="宋体" w:hAnsi="宋体" w:cs="宋体"/>
          <w:b/>
          <w:color w:val="auto"/>
          <w:sz w:val="36"/>
          <w:szCs w:val="36"/>
        </w:rPr>
      </w:pPr>
      <w:bookmarkStart w:id="404" w:name="第五部分"/>
      <w:bookmarkStart w:id="405" w:name="_Toc86217003"/>
    </w:p>
    <w:p>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 xml:space="preserve">    </w:t>
      </w:r>
    </w:p>
    <w:p>
      <w:pPr>
        <w:spacing w:line="360" w:lineRule="auto"/>
        <w:ind w:left="720" w:leftChars="343" w:firstLine="1084" w:firstLineChars="300"/>
        <w:outlineLvl w:val="0"/>
        <w:rPr>
          <w:rFonts w:ascii="宋体" w:hAnsi="宋体" w:cs="宋体"/>
          <w:b/>
          <w:color w:val="auto"/>
          <w:sz w:val="36"/>
          <w:szCs w:val="36"/>
        </w:rPr>
      </w:pPr>
    </w:p>
    <w:p>
      <w:pPr>
        <w:spacing w:line="360" w:lineRule="auto"/>
        <w:ind w:left="720" w:leftChars="343" w:firstLine="1084" w:firstLineChars="300"/>
        <w:outlineLvl w:val="0"/>
        <w:rPr>
          <w:rFonts w:ascii="宋体" w:hAnsi="宋体" w:cs="宋体"/>
          <w:b/>
          <w:color w:val="auto"/>
          <w:sz w:val="36"/>
          <w:szCs w:val="36"/>
        </w:rPr>
      </w:pPr>
    </w:p>
    <w:p>
      <w:pPr>
        <w:spacing w:line="360" w:lineRule="auto"/>
        <w:ind w:left="720" w:leftChars="343" w:firstLine="1084" w:firstLineChars="300"/>
        <w:outlineLvl w:val="0"/>
        <w:rPr>
          <w:rFonts w:ascii="宋体" w:hAnsi="宋体" w:cs="宋体"/>
          <w:b/>
          <w:color w:val="auto"/>
          <w:sz w:val="36"/>
          <w:szCs w:val="36"/>
        </w:rPr>
      </w:pPr>
    </w:p>
    <w:p>
      <w:pPr>
        <w:spacing w:line="360" w:lineRule="auto"/>
        <w:ind w:left="720" w:leftChars="343" w:firstLine="1084" w:firstLineChars="300"/>
        <w:outlineLvl w:val="0"/>
        <w:rPr>
          <w:rFonts w:ascii="宋体" w:hAnsi="宋体" w:cs="宋体"/>
          <w:b/>
          <w:color w:val="auto"/>
          <w:sz w:val="36"/>
          <w:szCs w:val="36"/>
        </w:rPr>
      </w:pPr>
    </w:p>
    <w:p>
      <w:pPr>
        <w:spacing w:line="360" w:lineRule="auto"/>
        <w:ind w:left="720" w:leftChars="343" w:firstLine="1084" w:firstLineChars="300"/>
        <w:outlineLvl w:val="0"/>
        <w:rPr>
          <w:rFonts w:ascii="宋体" w:hAnsi="宋体" w:cs="宋体"/>
          <w:b/>
          <w:color w:val="auto"/>
          <w:sz w:val="36"/>
          <w:szCs w:val="36"/>
        </w:rPr>
      </w:pPr>
    </w:p>
    <w:p>
      <w:pPr>
        <w:widowControl/>
        <w:adjustRightInd/>
        <w:jc w:val="left"/>
        <w:rPr>
          <w:rFonts w:ascii="宋体" w:hAnsi="宋体" w:cs="宋体"/>
          <w:b/>
          <w:color w:val="auto"/>
          <w:sz w:val="36"/>
          <w:szCs w:val="36"/>
        </w:rPr>
      </w:pPr>
      <w:r>
        <w:rPr>
          <w:rFonts w:ascii="宋体" w:hAnsi="宋体" w:cs="宋体"/>
          <w:b/>
          <w:color w:val="auto"/>
          <w:sz w:val="36"/>
          <w:szCs w:val="36"/>
        </w:rPr>
        <w:br w:type="page"/>
      </w:r>
    </w:p>
    <w:p>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pPr>
        <w:spacing w:line="480" w:lineRule="auto"/>
        <w:jc w:val="center"/>
        <w:rPr>
          <w:rFonts w:ascii="宋体" w:hAnsi="宋体" w:cs="宋体"/>
          <w:b/>
          <w:color w:val="auto"/>
          <w:sz w:val="28"/>
          <w:szCs w:val="28"/>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pPr>
        <w:pStyle w:val="701"/>
        <w:ind w:firstLine="2843" w:firstLineChars="1180"/>
        <w:rPr>
          <w:rFonts w:ascii="宋体" w:hAnsi="宋体" w:cs="宋体"/>
          <w:b/>
          <w:color w:val="auto"/>
          <w:szCs w:val="24"/>
        </w:rPr>
      </w:pPr>
      <w:r>
        <w:rPr>
          <w:rFonts w:hint="eastAsia" w:ascii="宋体" w:hAnsi="宋体" w:cs="宋体"/>
          <w:b/>
          <w:color w:val="auto"/>
          <w:szCs w:val="24"/>
        </w:rPr>
        <w:t>第一部分 合同书</w:t>
      </w:r>
    </w:p>
    <w:p>
      <w:pPr>
        <w:spacing w:before="120" w:line="22" w:lineRule="atLeast"/>
        <w:rPr>
          <w:rFonts w:ascii="宋体" w:hAnsi="宋体" w:cs="宋体"/>
          <w:color w:val="auto"/>
          <w:sz w:val="24"/>
        </w:rPr>
      </w:pPr>
    </w:p>
    <w:p>
      <w:pPr>
        <w:pStyle w:val="3"/>
        <w:rPr>
          <w:color w:val="auto"/>
        </w:rPr>
      </w:pPr>
    </w:p>
    <w:p>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pPr>
        <w:pStyle w:val="598"/>
        <w:spacing w:before="120" w:line="22" w:lineRule="atLeast"/>
        <w:rPr>
          <w:rFonts w:ascii="宋体" w:hAnsi="宋体" w:eastAsia="宋体" w:cs="宋体"/>
          <w:color w:val="auto"/>
          <w:szCs w:val="24"/>
        </w:rPr>
      </w:pPr>
    </w:p>
    <w:p>
      <w:pPr>
        <w:pStyle w:val="598"/>
        <w:spacing w:before="120" w:line="22" w:lineRule="atLeast"/>
        <w:rPr>
          <w:rFonts w:ascii="宋体" w:hAnsi="宋体" w:eastAsia="宋体" w:cs="宋体"/>
          <w:color w:val="auto"/>
          <w:szCs w:val="24"/>
        </w:rPr>
      </w:pPr>
    </w:p>
    <w:p>
      <w:pPr>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widowControl/>
        <w:jc w:val="left"/>
        <w:rPr>
          <w:rFonts w:ascii="宋体" w:hAnsi="宋体" w:cs="宋体"/>
          <w:color w:val="auto"/>
          <w:kern w:val="0"/>
          <w:sz w:val="24"/>
        </w:rPr>
        <w:sectPr>
          <w:pgSz w:w="11907" w:h="16840"/>
          <w:pgMar w:top="1474" w:right="1814" w:bottom="1474" w:left="1814" w:header="851" w:footer="851" w:gutter="0"/>
          <w:cols w:space="720" w:num="1"/>
        </w:sectPr>
      </w:pPr>
    </w:p>
    <w:p>
      <w:pPr>
        <w:rPr>
          <w:rFonts w:ascii="宋体" w:hAnsi="宋体" w:cs="宋体"/>
          <w:b/>
          <w:color w:val="auto"/>
          <w:sz w:val="24"/>
        </w:rPr>
      </w:pPr>
    </w:p>
    <w:p>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pPr>
        <w:spacing w:line="560" w:lineRule="exact"/>
        <w:ind w:firstLine="482" w:firstLineChars="200"/>
        <w:outlineLvl w:val="0"/>
        <w:rPr>
          <w:rFonts w:ascii="宋体" w:hAnsi="宋体"/>
          <w:color w:val="auto"/>
          <w:sz w:val="24"/>
        </w:rPr>
      </w:pPr>
      <w:bookmarkStart w:id="406" w:name="_Toc22967"/>
      <w:bookmarkStart w:id="407" w:name="_Toc20421"/>
      <w:bookmarkStart w:id="408" w:name="_Toc15367"/>
      <w:bookmarkStart w:id="409" w:name="_Toc28855"/>
      <w:bookmarkStart w:id="410" w:name="_Toc19273"/>
      <w:r>
        <w:rPr>
          <w:rFonts w:ascii="宋体" w:hAnsi="宋体"/>
          <w:b/>
          <w:color w:val="auto"/>
          <w:sz w:val="24"/>
        </w:rPr>
        <w:t xml:space="preserve">1.1 </w:t>
      </w:r>
      <w:r>
        <w:rPr>
          <w:rFonts w:hint="eastAsia" w:ascii="宋体" w:hAnsi="宋体"/>
          <w:b/>
          <w:color w:val="auto"/>
          <w:sz w:val="24"/>
        </w:rPr>
        <w:t>合同组成部分</w:t>
      </w:r>
      <w:bookmarkEnd w:id="406"/>
      <w:bookmarkEnd w:id="407"/>
      <w:bookmarkEnd w:id="408"/>
      <w:bookmarkEnd w:id="409"/>
      <w:bookmarkEnd w:id="410"/>
    </w:p>
    <w:p>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pPr>
        <w:spacing w:line="560" w:lineRule="exact"/>
        <w:ind w:firstLine="482" w:firstLineChars="200"/>
        <w:outlineLvl w:val="0"/>
        <w:rPr>
          <w:rFonts w:ascii="宋体" w:hAnsi="宋体"/>
          <w:b/>
          <w:color w:val="auto"/>
          <w:sz w:val="24"/>
        </w:rPr>
      </w:pPr>
      <w:bookmarkStart w:id="411" w:name="_Toc22185"/>
      <w:bookmarkStart w:id="412" w:name="_Toc6311"/>
      <w:bookmarkStart w:id="413" w:name="_Toc6773"/>
      <w:bookmarkStart w:id="414" w:name="_Toc18585"/>
      <w:bookmarkStart w:id="415" w:name="_Toc2918"/>
      <w:r>
        <w:rPr>
          <w:rFonts w:ascii="宋体" w:hAnsi="宋体"/>
          <w:b/>
          <w:color w:val="auto"/>
          <w:sz w:val="24"/>
        </w:rPr>
        <w:t xml:space="preserve">1.2 </w:t>
      </w:r>
      <w:r>
        <w:rPr>
          <w:rFonts w:hint="eastAsia" w:ascii="宋体" w:hAnsi="宋体"/>
          <w:b/>
          <w:color w:val="auto"/>
          <w:sz w:val="24"/>
        </w:rPr>
        <w:t>标的</w:t>
      </w:r>
      <w:bookmarkEnd w:id="411"/>
      <w:bookmarkEnd w:id="412"/>
      <w:bookmarkEnd w:id="413"/>
      <w:bookmarkEnd w:id="414"/>
      <w:bookmarkEnd w:id="415"/>
    </w:p>
    <w:p>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pPr>
        <w:pStyle w:val="959"/>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pPr>
        <w:spacing w:line="560" w:lineRule="exact"/>
        <w:ind w:firstLine="480" w:firstLineChars="200"/>
        <w:rPr>
          <w:rFonts w:ascii="宋体" w:hAnsi="宋体" w:cs="宋体"/>
          <w:color w:val="auto"/>
          <w:sz w:val="24"/>
          <w:u w:val="single"/>
        </w:rPr>
      </w:pPr>
      <w:bookmarkStart w:id="416" w:name="_Toc5635"/>
      <w:bookmarkStart w:id="417" w:name="_Toc21124"/>
      <w:bookmarkStart w:id="418" w:name="_Toc4929"/>
      <w:bookmarkStart w:id="419" w:name="_Toc13918"/>
      <w:bookmarkStart w:id="420" w:name="_Toc1386"/>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16"/>
      <w:bookmarkEnd w:id="417"/>
      <w:bookmarkEnd w:id="418"/>
      <w:bookmarkEnd w:id="419"/>
      <w:bookmarkEnd w:id="420"/>
    </w:p>
    <w:p>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pPr>
              <w:pStyle w:val="319"/>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pPr>
              <w:pStyle w:val="319"/>
              <w:spacing w:line="560" w:lineRule="exact"/>
              <w:jc w:val="center"/>
              <w:rPr>
                <w:rFonts w:hAnsi="宋体"/>
                <w:color w:val="auto"/>
                <w:sz w:val="24"/>
                <w:szCs w:val="24"/>
              </w:rPr>
            </w:pPr>
            <w:r>
              <w:rPr>
                <w:rFonts w:hAnsi="宋体"/>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Ansi="宋体"/>
                <w:color w:val="auto"/>
                <w:sz w:val="24"/>
                <w:szCs w:val="24"/>
              </w:rPr>
            </w:pPr>
          </w:p>
        </w:tc>
        <w:tc>
          <w:tcPr>
            <w:tcW w:w="3402" w:type="dxa"/>
            <w:vAlign w:val="center"/>
          </w:tcPr>
          <w:p>
            <w:pPr>
              <w:pStyle w:val="319"/>
              <w:spacing w:line="560" w:lineRule="exact"/>
              <w:ind w:firstLine="200"/>
              <w:jc w:val="center"/>
              <w:rPr>
                <w:rFonts w:hAnsi="宋体"/>
                <w:color w:val="auto"/>
                <w:sz w:val="24"/>
                <w:szCs w:val="24"/>
              </w:rPr>
            </w:pPr>
          </w:p>
        </w:tc>
        <w:tc>
          <w:tcPr>
            <w:tcW w:w="2552" w:type="dxa"/>
            <w:vAlign w:val="center"/>
          </w:tcPr>
          <w:p>
            <w:pPr>
              <w:pStyle w:val="319"/>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Ansi="宋体"/>
                <w:color w:val="auto"/>
                <w:sz w:val="24"/>
                <w:szCs w:val="24"/>
              </w:rPr>
            </w:pPr>
          </w:p>
        </w:tc>
        <w:tc>
          <w:tcPr>
            <w:tcW w:w="3402" w:type="dxa"/>
            <w:vAlign w:val="center"/>
          </w:tcPr>
          <w:p>
            <w:pPr>
              <w:pStyle w:val="319"/>
              <w:spacing w:line="560" w:lineRule="exact"/>
              <w:ind w:firstLine="200"/>
              <w:jc w:val="center"/>
              <w:rPr>
                <w:rFonts w:hAnsi="宋体"/>
                <w:color w:val="auto"/>
                <w:sz w:val="24"/>
                <w:szCs w:val="24"/>
              </w:rPr>
            </w:pPr>
          </w:p>
        </w:tc>
        <w:tc>
          <w:tcPr>
            <w:tcW w:w="2552" w:type="dxa"/>
            <w:vAlign w:val="center"/>
          </w:tcPr>
          <w:p>
            <w:pPr>
              <w:pStyle w:val="319"/>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Ansi="宋体"/>
                <w:color w:val="auto"/>
                <w:sz w:val="24"/>
                <w:szCs w:val="24"/>
              </w:rPr>
            </w:pPr>
          </w:p>
        </w:tc>
        <w:tc>
          <w:tcPr>
            <w:tcW w:w="3402" w:type="dxa"/>
            <w:vAlign w:val="center"/>
          </w:tcPr>
          <w:p>
            <w:pPr>
              <w:pStyle w:val="319"/>
              <w:spacing w:line="560" w:lineRule="exact"/>
              <w:ind w:firstLine="200"/>
              <w:jc w:val="center"/>
              <w:rPr>
                <w:rFonts w:hAnsi="宋体"/>
                <w:color w:val="auto"/>
                <w:sz w:val="24"/>
                <w:szCs w:val="24"/>
              </w:rPr>
            </w:pPr>
          </w:p>
        </w:tc>
        <w:tc>
          <w:tcPr>
            <w:tcW w:w="2552" w:type="dxa"/>
            <w:vAlign w:val="center"/>
          </w:tcPr>
          <w:p>
            <w:pPr>
              <w:pStyle w:val="319"/>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Ansi="宋体"/>
                <w:color w:val="auto"/>
                <w:sz w:val="24"/>
                <w:szCs w:val="24"/>
              </w:rPr>
            </w:pPr>
          </w:p>
        </w:tc>
        <w:tc>
          <w:tcPr>
            <w:tcW w:w="3402" w:type="dxa"/>
            <w:vAlign w:val="center"/>
          </w:tcPr>
          <w:p>
            <w:pPr>
              <w:pStyle w:val="319"/>
              <w:spacing w:line="560" w:lineRule="exact"/>
              <w:ind w:firstLine="200"/>
              <w:jc w:val="center"/>
              <w:rPr>
                <w:rFonts w:hAnsi="宋体"/>
                <w:color w:val="auto"/>
                <w:sz w:val="24"/>
                <w:szCs w:val="24"/>
              </w:rPr>
            </w:pPr>
          </w:p>
        </w:tc>
        <w:tc>
          <w:tcPr>
            <w:tcW w:w="2552" w:type="dxa"/>
            <w:vAlign w:val="center"/>
          </w:tcPr>
          <w:p>
            <w:pPr>
              <w:pStyle w:val="319"/>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9"/>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pPr>
              <w:pStyle w:val="319"/>
              <w:spacing w:line="560" w:lineRule="exact"/>
              <w:ind w:firstLine="200"/>
              <w:jc w:val="center"/>
              <w:rPr>
                <w:rFonts w:hAnsi="宋体"/>
                <w:color w:val="auto"/>
                <w:sz w:val="24"/>
                <w:szCs w:val="24"/>
              </w:rPr>
            </w:pPr>
          </w:p>
        </w:tc>
      </w:tr>
    </w:tbl>
    <w:p>
      <w:pPr>
        <w:spacing w:line="560" w:lineRule="exact"/>
        <w:ind w:firstLine="480" w:firstLineChars="200"/>
        <w:rPr>
          <w:rFonts w:ascii="宋体" w:hAnsi="宋体"/>
          <w:color w:val="auto"/>
          <w:sz w:val="24"/>
        </w:rPr>
      </w:pPr>
      <w:bookmarkStart w:id="421" w:name="_Toc3654"/>
      <w:bookmarkStart w:id="422" w:name="_Toc14993"/>
      <w:bookmarkStart w:id="423" w:name="_Toc26916"/>
      <w:bookmarkStart w:id="424" w:name="_Toc30158"/>
      <w:bookmarkStart w:id="425" w:name="_Toc30506"/>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pPr>
        <w:pStyle w:val="3"/>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21"/>
    <w:bookmarkEnd w:id="422"/>
    <w:bookmarkEnd w:id="423"/>
    <w:bookmarkEnd w:id="424"/>
    <w:bookmarkEnd w:id="425"/>
    <w:p>
      <w:pPr>
        <w:pStyle w:val="959"/>
        <w:spacing w:before="0" w:beforeAutospacing="0" w:after="0" w:afterAutospacing="0" w:line="360" w:lineRule="auto"/>
        <w:ind w:firstLine="480"/>
        <w:rPr>
          <w:b/>
          <w:color w:val="auto"/>
        </w:rPr>
      </w:pPr>
      <w:bookmarkStart w:id="426" w:name="_Toc22618"/>
      <w:bookmarkStart w:id="427" w:name="_Toc10340"/>
      <w:bookmarkStart w:id="428" w:name="_Toc1814"/>
      <w:bookmarkStart w:id="429" w:name="_Toc3625"/>
      <w:bookmarkStart w:id="430" w:name="_Toc31421"/>
      <w:bookmarkStart w:id="431" w:name="_Toc8772"/>
      <w:bookmarkStart w:id="432" w:name="_Toc4760"/>
      <w:bookmarkStart w:id="433" w:name="_Toc11108"/>
      <w:r>
        <w:rPr>
          <w:rFonts w:hint="eastAsia"/>
          <w:b/>
          <w:color w:val="auto"/>
        </w:rPr>
        <w:t>1.4履约保证金</w:t>
      </w:r>
    </w:p>
    <w:p>
      <w:pPr>
        <w:pStyle w:val="959"/>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3"/>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426"/>
      <w:bookmarkEnd w:id="427"/>
      <w:bookmarkEnd w:id="428"/>
      <w:r>
        <w:rPr>
          <w:rFonts w:hint="eastAsia" w:ascii="宋体" w:hAnsi="宋体" w:cs="宋体"/>
          <w:b/>
          <w:color w:val="auto"/>
          <w:sz w:val="24"/>
        </w:rPr>
        <w:t>预付款</w:t>
      </w:r>
    </w:p>
    <w:p>
      <w:pPr>
        <w:pStyle w:val="959"/>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959"/>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959"/>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959"/>
        <w:spacing w:before="0" w:beforeAutospacing="0" w:after="0" w:afterAutospacing="0" w:line="360" w:lineRule="auto"/>
        <w:ind w:firstLine="480"/>
        <w:rPr>
          <w:b/>
          <w:bCs/>
          <w:color w:val="auto"/>
        </w:rPr>
      </w:pPr>
      <w:r>
        <w:rPr>
          <w:rFonts w:hint="eastAsia"/>
          <w:b/>
          <w:bCs/>
          <w:color w:val="auto"/>
        </w:rPr>
        <w:t>1.6资金支付</w:t>
      </w:r>
    </w:p>
    <w:p>
      <w:pPr>
        <w:pStyle w:val="959"/>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29"/>
      <w:bookmarkEnd w:id="430"/>
      <w:bookmarkEnd w:id="431"/>
      <w:bookmarkEnd w:id="432"/>
      <w:bookmarkEnd w:id="433"/>
    </w:p>
    <w:p>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outlineLvl w:val="0"/>
        <w:rPr>
          <w:rFonts w:ascii="宋体" w:hAnsi="宋体"/>
          <w:bCs/>
          <w:color w:val="auto"/>
          <w:sz w:val="24"/>
        </w:rPr>
      </w:pPr>
      <w:bookmarkStart w:id="434" w:name="_Toc3079"/>
      <w:bookmarkStart w:id="435" w:name="_Toc2375"/>
      <w:bookmarkStart w:id="436" w:name="_Toc24662"/>
      <w:bookmarkStart w:id="437" w:name="_Toc5698"/>
      <w:bookmarkStart w:id="438" w:name="_Toc8586"/>
      <w:r>
        <w:rPr>
          <w:rFonts w:hint="eastAsia" w:ascii="宋体" w:hAnsi="宋体"/>
          <w:bCs/>
          <w:color w:val="auto"/>
          <w:sz w:val="24"/>
        </w:rPr>
        <w:t>1.7.4若服务</w:t>
      </w:r>
      <w:r>
        <w:rPr>
          <w:rFonts w:hint="eastAsia"/>
          <w:bCs/>
          <w:color w:val="auto"/>
          <w:sz w:val="24"/>
        </w:rPr>
        <w:t>涉及货物的，则货物的：</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34"/>
      <w:bookmarkEnd w:id="435"/>
      <w:bookmarkEnd w:id="436"/>
      <w:bookmarkEnd w:id="437"/>
      <w:bookmarkEnd w:id="438"/>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pPr>
        <w:pStyle w:val="3"/>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pPr>
        <w:spacing w:line="560" w:lineRule="exact"/>
        <w:ind w:firstLine="480" w:firstLineChars="200"/>
        <w:rPr>
          <w:rFonts w:ascii="宋体" w:hAnsi="宋体" w:cs="宋体"/>
          <w:color w:val="auto"/>
          <w:sz w:val="24"/>
        </w:rPr>
      </w:pPr>
      <w:bookmarkStart w:id="439" w:name="_Toc32454"/>
      <w:bookmarkStart w:id="440" w:name="_Toc30329"/>
      <w:bookmarkStart w:id="441" w:name="_Toc26807"/>
      <w:bookmarkStart w:id="442" w:name="_Toc9497"/>
      <w:bookmarkStart w:id="443" w:name="_Toc18683"/>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39"/>
    <w:bookmarkEnd w:id="440"/>
    <w:bookmarkEnd w:id="441"/>
    <w:bookmarkEnd w:id="442"/>
    <w:bookmarkEnd w:id="443"/>
    <w:p>
      <w:pPr>
        <w:spacing w:line="560" w:lineRule="exact"/>
        <w:ind w:firstLine="482" w:firstLineChars="200"/>
        <w:outlineLvl w:val="0"/>
        <w:rPr>
          <w:rFonts w:ascii="宋体" w:hAnsi="宋体" w:cs="宋体"/>
          <w:b/>
          <w:color w:val="auto"/>
          <w:sz w:val="24"/>
        </w:rPr>
      </w:pPr>
      <w:bookmarkStart w:id="444" w:name="_Toc16021"/>
      <w:bookmarkStart w:id="445" w:name="_Toc15583"/>
      <w:bookmarkStart w:id="446" w:name="_Toc28375"/>
      <w:r>
        <w:rPr>
          <w:rFonts w:hint="eastAsia" w:ascii="宋体" w:hAnsi="宋体" w:cs="宋体"/>
          <w:b/>
          <w:color w:val="auto"/>
          <w:sz w:val="24"/>
        </w:rPr>
        <w:t>1.9合同争议的解决</w:t>
      </w:r>
      <w:bookmarkEnd w:id="444"/>
      <w:bookmarkEnd w:id="445"/>
      <w:bookmarkEnd w:id="446"/>
    </w:p>
    <w:p>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pPr>
        <w:spacing w:line="560" w:lineRule="exact"/>
        <w:ind w:firstLine="482" w:firstLineChars="200"/>
        <w:outlineLvl w:val="0"/>
        <w:rPr>
          <w:rFonts w:ascii="宋体" w:hAnsi="宋体" w:cs="宋体"/>
          <w:b/>
          <w:color w:val="auto"/>
          <w:sz w:val="24"/>
        </w:rPr>
      </w:pPr>
      <w:bookmarkStart w:id="447" w:name="_Toc11173"/>
      <w:bookmarkStart w:id="448" w:name="_Toc7245"/>
      <w:bookmarkStart w:id="449" w:name="_Toc15322"/>
      <w:r>
        <w:rPr>
          <w:rFonts w:hint="eastAsia" w:ascii="宋体" w:hAnsi="宋体" w:cs="宋体"/>
          <w:b/>
          <w:color w:val="auto"/>
          <w:sz w:val="24"/>
        </w:rPr>
        <w:t>2.0 合同生效</w:t>
      </w:r>
      <w:bookmarkEnd w:id="447"/>
      <w:bookmarkEnd w:id="448"/>
      <w:bookmarkEnd w:id="449"/>
    </w:p>
    <w:p>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pPr>
        <w:autoSpaceDE w:val="0"/>
        <w:autoSpaceDN w:val="0"/>
        <w:spacing w:line="560" w:lineRule="exact"/>
        <w:rPr>
          <w:rFonts w:ascii="宋体" w:hAnsi="宋体"/>
          <w:color w:val="auto"/>
          <w:sz w:val="24"/>
          <w:lang w:val="zh-CN"/>
        </w:rPr>
      </w:pPr>
    </w:p>
    <w:p>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pPr>
        <w:autoSpaceDE w:val="0"/>
        <w:autoSpaceDN w:val="0"/>
        <w:spacing w:line="560" w:lineRule="exact"/>
        <w:rPr>
          <w:rFonts w:ascii="宋体" w:hAnsi="宋体"/>
          <w:color w:val="auto"/>
          <w:sz w:val="24"/>
          <w:lang w:val="zh-CN"/>
        </w:rPr>
      </w:pP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pPr>
        <w:widowControl/>
        <w:spacing w:line="560" w:lineRule="exact"/>
        <w:jc w:val="left"/>
        <w:rPr>
          <w:rFonts w:ascii="宋体" w:hAnsi="宋体"/>
          <w:b/>
          <w:color w:val="auto"/>
          <w:sz w:val="24"/>
        </w:rPr>
      </w:pPr>
    </w:p>
    <w:p>
      <w:pPr>
        <w:widowControl/>
        <w:adjustRightInd/>
        <w:jc w:val="left"/>
        <w:rPr>
          <w:rFonts w:ascii="宋体" w:hAnsi="宋体"/>
          <w:b/>
          <w:color w:val="auto"/>
          <w:sz w:val="24"/>
        </w:rPr>
      </w:pPr>
      <w:r>
        <w:rPr>
          <w:rFonts w:ascii="宋体" w:hAnsi="宋体"/>
          <w:b/>
          <w:color w:val="auto"/>
        </w:rPr>
        <w:br w:type="page"/>
      </w:r>
    </w:p>
    <w:p>
      <w:pPr>
        <w:pStyle w:val="701"/>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pPr>
        <w:spacing w:line="560" w:lineRule="exact"/>
        <w:ind w:firstLine="482" w:firstLineChars="200"/>
        <w:outlineLvl w:val="0"/>
        <w:rPr>
          <w:rFonts w:ascii="宋体" w:hAnsi="宋体"/>
          <w:b/>
          <w:color w:val="auto"/>
          <w:sz w:val="24"/>
        </w:rPr>
      </w:pPr>
      <w:bookmarkStart w:id="450" w:name="_Toc31297"/>
      <w:bookmarkStart w:id="451" w:name="_Toc19680"/>
      <w:bookmarkStart w:id="452" w:name="_Toc5228"/>
      <w:bookmarkStart w:id="453" w:name="_Toc14021"/>
      <w:bookmarkStart w:id="454" w:name="_Toc25079"/>
      <w:r>
        <w:rPr>
          <w:rFonts w:ascii="宋体" w:hAnsi="宋体"/>
          <w:b/>
          <w:color w:val="auto"/>
          <w:sz w:val="24"/>
        </w:rPr>
        <w:t>2.1 定义</w:t>
      </w:r>
      <w:bookmarkEnd w:id="450"/>
      <w:bookmarkEnd w:id="451"/>
      <w:bookmarkEnd w:id="452"/>
      <w:bookmarkEnd w:id="453"/>
      <w:bookmarkEnd w:id="454"/>
    </w:p>
    <w:p>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pPr>
        <w:spacing w:line="560" w:lineRule="exact"/>
        <w:ind w:firstLine="482" w:firstLineChars="200"/>
        <w:outlineLvl w:val="0"/>
        <w:rPr>
          <w:rFonts w:ascii="宋体" w:hAnsi="宋体"/>
          <w:b/>
          <w:color w:val="auto"/>
          <w:sz w:val="24"/>
        </w:rPr>
      </w:pPr>
      <w:bookmarkStart w:id="455" w:name="_Toc3769"/>
      <w:bookmarkStart w:id="456" w:name="_Toc16752"/>
      <w:bookmarkStart w:id="457" w:name="_Toc23289"/>
      <w:bookmarkStart w:id="458" w:name="_Toc19539"/>
      <w:bookmarkStart w:id="459" w:name="_Toc31402"/>
      <w:r>
        <w:rPr>
          <w:rFonts w:ascii="宋体" w:hAnsi="宋体"/>
          <w:b/>
          <w:color w:val="auto"/>
          <w:sz w:val="24"/>
        </w:rPr>
        <w:t>2.2 技术规范</w:t>
      </w:r>
      <w:bookmarkEnd w:id="455"/>
      <w:bookmarkEnd w:id="456"/>
      <w:bookmarkEnd w:id="457"/>
      <w:bookmarkEnd w:id="458"/>
      <w:bookmarkEnd w:id="459"/>
    </w:p>
    <w:p>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pPr>
        <w:spacing w:line="560" w:lineRule="exact"/>
        <w:ind w:firstLine="482" w:firstLineChars="200"/>
        <w:outlineLvl w:val="0"/>
        <w:rPr>
          <w:rFonts w:ascii="宋体" w:hAnsi="宋体"/>
          <w:b/>
          <w:color w:val="auto"/>
          <w:sz w:val="24"/>
        </w:rPr>
      </w:pPr>
      <w:bookmarkStart w:id="460" w:name="_Toc12412"/>
      <w:bookmarkStart w:id="461" w:name="_Toc27945"/>
      <w:bookmarkStart w:id="462" w:name="_Toc4133"/>
      <w:bookmarkStart w:id="463" w:name="_Toc13673"/>
      <w:bookmarkStart w:id="464" w:name="_Toc9161"/>
      <w:r>
        <w:rPr>
          <w:rFonts w:ascii="宋体" w:hAnsi="宋体"/>
          <w:b/>
          <w:color w:val="auto"/>
          <w:sz w:val="24"/>
        </w:rPr>
        <w:t>2.3 知识产权</w:t>
      </w:r>
      <w:bookmarkEnd w:id="460"/>
      <w:bookmarkEnd w:id="461"/>
      <w:bookmarkEnd w:id="462"/>
      <w:bookmarkEnd w:id="463"/>
      <w:bookmarkEnd w:id="464"/>
    </w:p>
    <w:p>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rPr>
      </w:pPr>
      <w:bookmarkStart w:id="465" w:name="_Toc31233"/>
      <w:bookmarkStart w:id="466" w:name="_Toc32670"/>
      <w:bookmarkStart w:id="467" w:name="_Toc26555"/>
      <w:bookmarkStart w:id="468" w:name="_Toc15447"/>
      <w:bookmarkStart w:id="469" w:name="_Toc22011"/>
      <w:r>
        <w:rPr>
          <w:rFonts w:ascii="宋体" w:hAnsi="宋体"/>
          <w:b/>
          <w:color w:val="auto"/>
          <w:sz w:val="24"/>
        </w:rPr>
        <w:t>2.5 结算方式和付款条件</w:t>
      </w:r>
      <w:bookmarkEnd w:id="465"/>
      <w:bookmarkEnd w:id="466"/>
      <w:bookmarkEnd w:id="467"/>
      <w:bookmarkEnd w:id="468"/>
      <w:bookmarkEnd w:id="469"/>
    </w:p>
    <w:p>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pPr>
        <w:spacing w:line="560" w:lineRule="exact"/>
        <w:ind w:firstLine="482" w:firstLineChars="200"/>
        <w:outlineLvl w:val="0"/>
        <w:rPr>
          <w:rFonts w:ascii="宋体" w:hAnsi="宋体"/>
          <w:b/>
          <w:color w:val="auto"/>
          <w:sz w:val="24"/>
        </w:rPr>
      </w:pPr>
      <w:bookmarkStart w:id="470" w:name="_Toc30507"/>
      <w:bookmarkStart w:id="471" w:name="_Toc16163"/>
      <w:bookmarkStart w:id="472" w:name="_Toc13467"/>
      <w:bookmarkStart w:id="473" w:name="_Toc18990"/>
      <w:bookmarkStart w:id="474" w:name="_Toc13154"/>
      <w:r>
        <w:rPr>
          <w:rFonts w:ascii="宋体" w:hAnsi="宋体"/>
          <w:b/>
          <w:color w:val="auto"/>
          <w:sz w:val="24"/>
        </w:rPr>
        <w:t>2.6 技术资料和保密义务</w:t>
      </w:r>
      <w:bookmarkEnd w:id="470"/>
      <w:bookmarkEnd w:id="471"/>
      <w:bookmarkEnd w:id="472"/>
      <w:bookmarkEnd w:id="473"/>
      <w:bookmarkEnd w:id="474"/>
    </w:p>
    <w:p>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rPr>
      </w:pPr>
      <w:bookmarkStart w:id="475" w:name="_Toc19069"/>
      <w:r>
        <w:rPr>
          <w:rFonts w:ascii="宋体" w:hAnsi="宋体"/>
          <w:b/>
          <w:color w:val="auto"/>
          <w:sz w:val="24"/>
        </w:rPr>
        <w:t xml:space="preserve">2.7 </w:t>
      </w:r>
      <w:r>
        <w:rPr>
          <w:rFonts w:hint="eastAsia" w:ascii="宋体" w:hAnsi="宋体"/>
          <w:b/>
          <w:color w:val="auto"/>
          <w:sz w:val="24"/>
        </w:rPr>
        <w:t>质量保证</w:t>
      </w:r>
      <w:bookmarkEnd w:id="475"/>
    </w:p>
    <w:p>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rPr>
      </w:pPr>
      <w:bookmarkStart w:id="476" w:name="_Toc22267"/>
      <w:r>
        <w:rPr>
          <w:rFonts w:ascii="宋体" w:hAnsi="宋体"/>
          <w:b/>
          <w:color w:val="auto"/>
          <w:sz w:val="24"/>
        </w:rPr>
        <w:t xml:space="preserve">2.8 </w:t>
      </w:r>
      <w:r>
        <w:rPr>
          <w:rFonts w:hint="eastAsia" w:ascii="宋体" w:hAnsi="宋体"/>
          <w:b/>
          <w:color w:val="auto"/>
          <w:sz w:val="24"/>
        </w:rPr>
        <w:t>延迟履行</w:t>
      </w:r>
      <w:bookmarkEnd w:id="476"/>
    </w:p>
    <w:p>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pPr>
        <w:spacing w:line="560" w:lineRule="exact"/>
        <w:ind w:firstLine="482" w:firstLineChars="200"/>
        <w:outlineLvl w:val="0"/>
        <w:rPr>
          <w:rFonts w:ascii="宋体" w:hAnsi="宋体"/>
          <w:b/>
          <w:color w:val="auto"/>
          <w:sz w:val="24"/>
        </w:rPr>
      </w:pPr>
      <w:bookmarkStart w:id="477" w:name="_Toc10611"/>
      <w:r>
        <w:rPr>
          <w:rFonts w:ascii="宋体" w:hAnsi="宋体"/>
          <w:b/>
          <w:color w:val="auto"/>
          <w:sz w:val="24"/>
        </w:rPr>
        <w:t xml:space="preserve">2.9 </w:t>
      </w:r>
      <w:r>
        <w:rPr>
          <w:rFonts w:hint="eastAsia" w:ascii="宋体" w:hAnsi="宋体"/>
          <w:b/>
          <w:color w:val="auto"/>
          <w:sz w:val="24"/>
        </w:rPr>
        <w:t>合同变更</w:t>
      </w:r>
      <w:bookmarkEnd w:id="477"/>
    </w:p>
    <w:p>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rPr>
      </w:pPr>
      <w:bookmarkStart w:id="478" w:name="_Toc26689"/>
      <w:bookmarkStart w:id="479" w:name="_Toc42"/>
      <w:bookmarkStart w:id="480" w:name="_Toc23368"/>
      <w:bookmarkStart w:id="481" w:name="_Toc10663"/>
      <w:bookmarkStart w:id="482" w:name="_Toc21830"/>
      <w:r>
        <w:rPr>
          <w:rFonts w:ascii="宋体" w:hAnsi="宋体"/>
          <w:b/>
          <w:color w:val="auto"/>
          <w:sz w:val="24"/>
        </w:rPr>
        <w:t>2.10 合同转让和分包</w:t>
      </w:r>
      <w:bookmarkEnd w:id="478"/>
      <w:bookmarkEnd w:id="479"/>
      <w:bookmarkEnd w:id="480"/>
      <w:bookmarkEnd w:id="481"/>
      <w:bookmarkEnd w:id="482"/>
    </w:p>
    <w:p>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pPr>
        <w:spacing w:line="560" w:lineRule="exact"/>
        <w:ind w:firstLine="482" w:firstLineChars="200"/>
        <w:outlineLvl w:val="0"/>
        <w:rPr>
          <w:rFonts w:ascii="宋体" w:hAnsi="宋体"/>
          <w:b/>
          <w:color w:val="auto"/>
          <w:sz w:val="24"/>
        </w:rPr>
      </w:pPr>
      <w:bookmarkStart w:id="483" w:name="_Toc25571"/>
      <w:bookmarkStart w:id="484" w:name="_Toc14371"/>
      <w:bookmarkStart w:id="485" w:name="_Toc32494"/>
      <w:bookmarkStart w:id="486" w:name="_Toc26633"/>
      <w:bookmarkStart w:id="487" w:name="_Toc4720"/>
      <w:r>
        <w:rPr>
          <w:rFonts w:ascii="宋体" w:hAnsi="宋体"/>
          <w:b/>
          <w:color w:val="auto"/>
          <w:sz w:val="24"/>
        </w:rPr>
        <w:t>2.11 不可抗力</w:t>
      </w:r>
      <w:bookmarkEnd w:id="483"/>
      <w:bookmarkEnd w:id="484"/>
      <w:bookmarkEnd w:id="485"/>
      <w:bookmarkEnd w:id="486"/>
      <w:bookmarkEnd w:id="487"/>
    </w:p>
    <w:p>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pPr>
        <w:spacing w:line="560" w:lineRule="exact"/>
        <w:ind w:firstLine="482" w:firstLineChars="200"/>
        <w:outlineLvl w:val="0"/>
        <w:rPr>
          <w:rFonts w:ascii="宋体" w:hAnsi="宋体"/>
          <w:b/>
          <w:color w:val="auto"/>
          <w:sz w:val="24"/>
        </w:rPr>
      </w:pPr>
      <w:bookmarkStart w:id="488" w:name="_Toc14115"/>
      <w:bookmarkStart w:id="489" w:name="_Toc23854"/>
      <w:bookmarkStart w:id="490" w:name="_Toc3638"/>
      <w:bookmarkStart w:id="491" w:name="_Toc25783"/>
      <w:bookmarkStart w:id="492" w:name="_Toc24465"/>
      <w:r>
        <w:rPr>
          <w:rFonts w:ascii="宋体" w:hAnsi="宋体"/>
          <w:b/>
          <w:color w:val="auto"/>
          <w:sz w:val="24"/>
        </w:rPr>
        <w:t>2.12 税费</w:t>
      </w:r>
      <w:bookmarkEnd w:id="488"/>
      <w:bookmarkEnd w:id="489"/>
      <w:bookmarkEnd w:id="490"/>
      <w:bookmarkEnd w:id="491"/>
      <w:bookmarkEnd w:id="492"/>
    </w:p>
    <w:p>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pPr>
        <w:spacing w:line="560" w:lineRule="exact"/>
        <w:ind w:firstLine="482" w:firstLineChars="200"/>
        <w:outlineLvl w:val="0"/>
        <w:rPr>
          <w:rFonts w:ascii="宋体" w:hAnsi="宋体"/>
          <w:b/>
          <w:color w:val="auto"/>
          <w:sz w:val="24"/>
        </w:rPr>
      </w:pPr>
      <w:bookmarkStart w:id="493" w:name="_Toc25525"/>
      <w:bookmarkStart w:id="494" w:name="_Toc14814"/>
      <w:bookmarkStart w:id="495" w:name="_Toc7315"/>
      <w:bookmarkStart w:id="496" w:name="_Toc30105"/>
      <w:bookmarkStart w:id="497" w:name="_Toc26883"/>
      <w:r>
        <w:rPr>
          <w:rFonts w:ascii="宋体" w:hAnsi="宋体"/>
          <w:b/>
          <w:color w:val="auto"/>
          <w:sz w:val="24"/>
        </w:rPr>
        <w:t>2.13 乙方破产</w:t>
      </w:r>
      <w:bookmarkEnd w:id="493"/>
      <w:bookmarkEnd w:id="494"/>
      <w:bookmarkEnd w:id="495"/>
      <w:bookmarkEnd w:id="496"/>
      <w:bookmarkEnd w:id="497"/>
    </w:p>
    <w:p>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pPr>
        <w:spacing w:line="560" w:lineRule="exact"/>
        <w:ind w:firstLine="482" w:firstLineChars="200"/>
        <w:outlineLvl w:val="0"/>
        <w:rPr>
          <w:rFonts w:ascii="宋体" w:hAnsi="宋体"/>
          <w:b/>
          <w:color w:val="auto"/>
          <w:sz w:val="24"/>
        </w:rPr>
      </w:pPr>
      <w:bookmarkStart w:id="498" w:name="_Toc2016"/>
      <w:bookmarkStart w:id="499" w:name="_Toc1123"/>
      <w:bookmarkStart w:id="500" w:name="_Toc23323"/>
      <w:r>
        <w:rPr>
          <w:rFonts w:ascii="宋体" w:hAnsi="宋体"/>
          <w:b/>
          <w:color w:val="auto"/>
          <w:sz w:val="24"/>
        </w:rPr>
        <w:t>2.14 合同中止、终止</w:t>
      </w:r>
      <w:bookmarkEnd w:id="498"/>
      <w:bookmarkEnd w:id="499"/>
      <w:bookmarkEnd w:id="500"/>
    </w:p>
    <w:p>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rPr>
      </w:pPr>
      <w:bookmarkStart w:id="501" w:name="_Toc14525"/>
      <w:bookmarkStart w:id="502" w:name="_Toc17363"/>
      <w:bookmarkStart w:id="503" w:name="_Toc1969"/>
      <w:r>
        <w:rPr>
          <w:rFonts w:ascii="宋体" w:hAnsi="宋体"/>
          <w:b/>
          <w:color w:val="auto"/>
          <w:sz w:val="24"/>
        </w:rPr>
        <w:t>2.15 检验和验收</w:t>
      </w:r>
      <w:bookmarkEnd w:id="501"/>
      <w:bookmarkEnd w:id="502"/>
      <w:bookmarkEnd w:id="503"/>
    </w:p>
    <w:p>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pPr>
        <w:spacing w:line="560" w:lineRule="exact"/>
        <w:ind w:firstLine="482" w:firstLineChars="200"/>
        <w:outlineLvl w:val="0"/>
        <w:rPr>
          <w:rFonts w:ascii="宋体" w:hAnsi="宋体"/>
          <w:b/>
          <w:color w:val="auto"/>
          <w:sz w:val="24"/>
        </w:rPr>
      </w:pPr>
      <w:bookmarkStart w:id="504" w:name="_Toc31892"/>
      <w:bookmarkStart w:id="505" w:name="_Toc9808"/>
      <w:bookmarkStart w:id="506" w:name="_Toc25198"/>
      <w:bookmarkStart w:id="507" w:name="_Toc2308"/>
      <w:bookmarkStart w:id="508" w:name="_Toc12666"/>
      <w:r>
        <w:rPr>
          <w:rFonts w:ascii="宋体" w:hAnsi="宋体"/>
          <w:b/>
          <w:color w:val="auto"/>
          <w:sz w:val="24"/>
        </w:rPr>
        <w:t>2.16 通知和送达</w:t>
      </w:r>
      <w:bookmarkEnd w:id="504"/>
      <w:bookmarkEnd w:id="505"/>
      <w:bookmarkEnd w:id="506"/>
      <w:bookmarkEnd w:id="507"/>
      <w:bookmarkEnd w:id="508"/>
    </w:p>
    <w:p>
      <w:pPr>
        <w:spacing w:line="560" w:lineRule="exact"/>
        <w:ind w:firstLine="480" w:firstLineChars="200"/>
        <w:rPr>
          <w:rFonts w:ascii="宋体" w:hAnsi="宋体"/>
          <w:color w:val="auto"/>
          <w:sz w:val="24"/>
        </w:rPr>
      </w:pPr>
      <w:bookmarkStart w:id="509" w:name="_Toc18401"/>
      <w:bookmarkStart w:id="510" w:name="_Toc27674"/>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509"/>
      <w:bookmarkEnd w:id="510"/>
    </w:p>
    <w:p>
      <w:pPr>
        <w:spacing w:line="560" w:lineRule="exact"/>
        <w:ind w:firstLine="482" w:firstLineChars="200"/>
        <w:outlineLvl w:val="0"/>
        <w:rPr>
          <w:rFonts w:ascii="宋体" w:hAnsi="宋体"/>
          <w:b/>
          <w:color w:val="auto"/>
          <w:sz w:val="24"/>
        </w:rPr>
      </w:pPr>
      <w:bookmarkStart w:id="511" w:name="_Toc20808"/>
      <w:bookmarkStart w:id="512" w:name="_Toc5063"/>
      <w:bookmarkStart w:id="513" w:name="_Toc27644"/>
      <w:bookmarkStart w:id="514" w:name="_Toc12254"/>
      <w:bookmarkStart w:id="515" w:name="_Toc28906"/>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511"/>
      <w:bookmarkEnd w:id="512"/>
      <w:bookmarkEnd w:id="513"/>
      <w:bookmarkEnd w:id="514"/>
      <w:bookmarkEnd w:id="515"/>
    </w:p>
    <w:p>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pPr>
        <w:spacing w:line="560" w:lineRule="exact"/>
        <w:ind w:firstLine="482" w:firstLineChars="200"/>
        <w:outlineLvl w:val="0"/>
        <w:rPr>
          <w:rFonts w:ascii="宋体" w:hAnsi="宋体" w:cs="宋体"/>
          <w:b/>
          <w:color w:val="auto"/>
          <w:sz w:val="24"/>
        </w:rPr>
      </w:pPr>
      <w:bookmarkStart w:id="516" w:name="_Toc4355"/>
      <w:bookmarkStart w:id="517" w:name="_Toc30599"/>
      <w:bookmarkStart w:id="518" w:name="_Toc18540"/>
      <w:r>
        <w:rPr>
          <w:rFonts w:hint="eastAsia" w:ascii="宋体" w:hAnsi="宋体" w:cs="宋体"/>
          <w:b/>
          <w:color w:val="auto"/>
          <w:sz w:val="24"/>
        </w:rPr>
        <w:t>2.18 计量单位</w:t>
      </w:r>
      <w:bookmarkEnd w:id="516"/>
      <w:bookmarkEnd w:id="517"/>
      <w:bookmarkEnd w:id="518"/>
    </w:p>
    <w:p>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pPr>
        <w:spacing w:line="360" w:lineRule="auto"/>
        <w:jc w:val="center"/>
        <w:outlineLvl w:val="0"/>
        <w:rPr>
          <w:rFonts w:ascii="宋体" w:hAnsi="宋体" w:cs="宋体"/>
          <w:b/>
          <w:color w:val="auto"/>
          <w:sz w:val="24"/>
        </w:rPr>
      </w:pPr>
      <w:r>
        <w:rPr>
          <w:rFonts w:hint="eastAsia" w:ascii="宋体" w:hAnsi="宋体" w:cs="宋体"/>
          <w:color w:val="auto"/>
          <w:kern w:val="0"/>
        </w:rPr>
        <w:br w:type="page"/>
      </w:r>
      <w:bookmarkStart w:id="519" w:name="_Toc331685784"/>
      <w:r>
        <w:rPr>
          <w:rFonts w:hint="eastAsia" w:ascii="宋体" w:hAnsi="宋体" w:cs="宋体"/>
          <w:b/>
          <w:color w:val="auto"/>
          <w:sz w:val="24"/>
        </w:rPr>
        <w:t xml:space="preserve"> </w:t>
      </w:r>
      <w:bookmarkEnd w:id="519"/>
      <w:r>
        <w:rPr>
          <w:rFonts w:hint="eastAsia" w:ascii="宋体" w:hAnsi="宋体" w:cs="宋体"/>
          <w:b/>
          <w:color w:val="auto"/>
          <w:sz w:val="24"/>
        </w:rPr>
        <w:t>第三部分  合同专用条款</w:t>
      </w:r>
    </w:p>
    <w:p>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464" w:type="pct"/>
            <w:vAlign w:val="center"/>
          </w:tcPr>
          <w:p>
            <w:pPr>
              <w:spacing w:line="360" w:lineRule="auto"/>
              <w:jc w:val="center"/>
              <w:rPr>
                <w:rFonts w:ascii="宋体" w:hAnsi="宋体" w:cs="宋体"/>
                <w:b/>
                <w:color w:val="auto"/>
                <w:sz w:val="24"/>
              </w:rPr>
            </w:pPr>
            <w:r>
              <w:rPr>
                <w:rFonts w:hint="eastAsia" w:ascii="宋体" w:hAnsi="宋体" w:cs="宋体"/>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1.3.2</w:t>
            </w:r>
          </w:p>
        </w:tc>
        <w:tc>
          <w:tcPr>
            <w:tcW w:w="4464" w:type="pct"/>
            <w:vAlign w:val="center"/>
          </w:tcPr>
          <w:p>
            <w:pPr>
              <w:spacing w:line="360" w:lineRule="auto"/>
              <w:rPr>
                <w:rFonts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不收取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1.4.2</w:t>
            </w:r>
          </w:p>
        </w:tc>
        <w:tc>
          <w:tcPr>
            <w:tcW w:w="4464" w:type="pct"/>
            <w:vAlign w:val="center"/>
          </w:tcPr>
          <w:p>
            <w:pPr>
              <w:spacing w:line="360" w:lineRule="auto"/>
              <w:rPr>
                <w:rFonts w:ascii="宋体" w:hAnsi="宋体" w:eastAsia="宋体" w:cs="宋体"/>
                <w:color w:val="auto"/>
                <w:kern w:val="2"/>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 xml:space="preserve">1.5.1 </w:t>
            </w:r>
          </w:p>
        </w:tc>
        <w:tc>
          <w:tcPr>
            <w:tcW w:w="4464" w:type="pct"/>
            <w:vAlign w:val="center"/>
          </w:tcPr>
          <w:p>
            <w:pPr>
              <w:spacing w:line="360" w:lineRule="auto"/>
              <w:rPr>
                <w:rFonts w:ascii="宋体" w:hAnsi="宋体" w:eastAsia="宋体" w:cs="宋体"/>
                <w:color w:val="auto"/>
                <w:kern w:val="2"/>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1.5.2</w:t>
            </w:r>
          </w:p>
        </w:tc>
        <w:tc>
          <w:tcPr>
            <w:tcW w:w="4464" w:type="pct"/>
            <w:vAlign w:val="center"/>
          </w:tcPr>
          <w:p>
            <w:pPr>
              <w:spacing w:line="360" w:lineRule="auto"/>
              <w:rPr>
                <w:rFonts w:ascii="宋体" w:hAnsi="宋体" w:eastAsia="宋体" w:cs="宋体"/>
                <w:color w:val="auto"/>
                <w:kern w:val="2"/>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 xml:space="preserve">1.5.3 </w:t>
            </w:r>
          </w:p>
        </w:tc>
        <w:tc>
          <w:tcPr>
            <w:tcW w:w="4464" w:type="pct"/>
            <w:vAlign w:val="center"/>
          </w:tcPr>
          <w:p>
            <w:pPr>
              <w:spacing w:line="360" w:lineRule="auto"/>
              <w:rPr>
                <w:rFonts w:hint="eastAsia" w:ascii="宋体" w:hAnsi="宋体" w:eastAsia="宋体" w:cs="宋体"/>
                <w:snapToGrid/>
                <w:color w:val="auto"/>
                <w:kern w:val="0"/>
                <w:sz w:val="24"/>
                <w:szCs w:val="24"/>
                <w:highlight w:val="yellow"/>
                <w:lang w:val="en-US" w:eastAsia="zh-CN" w:bidi="ar-SA"/>
              </w:rPr>
            </w:pPr>
            <w:r>
              <w:rPr>
                <w:rFonts w:hint="eastAsia" w:ascii="宋体" w:hAnsi="宋体" w:eastAsia="宋体" w:cs="宋体"/>
                <w:snapToGrid/>
                <w:color w:val="auto"/>
                <w:kern w:val="0"/>
                <w:sz w:val="24"/>
                <w:szCs w:val="24"/>
                <w:highlight w:val="yellow"/>
                <w:lang w:val="en-US" w:eastAsia="zh-CN" w:bidi="ar-SA"/>
              </w:rPr>
              <w:t xml:space="preserve">  1、乙方配送视频货款凭相应税务发票和《配送清单》，与甲方实行每月一结；</w:t>
            </w:r>
          </w:p>
          <w:p>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snapToGrid/>
                <w:color w:val="auto"/>
                <w:kern w:val="0"/>
                <w:sz w:val="24"/>
                <w:szCs w:val="24"/>
                <w:highlight w:val="yellow"/>
                <w:lang w:val="en-US" w:eastAsia="zh-CN" w:bidi="ar-SA"/>
              </w:rPr>
              <w:t xml:space="preserve">  2、每月15日前双方就上月货款进行结算，结算后10日内采购人应当将货款支付给乙方。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1.6.2</w:t>
            </w:r>
          </w:p>
        </w:tc>
        <w:tc>
          <w:tcPr>
            <w:tcW w:w="4464" w:type="pct"/>
            <w:vAlign w:val="center"/>
          </w:tcPr>
          <w:p>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snapToGrid/>
                <w:color w:val="auto"/>
                <w:kern w:val="0"/>
                <w:sz w:val="24"/>
                <w:szCs w:val="24"/>
                <w:lang w:val="en-US" w:eastAsia="zh-CN" w:bidi="ar-SA"/>
              </w:rPr>
              <w:t>合同签订后3个月内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1.7.1</w:t>
            </w:r>
          </w:p>
        </w:tc>
        <w:tc>
          <w:tcPr>
            <w:tcW w:w="4464" w:type="pct"/>
            <w:vAlign w:val="center"/>
          </w:tcPr>
          <w:p>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青山湖街道指定地点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1.7.2</w:t>
            </w:r>
          </w:p>
        </w:tc>
        <w:tc>
          <w:tcPr>
            <w:tcW w:w="4464" w:type="pct"/>
            <w:vAlign w:val="center"/>
          </w:tcPr>
          <w:p>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青山湖街道指定方式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1.7.3</w:t>
            </w:r>
          </w:p>
        </w:tc>
        <w:tc>
          <w:tcPr>
            <w:tcW w:w="4464" w:type="pct"/>
            <w:vAlign w:val="center"/>
          </w:tcPr>
          <w:p>
            <w:pPr>
              <w:spacing w:line="360" w:lineRule="auto"/>
              <w:rPr>
                <w:rFonts w:ascii="宋体" w:hAnsi="宋体" w:eastAsia="宋体" w:cs="宋体"/>
                <w:color w:val="auto"/>
                <w:kern w:val="2"/>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1.7.4.1</w:t>
            </w:r>
          </w:p>
        </w:tc>
        <w:tc>
          <w:tcPr>
            <w:tcW w:w="4464" w:type="pct"/>
            <w:vAlign w:val="center"/>
          </w:tcPr>
          <w:p>
            <w:pPr>
              <w:spacing w:line="360" w:lineRule="auto"/>
              <w:rPr>
                <w:rFonts w:ascii="宋体" w:hAnsi="宋体" w:eastAsia="宋体" w:cs="宋体"/>
                <w:color w:val="auto"/>
                <w:kern w:val="2"/>
                <w:sz w:val="24"/>
                <w:szCs w:val="24"/>
                <w:lang w:val="en-US" w:eastAsia="zh-CN" w:bidi="ar-SA"/>
              </w:rPr>
            </w:pPr>
            <w:r>
              <w:rPr>
                <w:rFonts w:hint="eastAsia" w:ascii="宋体" w:hAnsi="宋体" w:cs="宋体"/>
                <w:color w:val="auto"/>
                <w:sz w:val="24"/>
              </w:rPr>
              <w:t>向</w:t>
            </w:r>
            <w:r>
              <w:rPr>
                <w:rFonts w:hint="eastAsia" w:ascii="宋体" w:hAnsi="宋体" w:cs="宋体"/>
                <w:b/>
                <w:i/>
                <w:color w:val="auto"/>
                <w:sz w:val="24"/>
                <w:u w:val="single"/>
                <w:lang w:val="en-US" w:eastAsia="zh-CN"/>
              </w:rPr>
              <w:t>临安区</w:t>
            </w:r>
            <w:r>
              <w:rPr>
                <w:rFonts w:hint="eastAsia" w:ascii="宋体" w:hAnsi="宋体" w:cs="宋体"/>
                <w:color w:val="auto"/>
                <w:sz w:val="24"/>
              </w:rPr>
              <w:t>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1.7.4.2</w:t>
            </w:r>
          </w:p>
        </w:tc>
        <w:tc>
          <w:tcPr>
            <w:tcW w:w="4464" w:type="pct"/>
            <w:vAlign w:val="center"/>
          </w:tcPr>
          <w:p>
            <w:pPr>
              <w:spacing w:line="360" w:lineRule="auto"/>
              <w:rPr>
                <w:rFonts w:ascii="宋体" w:hAnsi="宋体" w:eastAsia="宋体" w:cs="宋体"/>
                <w:color w:val="auto"/>
                <w:kern w:val="2"/>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1.7.4.3</w:t>
            </w:r>
          </w:p>
        </w:tc>
        <w:tc>
          <w:tcPr>
            <w:tcW w:w="4464" w:type="pct"/>
            <w:vAlign w:val="center"/>
          </w:tcPr>
          <w:p>
            <w:pPr>
              <w:spacing w:line="360" w:lineRule="auto"/>
              <w:rPr>
                <w:rFonts w:ascii="宋体" w:hAnsi="宋体" w:eastAsia="宋体" w:cs="宋体"/>
                <w:color w:val="auto"/>
                <w:kern w:val="2"/>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1.8.7</w:t>
            </w:r>
          </w:p>
        </w:tc>
        <w:tc>
          <w:tcPr>
            <w:tcW w:w="4464" w:type="pct"/>
            <w:vAlign w:val="center"/>
          </w:tcPr>
          <w:p>
            <w:pPr>
              <w:spacing w:line="360" w:lineRule="auto"/>
              <w:rPr>
                <w:rFonts w:ascii="宋体" w:hAnsi="宋体" w:eastAsia="宋体" w:cs="宋体"/>
                <w:color w:val="auto"/>
                <w:kern w:val="2"/>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1.9.1</w:t>
            </w:r>
          </w:p>
        </w:tc>
        <w:tc>
          <w:tcPr>
            <w:tcW w:w="4464" w:type="pct"/>
            <w:vAlign w:val="center"/>
          </w:tcPr>
          <w:p>
            <w:pPr>
              <w:spacing w:line="360" w:lineRule="auto"/>
              <w:rPr>
                <w:rFonts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由中标人承担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1.9.2</w:t>
            </w:r>
          </w:p>
        </w:tc>
        <w:tc>
          <w:tcPr>
            <w:tcW w:w="4464" w:type="pct"/>
            <w:vAlign w:val="center"/>
          </w:tcPr>
          <w:p>
            <w:pPr>
              <w:spacing w:line="360" w:lineRule="auto"/>
              <w:rPr>
                <w:rFonts w:ascii="宋体" w:hAnsi="宋体" w:eastAsia="宋体" w:cs="宋体"/>
                <w:color w:val="auto"/>
                <w:kern w:val="2"/>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2.3.2</w:t>
            </w:r>
          </w:p>
        </w:tc>
        <w:tc>
          <w:tcPr>
            <w:tcW w:w="4464" w:type="pct"/>
            <w:vAlign w:val="center"/>
          </w:tcPr>
          <w:p>
            <w:pPr>
              <w:spacing w:line="360" w:lineRule="auto"/>
              <w:ind w:left="-420" w:leftChars="-200" w:right="-420" w:rightChars="-200" w:firstLine="480" w:firstLineChars="200"/>
              <w:rPr>
                <w:rFonts w:ascii="宋体" w:hAnsi="宋体" w:eastAsia="宋体" w:cs="宋体"/>
                <w:color w:val="auto"/>
                <w:kern w:val="2"/>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4464" w:type="pct"/>
            <w:vAlign w:val="center"/>
          </w:tcPr>
          <w:p>
            <w:pPr>
              <w:spacing w:line="360" w:lineRule="auto"/>
              <w:ind w:left="-420" w:leftChars="-200" w:right="-420" w:rightChars="-200" w:firstLine="480" w:firstLineChars="200"/>
              <w:rPr>
                <w:rFonts w:ascii="宋体" w:hAnsi="宋体" w:eastAsia="宋体" w:cs="宋体"/>
                <w:color w:val="auto"/>
                <w:kern w:val="2"/>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464" w:type="pct"/>
            <w:vAlign w:val="center"/>
          </w:tcPr>
          <w:p>
            <w:pPr>
              <w:spacing w:line="360" w:lineRule="auto"/>
              <w:rPr>
                <w:rFonts w:ascii="宋体" w:hAnsi="宋体" w:eastAsia="宋体" w:cs="宋体"/>
                <w:color w:val="auto"/>
                <w:kern w:val="2"/>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464" w:type="pct"/>
            <w:vAlign w:val="top"/>
          </w:tcPr>
          <w:p>
            <w:pPr>
              <w:spacing w:line="360" w:lineRule="auto"/>
              <w:rPr>
                <w:rFonts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一式三份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464" w:type="pct"/>
            <w:vAlign w:val="center"/>
          </w:tcPr>
          <w:p>
            <w:pPr>
              <w:spacing w:line="360" w:lineRule="auto"/>
              <w:rPr>
                <w:rFonts w:ascii="宋体" w:hAnsi="宋体" w:eastAsia="宋体" w:cs="宋体"/>
                <w:color w:val="auto"/>
                <w:kern w:val="2"/>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464" w:type="pct"/>
            <w:vAlign w:val="center"/>
          </w:tcPr>
          <w:p>
            <w:pPr>
              <w:spacing w:line="360" w:lineRule="auto"/>
              <w:rPr>
                <w:rFonts w:ascii="宋体" w:hAnsi="宋体" w:eastAsia="宋体" w:cs="宋体"/>
                <w:color w:val="auto"/>
                <w:kern w:val="2"/>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color w:val="auto"/>
                <w:sz w:val="24"/>
              </w:rPr>
            </w:pPr>
            <w:r>
              <w:rPr>
                <w:rFonts w:hint="eastAsia" w:ascii="宋体" w:hAnsi="宋体" w:cs="宋体"/>
                <w:color w:val="auto"/>
                <w:sz w:val="24"/>
              </w:rPr>
              <w:t>2.19</w:t>
            </w:r>
          </w:p>
        </w:tc>
        <w:tc>
          <w:tcPr>
            <w:tcW w:w="4464" w:type="pct"/>
            <w:vAlign w:val="top"/>
          </w:tcPr>
          <w:p>
            <w:pPr>
              <w:spacing w:line="360" w:lineRule="auto"/>
              <w:rPr>
                <w:rFonts w:ascii="宋体" w:hAnsi="宋体" w:eastAsia="宋体" w:cs="宋体"/>
                <w:color w:val="auto"/>
                <w:kern w:val="2"/>
                <w:sz w:val="24"/>
                <w:szCs w:val="24"/>
                <w:lang w:val="en-US" w:eastAsia="zh-CN" w:bidi="ar-SA"/>
              </w:rPr>
            </w:pPr>
          </w:p>
        </w:tc>
      </w:tr>
    </w:tbl>
    <w:p>
      <w:pPr>
        <w:spacing w:line="360" w:lineRule="auto"/>
        <w:ind w:left="-420" w:leftChars="-200" w:right="-420" w:rightChars="-200" w:firstLine="480" w:firstLineChars="200"/>
        <w:rPr>
          <w:rFonts w:ascii="宋体" w:hAnsi="宋体" w:cs="宋体"/>
          <w:color w:val="auto"/>
          <w:sz w:val="24"/>
        </w:rPr>
      </w:pPr>
    </w:p>
    <w:p>
      <w:pPr>
        <w:spacing w:line="360" w:lineRule="auto"/>
        <w:ind w:left="-420" w:leftChars="-200" w:right="-420" w:rightChars="-200" w:firstLine="480" w:firstLineChars="200"/>
        <w:jc w:val="center"/>
        <w:outlineLvl w:val="0"/>
        <w:rPr>
          <w:rFonts w:ascii="宋体" w:hAnsi="宋体" w:cs="宋体"/>
          <w:color w:val="auto"/>
          <w:sz w:val="24"/>
        </w:rPr>
      </w:pPr>
    </w:p>
    <w:p>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404"/>
      <w:r>
        <w:rPr>
          <w:rFonts w:hint="eastAsia" w:ascii="宋体" w:hAnsi="宋体" w:cs="宋体"/>
          <w:b/>
          <w:color w:val="auto"/>
          <w:sz w:val="36"/>
          <w:szCs w:val="20"/>
        </w:rPr>
        <w:t xml:space="preserve"> </w:t>
      </w:r>
      <w:bookmarkEnd w:id="405"/>
      <w:r>
        <w:rPr>
          <w:rFonts w:hint="eastAsia" w:ascii="宋体" w:hAnsi="宋体" w:cs="宋体"/>
          <w:b/>
          <w:color w:val="auto"/>
          <w:sz w:val="36"/>
          <w:szCs w:val="20"/>
        </w:rPr>
        <w:t>应提交的有关格式范例</w:t>
      </w:r>
    </w:p>
    <w:p>
      <w:pPr>
        <w:spacing w:line="360" w:lineRule="auto"/>
        <w:jc w:val="center"/>
        <w:outlineLvl w:val="0"/>
        <w:rPr>
          <w:rFonts w:ascii="宋体" w:hAnsi="宋体" w:cs="宋体"/>
          <w:b/>
          <w:color w:val="auto"/>
          <w:kern w:val="0"/>
          <w:sz w:val="36"/>
          <w:szCs w:val="36"/>
        </w:r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pPr>
        <w:snapToGrid w:val="0"/>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pPr>
        <w:widowControl/>
        <w:spacing w:line="360" w:lineRule="auto"/>
        <w:ind w:firstLine="480"/>
        <w:jc w:val="left"/>
        <w:rPr>
          <w:rFonts w:ascii="宋体" w:hAnsi="宋体" w:cs="宋体"/>
          <w:color w:val="auto"/>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rPr>
      </w:pPr>
    </w:p>
    <w:p>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pPr>
        <w:spacing w:line="360" w:lineRule="auto"/>
        <w:jc w:val="center"/>
        <w:outlineLvl w:val="0"/>
        <w:rPr>
          <w:rFonts w:ascii="宋体" w:hAnsi="宋体" w:cs="宋体"/>
          <w:b/>
          <w:color w:val="auto"/>
          <w:kern w:val="0"/>
          <w:sz w:val="24"/>
        </w:rPr>
      </w:pPr>
    </w:p>
    <w:p>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rPr>
          <w:rFonts w:ascii="宋体" w:hAnsi="宋体" w:cs="宋体"/>
          <w:b/>
          <w:color w:val="auto"/>
          <w:kern w:val="0"/>
          <w:sz w:val="32"/>
          <w:szCs w:val="32"/>
          <w:lang w:val="zh-CN"/>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20" w:name="_Hlk101257010"/>
      <w:r>
        <w:rPr>
          <w:rFonts w:hint="eastAsia" w:ascii="宋体" w:hAnsi="宋体" w:cs="宋体"/>
          <w:color w:val="auto"/>
          <w:sz w:val="24"/>
        </w:rPr>
        <w:t>（如果有)</w:t>
      </w:r>
      <w:bookmarkEnd w:id="520"/>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pPr>
        <w:spacing w:line="360" w:lineRule="auto"/>
        <w:ind w:left="420" w:leftChars="200" w:firstLine="480" w:firstLineChars="200"/>
        <w:rPr>
          <w:rFonts w:hint="default" w:eastAsia="仿宋_GB2312"/>
          <w:color w:val="auto"/>
          <w:lang w:val="en-US" w:eastAsia="zh-CN"/>
        </w:rPr>
      </w:pPr>
      <w:r>
        <w:rPr>
          <w:rFonts w:hint="eastAsia" w:ascii="宋体" w:hAnsi="宋体" w:cs="宋体"/>
          <w:color w:val="auto"/>
          <w:sz w:val="24"/>
          <w:lang w:val="en-US" w:eastAsia="zh-CN"/>
        </w:rPr>
        <w:t>2.3.2 报价情况说明（如果有）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pStyle w:val="79"/>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3、我方承诺除商务技术偏离表列出的偏离外，我方响应招标文件的全部要求。对投标文件中材料的真实性、合法性负责。</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jc w:val="center"/>
        <w:rPr>
          <w:rFonts w:ascii="宋体" w:hAnsi="宋体" w:cs="宋体"/>
          <w:b/>
          <w:color w:val="auto"/>
          <w:kern w:val="0"/>
          <w:sz w:val="32"/>
          <w:szCs w:val="32"/>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pStyle w:val="3"/>
        <w:rPr>
          <w:color w:val="auto"/>
          <w:lang w:val="en-US"/>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pPr>
        <w:snapToGrid w:val="0"/>
        <w:spacing w:line="360" w:lineRule="auto"/>
        <w:rPr>
          <w:rFonts w:ascii="宋体" w:hAnsi="宋体" w:cs="宋体"/>
          <w:color w:val="auto"/>
          <w:sz w:val="24"/>
        </w:rPr>
      </w:pPr>
      <w:r>
        <w:rPr>
          <w:rFonts w:hint="eastAsia" w:ascii="宋体" w:hAnsi="宋体" w:cs="宋体"/>
          <w:color w:val="auto"/>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pPr>
        <w:pStyle w:val="148"/>
        <w:spacing w:line="360" w:lineRule="auto"/>
        <w:rPr>
          <w:rFonts w:hAnsi="宋体" w:cs="宋体"/>
          <w:bCs/>
          <w:color w:val="auto"/>
          <w:sz w:val="24"/>
        </w:rPr>
      </w:pP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Ansi="宋体" w:cs="宋体"/>
                <w:bCs/>
                <w:color w:val="auto"/>
                <w:sz w:val="24"/>
              </w:rPr>
            </w:pPr>
            <w:r>
              <w:rPr>
                <w:rFonts w:hint="eastAsia" w:hAnsi="宋体" w:cs="宋体"/>
                <w:bCs/>
                <w:color w:val="auto"/>
                <w:sz w:val="24"/>
              </w:rPr>
              <w:t>正面：                                 反面：</w:t>
            </w:r>
          </w:p>
          <w:p>
            <w:pPr>
              <w:pStyle w:val="148"/>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pPr>
        <w:snapToGrid w:val="0"/>
        <w:spacing w:line="360" w:lineRule="auto"/>
        <w:rPr>
          <w:rFonts w:ascii="宋体" w:hAnsi="宋体" w:cs="宋体"/>
          <w:color w:val="auto"/>
          <w:kern w:val="0"/>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见投标文件</w:t>
            </w:r>
          </w:p>
          <w:p>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2</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pPr>
              <w:rPr>
                <w:rFonts w:ascii="宋体" w:hAnsi="宋体" w:cs="宋体"/>
                <w:color w:val="auto"/>
                <w:sz w:val="24"/>
              </w:rPr>
            </w:pPr>
            <w:r>
              <w:rPr>
                <w:rFonts w:hint="eastAsia" w:ascii="宋体" w:hAnsi="宋体" w:cs="宋体"/>
                <w:color w:val="auto"/>
                <w:sz w:val="24"/>
              </w:rPr>
              <w:t>投标函</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3</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color w:val="auto"/>
        </w:rPr>
      </w:pPr>
      <w:r>
        <w:rPr>
          <w:rFonts w:hint="eastAsia" w:ascii="宋体" w:hAnsi="宋体" w:cs="宋体"/>
          <w:b/>
          <w:color w:val="auto"/>
          <w:kern w:val="0"/>
          <w:sz w:val="32"/>
          <w:szCs w:val="32"/>
        </w:rPr>
        <w:t>五、评标标准相应的商务技术资料</w:t>
      </w:r>
    </w:p>
    <w:p>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pPr>
              <w:jc w:val="center"/>
              <w:rPr>
                <w:rFonts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bl>
    <w:p>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pPr>
        <w:jc w:val="center"/>
        <w:rPr>
          <w:rFonts w:ascii="宋体" w:hAnsi="宋体" w:cs="宋体"/>
          <w:b/>
          <w:color w:val="auto"/>
          <w:kern w:val="0"/>
          <w:sz w:val="32"/>
          <w:szCs w:val="32"/>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ascii="宋体" w:hAnsi="宋体" w:cs="宋体"/>
          <w:b/>
          <w:bCs/>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numPr>
          <w:ilvl w:val="0"/>
          <w:numId w:val="1"/>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pPr>
        <w:spacing w:line="360" w:lineRule="auto"/>
        <w:rPr>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pPr>
        <w:pStyle w:val="79"/>
        <w:rPr>
          <w:rFonts w:hint="eastAsia"/>
          <w:color w:val="auto"/>
        </w:rPr>
      </w:pPr>
    </w:p>
    <w:p>
      <w:pPr>
        <w:pStyle w:val="79"/>
        <w:rPr>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lang w:val="en-US" w:eastAsia="zh-CN"/>
              </w:rPr>
              <w:t>投标费率（%）</w:t>
            </w:r>
          </w:p>
        </w:tc>
        <w:tc>
          <w:tcPr>
            <w:tcW w:w="2126" w:type="dxa"/>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Merge w:val="restart"/>
            <w:vAlign w:val="center"/>
          </w:tcPr>
          <w:p>
            <w:pPr>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p>
        </w:tc>
        <w:tc>
          <w:tcPr>
            <w:tcW w:w="992" w:type="dxa"/>
            <w:vMerge w:val="restart"/>
            <w:vAlign w:val="center"/>
          </w:tcPr>
          <w:p>
            <w:pPr>
              <w:snapToGrid w:val="0"/>
              <w:spacing w:line="360" w:lineRule="auto"/>
              <w:jc w:val="both"/>
              <w:rPr>
                <w:rFonts w:hint="default" w:ascii="宋体" w:hAnsi="宋体" w:eastAsia="宋体" w:cs="宋体"/>
                <w:color w:val="auto"/>
                <w:sz w:val="24"/>
                <w:lang w:val="en-US" w:eastAsia="zh-CN"/>
              </w:rPr>
            </w:pPr>
            <w:r>
              <w:rPr>
                <w:rFonts w:hint="eastAsia" w:ascii="宋体" w:hAnsi="宋体" w:cs="宋体"/>
                <w:color w:val="auto"/>
                <w:sz w:val="24"/>
                <w:lang w:val="en-US" w:eastAsia="zh-CN"/>
              </w:rPr>
              <w:t>食材配送</w:t>
            </w:r>
          </w:p>
        </w:tc>
        <w:tc>
          <w:tcPr>
            <w:tcW w:w="2268" w:type="dxa"/>
            <w:vAlign w:val="center"/>
          </w:tcPr>
          <w:p>
            <w:pPr>
              <w:snapToGrid w:val="0"/>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蔬菜类</w:t>
            </w:r>
          </w:p>
        </w:tc>
        <w:tc>
          <w:tcPr>
            <w:tcW w:w="2410" w:type="dxa"/>
            <w:vAlign w:val="center"/>
          </w:tcPr>
          <w:p>
            <w:pPr>
              <w:snapToGrid w:val="0"/>
              <w:spacing w:line="360" w:lineRule="auto"/>
              <w:jc w:val="both"/>
              <w:rPr>
                <w:rFonts w:hint="eastAsia" w:ascii="宋体" w:hAnsi="宋体" w:cs="宋体"/>
                <w:color w:val="auto"/>
                <w:sz w:val="24"/>
                <w:lang w:val="en-US" w:eastAsia="zh-CN"/>
              </w:rPr>
            </w:pPr>
          </w:p>
        </w:tc>
        <w:tc>
          <w:tcPr>
            <w:tcW w:w="2268" w:type="dxa"/>
            <w:vAlign w:val="center"/>
          </w:tcPr>
          <w:p>
            <w:pPr>
              <w:snapToGrid w:val="0"/>
              <w:spacing w:line="360" w:lineRule="auto"/>
              <w:jc w:val="both"/>
              <w:rPr>
                <w:rFonts w:hint="eastAsia" w:ascii="宋体" w:hAnsi="宋体" w:cs="宋体"/>
                <w:color w:val="auto"/>
                <w:sz w:val="24"/>
                <w:lang w:val="en-US" w:eastAsia="zh-CN"/>
              </w:rPr>
            </w:pPr>
          </w:p>
        </w:tc>
        <w:tc>
          <w:tcPr>
            <w:tcW w:w="2126" w:type="dxa"/>
            <w:vAlign w:val="center"/>
          </w:tcPr>
          <w:p>
            <w:pPr>
              <w:snapToGrid w:val="0"/>
              <w:spacing w:line="360" w:lineRule="auto"/>
              <w:jc w:val="both"/>
              <w:rPr>
                <w:rFonts w:hint="eastAsia" w:ascii="宋体" w:hAnsi="宋体" w:cs="宋体"/>
                <w:color w:val="auto"/>
                <w:sz w:val="24"/>
                <w:lang w:val="en-US" w:eastAsia="zh-CN"/>
              </w:rPr>
            </w:pPr>
          </w:p>
        </w:tc>
        <w:tc>
          <w:tcPr>
            <w:tcW w:w="2127" w:type="dxa"/>
          </w:tcPr>
          <w:p>
            <w:pPr>
              <w:snapToGrid w:val="0"/>
              <w:spacing w:line="360" w:lineRule="auto"/>
              <w:jc w:val="both"/>
              <w:rPr>
                <w:rFonts w:hint="eastAsia" w:ascii="宋体" w:hAnsi="宋体" w:cs="宋体"/>
                <w:color w:val="auto"/>
                <w:sz w:val="24"/>
                <w:lang w:val="en-US" w:eastAsia="zh-CN"/>
              </w:rPr>
            </w:pPr>
            <w:r>
              <w:rPr>
                <w:rFonts w:hint="eastAsia" w:ascii="宋体" w:hAnsi="宋体" w:cs="宋体"/>
                <w:color w:val="auto"/>
                <w:sz w:val="24"/>
                <w:lang w:val="en-US" w:eastAsia="zh-CN"/>
              </w:rPr>
              <w:t>%</w:t>
            </w: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Merge w:val="continue"/>
            <w:tcBorders/>
            <w:vAlign w:val="center"/>
          </w:tcPr>
          <w:p>
            <w:pPr>
              <w:spacing w:line="360" w:lineRule="auto"/>
              <w:jc w:val="center"/>
              <w:rPr>
                <w:rFonts w:ascii="宋体" w:hAnsi="宋体" w:cs="宋体"/>
                <w:color w:val="auto"/>
                <w:sz w:val="24"/>
              </w:rPr>
            </w:pPr>
          </w:p>
        </w:tc>
        <w:tc>
          <w:tcPr>
            <w:tcW w:w="992" w:type="dxa"/>
            <w:vMerge w:val="continue"/>
            <w:tcBorders/>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粮油类</w:t>
            </w:r>
          </w:p>
        </w:tc>
        <w:tc>
          <w:tcPr>
            <w:tcW w:w="2410" w:type="dxa"/>
            <w:vAlign w:val="center"/>
          </w:tcPr>
          <w:p>
            <w:pPr>
              <w:snapToGrid w:val="0"/>
              <w:spacing w:line="360" w:lineRule="auto"/>
              <w:jc w:val="both"/>
              <w:rPr>
                <w:rFonts w:hint="eastAsia" w:ascii="宋体" w:hAnsi="宋体" w:cs="宋体"/>
                <w:color w:val="auto"/>
                <w:sz w:val="24"/>
                <w:lang w:val="en-US" w:eastAsia="zh-CN"/>
              </w:rPr>
            </w:pPr>
          </w:p>
        </w:tc>
        <w:tc>
          <w:tcPr>
            <w:tcW w:w="2268" w:type="dxa"/>
            <w:vAlign w:val="center"/>
          </w:tcPr>
          <w:p>
            <w:pPr>
              <w:snapToGrid w:val="0"/>
              <w:spacing w:line="360" w:lineRule="auto"/>
              <w:jc w:val="both"/>
              <w:rPr>
                <w:rFonts w:hint="eastAsia" w:ascii="宋体" w:hAnsi="宋体" w:cs="宋体"/>
                <w:color w:val="auto"/>
                <w:sz w:val="24"/>
                <w:lang w:val="en-US" w:eastAsia="zh-CN"/>
              </w:rPr>
            </w:pPr>
          </w:p>
        </w:tc>
        <w:tc>
          <w:tcPr>
            <w:tcW w:w="2126" w:type="dxa"/>
            <w:vAlign w:val="center"/>
          </w:tcPr>
          <w:p>
            <w:pPr>
              <w:snapToGrid w:val="0"/>
              <w:spacing w:line="360" w:lineRule="auto"/>
              <w:jc w:val="both"/>
              <w:rPr>
                <w:rFonts w:hint="eastAsia" w:ascii="宋体" w:hAnsi="宋体" w:cs="宋体"/>
                <w:color w:val="auto"/>
                <w:sz w:val="24"/>
                <w:lang w:val="en-US" w:eastAsia="zh-CN"/>
              </w:rPr>
            </w:pPr>
          </w:p>
        </w:tc>
        <w:tc>
          <w:tcPr>
            <w:tcW w:w="2127" w:type="dxa"/>
          </w:tcPr>
          <w:p>
            <w:pPr>
              <w:snapToGrid w:val="0"/>
              <w:spacing w:line="360" w:lineRule="auto"/>
              <w:jc w:val="both"/>
              <w:rPr>
                <w:rFonts w:hint="eastAsia" w:ascii="宋体" w:hAnsi="宋体" w:cs="宋体"/>
                <w:color w:val="auto"/>
                <w:sz w:val="24"/>
                <w:lang w:val="en-US" w:eastAsia="zh-CN"/>
              </w:rPr>
            </w:pPr>
            <w:r>
              <w:rPr>
                <w:rFonts w:hint="eastAsia" w:ascii="宋体" w:hAnsi="宋体" w:cs="宋体"/>
                <w:color w:val="auto"/>
                <w:sz w:val="24"/>
                <w:lang w:val="en-US" w:eastAsia="zh-CN"/>
              </w:rPr>
              <w:t>%</w:t>
            </w: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Merge w:val="continue"/>
            <w:tcBorders/>
            <w:vAlign w:val="center"/>
          </w:tcPr>
          <w:p>
            <w:pPr>
              <w:spacing w:line="360" w:lineRule="auto"/>
              <w:jc w:val="center"/>
              <w:rPr>
                <w:rFonts w:ascii="宋体" w:hAnsi="宋体" w:cs="宋体"/>
                <w:color w:val="auto"/>
                <w:sz w:val="24"/>
              </w:rPr>
            </w:pPr>
          </w:p>
        </w:tc>
        <w:tc>
          <w:tcPr>
            <w:tcW w:w="992" w:type="dxa"/>
            <w:vMerge w:val="continue"/>
            <w:tcBorders/>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冷冻品类</w:t>
            </w:r>
          </w:p>
        </w:tc>
        <w:tc>
          <w:tcPr>
            <w:tcW w:w="2410" w:type="dxa"/>
            <w:vAlign w:val="center"/>
          </w:tcPr>
          <w:p>
            <w:pPr>
              <w:snapToGrid w:val="0"/>
              <w:spacing w:line="360" w:lineRule="auto"/>
              <w:jc w:val="both"/>
              <w:rPr>
                <w:rFonts w:hint="eastAsia" w:ascii="宋体" w:hAnsi="宋体" w:cs="宋体"/>
                <w:color w:val="auto"/>
                <w:sz w:val="24"/>
                <w:lang w:val="en-US" w:eastAsia="zh-CN"/>
              </w:rPr>
            </w:pPr>
          </w:p>
        </w:tc>
        <w:tc>
          <w:tcPr>
            <w:tcW w:w="2268" w:type="dxa"/>
            <w:vAlign w:val="center"/>
          </w:tcPr>
          <w:p>
            <w:pPr>
              <w:snapToGrid w:val="0"/>
              <w:spacing w:line="360" w:lineRule="auto"/>
              <w:jc w:val="both"/>
              <w:rPr>
                <w:rFonts w:hint="eastAsia" w:ascii="宋体" w:hAnsi="宋体" w:cs="宋体"/>
                <w:color w:val="auto"/>
                <w:sz w:val="24"/>
                <w:lang w:val="en-US" w:eastAsia="zh-CN"/>
              </w:rPr>
            </w:pPr>
          </w:p>
        </w:tc>
        <w:tc>
          <w:tcPr>
            <w:tcW w:w="2126" w:type="dxa"/>
            <w:vAlign w:val="center"/>
          </w:tcPr>
          <w:p>
            <w:pPr>
              <w:snapToGrid w:val="0"/>
              <w:spacing w:line="360" w:lineRule="auto"/>
              <w:jc w:val="both"/>
              <w:rPr>
                <w:rFonts w:hint="eastAsia" w:ascii="宋体" w:hAnsi="宋体" w:cs="宋体"/>
                <w:color w:val="auto"/>
                <w:sz w:val="24"/>
                <w:lang w:val="en-US" w:eastAsia="zh-CN"/>
              </w:rPr>
            </w:pPr>
          </w:p>
        </w:tc>
        <w:tc>
          <w:tcPr>
            <w:tcW w:w="2127" w:type="dxa"/>
          </w:tcPr>
          <w:p>
            <w:pPr>
              <w:snapToGrid w:val="0"/>
              <w:spacing w:line="360" w:lineRule="auto"/>
              <w:jc w:val="both"/>
              <w:rPr>
                <w:rFonts w:hint="eastAsia" w:ascii="宋体" w:hAnsi="宋体" w:cs="宋体"/>
                <w:color w:val="auto"/>
                <w:sz w:val="24"/>
                <w:lang w:val="en-US" w:eastAsia="zh-CN"/>
              </w:rPr>
            </w:pPr>
            <w:r>
              <w:rPr>
                <w:rFonts w:hint="eastAsia" w:ascii="宋体" w:hAnsi="宋体" w:cs="宋体"/>
                <w:color w:val="auto"/>
                <w:sz w:val="24"/>
                <w:lang w:val="en-US" w:eastAsia="zh-CN"/>
              </w:rPr>
              <w:t>%</w:t>
            </w: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Merge w:val="continue"/>
            <w:tcBorders/>
            <w:vAlign w:val="center"/>
          </w:tcPr>
          <w:p>
            <w:pPr>
              <w:spacing w:line="360" w:lineRule="auto"/>
              <w:jc w:val="center"/>
              <w:rPr>
                <w:rFonts w:ascii="宋体" w:hAnsi="宋体" w:cs="宋体"/>
                <w:color w:val="auto"/>
                <w:sz w:val="24"/>
              </w:rPr>
            </w:pPr>
          </w:p>
        </w:tc>
        <w:tc>
          <w:tcPr>
            <w:tcW w:w="992" w:type="dxa"/>
            <w:vMerge w:val="continue"/>
            <w:tcBorders/>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调味品类</w:t>
            </w:r>
          </w:p>
        </w:tc>
        <w:tc>
          <w:tcPr>
            <w:tcW w:w="2410" w:type="dxa"/>
            <w:vAlign w:val="center"/>
          </w:tcPr>
          <w:p>
            <w:pPr>
              <w:snapToGrid w:val="0"/>
              <w:spacing w:line="360" w:lineRule="auto"/>
              <w:jc w:val="both"/>
              <w:rPr>
                <w:rFonts w:hint="eastAsia" w:ascii="宋体" w:hAnsi="宋体" w:cs="宋体"/>
                <w:color w:val="auto"/>
                <w:sz w:val="24"/>
                <w:lang w:val="en-US" w:eastAsia="zh-CN"/>
              </w:rPr>
            </w:pPr>
          </w:p>
        </w:tc>
        <w:tc>
          <w:tcPr>
            <w:tcW w:w="2268" w:type="dxa"/>
            <w:vAlign w:val="center"/>
          </w:tcPr>
          <w:p>
            <w:pPr>
              <w:snapToGrid w:val="0"/>
              <w:spacing w:line="360" w:lineRule="auto"/>
              <w:jc w:val="both"/>
              <w:rPr>
                <w:rFonts w:hint="eastAsia" w:ascii="宋体" w:hAnsi="宋体" w:cs="宋体"/>
                <w:color w:val="auto"/>
                <w:sz w:val="24"/>
                <w:lang w:val="en-US" w:eastAsia="zh-CN"/>
              </w:rPr>
            </w:pPr>
          </w:p>
        </w:tc>
        <w:tc>
          <w:tcPr>
            <w:tcW w:w="2126" w:type="dxa"/>
            <w:vAlign w:val="center"/>
          </w:tcPr>
          <w:p>
            <w:pPr>
              <w:snapToGrid w:val="0"/>
              <w:spacing w:line="360" w:lineRule="auto"/>
              <w:jc w:val="both"/>
              <w:rPr>
                <w:rFonts w:hint="eastAsia" w:ascii="宋体" w:hAnsi="宋体" w:cs="宋体"/>
                <w:color w:val="auto"/>
                <w:sz w:val="24"/>
                <w:lang w:val="en-US" w:eastAsia="zh-CN"/>
              </w:rPr>
            </w:pPr>
          </w:p>
        </w:tc>
        <w:tc>
          <w:tcPr>
            <w:tcW w:w="2127" w:type="dxa"/>
          </w:tcPr>
          <w:p>
            <w:pPr>
              <w:snapToGrid w:val="0"/>
              <w:spacing w:line="360" w:lineRule="auto"/>
              <w:jc w:val="both"/>
              <w:rPr>
                <w:rFonts w:hint="eastAsia" w:ascii="宋体" w:hAnsi="宋体" w:cs="宋体"/>
                <w:color w:val="auto"/>
                <w:sz w:val="24"/>
                <w:lang w:val="en-US" w:eastAsia="zh-CN"/>
              </w:rPr>
            </w:pPr>
            <w:r>
              <w:rPr>
                <w:rFonts w:hint="eastAsia" w:ascii="宋体" w:hAnsi="宋体" w:cs="宋体"/>
                <w:color w:val="auto"/>
                <w:sz w:val="24"/>
                <w:lang w:val="en-US" w:eastAsia="zh-CN"/>
              </w:rPr>
              <w:t>%</w:t>
            </w: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Merge w:val="continue"/>
            <w:tcBorders/>
            <w:vAlign w:val="center"/>
          </w:tcPr>
          <w:p>
            <w:pPr>
              <w:spacing w:line="360" w:lineRule="auto"/>
              <w:jc w:val="center"/>
              <w:rPr>
                <w:rFonts w:ascii="宋体" w:hAnsi="宋体" w:cs="宋体"/>
                <w:color w:val="auto"/>
                <w:sz w:val="24"/>
              </w:rPr>
            </w:pPr>
          </w:p>
        </w:tc>
        <w:tc>
          <w:tcPr>
            <w:tcW w:w="992" w:type="dxa"/>
            <w:vMerge w:val="continue"/>
            <w:tcBorders/>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其他类（包括水产类、禽肉类、干货类、豆制品类、禽蛋类、鲜猪肉类、水果类、点心饮品类、厨房用品类等</w:t>
            </w:r>
          </w:p>
        </w:tc>
        <w:tc>
          <w:tcPr>
            <w:tcW w:w="2410" w:type="dxa"/>
            <w:vAlign w:val="center"/>
          </w:tcPr>
          <w:p>
            <w:pPr>
              <w:snapToGrid w:val="0"/>
              <w:spacing w:line="360" w:lineRule="auto"/>
              <w:jc w:val="both"/>
              <w:rPr>
                <w:rFonts w:hint="eastAsia" w:ascii="宋体" w:hAnsi="宋体" w:cs="宋体"/>
                <w:color w:val="auto"/>
                <w:sz w:val="24"/>
                <w:lang w:val="en-US" w:eastAsia="zh-CN"/>
              </w:rPr>
            </w:pPr>
          </w:p>
        </w:tc>
        <w:tc>
          <w:tcPr>
            <w:tcW w:w="2268" w:type="dxa"/>
            <w:vAlign w:val="center"/>
          </w:tcPr>
          <w:p>
            <w:pPr>
              <w:snapToGrid w:val="0"/>
              <w:spacing w:line="360" w:lineRule="auto"/>
              <w:jc w:val="both"/>
              <w:rPr>
                <w:rFonts w:hint="eastAsia" w:ascii="宋体" w:hAnsi="宋体" w:cs="宋体"/>
                <w:color w:val="auto"/>
                <w:sz w:val="24"/>
                <w:lang w:val="en-US" w:eastAsia="zh-CN"/>
              </w:rPr>
            </w:pPr>
          </w:p>
        </w:tc>
        <w:tc>
          <w:tcPr>
            <w:tcW w:w="2126" w:type="dxa"/>
            <w:vAlign w:val="center"/>
          </w:tcPr>
          <w:p>
            <w:pPr>
              <w:snapToGrid w:val="0"/>
              <w:spacing w:line="360" w:lineRule="auto"/>
              <w:jc w:val="both"/>
              <w:rPr>
                <w:rFonts w:hint="eastAsia" w:ascii="宋体" w:hAnsi="宋体" w:cs="宋体"/>
                <w:color w:val="auto"/>
                <w:sz w:val="24"/>
                <w:lang w:val="en-US" w:eastAsia="zh-CN"/>
              </w:rPr>
            </w:pPr>
          </w:p>
        </w:tc>
        <w:tc>
          <w:tcPr>
            <w:tcW w:w="2127" w:type="dxa"/>
          </w:tcPr>
          <w:p>
            <w:pPr>
              <w:snapToGrid w:val="0"/>
              <w:spacing w:line="360" w:lineRule="auto"/>
              <w:jc w:val="both"/>
              <w:rPr>
                <w:rFonts w:hint="eastAsia" w:ascii="宋体" w:hAnsi="宋体" w:cs="宋体"/>
                <w:color w:val="auto"/>
                <w:sz w:val="24"/>
                <w:lang w:val="en-US" w:eastAsia="zh-CN"/>
              </w:rPr>
            </w:pPr>
            <w:r>
              <w:rPr>
                <w:rFonts w:hint="eastAsia" w:ascii="宋体" w:hAnsi="宋体" w:cs="宋体"/>
                <w:color w:val="auto"/>
                <w:sz w:val="24"/>
                <w:lang w:val="en-US" w:eastAsia="zh-CN"/>
              </w:rPr>
              <w:t>%</w:t>
            </w:r>
          </w:p>
        </w:tc>
        <w:tc>
          <w:tcPr>
            <w:tcW w:w="2126" w:type="dxa"/>
            <w:vAlign w:val="center"/>
          </w:tcPr>
          <w:p>
            <w:pPr>
              <w:spacing w:line="360" w:lineRule="auto"/>
              <w:jc w:val="center"/>
              <w:rPr>
                <w:rFonts w:ascii="宋体" w:hAnsi="宋体" w:cs="宋体"/>
                <w:color w:val="auto"/>
                <w:sz w:val="24"/>
              </w:rPr>
            </w:pPr>
          </w:p>
        </w:tc>
      </w:tr>
    </w:tbl>
    <w:p>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692"/>
        <w:keepNext w:val="0"/>
        <w:pageBreakBefore/>
        <w:numPr>
          <w:ilvl w:val="0"/>
          <w:numId w:val="2"/>
        </w:numPr>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报价情况说明（如果有）</w:t>
      </w:r>
    </w:p>
    <w:p>
      <w:pPr>
        <w:pStyle w:val="3"/>
        <w:keepNext w:val="0"/>
        <w:pageBreakBefore w:val="0"/>
        <w:numPr>
          <w:ilvl w:val="-1"/>
          <w:numId w:val="0"/>
        </w:numPr>
        <w:snapToGrid w:val="0"/>
        <w:spacing w:before="120" w:after="120"/>
        <w:ind w:firstLine="0"/>
        <w:outlineLvl w:val="9"/>
        <w:rPr>
          <w:rFonts w:hint="default" w:ascii="宋体" w:hAnsi="宋体" w:eastAsia="宋体" w:cs="宋体"/>
          <w:color w:val="auto"/>
          <w:kern w:val="2"/>
          <w:sz w:val="32"/>
          <w:szCs w:val="32"/>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w:t>
      </w:r>
    </w:p>
    <w:p>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中小企业声明函（如果有）</w:t>
      </w:r>
    </w:p>
    <w:p>
      <w:pPr>
        <w:widowControl/>
        <w:spacing w:line="360" w:lineRule="auto"/>
        <w:ind w:firstLine="120" w:firstLineChars="50"/>
        <w:jc w:val="left"/>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79"/>
        <w:rPr>
          <w:rFonts w:hint="eastAsia" w:ascii="宋体" w:hAnsi="宋体" w:cs="宋体"/>
          <w:b/>
          <w:color w:val="auto"/>
          <w:sz w:val="24"/>
        </w:rPr>
      </w:pPr>
    </w:p>
    <w:p>
      <w:pPr>
        <w:pStyle w:val="79"/>
        <w:rPr>
          <w:rFonts w:hint="eastAsia" w:ascii="宋体" w:hAnsi="宋体" w:cs="宋体"/>
          <w:b/>
          <w:color w:val="auto"/>
          <w:sz w:val="24"/>
        </w:rPr>
      </w:pPr>
    </w:p>
    <w:p>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pPr>
        <w:spacing w:line="360" w:lineRule="auto"/>
        <w:jc w:val="center"/>
        <w:rPr>
          <w:rFonts w:ascii="宋体" w:hAnsi="宋体" w:cs="宋体"/>
          <w:b/>
          <w:color w:val="auto"/>
          <w:spacing w:val="6"/>
          <w:sz w:val="32"/>
          <w:szCs w:val="32"/>
        </w:rPr>
      </w:pPr>
      <w:bookmarkStart w:id="521" w:name="OLE_LINK14"/>
      <w:bookmarkStart w:id="522" w:name="OLE_LINK13"/>
      <w:r>
        <w:rPr>
          <w:rFonts w:hint="eastAsia" w:ascii="宋体" w:hAnsi="宋体" w:cs="宋体"/>
          <w:b/>
          <w:color w:val="auto"/>
          <w:spacing w:val="6"/>
          <w:sz w:val="32"/>
          <w:szCs w:val="32"/>
        </w:rPr>
        <w:t>残疾人福利性单位声明函</w:t>
      </w:r>
    </w:p>
    <w:bookmarkEnd w:id="521"/>
    <w:bookmarkEnd w:id="522"/>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pPr>
        <w:snapToGrid w:val="0"/>
        <w:spacing w:line="360" w:lineRule="auto"/>
        <w:rPr>
          <w:rFonts w:ascii="宋体" w:hAnsi="宋体" w:cs="宋体"/>
          <w:color w:val="auto"/>
          <w:sz w:val="24"/>
        </w:rPr>
      </w:pPr>
      <w:r>
        <w:rPr>
          <w:rFonts w:hint="eastAsia" w:ascii="宋体" w:hAnsi="宋体" w:cs="宋体"/>
          <w:color w:val="auto"/>
          <w:sz w:val="24"/>
        </w:rPr>
        <w:t>……</w:t>
      </w:r>
    </w:p>
    <w:p>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jc w:val="center"/>
        <w:rPr>
          <w:rFonts w:ascii="宋体" w:hAnsi="宋体" w:cs="宋体"/>
          <w:b/>
          <w:bCs/>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pPr>
        <w:spacing w:line="360" w:lineRule="auto"/>
        <w:jc w:val="center"/>
        <w:rPr>
          <w:rFonts w:ascii="宋体" w:hAnsi="宋体" w:cs="宋体"/>
          <w:b/>
          <w:color w:val="auto"/>
          <w:sz w:val="24"/>
        </w:rPr>
      </w:pP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pPr>
        <w:spacing w:line="360" w:lineRule="auto"/>
        <w:rPr>
          <w:rFonts w:ascii="宋体" w:hAnsi="宋体" w:cs="宋体"/>
          <w:color w:val="auto"/>
          <w:sz w:val="24"/>
        </w:rPr>
      </w:pPr>
      <w:r>
        <w:rPr>
          <w:rFonts w:hint="eastAsia" w:ascii="宋体" w:hAnsi="宋体" w:cs="宋体"/>
          <w:color w:val="auto"/>
          <w:sz w:val="24"/>
        </w:rPr>
        <w:t>一、投诉相关主体基本情况</w:t>
      </w:r>
    </w:p>
    <w:p>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被投诉人2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二、投诉项目基本情况</w:t>
      </w:r>
    </w:p>
    <w:p>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三、质疑基本情况</w:t>
      </w:r>
    </w:p>
    <w:p>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pPr>
        <w:spacing w:line="360" w:lineRule="auto"/>
        <w:rPr>
          <w:rFonts w:ascii="宋体" w:hAnsi="宋体" w:cs="宋体"/>
          <w:color w:val="auto"/>
          <w:sz w:val="24"/>
        </w:rPr>
      </w:pPr>
      <w:r>
        <w:rPr>
          <w:rFonts w:hint="eastAsia" w:ascii="宋体" w:hAnsi="宋体" w:cs="宋体"/>
          <w:color w:val="auto"/>
          <w:sz w:val="24"/>
        </w:rPr>
        <w:t>四、投诉事项具体内容</w:t>
      </w:r>
    </w:p>
    <w:p>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投诉事项2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五、与投诉事项相关的投诉请求</w:t>
      </w:r>
    </w:p>
    <w:p>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投诉书制作说明：</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（采购人）、（采购代理机构）：</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523"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523"/>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524" w:name="_Hlk101133598"/>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524"/>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25"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525"/>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napToGrid w:val="0"/>
        <w:spacing w:line="360" w:lineRule="auto"/>
        <w:ind w:firstLine="3666" w:firstLineChars="1100"/>
        <w:rPr>
          <w:rFonts w:ascii="宋体" w:hAnsi="宋体" w:cs="宋体"/>
          <w:b/>
          <w:color w:val="auto"/>
          <w:spacing w:val="6"/>
          <w:sz w:val="32"/>
          <w:szCs w:val="32"/>
        </w:rPr>
      </w:pPr>
    </w:p>
    <w:p>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pPr>
        <w:pStyle w:val="3"/>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pPr>
        <w:rPr>
          <w:color w:val="auto"/>
        </w:rPr>
      </w:pPr>
      <w:r>
        <w:rPr>
          <w:rFonts w:hint="eastAsia"/>
          <w:color w:val="auto"/>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pPr>
        <w:spacing w:line="360" w:lineRule="auto"/>
        <w:jc w:val="center"/>
        <w:rPr>
          <w:rFonts w:ascii="宋体" w:hAnsi="宋体" w:cs="宋体"/>
          <w:color w:val="auto"/>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pPr>
        <w:spacing w:line="360" w:lineRule="auto"/>
        <w:ind w:right="420"/>
        <w:rPr>
          <w:rFonts w:ascii="宋体" w:hAnsi="宋体" w:cs="宋体"/>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 xml:space="preserve">   注：</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rFonts w:ascii="宋体" w:hAnsi="宋体" w:eastAsia="宋体" w:cs="宋体"/>
          <w:color w:val="auto"/>
          <w:lang w:val="en-US"/>
        </w:rPr>
      </w:pPr>
    </w:p>
    <w:p>
      <w:pPr>
        <w:spacing w:line="360" w:lineRule="auto"/>
        <w:ind w:right="420"/>
        <w:rPr>
          <w:rFonts w:ascii="宋体" w:hAnsi="宋体" w:cs="宋体"/>
          <w:color w:val="auto"/>
        </w:rPr>
      </w:pPr>
    </w:p>
    <w:p>
      <w:pPr>
        <w:spacing w:line="360" w:lineRule="auto"/>
        <w:rPr>
          <w:rFonts w:ascii="宋体" w:hAnsi="宋体" w:cs="宋体"/>
          <w:bCs/>
          <w:color w:val="auto"/>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6" w:name="_Toc164085800"/>
    <w:bookmarkStart w:id="527" w:name="_Toc36110187"/>
    <w:bookmarkStart w:id="528" w:name="_Toc131845147"/>
    <w:bookmarkStart w:id="529" w:name="_Toc91899912"/>
    <w:r>
      <w:rPr>
        <w:rFonts w:hint="eastAsia" w:ascii="仿宋_GB2312" w:eastAsia="仿宋_GB2312"/>
        <w:kern w:val="0"/>
        <w:szCs w:val="21"/>
      </w:rPr>
      <w:t xml:space="preserve"> 页</w:t>
    </w:r>
    <w:bookmarkEnd w:id="526"/>
    <w:bookmarkEnd w:id="527"/>
    <w:bookmarkEnd w:id="528"/>
    <w:bookmarkEnd w:id="52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71722"/>
    <w:multiLevelType w:val="singleLevel"/>
    <w:tmpl w:val="35D71722"/>
    <w:lvl w:ilvl="0" w:tentative="0">
      <w:start w:val="2"/>
      <w:numFmt w:val="chineseCounting"/>
      <w:suff w:val="nothing"/>
      <w:lvlText w:val="%1、"/>
      <w:lvlJc w:val="left"/>
      <w:rPr>
        <w:rFonts w:hint="eastAsia"/>
      </w:rPr>
    </w:lvl>
  </w:abstractNum>
  <w:abstractNum w:abstractNumId="1">
    <w:nsid w:val="41892D21"/>
    <w:multiLevelType w:val="singleLevel"/>
    <w:tmpl w:val="41892D2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NDUzMmY2OTQ0Y2RmNjM5YjY3ZGU5NGJlMzQ3OG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794027"/>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443542"/>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30590"/>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C55D8C"/>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131A33"/>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3A23FD"/>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44EE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6F7855"/>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81217F"/>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qFormat/>
    <w:uiPriority w:val="0"/>
    <w:rPr>
      <w:b/>
      <w:bCs/>
    </w:rPr>
  </w:style>
  <w:style w:type="paragraph" w:styleId="60">
    <w:name w:val="Body Text First Indent"/>
    <w:basedOn w:val="23"/>
    <w:link w:val="320"/>
    <w:qFormat/>
    <w:uiPriority w:val="0"/>
    <w:pPr>
      <w:ind w:firstLine="420"/>
    </w:pPr>
    <w:rPr>
      <w:rFonts w:hAnsi="Calibri" w:cs="Times New Roman"/>
      <w:snapToGrid/>
      <w:szCs w:val="20"/>
    </w:rPr>
  </w:style>
  <w:style w:type="paragraph" w:styleId="61">
    <w:name w:val="Body Text First Indent 2"/>
    <w:basedOn w:val="24"/>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5"/>
    <w:qFormat/>
    <w:uiPriority w:val="0"/>
    <w:rPr>
      <w:rFonts w:ascii="宋体"/>
      <w:kern w:val="2"/>
      <w:sz w:val="24"/>
      <w:szCs w:val="21"/>
      <w:lang w:val="zh-CN"/>
    </w:rPr>
  </w:style>
  <w:style w:type="character" w:customStyle="1" w:styleId="181">
    <w:name w:val="标题 9 Char"/>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4"/>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6"/>
    <w:qFormat/>
    <w:uiPriority w:val="0"/>
    <w:rPr>
      <w:rFonts w:ascii="黑体" w:hAnsi="Courier New" w:eastAsia="黑体"/>
    </w:rPr>
  </w:style>
  <w:style w:type="character" w:customStyle="1" w:styleId="301">
    <w:name w:val="正文文本 2 Char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99"/>
    <w:rPr>
      <w:kern w:val="2"/>
      <w:sz w:val="21"/>
      <w:szCs w:val="24"/>
    </w:rPr>
  </w:style>
  <w:style w:type="character" w:customStyle="1" w:styleId="344">
    <w:name w:val="签名 Char"/>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7"/>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30821</Words>
  <Characters>32591</Characters>
  <Lines>281</Lines>
  <Paragraphs>79</Paragraphs>
  <TotalTime>26</TotalTime>
  <ScaleCrop>false</ScaleCrop>
  <LinksUpToDate>false</LinksUpToDate>
  <CharactersWithSpaces>38052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朱琴</cp:lastModifiedBy>
  <cp:lastPrinted>2021-12-27T11:06:00Z</cp:lastPrinted>
  <dcterms:modified xsi:type="dcterms:W3CDTF">2023-11-20T11:10:14Z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BEDB86CBCFC348EC8F43FDBB36BA5A16_13</vt:lpwstr>
  </property>
</Properties>
</file>