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_GB2312" w:hAnsi="仿宋" w:eastAsia="仿宋_GB2312" w:cs="仿宋_GB2312"/>
          <w:b/>
          <w:sz w:val="48"/>
          <w:szCs w:val="48"/>
        </w:rPr>
      </w:pPr>
      <w:r>
        <w:rPr>
          <w:rFonts w:hint="eastAsia" w:ascii="仿宋" w:hAnsi="仿宋" w:eastAsia="仿宋" w:cs="仿宋_GB2312"/>
          <w:b/>
          <w:sz w:val="24"/>
        </w:rPr>
        <w:t xml:space="preserve"> </w:t>
      </w:r>
    </w:p>
    <w:p>
      <w:pPr>
        <w:pStyle w:val="60"/>
        <w:ind w:firstLine="0"/>
        <w:jc w:val="center"/>
        <w:rPr>
          <w:rFonts w:hint="eastAsia" w:asciiTheme="majorEastAsia" w:hAnsiTheme="majorEastAsia" w:eastAsiaTheme="majorEastAsia" w:cstheme="majorEastAsia"/>
          <w:b/>
          <w:bCs/>
          <w:color w:val="auto"/>
          <w:sz w:val="48"/>
          <w:szCs w:val="48"/>
          <w:lang w:eastAsia="zh-CN"/>
        </w:rPr>
      </w:pPr>
      <w:r>
        <w:rPr>
          <w:rFonts w:hint="eastAsia" w:asciiTheme="majorEastAsia" w:hAnsiTheme="majorEastAsia" w:eastAsiaTheme="majorEastAsia" w:cstheme="majorEastAsia"/>
          <w:b/>
          <w:bCs/>
          <w:sz w:val="48"/>
          <w:szCs w:val="48"/>
          <w:lang w:eastAsia="zh-CN"/>
        </w:rPr>
        <w:t>杭州市临安区委组织部干部人事任免建议方案共享系统项目（二次）</w:t>
      </w:r>
    </w:p>
    <w:p>
      <w:pPr>
        <w:adjustRightInd/>
        <w:spacing w:line="360" w:lineRule="auto"/>
        <w:rPr>
          <w:rFonts w:ascii="仿宋" w:hAnsi="仿宋" w:eastAsia="仿宋" w:cs="仿宋_GB2312"/>
          <w:sz w:val="48"/>
          <w:szCs w:val="48"/>
        </w:rPr>
      </w:pPr>
      <w:r>
        <w:rPr>
          <w:rFonts w:hint="eastAsia" w:ascii="仿宋" w:hAnsi="仿宋" w:eastAsia="仿宋" w:cs="仿宋_GB2312"/>
          <w:sz w:val="48"/>
          <w:szCs w:val="48"/>
        </w:rPr>
        <w:t xml:space="preserve"> </w:t>
      </w:r>
    </w:p>
    <w:p>
      <w:pPr>
        <w:adjustRightInd/>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公开招标</w:t>
      </w:r>
      <w:r>
        <w:rPr>
          <w:rFonts w:ascii="仿宋" w:hAnsi="仿宋" w:eastAsia="仿宋" w:cs="仿宋_GB2312"/>
          <w:b/>
          <w:sz w:val="44"/>
          <w:szCs w:val="44"/>
        </w:rPr>
        <w:t xml:space="preserve"> </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w:t>
      </w:r>
      <w:r>
        <w:rPr>
          <w:rFonts w:hint="eastAsia" w:ascii="仿宋" w:hAnsi="仿宋" w:eastAsia="仿宋" w:cs="仿宋_GB2312"/>
          <w:b/>
          <w:sz w:val="44"/>
          <w:szCs w:val="44"/>
        </w:rPr>
        <w:t>交易</w:t>
      </w:r>
      <w:r>
        <w:rPr>
          <w:rFonts w:ascii="仿宋" w:hAnsi="仿宋" w:eastAsia="仿宋" w:cs="仿宋_GB2312"/>
          <w:b/>
          <w:sz w:val="44"/>
          <w:szCs w:val="44"/>
        </w:rPr>
        <w:t>）</w:t>
      </w:r>
    </w:p>
    <w:p>
      <w:pPr>
        <w:snapToGrid w:val="0"/>
        <w:spacing w:line="360" w:lineRule="auto"/>
        <w:jc w:val="center"/>
        <w:rPr>
          <w:rFonts w:ascii="仿宋" w:hAnsi="仿宋" w:eastAsia="仿宋" w:cs="仿宋_GB2312"/>
          <w:sz w:val="30"/>
          <w:szCs w:val="30"/>
        </w:rPr>
      </w:pP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color w:val="auto"/>
          <w:sz w:val="30"/>
          <w:szCs w:val="30"/>
          <w:u w:val="single"/>
          <w:lang w:eastAsia="zh-CN"/>
        </w:rPr>
        <w:t>[2022]1276号-2</w:t>
      </w:r>
      <w:r>
        <w:rPr>
          <w:rFonts w:hint="eastAsia" w:ascii="仿宋" w:hAnsi="仿宋" w:eastAsia="仿宋" w:cs="仿宋_GB2312"/>
          <w:sz w:val="30"/>
          <w:szCs w:val="30"/>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left"/>
        <w:rPr>
          <w:rFonts w:ascii="宋体" w:hAnsi="宋体"/>
          <w:sz w:val="32"/>
          <w:szCs w:val="32"/>
        </w:rPr>
      </w:pPr>
      <w:r>
        <w:rPr>
          <w:rFonts w:hint="eastAsia" w:ascii="宋体" w:hAnsi="宋体"/>
          <w:sz w:val="32"/>
          <w:szCs w:val="32"/>
        </w:rPr>
        <w:t>采购人：杭州市临安区数据资源管理局</w:t>
      </w:r>
    </w:p>
    <w:p>
      <w:pPr>
        <w:snapToGrid w:val="0"/>
        <w:spacing w:line="360" w:lineRule="auto"/>
        <w:jc w:val="left"/>
        <w:rPr>
          <w:rFonts w:ascii="宋体" w:hAnsi="宋体"/>
          <w:sz w:val="32"/>
          <w:szCs w:val="32"/>
        </w:rPr>
      </w:pPr>
      <w:r>
        <w:rPr>
          <w:rFonts w:hint="eastAsia" w:ascii="宋体" w:hAnsi="宋体"/>
          <w:sz w:val="32"/>
          <w:szCs w:val="32"/>
        </w:rPr>
        <w:t>采购代理机构：浙江中际工程项目管理有限公司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bookmarkEnd w:id="2"/>
    <w:p>
      <w:pPr>
        <w:adjustRightInd/>
        <w:spacing w:line="360" w:lineRule="auto"/>
        <w:outlineLvl w:val="0"/>
        <w:rPr>
          <w:rFonts w:ascii="仿宋" w:hAnsi="仿宋" w:eastAsia="仿宋" w:cs="仿宋_GB2312"/>
          <w:b/>
          <w:sz w:val="36"/>
          <w:szCs w:val="36"/>
        </w:rPr>
      </w:pPr>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仿宋" w:hAnsi="仿宋" w:eastAsia="仿宋" w:cs="仿宋_GB2312"/>
          <w:b/>
          <w:sz w:val="36"/>
          <w:szCs w:val="36"/>
        </w:rPr>
        <w:t xml:space="preserve"> </w:t>
      </w:r>
    </w:p>
    <w:p>
      <w:pPr>
        <w:rPr>
          <w:rFonts w:ascii="仿宋" w:hAnsi="仿宋" w:eastAsia="仿宋" w:cs="仿宋_GB2312"/>
          <w:b/>
          <w:sz w:val="36"/>
          <w:szCs w:val="36"/>
        </w:rPr>
      </w:pPr>
      <w:r>
        <w:rPr>
          <w:rFonts w:hint="eastAsia" w:ascii="仿宋" w:hAnsi="仿宋" w:eastAsia="仿宋" w:cs="仿宋_GB2312"/>
          <w:b/>
          <w:sz w:val="36"/>
          <w:szCs w:val="36"/>
        </w:rPr>
        <w:br w:type="page"/>
      </w:r>
    </w:p>
    <w:p>
      <w:pPr>
        <w:adjustRightInd/>
        <w:spacing w:line="360" w:lineRule="auto"/>
        <w:jc w:val="center"/>
        <w:outlineLvl w:val="0"/>
        <w:rPr>
          <w:rFonts w:ascii="仿宋_GB2312" w:hAnsi="仿宋" w:eastAsia="仿宋_GB2312" w:cs="仿宋_GB2312"/>
          <w:b/>
          <w:sz w:val="36"/>
          <w:szCs w:val="20"/>
        </w:rPr>
      </w:pPr>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w:t>
      </w:r>
      <w:r>
        <w:rPr>
          <w:rFonts w:hint="eastAsia" w:ascii="仿宋_GB2312" w:hAnsi="仿宋" w:eastAsia="仿宋_GB2312" w:cs="仿宋_GB2312"/>
          <w:sz w:val="24"/>
          <w:u w:val="single"/>
          <w:lang w:eastAsia="zh-CN"/>
        </w:rPr>
        <w:t>杭州市临安区委组织部干部人事任免建议方案共享系统项目（二次）</w:t>
      </w:r>
      <w:r>
        <w:rPr>
          <w:rFonts w:hint="eastAsia" w:ascii="仿宋_GB2312" w:hAnsi="仿宋" w:eastAsia="仿宋_GB2312" w:cs="仿宋_GB2312"/>
          <w:sz w:val="24"/>
          <w:u w:val="single"/>
        </w:rPr>
        <w:t>）</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color w:val="auto"/>
          <w:sz w:val="24"/>
          <w:u w:val="single"/>
          <w:lang w:val="en-US" w:eastAsia="zh-CN"/>
        </w:rPr>
        <w:t>19</w:t>
      </w:r>
      <w:r>
        <w:rPr>
          <w:rFonts w:hint="eastAsia" w:ascii="仿宋_GB2312" w:hAnsi="仿宋" w:eastAsia="仿宋_GB2312"/>
          <w:sz w:val="24"/>
          <w:u w:val="single"/>
        </w:rPr>
        <w:t>日14点00分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 xml:space="preserve">项目编号： </w:t>
      </w:r>
      <w:r>
        <w:rPr>
          <w:rFonts w:hint="eastAsia" w:ascii="仿宋_GB2312" w:hAnsi="仿宋" w:eastAsia="仿宋_GB2312"/>
          <w:b w:val="0"/>
          <w:bCs/>
          <w:i w:val="0"/>
          <w:iCs w:val="0"/>
          <w:color w:val="FF0000"/>
          <w:sz w:val="24"/>
          <w:u w:val="none"/>
          <w:lang w:eastAsia="zh-CN"/>
        </w:rPr>
        <w:t>[2022]1276号-2</w:t>
      </w:r>
    </w:p>
    <w:p>
      <w:pPr>
        <w:spacing w:line="360" w:lineRule="auto"/>
        <w:ind w:firstLine="480"/>
        <w:rPr>
          <w:rFonts w:hint="eastAsia" w:ascii="仿宋_GB2312" w:hAnsi="仿宋" w:eastAsia="仿宋_GB2312"/>
          <w:b/>
          <w:sz w:val="24"/>
          <w:lang w:eastAsia="zh-CN"/>
        </w:rPr>
      </w:pPr>
      <w:r>
        <w:rPr>
          <w:rFonts w:hint="eastAsia" w:ascii="仿宋_GB2312" w:hAnsi="仿宋" w:eastAsia="仿宋_GB2312"/>
          <w:b/>
          <w:sz w:val="24"/>
        </w:rPr>
        <w:t>项目名称:</w:t>
      </w:r>
      <w:r>
        <w:rPr>
          <w:rFonts w:hint="eastAsia" w:ascii="仿宋_GB2312" w:hAnsi="仿宋" w:eastAsia="仿宋_GB2312"/>
          <w:b/>
          <w:sz w:val="24"/>
          <w:lang w:eastAsia="zh-CN"/>
        </w:rPr>
        <w:t>杭州市临安区委组织部干部人事任免建议方案共享系统项目（二次）</w:t>
      </w:r>
    </w:p>
    <w:p>
      <w:pPr>
        <w:spacing w:line="360" w:lineRule="auto"/>
        <w:ind w:firstLine="480"/>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b/>
          <w:sz w:val="24"/>
        </w:rPr>
        <w:t xml:space="preserve">186000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 xml:space="preserve">最高限价（元）：186000 </w:t>
      </w:r>
    </w:p>
    <w:p>
      <w:pPr>
        <w:pStyle w:val="15"/>
        <w:spacing w:line="360" w:lineRule="auto"/>
        <w:ind w:firstLine="480"/>
        <w:rPr>
          <w:rFonts w:ascii="仿宋_GB2312" w:hAnsi="仿宋" w:eastAsia="仿宋_GB2312"/>
          <w:b/>
          <w:color w:val="auto"/>
          <w:sz w:val="24"/>
        </w:rPr>
      </w:pPr>
      <w:r>
        <w:rPr>
          <w:rFonts w:hint="eastAsia" w:ascii="仿宋_GB2312" w:hAnsi="仿宋" w:eastAsia="仿宋_GB2312"/>
          <w:b/>
          <w:sz w:val="24"/>
        </w:rPr>
        <w:t>简要规格描述或项目基本概况介绍、用途</w:t>
      </w:r>
      <w:r>
        <w:rPr>
          <w:rFonts w:hint="eastAsia" w:ascii="仿宋_GB2312" w:hAnsi="仿宋" w:eastAsia="仿宋_GB2312"/>
          <w:b/>
          <w:color w:val="auto"/>
          <w:sz w:val="24"/>
        </w:rPr>
        <w:t xml:space="preserve">： </w:t>
      </w:r>
    </w:p>
    <w:p>
      <w:pPr>
        <w:spacing w:line="360" w:lineRule="auto"/>
        <w:ind w:firstLine="480"/>
      </w:pPr>
      <w:r>
        <w:rPr>
          <w:rFonts w:hint="eastAsia" w:ascii="仿宋_GB2312" w:hAnsi="仿宋" w:eastAsia="仿宋_GB2312"/>
          <w:b/>
          <w:sz w:val="24"/>
        </w:rPr>
        <w:t>备注：</w:t>
      </w:r>
    </w:p>
    <w:p>
      <w:pPr>
        <w:pStyle w:val="128"/>
        <w:ind w:firstLine="482"/>
        <w:outlineLvl w:val="2"/>
        <w:rPr>
          <w:rFonts w:ascii="仿宋_GB2312" w:hAnsi="仿宋" w:eastAsia="仿宋_GB2312"/>
          <w:b/>
          <w:color w:val="auto"/>
        </w:rPr>
      </w:pPr>
      <w:r>
        <w:rPr>
          <w:rFonts w:hint="eastAsia" w:ascii="仿宋_GB2312" w:hAnsi="仿宋" w:eastAsia="仿宋_GB2312"/>
          <w:b/>
          <w:color w:val="auto"/>
        </w:rPr>
        <w:t>合同履约期限：自</w:t>
      </w:r>
      <w:r>
        <w:rPr>
          <w:rFonts w:ascii="仿宋_GB2312" w:hAnsi="仿宋" w:eastAsia="仿宋_GB2312"/>
          <w:b/>
          <w:color w:val="auto"/>
        </w:rPr>
        <w:t>项目验收</w:t>
      </w:r>
      <w:r>
        <w:rPr>
          <w:rFonts w:hint="eastAsia" w:ascii="仿宋_GB2312" w:hAnsi="仿宋" w:eastAsia="仿宋_GB2312"/>
          <w:b/>
          <w:color w:val="auto"/>
        </w:rPr>
        <w:t>之日起三年止</w:t>
      </w:r>
    </w:p>
    <w:p>
      <w:pPr>
        <w:pStyle w:val="1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szCs w:val="24"/>
              <w:lang w:val="en-US" w:eastAsia="zh-CN" w:bidi="ar-SA"/>
            </w:rPr>
            <w:t>þ</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szCs w:val="24"/>
              <w:lang w:val="en-US" w:eastAsia="zh-CN" w:bidi="ar-SA"/>
            </w:rPr>
            <w:t>☐</w:t>
          </w:r>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szCs w:val="24"/>
              <w:lang w:val="en-US" w:eastAsia="zh-CN" w:bidi="ar-SA"/>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sz w:val="24"/>
        </w:rPr>
        <w:t>公告发布之日</w:t>
      </w:r>
      <w:r>
        <w:rPr>
          <w:rFonts w:ascii="仿宋_GB2312" w:hAnsi="仿宋" w:eastAsia="仿宋_GB2312"/>
          <w:sz w:val="24"/>
        </w:rPr>
        <w:t>至</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7</w:t>
      </w:r>
      <w:r>
        <w:rPr>
          <w:rFonts w:ascii="仿宋_GB2312" w:hAnsi="仿宋" w:eastAsia="仿宋_GB2312"/>
          <w:color w:val="auto"/>
          <w:sz w:val="24"/>
          <w:u w:val="single"/>
        </w:rPr>
        <w:t>月</w:t>
      </w:r>
      <w:r>
        <w:rPr>
          <w:rFonts w:hint="eastAsia" w:ascii="仿宋_GB2312" w:hAnsi="仿宋" w:eastAsia="仿宋_GB2312"/>
          <w:color w:val="auto"/>
          <w:sz w:val="24"/>
          <w:u w:val="single"/>
          <w:lang w:val="en-US" w:eastAsia="zh-CN"/>
        </w:rPr>
        <w:t>19</w:t>
      </w:r>
      <w:r>
        <w:rPr>
          <w:rFonts w:hint="eastAsia" w:ascii="仿宋_GB2312" w:hAnsi="仿宋" w:eastAsia="仿宋_GB2312"/>
          <w:color w:val="auto"/>
          <w:sz w:val="24"/>
          <w:u w:val="single"/>
        </w:rPr>
        <w:t xml:space="preserve"> </w:t>
      </w:r>
      <w:r>
        <w:rPr>
          <w:rFonts w:ascii="仿宋_GB2312" w:hAnsi="仿宋" w:eastAsia="仿宋_GB2312"/>
          <w:color w:val="auto"/>
          <w:sz w:val="24"/>
          <w:u w:val="single"/>
        </w:rPr>
        <w:t>日</w:t>
      </w:r>
      <w:r>
        <w:rPr>
          <w:rFonts w:hint="eastAsia" w:ascii="仿宋_GB2312" w:hAnsi="仿宋" w:eastAsia="仿宋_GB2312"/>
          <w:color w:val="auto"/>
          <w:sz w:val="24"/>
        </w:rPr>
        <w:t>，</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 xml:space="preserve">2022 </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19</w:t>
      </w:r>
      <w:r>
        <w:rPr>
          <w:rFonts w:hint="eastAsia" w:ascii="仿宋_GB2312" w:hAnsi="仿宋" w:eastAsia="仿宋_GB2312"/>
          <w:color w:val="auto"/>
          <w:sz w:val="24"/>
          <w:u w:val="single"/>
        </w:rPr>
        <w:t>日 14点00 分</w:t>
      </w:r>
      <w:r>
        <w:rPr>
          <w:rFonts w:hint="eastAsia" w:ascii="仿宋_GB2312" w:hAnsi="仿宋" w:eastAsia="仿宋_GB2312"/>
          <w:bCs/>
          <w:color w:val="auto"/>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sz w:val="24"/>
        </w:rPr>
        <w:t>开标时间：</w:t>
      </w:r>
      <w:r>
        <w:rPr>
          <w:rFonts w:hint="eastAsia" w:ascii="仿宋_GB2312" w:hAnsi="仿宋" w:eastAsia="仿宋_GB2312"/>
          <w:color w:val="auto"/>
          <w:sz w:val="24"/>
          <w:u w:val="single"/>
        </w:rPr>
        <w:t xml:space="preserve">2022 </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7</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19</w:t>
      </w:r>
      <w:r>
        <w:rPr>
          <w:rFonts w:hint="eastAsia" w:ascii="仿宋_GB2312" w:hAnsi="仿宋" w:eastAsia="仿宋_GB2312"/>
          <w:color w:val="auto"/>
          <w:sz w:val="24"/>
          <w:u w:val="single"/>
        </w:rPr>
        <w:t>日 14点00 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名    称：杭州市临安区数据资源管理局</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浙江省杭州市临安区市民中心2号楼4楼</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
          <w:sz w:val="24"/>
        </w:rPr>
      </w:pPr>
      <w:r>
        <w:rPr>
          <w:rFonts w:hint="eastAsia" w:ascii="仿宋_GB2312" w:hAnsi="仿宋" w:eastAsia="仿宋_GB2312"/>
          <w:sz w:val="24"/>
        </w:rPr>
        <w:t xml:space="preserve">项目联系人（询问）：蒋雨婕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cs="仿宋_GB2312"/>
          <w:sz w:val="24"/>
        </w:rPr>
        <w:t xml:space="preserve"> 0571-58606722 </w:t>
      </w:r>
    </w:p>
    <w:p>
      <w:pPr>
        <w:spacing w:line="360" w:lineRule="auto"/>
        <w:ind w:firstLine="480"/>
        <w:rPr>
          <w:rFonts w:ascii="仿宋_GB2312" w:hAnsi="仿宋" w:eastAsia="仿宋_GB2312" w:cs="仿宋_GB2312"/>
          <w:sz w:val="24"/>
        </w:rPr>
      </w:pPr>
      <w:r>
        <w:rPr>
          <w:rFonts w:ascii="仿宋_GB2312" w:hAnsi="仿宋" w:eastAsia="仿宋_GB2312"/>
          <w:sz w:val="24"/>
        </w:rPr>
        <w:t>质疑联系人：</w:t>
      </w:r>
      <w:r>
        <w:rPr>
          <w:rFonts w:hint="eastAsia" w:ascii="仿宋" w:hAnsi="仿宋" w:eastAsia="仿宋"/>
          <w:sz w:val="24"/>
        </w:rPr>
        <w:t xml:space="preserve"> </w:t>
      </w:r>
      <w:r>
        <w:rPr>
          <w:rFonts w:hint="eastAsia" w:ascii="仿宋_GB2312" w:hAnsi="仿宋" w:eastAsia="仿宋_GB2312" w:cs="仿宋_GB2312"/>
          <w:sz w:val="24"/>
        </w:rPr>
        <w:t xml:space="preserve">方忠平 </w:t>
      </w:r>
    </w:p>
    <w:p>
      <w:pPr>
        <w:spacing w:line="360" w:lineRule="auto"/>
        <w:ind w:firstLine="480"/>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w:t>
      </w:r>
      <w:r>
        <w:rPr>
          <w:rFonts w:hint="eastAsia" w:ascii="仿宋_GB2312" w:hAnsi="仿宋" w:eastAsia="仿宋_GB2312" w:cs="仿宋_GB2312"/>
          <w:sz w:val="24"/>
        </w:rPr>
        <w:t xml:space="preserve">0571-63700016 </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称：浙江中际工程项目管理有限公司</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cs="仿宋_GB2312"/>
          <w:sz w:val="24"/>
        </w:rPr>
        <w:t>杭州市临安区锦北街道武肃街1399号6楼</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朱琴</w:t>
      </w:r>
      <w:r>
        <w:rPr>
          <w:rFonts w:hint="eastAsia" w:ascii="仿宋" w:hAnsi="仿宋" w:eastAsia="仿宋"/>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 0571-86373910  13958157600</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吴斌</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 w:hAnsi="仿宋" w:eastAsia="仿宋"/>
          <w:sz w:val="24"/>
        </w:rPr>
        <w:t xml:space="preserve"> 0571-86373910</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杭州市临安区财政局政府采购监督管理科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杭州市临安区锦北街道科技大道4398号市民中心4号楼B座1129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0571-63722886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喻伟建</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0571-61073953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2"/>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rPr>
              <w:t xml:space="preserve"> </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b/>
                <w:sz w:val="24"/>
              </w:rPr>
              <w:t>▲</w:t>
            </w: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b/>
                <w:sz w:val="24"/>
              </w:rPr>
              <w:t>▲</w:t>
            </w: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b/>
                <w:sz w:val="24"/>
              </w:rPr>
              <w:t>▲</w:t>
            </w: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b/>
                <w:sz w:val="24"/>
              </w:rPr>
              <w:t>▲</w:t>
            </w: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241" w:firstLineChars="100"/>
              <w:rPr>
                <w:rFonts w:ascii="仿宋_GB2312" w:hAnsi="仿宋" w:eastAsia="仿宋_GB2312" w:cs="仿宋_GB2312"/>
                <w:b/>
                <w:sz w:val="24"/>
              </w:rPr>
            </w:pPr>
            <w:r>
              <w:rPr>
                <w:rFonts w:hint="eastAsia" w:ascii="仿宋_GB2312" w:hAnsi="仿宋" w:eastAsia="仿宋_GB2312" w:cs="仿宋_GB2312"/>
                <w:b/>
                <w:sz w:val="24"/>
              </w:rPr>
              <w:t>分包或转包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（1）采购人</w:t>
            </w:r>
            <w:r>
              <w:rPr>
                <w:rFonts w:hint="eastAsia" w:ascii="仿宋_GB2312" w:hAnsi="仿宋" w:eastAsia="仿宋_GB2312" w:cs="仿宋_GB2312"/>
                <w:b/>
                <w:sz w:val="24"/>
              </w:rPr>
              <w:t>不同意</w:t>
            </w:r>
            <w:r>
              <w:rPr>
                <w:rFonts w:hint="eastAsia" w:ascii="仿宋_GB2312" w:hAnsi="仿宋" w:eastAsia="仿宋_GB2312" w:cs="仿宋_GB2312"/>
                <w:sz w:val="24"/>
              </w:rPr>
              <w:t>分包。</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r>
              <w:rPr>
                <w:rFonts w:hint="eastAsia" w:ascii="仿宋_GB2312" w:hAnsi="仿宋" w:eastAsia="仿宋_GB2312"/>
                <w:sz w:val="24"/>
              </w:rPr>
              <w:t>不组织</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b/>
                <w:sz w:val="24"/>
              </w:rPr>
            </w:pP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rPr>
                <w:id w:val="-1859348549"/>
                <w14:checkbox>
                  <w14:checked w14:val="0"/>
                  <w14:checkedState w14:val="00FE" w14:font="Wingdings"/>
                  <w14:uncheckedState w14:val="2610" w14:font="MS Gothic"/>
                </w14:checkbox>
              </w:sdtPr>
              <w:sdtEndPr>
                <w:rPr>
                  <w:rFonts w:hint="eastAsia"/>
                </w:rPr>
              </w:sdtEndPr>
              <w:sdtContent>
                <w:r>
                  <w:rPr>
                    <w:rFonts w:ascii="MS Gothic" w:hAnsi="MS Gothic"/>
                  </w:rPr>
                  <w:t>☐</w:t>
                </w:r>
              </w:sdtContent>
            </w:sdt>
            <w:r>
              <w:t>A</w:t>
            </w:r>
            <w:r>
              <w:rPr>
                <w:rFonts w:hint="eastAsia"/>
              </w:rPr>
              <w:t>不组织。</w:t>
            </w:r>
          </w:p>
          <w:p>
            <w:pPr>
              <w:spacing w:line="360" w:lineRule="auto"/>
            </w:pPr>
            <w:sdt>
              <w:sdtPr>
                <w:rPr>
                  <w:rFonts w:hint="eastAsia"/>
                </w:rPr>
                <w:id w:val="1174071719"/>
                <w14:checkbox>
                  <w14:checked w14:val="1"/>
                  <w14:checkedState w14:val="00FE" w14:font="Wingdings"/>
                  <w14:uncheckedState w14:val="2610" w14:font="MS Gothic"/>
                </w14:checkbox>
              </w:sdtPr>
              <w:sdtEndPr>
                <w:rPr>
                  <w:rFonts w:hint="eastAsia"/>
                </w:rPr>
              </w:sdtEndPr>
              <w:sdtContent>
                <w:r>
                  <w:rPr>
                    <w:rFonts w:ascii="Wingdings" w:hAnsi="Wingdings"/>
                  </w:rPr>
                  <w:t></w:t>
                </w:r>
              </w:sdtContent>
            </w:sdt>
            <w:r>
              <w:t>B组织。</w:t>
            </w:r>
          </w:p>
          <w:p>
            <w:pPr>
              <w:snapToGrid w:val="0"/>
              <w:spacing w:line="360" w:lineRule="auto"/>
              <w:rPr>
                <w:rFonts w:ascii="仿宋_GB2312" w:hAnsi="仿宋" w:eastAsia="仿宋_GB2312" w:cs="仿宋_GB2312"/>
                <w:bCs/>
                <w:kern w:val="0"/>
                <w:sz w:val="24"/>
                <w:szCs w:val="20"/>
                <w:lang w:val="zh-CN"/>
              </w:rPr>
            </w:pPr>
            <w:r>
              <w:rPr>
                <w:rFonts w:ascii="仿宋_GB2312" w:hAnsi="仿宋" w:eastAsia="仿宋_GB2312"/>
                <w:kern w:val="0"/>
                <w:sz w:val="24"/>
              </w:rPr>
              <w:t>在评标时安排每个投标人进行方案讲解演示。每个投标人时间不超过</w:t>
            </w:r>
            <w:r>
              <w:rPr>
                <w:rFonts w:hint="eastAsia" w:ascii="仿宋_GB2312" w:hAnsi="仿宋" w:eastAsia="仿宋_GB2312"/>
                <w:kern w:val="0"/>
                <w:sz w:val="24"/>
              </w:rPr>
              <w:t>15</w:t>
            </w:r>
            <w:r>
              <w:rPr>
                <w:rFonts w:ascii="仿宋_GB2312" w:hAnsi="仿宋" w:eastAsia="仿宋_GB2312"/>
                <w:kern w:val="0"/>
                <w:sz w:val="24"/>
              </w:rPr>
              <w:t>分钟，讲解次序以投标文件解密时间先后次序为准，讲解演示人员不超过3人。讲解演示结束后按要求解答评标委员会提问</w:t>
            </w:r>
            <w:r>
              <w:rPr>
                <w:rFonts w:hint="eastAsia" w:ascii="仿宋_GB2312" w:hAnsi="仿宋" w:eastAsia="仿宋_GB2312" w:cs="仿宋_GB2312"/>
                <w:bCs/>
                <w:kern w:val="0"/>
                <w:sz w:val="24"/>
                <w:szCs w:val="20"/>
                <w:lang w:val="zh-CN"/>
              </w:rPr>
              <w:t>。</w:t>
            </w:r>
          </w:p>
          <w:p>
            <w:pPr>
              <w:pStyle w:val="16"/>
              <w:ind w:firstLine="0" w:firstLineChars="0"/>
              <w:rPr>
                <w:lang w:val="zh-CN"/>
              </w:rPr>
            </w:pPr>
            <w:r>
              <w:rPr>
                <w:rFonts w:hint="eastAsia" w:ascii="仿宋_GB2312" w:hAnsi="仿宋" w:eastAsia="仿宋_GB2312" w:cs="仿宋_GB2312"/>
                <w:bCs/>
                <w:kern w:val="0"/>
                <w:szCs w:val="20"/>
                <w:lang w:val="zh-CN"/>
              </w:rPr>
              <w:t>注：演示视频需密封送达，评标阶段拆封演示，因响应方自身原因导致无法演示或者演示效果不理想的，责任自负。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cs="Arial"/>
                <w:kern w:val="0"/>
                <w:sz w:val="24"/>
              </w:rPr>
              <w:t>本项目不允许采购进口产品。</w:t>
            </w:r>
          </w:p>
          <w:p>
            <w:pPr>
              <w:spacing w:line="360" w:lineRule="auto"/>
              <w:rPr>
                <w:rFonts w:eastAsia="仿宋_GB2312"/>
              </w:rPr>
            </w:pPr>
            <w:sdt>
              <w:sdtPr>
                <w:rPr>
                  <w:rFonts w:hint="eastAsia" w:ascii="仿宋_GB2312" w:hAnsi="仿宋" w:eastAsia="仿宋_GB2312" w:cs="Arial"/>
                  <w:kern w:val="0"/>
                  <w:sz w:val="24"/>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 平竞争原则实施采购。（标项1，标项2）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3"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☐A货物类，单一产品或核心产品为：</w:t>
            </w:r>
            <w:r>
              <w:rPr>
                <w:rFonts w:hint="eastAsia" w:ascii="仿宋_GB2312" w:hAnsi="仿宋" w:eastAsia="仿宋_GB2312"/>
                <w:sz w:val="24"/>
                <w:u w:val="single"/>
              </w:rPr>
              <w:t xml:space="preserve">  /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rPr>
                <w:lang w:val="en-US"/>
              </w:rPr>
            </w:pPr>
            <w:r>
              <w:rPr>
                <w:rFonts w:hint="eastAsia"/>
                <w:sz w:val="24"/>
              </w:rPr>
              <w:t>采购标的：</w:t>
            </w:r>
            <w:r>
              <w:rPr>
                <w:rFonts w:hint="eastAsia" w:hAnsi="宋体" w:cs="宋体"/>
                <w:sz w:val="24"/>
                <w:u w:val="single"/>
                <w:lang w:eastAsia="zh-CN"/>
              </w:rPr>
              <w:t>杭州市临安区委组织部干部人事任免建议方案共享系统项目（二次）</w:t>
            </w:r>
            <w:r>
              <w:rPr>
                <w:rFonts w:hint="eastAsia" w:hAnsi="宋体" w:cs="宋体"/>
                <w:sz w:val="24"/>
              </w:rPr>
              <w:t>；</w:t>
            </w:r>
            <w:r>
              <w:rPr>
                <w:rFonts w:hint="eastAsia"/>
                <w:sz w:val="24"/>
              </w:rPr>
              <w:t>所属行业：</w:t>
            </w:r>
            <w:r>
              <w:rPr>
                <w:rFonts w:hint="eastAsia"/>
                <w:sz w:val="24"/>
                <w:u w:val="single"/>
                <w:lang w:val="en-US"/>
              </w:rPr>
              <w:t xml:space="preserve"> 软件和信息技术服务业</w:t>
            </w:r>
            <w:r>
              <w:rPr>
                <w:rFonts w:hint="eastAsia" w:hAnsi="宋体" w:cs="宋体"/>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杭州市临安区锦北街道武肃街1399号6楼</w:t>
            </w:r>
            <w:r>
              <w:rPr>
                <w:rFonts w:ascii="仿宋_GB2312" w:hAnsi="仿宋" w:eastAsia="仿宋_GB2312"/>
                <w:sz w:val="24"/>
                <w:u w:val="single"/>
              </w:rPr>
              <w:t xml:space="preserve">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朱琴，13958157600   </w:t>
            </w:r>
            <w:r>
              <w:rPr>
                <w:rFonts w:hint="eastAsia" w:ascii="仿宋_GB2312" w:hAnsi="仿宋"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pPr>
            <w:r>
              <w:rPr>
                <w:rFonts w:hint="eastAsia"/>
              </w:rPr>
              <w:t>代理服务费参照发改价格〔2011〕534号文件、国家发改委计价格〔2002〕1980号文件规定收费,单个采购项目代理服务费不足伍仟元可按伍仟元收取，代理服务收费按差额定率累进法计算。</w:t>
            </w:r>
          </w:p>
          <w:p>
            <w:pPr>
              <w:snapToGrid w:val="0"/>
              <w:spacing w:line="312" w:lineRule="auto"/>
              <w:ind w:firstLine="420" w:firstLineChars="200"/>
              <w:jc w:val="left"/>
            </w:pPr>
            <w:r>
              <w:rPr>
                <w:rFonts w:hint="eastAsia"/>
              </w:rPr>
              <w:drawing>
                <wp:inline distT="0" distB="0" distL="114300" distR="114300">
                  <wp:extent cx="3526790" cy="1605280"/>
                  <wp:effectExtent l="0" t="0" r="16510" b="1397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2"/>
                          <a:stretch>
                            <a:fillRect/>
                          </a:stretch>
                        </pic:blipFill>
                        <pic:spPr>
                          <a:xfrm>
                            <a:off x="0" y="0"/>
                            <a:ext cx="3526790" cy="1605280"/>
                          </a:xfrm>
                          <a:prstGeom prst="rect">
                            <a:avLst/>
                          </a:prstGeom>
                          <a:noFill/>
                          <a:ln>
                            <a:noFill/>
                          </a:ln>
                        </pic:spPr>
                      </pic:pic>
                    </a:graphicData>
                  </a:graphic>
                </wp:inline>
              </w:drawing>
            </w:r>
          </w:p>
          <w:p>
            <w:pPr>
              <w:spacing w:line="312" w:lineRule="auto"/>
            </w:pPr>
            <w:r>
              <w:rPr>
                <w:rFonts w:hint="eastAsia"/>
              </w:rPr>
              <w:t>收费对象：本项目代理服务费向中标供应商收取</w:t>
            </w:r>
          </w:p>
          <w:p>
            <w:pPr>
              <w:spacing w:line="312" w:lineRule="auto"/>
            </w:pPr>
            <w:r>
              <w:rPr>
                <w:rFonts w:hint="eastAsia"/>
              </w:rPr>
              <w:t>缴纳时间：中标(成交)结果公示后5个工作日内一次性付清</w:t>
            </w:r>
          </w:p>
          <w:p>
            <w:pPr>
              <w:spacing w:line="312" w:lineRule="auto"/>
            </w:pPr>
            <w:r>
              <w:rPr>
                <w:rFonts w:hint="eastAsia"/>
              </w:rPr>
              <w:t>缴纳形式：汇票/支票/电汇/现金</w:t>
            </w:r>
          </w:p>
          <w:p>
            <w:pPr>
              <w:spacing w:line="312" w:lineRule="auto"/>
            </w:pPr>
            <w:r>
              <w:rPr>
                <w:rFonts w:hint="eastAsia"/>
              </w:rPr>
              <w:t>公司名称:浙江中际工程项目管理有限公司临安分公司</w:t>
            </w:r>
          </w:p>
          <w:p>
            <w:pPr>
              <w:spacing w:line="312" w:lineRule="auto"/>
            </w:pPr>
            <w:r>
              <w:rPr>
                <w:rFonts w:hint="eastAsia"/>
              </w:rPr>
              <w:t>银行账号:201000234588660</w:t>
            </w:r>
          </w:p>
          <w:p>
            <w:pPr>
              <w:spacing w:line="312" w:lineRule="auto"/>
            </w:pPr>
            <w:r>
              <w:rPr>
                <w:rFonts w:hint="eastAsia"/>
              </w:rPr>
              <w:t>开户行:浙江南浔农村商业银行股份有限公司临安支行</w:t>
            </w:r>
          </w:p>
        </w:tc>
      </w:tr>
    </w:tbl>
    <w:p>
      <w:pPr>
        <w:snapToGrid w:val="0"/>
        <w:spacing w:line="360" w:lineRule="auto"/>
        <w:jc w:val="center"/>
        <w:rPr>
          <w:rFonts w:ascii="仿宋" w:hAnsi="仿宋" w:eastAsia="仿宋" w:cs="仿宋_GB2312"/>
          <w:b/>
          <w:sz w:val="32"/>
          <w:szCs w:val="20"/>
        </w:rPr>
      </w:pPr>
    </w:p>
    <w:bookmarkEnd w:id="9"/>
    <w:p>
      <w:pPr>
        <w:rPr>
          <w:rFonts w:ascii="仿宋_GB2312" w:hAnsi="仿宋" w:eastAsia="仿宋_GB2312" w:cs="仿宋_GB2312"/>
          <w:b/>
          <w:sz w:val="32"/>
          <w:szCs w:val="20"/>
        </w:rPr>
      </w:pPr>
      <w:bookmarkStart w:id="10" w:name="第三部分"/>
      <w:bookmarkStart w:id="11" w:name="_Toc164416483"/>
      <w:r>
        <w:rPr>
          <w:rFonts w:hint="eastAsia" w:ascii="仿宋_GB2312" w:hAnsi="仿宋" w:eastAsia="仿宋_GB2312" w:cs="仿宋_GB2312"/>
          <w:b/>
          <w:sz w:val="32"/>
          <w:szCs w:val="20"/>
        </w:rPr>
        <w:br w:type="page"/>
      </w: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r>
        <w:rPr>
          <w:rFonts w:ascii="仿宋_GB2312" w:hAnsi="仿宋" w:eastAsia="仿宋_GB2312"/>
        </w:rPr>
        <w:t>。</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4.4 在线质疑、投诉。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sz w:val="24"/>
        </w:rPr>
        <w:t>或U盘</w:t>
      </w:r>
      <w:r>
        <w:rPr>
          <w:rFonts w:hint="eastAsia" w:ascii="仿宋_GB2312" w:hAnsi="仿宋" w:eastAsia="仿宋_GB2312" w:cs="仿宋_GB2312"/>
          <w:sz w:val="24"/>
          <w:szCs w:val="24"/>
        </w:rPr>
        <w:t>中。备份投标文件应当密封包装并在包装上加盖公章并注明投标人名称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1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2"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jc w:val="center"/>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1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w:t>
      </w:r>
      <w:r>
        <w:rPr>
          <w:rFonts w:hint="eastAsia" w:ascii="仿宋_GB2312" w:hAnsi="仿宋" w:eastAsia="仿宋_GB2312" w:cs="仿宋_GB2312"/>
          <w:sz w:val="24"/>
        </w:rPr>
        <w:t>项目名称</w:t>
      </w:r>
      <w:r>
        <w:rPr>
          <w:rFonts w:ascii="仿宋_GB2312" w:hAnsi="仿宋" w:eastAsia="仿宋_GB2312" w:cs="仿宋_GB2312"/>
          <w:sz w:val="24"/>
        </w:rPr>
        <w:t>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1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1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hint="eastAsia" w:ascii="仿宋_GB2312" w:hAnsi="仿宋" w:eastAsia="仿宋_GB2312" w:cs="Arial"/>
          <w:kern w:val="0"/>
          <w:sz w:val="24"/>
        </w:rPr>
        <w:t>25.1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1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项目验收结束后应及时退还。</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人可根据杭州市政府采购网公布的供应商履约评价情况减免履约保证金。供应商履约验收评价总分为100分的，采购人应当免收履约保证金；评价总分在90分以上的，收取履约保证金不得高于合同金额2%；评价总分在90分以下或者暂无评分的，收取履约保证金不得高于合同金额2.5%。</w:t>
      </w:r>
    </w:p>
    <w:p>
      <w:pPr>
        <w:pStyle w:val="2"/>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1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3" w:name="_Hlt68073093"/>
      <w:bookmarkEnd w:id="13"/>
      <w:bookmarkStart w:id="14" w:name="_Hlt75236290"/>
      <w:bookmarkEnd w:id="14"/>
      <w:bookmarkStart w:id="15" w:name="_Hlt68072990"/>
      <w:bookmarkEnd w:id="15"/>
      <w:bookmarkStart w:id="16" w:name="_Hlt74707468"/>
      <w:bookmarkEnd w:id="16"/>
      <w:bookmarkStart w:id="17" w:name="_Hlt75236011"/>
      <w:bookmarkEnd w:id="17"/>
      <w:bookmarkStart w:id="18" w:name="_Hlt74730295"/>
      <w:bookmarkEnd w:id="18"/>
      <w:bookmarkStart w:id="19" w:name="_Hlt74729768"/>
      <w:bookmarkEnd w:id="19"/>
      <w:bookmarkStart w:id="20" w:name="_Hlt68057669"/>
      <w:bookmarkEnd w:id="20"/>
      <w:bookmarkStart w:id="21" w:name="_Hlt74714665"/>
      <w:bookmarkEnd w:id="21"/>
      <w:bookmarkStart w:id="22" w:name="_Hlt75236101"/>
      <w:bookmarkEnd w:id="22"/>
      <w:bookmarkStart w:id="23" w:name="_Hlt68403820"/>
      <w:bookmarkEnd w:id="23"/>
      <w:bookmarkStart w:id="24" w:name="_Hlt68072998"/>
      <w:bookmarkEnd w:id="24"/>
    </w:p>
    <w:bookmarkEnd w:id="10"/>
    <w:bookmarkEnd w:id="11"/>
    <w:p>
      <w:pPr>
        <w:spacing w:line="360" w:lineRule="auto"/>
        <w:jc w:val="center"/>
        <w:outlineLvl w:val="0"/>
        <w:rPr>
          <w:rFonts w:ascii="仿宋" w:hAnsi="仿宋" w:eastAsia="仿宋" w:cs="仿宋_GB2312"/>
          <w:b/>
          <w:sz w:val="36"/>
          <w:szCs w:val="36"/>
        </w:rPr>
      </w:pPr>
      <w:bookmarkStart w:id="25"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一、项目背景</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2021年2月18日上午，省委召开全省数字化改革大会，发布《浙江省数字化改革总体方案》，全面部署我省数字化改革工作。数字社会工作要求全面推进社会事业数字化，持续推动公共场所服务大提升，推进公共服务供给创新。结合当前临安区委组织部尚未建设专门的无纸化会议系统，仍采用纸质化的会议材料，会后需对上会资料进行人工销毁，甚至容易出现资料泄露的情况的现状，拟建立“临安区委组织部干部人事任免建议方案共享系统”——设无纸化会议资料共享系统，实现与会人员使用PAD查看会议资料。并且仅支持在局域网内、特定设备之间分享资料，确保信息安全。</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二、项目建设目标</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借助数字化的手段，从会议的实际情况出发，实现以下3个目标：</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1、无纸化会议。采用PAD设备替换纸质材料，实现无纸化办公，不仅减少纸张的使用，而且可以省去会后的纸张销毁。</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2、数字化。实现上会信息的实时共享同步；实现跨系统的文件转换，提升会议效率；实现上会信息的数字化归档。</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3、信息安全。采用本地设备储存数据、局域网内分享数据、专有设备查看会议信息，与会人员不能带走任何相关材料，确保上会信息不会被泄露。</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三、建设原则</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整个项目建设应坚持以下原则：标准化原则、规范性原则、先进性原则、易维护性原则、可扩展性原则、开放性原则、稳定性原则、安全性原则、应用性原则、整体性原则、实用性原则。</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四、技术总体要求</w:t>
      </w:r>
    </w:p>
    <w:p>
      <w:pPr>
        <w:snapToGrid w:val="0"/>
        <w:spacing w:line="360" w:lineRule="auto"/>
        <w:ind w:right="-340" w:rightChars="-162" w:firstLine="480" w:firstLineChars="200"/>
        <w:rPr>
          <w:rFonts w:ascii="仿宋_GB2312" w:hAnsi="仿宋" w:eastAsia="仿宋_GB2312"/>
          <w:kern w:val="0"/>
          <w:sz w:val="24"/>
        </w:rPr>
      </w:pPr>
      <w:bookmarkStart w:id="26" w:name="_Toc30063"/>
      <w:r>
        <w:rPr>
          <w:rFonts w:hint="eastAsia" w:ascii="仿宋_GB2312" w:hAnsi="仿宋" w:eastAsia="仿宋_GB2312"/>
          <w:kern w:val="0"/>
          <w:sz w:val="24"/>
        </w:rPr>
        <w:t>4.1整体技术原则</w:t>
      </w:r>
      <w:bookmarkEnd w:id="26"/>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临安区委组织部干部人事任免建议方案共享系统从工作实际出发，既保证平台实现业务功能要求，又保证平台先进性、扩展性、可靠性、安全性、实用性等要求。</w:t>
      </w:r>
    </w:p>
    <w:p>
      <w:pPr>
        <w:snapToGrid w:val="0"/>
        <w:spacing w:line="360" w:lineRule="auto"/>
        <w:ind w:right="-340" w:rightChars="-162" w:firstLine="480" w:firstLineChars="200"/>
        <w:rPr>
          <w:rFonts w:ascii="仿宋_GB2312" w:hAnsi="仿宋" w:eastAsia="仿宋_GB2312"/>
          <w:kern w:val="0"/>
          <w:sz w:val="24"/>
        </w:rPr>
      </w:pPr>
      <w:bookmarkStart w:id="27" w:name="_Toc7961"/>
      <w:r>
        <w:rPr>
          <w:rFonts w:hint="eastAsia" w:ascii="仿宋_GB2312" w:hAnsi="仿宋" w:eastAsia="仿宋_GB2312"/>
          <w:kern w:val="0"/>
          <w:sz w:val="24"/>
        </w:rPr>
        <w:t>4.1.1顶层设计，智慧导向</w:t>
      </w:r>
      <w:bookmarkEnd w:id="27"/>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强调顶层设计，充分利用成熟技术，同时兼顾其最新发展方向，保证系统的技术同步性。</w:t>
      </w:r>
    </w:p>
    <w:p>
      <w:pPr>
        <w:snapToGrid w:val="0"/>
        <w:spacing w:line="360" w:lineRule="auto"/>
        <w:ind w:right="-340" w:rightChars="-162" w:firstLine="480" w:firstLineChars="200"/>
        <w:rPr>
          <w:rFonts w:ascii="仿宋_GB2312" w:hAnsi="仿宋" w:eastAsia="仿宋_GB2312"/>
          <w:kern w:val="0"/>
          <w:sz w:val="24"/>
        </w:rPr>
      </w:pPr>
      <w:bookmarkStart w:id="28" w:name="_Toc17468"/>
      <w:r>
        <w:rPr>
          <w:rFonts w:hint="eastAsia" w:ascii="仿宋_GB2312" w:hAnsi="仿宋" w:eastAsia="仿宋_GB2312"/>
          <w:kern w:val="0"/>
          <w:sz w:val="24"/>
        </w:rPr>
        <w:t>4.1.2安全可靠，运行稳定</w:t>
      </w:r>
      <w:bookmarkEnd w:id="28"/>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系统要做到安全可靠。通过对信息进行加密，保障信息传输的安全。同时注重系统运行的可靠性和稳定性，能够满足7*24小时不间断业务运行要求。</w:t>
      </w:r>
    </w:p>
    <w:p>
      <w:pPr>
        <w:snapToGrid w:val="0"/>
        <w:spacing w:line="360" w:lineRule="auto"/>
        <w:ind w:right="-340" w:rightChars="-162" w:firstLine="480" w:firstLineChars="200"/>
        <w:rPr>
          <w:rFonts w:ascii="仿宋_GB2312" w:hAnsi="仿宋" w:eastAsia="仿宋_GB2312"/>
          <w:kern w:val="0"/>
          <w:sz w:val="24"/>
        </w:rPr>
      </w:pPr>
      <w:bookmarkStart w:id="29" w:name="_Toc8380"/>
      <w:r>
        <w:rPr>
          <w:rFonts w:hint="eastAsia" w:ascii="仿宋_GB2312" w:hAnsi="仿宋" w:eastAsia="仿宋_GB2312"/>
          <w:kern w:val="0"/>
          <w:sz w:val="24"/>
        </w:rPr>
        <w:t>4.1.3重点部署，分步实施</w:t>
      </w:r>
      <w:bookmarkEnd w:id="29"/>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系统设计方案要充分考虑系统的统一化、标准化、权威化的要求，建立统一体系架构，同时在实施过程中统筹规划，有计划、有步骤的推进。</w:t>
      </w:r>
    </w:p>
    <w:p>
      <w:pPr>
        <w:snapToGrid w:val="0"/>
        <w:spacing w:line="360" w:lineRule="auto"/>
        <w:ind w:right="-340" w:rightChars="-162" w:firstLine="480" w:firstLineChars="200"/>
        <w:rPr>
          <w:rFonts w:ascii="仿宋_GB2312" w:hAnsi="仿宋" w:eastAsia="仿宋_GB2312"/>
          <w:kern w:val="0"/>
          <w:sz w:val="24"/>
        </w:rPr>
      </w:pPr>
      <w:bookmarkStart w:id="30" w:name="_Toc15054"/>
      <w:r>
        <w:rPr>
          <w:rFonts w:hint="eastAsia" w:ascii="仿宋_GB2312" w:hAnsi="仿宋" w:eastAsia="仿宋_GB2312"/>
          <w:kern w:val="0"/>
          <w:sz w:val="24"/>
        </w:rPr>
        <w:t>4.2系统架构</w:t>
      </w:r>
      <w:bookmarkEnd w:id="30"/>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 xml:space="preserve">基础设施体系：为系统提供基础支持功能。 </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数据资源体系：采用数据共享的方式进行会议资料同步。</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业务应用体系：搭建会议共享应用。</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前端：根据实际业务需求搭建PC端桌面程序、PAD端桌面程序前端体系。</w:t>
      </w:r>
    </w:p>
    <w:p>
      <w:pPr>
        <w:snapToGrid w:val="0"/>
        <w:spacing w:line="360" w:lineRule="auto"/>
        <w:ind w:right="-340" w:rightChars="-162" w:firstLine="480" w:firstLineChars="200"/>
        <w:rPr>
          <w:rFonts w:ascii="仿宋_GB2312" w:hAnsi="仿宋" w:eastAsia="仿宋_GB2312"/>
          <w:kern w:val="0"/>
          <w:sz w:val="24"/>
        </w:rPr>
      </w:pPr>
      <w:bookmarkStart w:id="31" w:name="_Toc618"/>
      <w:r>
        <w:rPr>
          <w:rFonts w:hint="eastAsia" w:ascii="仿宋_GB2312" w:hAnsi="仿宋" w:eastAsia="仿宋_GB2312"/>
          <w:kern w:val="0"/>
          <w:sz w:val="24"/>
        </w:rPr>
        <w:t>4.3网络架构</w:t>
      </w:r>
      <w:bookmarkEnd w:id="31"/>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采用局域网内的网络架构。</w:t>
      </w:r>
    </w:p>
    <w:p>
      <w:pPr>
        <w:snapToGrid w:val="0"/>
        <w:spacing w:line="360" w:lineRule="auto"/>
        <w:ind w:right="-340" w:rightChars="-162" w:firstLine="480" w:firstLineChars="200"/>
        <w:rPr>
          <w:rFonts w:ascii="仿宋_GB2312" w:hAnsi="仿宋" w:eastAsia="仿宋_GB2312"/>
          <w:kern w:val="0"/>
          <w:sz w:val="24"/>
        </w:rPr>
      </w:pPr>
      <w:bookmarkStart w:id="32" w:name="_Toc14875"/>
      <w:r>
        <w:rPr>
          <w:rFonts w:hint="eastAsia" w:ascii="仿宋_GB2312" w:hAnsi="仿宋" w:eastAsia="仿宋_GB2312"/>
          <w:kern w:val="0"/>
          <w:sz w:val="24"/>
        </w:rPr>
        <w:t>4.4关键技术选型</w:t>
      </w:r>
      <w:bookmarkEnd w:id="32"/>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按照国家电子政务建设的指导意见，为充分保证电子政务平台具有较高的安全性、跨平台性、易扩展性、易维护性，本次项目需采用基于J2EE的三层（Browser/Application Server/Database Server）应用体系结构。应用JSP、Servlet、EJB、XML等编程技术和面向对象程序设计技术，将复杂的业务处理逻辑、流程控制逻辑和数据存取逻辑通过Enterprise Java Beans组件来实现。软件系统运行于应用服务器之上，实现业务逻辑的快速部署和灵活调整，并通过部署在应用服务器层的专用组件实现对数据库的存取访问，以充分保证数据库系统的安全可靠访问。</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4.5构建系统开发和运行环境的技术核心为：</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4.5.1 PC端应用系统（即时通讯除外）采用多层架构的B/S结构，移动端系统基于PAD采用多层架构的C/S结构；</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4.5.2采用JAVA语言技术，基于J2EE技术的分布式计算技术进行系统架构设计和系统开发；</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4.5.3采用Cordova技术；</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4.5.4采用H5技术；</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4.5.5支持Windows操作系统；</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4.5.6支持Weblogic、 Websphere、tomcat等多种主流应用服务器；</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4.5.7利用XML作为系统接口的数据交换标准，进行信息资源整合；</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4.5.8采用组件技术提供系统的快速开发和更新；</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4.5.9采用高性能中间件技术作为基础平台，如政务平台中间件技术、数据访问中间件技术、事务处理中间件技术、安全控制中间件技术等；</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4.5.10支持信任与授权服务、基于底层的PKI/PMI证书服务机制和PKI基础安全服务机制，提供符合J2EE规范的可信Web计算平台，该平台提供基于安全XML技术的PKI基础安全服务和PKI/PMI证书服务的统一调用接口。</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 xml:space="preserve">五、项目建设内容 </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项目建设内容： PC端桌面程序+PAD端桌面程序。</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1、PC端桌面程序-登录</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a）使用账号、密码登录pc端程序；</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b）修改登录密码；</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c）退出程序登录状态。</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2、PC端桌面程序-会议列表</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a）展示全部会议数据；</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b）支持通过点击会议名称切换会议；</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c）管理会议共享信息。</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3、PC端桌面程序-会议详情</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a）查看人员数据、查看大表及考核材料；</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b）发起共享，将状态设置为共享中，此时可在pad端查看到当前会议及会议资料料；</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c）结束共享，将状态设置为未共享，此时不可在pad端查看到当前会议；</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c）搜索，支持使用人员姓名模糊搜索人员数据；</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d）展示状态，展示会议的当前的共享状态；</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e）编辑，编辑会议信息，编辑完成之后，pad端将也会同步更新；</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f）删除，永久性删除会议，确保数据不会泄露。</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4、PC端桌面程序-创建共享</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a）实现管理共享、局域网内共享数据；</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b）单个新增人员；</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c）删除人员；</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d）批量新增人员；</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e）批量上传大表及考核材料（通过文件名中的人员姓名去匹配人员）等功能。</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5、PAD端桌面程序-会议列表</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a）打开app之后，自动去同步最新的“共享中”数据，实现实时同步最新的会议数据。</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6、PAD端桌面程序-会议详情</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a）查看上会人员详细信息和大表及考核材料。</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b）支持使用人员姓名和拼音模糊搜索。</w:t>
      </w:r>
    </w:p>
    <w:p>
      <w:pPr>
        <w:snapToGrid w:val="0"/>
        <w:spacing w:line="360" w:lineRule="auto"/>
        <w:ind w:right="-340" w:rightChars="-162" w:firstLine="480" w:firstLineChars="200"/>
        <w:rPr>
          <w:rFonts w:ascii="仿宋_GB2312" w:hAnsi="仿宋" w:eastAsia="仿宋_GB2312"/>
          <w:kern w:val="0"/>
          <w:sz w:val="24"/>
        </w:rPr>
      </w:pP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7、本地专有设备，采用本地设备储存数据、局域网内分享数据。参数要求：处理器I7-10700/内存16G/硬盘1T+256GSSD/光驱DVDRW/集显/WIN10HOME/500W电源，21.5寸WLED显示器。</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 xml:space="preserve"> </w:t>
      </w:r>
    </w:p>
    <w:p>
      <w:pPr>
        <w:snapToGrid w:val="0"/>
        <w:spacing w:line="360" w:lineRule="auto"/>
        <w:ind w:right="-340" w:rightChars="-162" w:firstLine="482" w:firstLineChars="200"/>
        <w:rPr>
          <w:rFonts w:ascii="仿宋_GB2312" w:hAnsi="仿宋" w:eastAsia="仿宋_GB2312"/>
          <w:b/>
          <w:bCs/>
          <w:kern w:val="0"/>
          <w:sz w:val="24"/>
        </w:rPr>
      </w:pPr>
      <w:r>
        <w:rPr>
          <w:rFonts w:hint="eastAsia" w:ascii="仿宋_GB2312" w:hAnsi="仿宋" w:eastAsia="仿宋_GB2312"/>
          <w:b/>
          <w:bCs/>
          <w:kern w:val="0"/>
          <w:sz w:val="24"/>
        </w:rPr>
        <w:t>六、服务、培训与验收</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1.建设工期：</w:t>
      </w:r>
      <w:r>
        <w:rPr>
          <w:rFonts w:hint="eastAsia" w:ascii="仿宋_GB2312" w:hAnsi="仿宋" w:eastAsia="仿宋_GB2312"/>
          <w:kern w:val="0"/>
          <w:sz w:val="24"/>
          <w:lang w:eastAsia="zh-Hans"/>
        </w:rPr>
        <w:t>合同签订后</w:t>
      </w:r>
      <w:r>
        <w:rPr>
          <w:rFonts w:hint="eastAsia" w:ascii="仿宋_GB2312" w:hAnsi="仿宋" w:eastAsia="仿宋_GB2312"/>
          <w:kern w:val="0"/>
          <w:sz w:val="24"/>
        </w:rPr>
        <w:t>1个月</w:t>
      </w:r>
      <w:r>
        <w:rPr>
          <w:rFonts w:hint="eastAsia" w:ascii="仿宋_GB2312" w:hAnsi="仿宋" w:eastAsia="仿宋_GB2312"/>
          <w:kern w:val="0"/>
          <w:sz w:val="24"/>
          <w:lang w:eastAsia="zh-Hans"/>
        </w:rPr>
        <w:t>内提供</w:t>
      </w:r>
      <w:r>
        <w:rPr>
          <w:rFonts w:hint="eastAsia" w:ascii="仿宋_GB2312" w:hAnsi="仿宋" w:eastAsia="仿宋_GB2312"/>
          <w:kern w:val="0"/>
          <w:sz w:val="24"/>
        </w:rPr>
        <w:t>。</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2.实施地点：由采购人指定。</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3.质保：项目验收后</w:t>
      </w:r>
      <w:r>
        <w:rPr>
          <w:rFonts w:ascii="仿宋_GB2312" w:hAnsi="仿宋" w:eastAsia="仿宋_GB2312"/>
          <w:kern w:val="0"/>
          <w:sz w:val="24"/>
        </w:rPr>
        <w:t>3</w:t>
      </w:r>
      <w:r>
        <w:rPr>
          <w:rFonts w:hint="eastAsia" w:ascii="仿宋_GB2312" w:hAnsi="仿宋" w:eastAsia="仿宋_GB2312"/>
          <w:kern w:val="0"/>
          <w:sz w:val="24"/>
        </w:rPr>
        <w:t>年。</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4.售后服务：</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lang w:eastAsia="zh-Hans"/>
        </w:rPr>
        <w:t>（1）质保期内，本合同项目所有技术和服务发生任何非人为故障，由供应商负责系统恢复。</w:t>
      </w:r>
      <w:r>
        <w:rPr>
          <w:rFonts w:hint="eastAsia" w:ascii="仿宋_GB2312" w:hAnsi="仿宋" w:eastAsia="仿宋_GB2312"/>
          <w:kern w:val="0"/>
          <w:sz w:val="24"/>
        </w:rPr>
        <w:t>提供1年7×24服务：在服务期内，提供不低于7*24小时的现场和技术支持服务。维护人员具备独立承担日常维护的技术能力，及时响应服务需求。</w:t>
      </w:r>
    </w:p>
    <w:p>
      <w:pPr>
        <w:snapToGrid w:val="0"/>
        <w:spacing w:line="360" w:lineRule="auto"/>
        <w:ind w:right="-340" w:rightChars="-162" w:firstLine="480" w:firstLineChars="200"/>
        <w:rPr>
          <w:rFonts w:ascii="仿宋_GB2312" w:hAnsi="仿宋" w:eastAsia="仿宋_GB2312"/>
          <w:kern w:val="0"/>
          <w:sz w:val="24"/>
          <w:lang w:eastAsia="zh-Hans"/>
        </w:rPr>
      </w:pPr>
      <w:r>
        <w:rPr>
          <w:rFonts w:hint="eastAsia" w:ascii="仿宋_GB2312" w:hAnsi="仿宋" w:eastAsia="仿宋_GB2312"/>
          <w:kern w:val="0"/>
          <w:sz w:val="24"/>
          <w:lang w:eastAsia="zh-Hans"/>
        </w:rPr>
        <w:t>故障报修的响应时间为即时，到达现场的时间为2小时，小型故障恢复时间为4个小时，严重故障恢复时间为24小时内，并及时有效的提供解决方案。</w:t>
      </w:r>
    </w:p>
    <w:p>
      <w:pPr>
        <w:snapToGrid w:val="0"/>
        <w:spacing w:line="360" w:lineRule="auto"/>
        <w:ind w:right="-340" w:rightChars="-162" w:firstLine="480" w:firstLineChars="200"/>
        <w:rPr>
          <w:rFonts w:ascii="仿宋_GB2312" w:hAnsi="仿宋" w:eastAsia="仿宋_GB2312"/>
          <w:kern w:val="0"/>
          <w:sz w:val="24"/>
          <w:lang w:eastAsia="zh-Hans"/>
        </w:rPr>
      </w:pPr>
      <w:r>
        <w:rPr>
          <w:rFonts w:hint="eastAsia" w:ascii="仿宋_GB2312" w:hAnsi="仿宋" w:eastAsia="仿宋_GB2312"/>
          <w:kern w:val="0"/>
          <w:sz w:val="24"/>
          <w:lang w:eastAsia="zh-Hans"/>
        </w:rPr>
        <w:t>（2）质保期内，对采购人提出的合理服务要求，供应商必须即时进行电话、邮件及远程网络支持，并在2小时内到场服务。如不到场，采购人有权自行处理，相关费用由供应商负责。</w:t>
      </w:r>
    </w:p>
    <w:p>
      <w:pPr>
        <w:snapToGrid w:val="0"/>
        <w:spacing w:line="360" w:lineRule="auto"/>
        <w:ind w:right="-340" w:rightChars="-162" w:firstLine="480" w:firstLineChars="200"/>
        <w:rPr>
          <w:rFonts w:ascii="仿宋_GB2312" w:hAnsi="仿宋" w:eastAsia="仿宋_GB2312"/>
          <w:kern w:val="0"/>
          <w:sz w:val="24"/>
          <w:lang w:eastAsia="zh-Hans"/>
        </w:rPr>
      </w:pPr>
      <w:r>
        <w:rPr>
          <w:rFonts w:hint="eastAsia" w:ascii="仿宋_GB2312" w:hAnsi="仿宋" w:eastAsia="仿宋_GB2312"/>
          <w:kern w:val="0"/>
          <w:sz w:val="24"/>
          <w:lang w:eastAsia="zh-Hans"/>
        </w:rPr>
        <w:t>（3）供应商需提供定期回访服务。</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lang w:eastAsia="zh-Hans"/>
        </w:rPr>
        <w:t>（4）所有的服务方式均为供应商上门保修，即由供应商派人员到系统使用现场进行故障恢复，由此产生的一切费用均由供应商承担。</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5.培训要求：</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供应商须提供操作培训方案，方案内容包括但不限于培训方式、培训课时及培训目标成果等内容。</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验收要求：</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验收后需提供以下材料：</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技术文档：需求分析报告、系统设计文档、数据库设计文档、系统接口文档、用户手册、测试报告、系统培训资料等。</w:t>
      </w:r>
    </w:p>
    <w:p>
      <w:pPr>
        <w:snapToGrid w:val="0"/>
        <w:spacing w:line="360" w:lineRule="auto"/>
        <w:ind w:right="-340" w:rightChars="-162" w:firstLine="480" w:firstLineChars="200"/>
        <w:rPr>
          <w:rFonts w:ascii="仿宋_GB2312" w:hAnsi="仿宋" w:eastAsia="仿宋_GB2312"/>
          <w:kern w:val="0"/>
          <w:sz w:val="24"/>
        </w:rPr>
      </w:pPr>
      <w:r>
        <w:rPr>
          <w:rFonts w:hint="eastAsia" w:ascii="仿宋_GB2312" w:hAnsi="仿宋" w:eastAsia="仿宋_GB2312"/>
          <w:kern w:val="0"/>
          <w:sz w:val="24"/>
        </w:rPr>
        <w:t>管理文档：项目实施计划、工作报告、会议记录等。</w:t>
      </w:r>
    </w:p>
    <w:p>
      <w:pPr>
        <w:tabs>
          <w:tab w:val="left" w:pos="0"/>
        </w:tabs>
        <w:spacing w:line="360" w:lineRule="auto"/>
        <w:rPr>
          <w:rFonts w:ascii="仿宋" w:hAnsi="仿宋" w:eastAsia="仿宋" w:cs="仿宋_GB2312"/>
          <w:b/>
          <w:sz w:val="24"/>
        </w:rPr>
      </w:pPr>
      <w:r>
        <w:rPr>
          <w:rFonts w:hint="eastAsia" w:ascii="仿宋" w:hAnsi="仿宋" w:eastAsia="仿宋" w:cs="仿宋_GB2312"/>
          <w:b/>
          <w:sz w:val="24"/>
        </w:rPr>
        <w:t>七、商务要求</w:t>
      </w:r>
    </w:p>
    <w:p>
      <w:pPr>
        <w:snapToGrid w:val="0"/>
        <w:spacing w:line="360" w:lineRule="auto"/>
        <w:rPr>
          <w:rFonts w:ascii="仿宋" w:hAnsi="仿宋" w:eastAsia="仿宋"/>
          <w:b/>
          <w:szCs w:val="21"/>
        </w:rPr>
      </w:pPr>
      <w:r>
        <w:rPr>
          <w:rFonts w:hint="eastAsia" w:ascii="仿宋_GB2312" w:hAnsi="仿宋" w:eastAsia="仿宋_GB2312"/>
          <w:kern w:val="0"/>
          <w:sz w:val="24"/>
        </w:rPr>
        <w:t>▲</w:t>
      </w:r>
      <w:r>
        <w:rPr>
          <w:rFonts w:hint="eastAsia" w:ascii="仿宋" w:hAnsi="仿宋" w:eastAsia="仿宋"/>
          <w:b/>
          <w:szCs w:val="21"/>
        </w:rPr>
        <w:t>1、符合本项目实施条件的资质证明文件</w:t>
      </w:r>
      <w:r>
        <w:rPr>
          <w:rFonts w:ascii="仿宋" w:hAnsi="仿宋" w:eastAsia="仿宋"/>
          <w:b/>
          <w:szCs w:val="21"/>
        </w:rPr>
        <w:t>：</w:t>
      </w:r>
    </w:p>
    <w:p>
      <w:pPr>
        <w:pStyle w:val="255"/>
        <w:adjustRightInd/>
        <w:snapToGrid w:val="0"/>
        <w:ind w:firstLine="0" w:firstLineChars="0"/>
        <w:rPr>
          <w:rFonts w:ascii="仿宋_GB2312" w:hAnsi="仿宋" w:eastAsia="仿宋_GB2312" w:cs="Times New Roman"/>
          <w:kern w:val="0"/>
        </w:rPr>
      </w:pPr>
      <w:r>
        <w:rPr>
          <w:rFonts w:hint="eastAsia" w:ascii="仿宋_GB2312" w:hAnsi="仿宋" w:eastAsia="仿宋_GB2312" w:cs="Times New Roman"/>
          <w:kern w:val="0"/>
        </w:rPr>
        <w:t>（1）供应商拟提供的货物（服务）必须符合国家强制性技术标准及规范；</w:t>
      </w:r>
    </w:p>
    <w:p>
      <w:pPr>
        <w:snapToGrid w:val="0"/>
        <w:spacing w:line="360" w:lineRule="auto"/>
        <w:ind w:right="-340" w:rightChars="-162"/>
        <w:rPr>
          <w:rFonts w:ascii="仿宋_GB2312" w:hAnsi="仿宋" w:eastAsia="仿宋_GB2312"/>
          <w:kern w:val="0"/>
          <w:sz w:val="24"/>
        </w:rPr>
      </w:pPr>
      <w:r>
        <w:rPr>
          <w:rFonts w:hint="eastAsia" w:ascii="仿宋_GB2312" w:hAnsi="仿宋" w:eastAsia="仿宋_GB2312"/>
          <w:kern w:val="0"/>
          <w:sz w:val="24"/>
        </w:rPr>
        <w:t>（2）法律和国务院行政法规规定或授权有关部门规定供应商或产品进入市场须先行取得相关认证或许可的，供应商须在采购响应文件中提供相关认证或许可证明。未经认证、许可，或者虽经认证、许可但相关资质证书已经失效的供应商，不能推荐、确认为成交供应商。</w:t>
      </w:r>
    </w:p>
    <w:p>
      <w:pPr>
        <w:snapToGrid w:val="0"/>
        <w:spacing w:line="360" w:lineRule="auto"/>
        <w:rPr>
          <w:rFonts w:ascii="仿宋" w:hAnsi="仿宋" w:eastAsia="仿宋"/>
          <w:b/>
          <w:szCs w:val="21"/>
        </w:rPr>
      </w:pPr>
      <w:r>
        <w:rPr>
          <w:rFonts w:hint="eastAsia" w:ascii="仿宋" w:hAnsi="仿宋" w:eastAsia="仿宋"/>
          <w:b/>
          <w:szCs w:val="21"/>
        </w:rPr>
        <w:t>2、可供证明投标人资信能力的文件：</w:t>
      </w:r>
    </w:p>
    <w:p>
      <w:pPr>
        <w:snapToGrid w:val="0"/>
        <w:spacing w:line="360" w:lineRule="auto"/>
        <w:ind w:firstLine="480" w:firstLineChars="200"/>
        <w:rPr>
          <w:rFonts w:ascii="仿宋" w:hAnsi="仿宋" w:eastAsia="仿宋" w:cs="Arial"/>
          <w:b/>
          <w:bCs/>
          <w:spacing w:val="2"/>
          <w:szCs w:val="21"/>
        </w:rPr>
      </w:pPr>
      <w:r>
        <w:rPr>
          <w:rFonts w:hint="eastAsia" w:ascii="仿宋_GB2312" w:hAnsi="仿宋" w:eastAsia="仿宋_GB2312"/>
          <w:kern w:val="0"/>
          <w:sz w:val="24"/>
        </w:rPr>
        <w:t>提供质量管理/环境体系认证、节能/环境标志产品证明、荣誉证书等(若适用)。</w:t>
      </w:r>
    </w:p>
    <w:p>
      <w:pPr>
        <w:snapToGrid w:val="0"/>
        <w:spacing w:line="360" w:lineRule="auto"/>
        <w:rPr>
          <w:rFonts w:ascii="仿宋" w:hAnsi="仿宋" w:eastAsia="仿宋"/>
          <w:b/>
          <w:bCs/>
          <w:szCs w:val="21"/>
        </w:rPr>
      </w:pPr>
      <w:r>
        <w:rPr>
          <w:rFonts w:hint="eastAsia" w:ascii="仿宋" w:hAnsi="仿宋" w:eastAsia="仿宋"/>
          <w:b/>
          <w:bCs/>
          <w:szCs w:val="21"/>
        </w:rPr>
        <w:t>3、交货地点：</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交货地点：杭州市临安区数据资源管理局指定地点。</w:t>
      </w:r>
    </w:p>
    <w:p>
      <w:pPr>
        <w:snapToGrid w:val="0"/>
        <w:spacing w:line="360" w:lineRule="auto"/>
        <w:rPr>
          <w:rFonts w:ascii="仿宋_GB2312" w:hAnsi="仿宋" w:eastAsia="仿宋_GB2312"/>
          <w:b/>
          <w:bCs/>
          <w:kern w:val="0"/>
          <w:sz w:val="24"/>
        </w:rPr>
      </w:pPr>
      <w:r>
        <w:rPr>
          <w:rFonts w:hint="eastAsia" w:ascii="仿宋_GB2312" w:hAnsi="仿宋" w:eastAsia="仿宋_GB2312"/>
          <w:b/>
          <w:bCs/>
          <w:kern w:val="0"/>
          <w:sz w:val="24"/>
        </w:rPr>
        <w:t>4、同类业绩证明：</w:t>
      </w:r>
    </w:p>
    <w:p>
      <w:pPr>
        <w:snapToGrid w:val="0"/>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（1）业绩清单：提供自2019年1月1日以来 成交同类业绩清单（以合同签订时间为准）。</w:t>
      </w:r>
    </w:p>
    <w:p>
      <w:pPr>
        <w:snapToGrid w:val="0"/>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（2）证明材料：提供投标产品的销售(成交)合同(复印件加盖公章，原件备查)。</w:t>
      </w:r>
    </w:p>
    <w:p>
      <w:pPr>
        <w:pStyle w:val="2"/>
        <w:rPr>
          <w:kern w:val="0"/>
          <w:sz w:val="24"/>
          <w:szCs w:val="24"/>
          <w:lang w:val="en-US"/>
        </w:rPr>
      </w:pPr>
      <w:r>
        <w:rPr>
          <w:rFonts w:hint="eastAsia"/>
          <w:kern w:val="0"/>
          <w:sz w:val="24"/>
          <w:szCs w:val="24"/>
          <w:lang w:val="en-US"/>
        </w:rPr>
        <w:t>5、付款方式：</w:t>
      </w:r>
    </w:p>
    <w:p>
      <w:pPr>
        <w:snapToGrid w:val="0"/>
        <w:spacing w:line="360" w:lineRule="auto"/>
        <w:ind w:firstLine="480" w:firstLineChars="200"/>
        <w:rPr>
          <w:rFonts w:ascii="仿宋_GB2312" w:hAnsi="仿宋" w:eastAsia="仿宋_GB2312"/>
          <w:color w:val="FF0000"/>
          <w:kern w:val="0"/>
          <w:sz w:val="24"/>
        </w:rPr>
      </w:pPr>
      <w:r>
        <w:rPr>
          <w:rFonts w:hint="eastAsia" w:ascii="仿宋_GB2312" w:hAnsi="仿宋" w:eastAsia="仿宋_GB2312"/>
          <w:color w:val="auto"/>
          <w:kern w:val="0"/>
          <w:sz w:val="24"/>
        </w:rPr>
        <w:t>合同签订后30工作日内支付合同总额的50%；项目终验合格后20个工作日内支付合同总额的50%。</w:t>
      </w:r>
    </w:p>
    <w:p>
      <w:pPr>
        <w:snapToGrid w:val="0"/>
        <w:spacing w:line="360" w:lineRule="auto"/>
        <w:rPr>
          <w:rFonts w:ascii="仿宋_GB2312" w:hAnsi="仿宋" w:eastAsia="仿宋_GB2312"/>
          <w:b/>
          <w:bCs/>
          <w:kern w:val="0"/>
          <w:sz w:val="24"/>
        </w:rPr>
      </w:pPr>
      <w:r>
        <w:rPr>
          <w:rFonts w:hint="eastAsia" w:ascii="仿宋_GB2312" w:hAnsi="仿宋" w:eastAsia="仿宋_GB2312"/>
          <w:b/>
          <w:bCs/>
          <w:kern w:val="0"/>
          <w:sz w:val="24"/>
        </w:rPr>
        <w:t>6、其他条款：</w:t>
      </w:r>
    </w:p>
    <w:p>
      <w:pPr>
        <w:snapToGrid w:val="0"/>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（1）招标文件要求提供的证明材料或者标准数据表等均需加盖单位公章。</w:t>
      </w:r>
    </w:p>
    <w:p>
      <w:pPr>
        <w:snapToGrid w:val="0"/>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（2）招标文件以醒目符号标明的实质性条款及具体技术要求，投标文件应当作出明确响应并且提供技术支持资料（以制造商公开发布的印刷资料或检测机构出具的检测报告为准）。</w:t>
      </w:r>
    </w:p>
    <w:p>
      <w:pPr>
        <w:snapToGrid w:val="0"/>
        <w:spacing w:line="360" w:lineRule="auto"/>
        <w:ind w:firstLine="480" w:firstLineChars="200"/>
        <w:rPr>
          <w:rFonts w:ascii="仿宋_GB2312" w:hAnsi="仿宋" w:eastAsia="仿宋_GB2312"/>
          <w:kern w:val="0"/>
          <w:sz w:val="24"/>
        </w:rPr>
      </w:pPr>
      <w:r>
        <w:rPr>
          <w:rFonts w:hint="eastAsia" w:ascii="仿宋_GB2312" w:hAnsi="仿宋" w:eastAsia="仿宋_GB2312"/>
          <w:kern w:val="0"/>
          <w:sz w:val="24"/>
        </w:rPr>
        <w:t>（4）投标人须提供完整的货物(服务)清单，否则，缺漏项视为已包含在投标总价中。</w:t>
      </w:r>
    </w:p>
    <w:p>
      <w:pPr>
        <w:snapToGrid w:val="0"/>
        <w:spacing w:line="360" w:lineRule="auto"/>
        <w:ind w:firstLine="480" w:firstLineChars="200"/>
        <w:jc w:val="left"/>
        <w:rPr>
          <w:rFonts w:ascii="仿宋_GB2312" w:hAnsi="仿宋" w:eastAsia="仿宋_GB2312"/>
          <w:kern w:val="0"/>
          <w:sz w:val="24"/>
        </w:rPr>
      </w:pPr>
      <w:r>
        <w:rPr>
          <w:rFonts w:hint="eastAsia" w:ascii="仿宋_GB2312" w:hAnsi="仿宋" w:eastAsia="仿宋_GB2312"/>
          <w:kern w:val="0"/>
          <w:sz w:val="24"/>
        </w:rPr>
        <w:t>（5）投标人可以提供便利于招标人的合理化建议或优惠措施（包括选配件、耗材或服务）等。</w:t>
      </w:r>
    </w:p>
    <w:p>
      <w:pPr>
        <w:snapToGrid w:val="0"/>
        <w:spacing w:line="360" w:lineRule="auto"/>
        <w:jc w:val="left"/>
        <w:rPr>
          <w:rFonts w:ascii="仿宋" w:hAnsi="仿宋" w:eastAsia="仿宋" w:cs="仿宋_GB2312"/>
          <w:b/>
          <w:sz w:val="36"/>
          <w:szCs w:val="36"/>
        </w:rPr>
      </w:pPr>
      <w:r>
        <w:rPr>
          <w:rFonts w:ascii="仿宋_GB2312" w:hAnsi="仿宋" w:eastAsia="仿宋_GB2312"/>
          <w:kern w:val="0"/>
          <w:sz w:val="24"/>
        </w:rPr>
        <w:t xml:space="preserve">  </w:t>
      </w:r>
      <w:r>
        <w:rPr>
          <w:rFonts w:hint="eastAsia" w:ascii="仿宋_GB2312" w:hAnsi="仿宋" w:eastAsia="仿宋_GB2312"/>
          <w:kern w:val="0"/>
          <w:sz w:val="24"/>
        </w:rPr>
        <w:t>（6）商务要求具体资料要求适用于本项目所有标项(段)；如有矛盾，以技术服务要求表内容为准。</w:t>
      </w:r>
      <w:r>
        <w:rPr>
          <w:rFonts w:hint="eastAsia" w:ascii="仿宋_GB2312" w:hAnsi="仿宋" w:eastAsia="仿宋_GB2312"/>
          <w:kern w:val="0"/>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33" w:name="_Toc184310325"/>
      <w:bookmarkEnd w:id="33"/>
      <w:bookmarkStart w:id="34" w:name="_Toc184313307"/>
      <w:bookmarkEnd w:id="34"/>
      <w:bookmarkStart w:id="35" w:name="_Toc184314474"/>
      <w:bookmarkEnd w:id="35"/>
      <w:bookmarkStart w:id="36" w:name="_Toc184312102"/>
      <w:bookmarkEnd w:id="36"/>
      <w:bookmarkStart w:id="37" w:name="_Toc184312137"/>
      <w:bookmarkEnd w:id="37"/>
      <w:bookmarkStart w:id="38" w:name="_Toc184308048"/>
      <w:bookmarkEnd w:id="38"/>
      <w:bookmarkStart w:id="39" w:name="_Toc184310307"/>
      <w:bookmarkEnd w:id="39"/>
      <w:bookmarkStart w:id="40" w:name="_Toc184310287"/>
      <w:bookmarkEnd w:id="40"/>
      <w:bookmarkStart w:id="41" w:name="_Toc184312086"/>
      <w:bookmarkEnd w:id="41"/>
      <w:bookmarkStart w:id="42" w:name="_Toc184310295"/>
      <w:bookmarkEnd w:id="42"/>
      <w:bookmarkStart w:id="43" w:name="_Toc184308061"/>
      <w:bookmarkEnd w:id="43"/>
      <w:bookmarkStart w:id="44" w:name="_Toc184310296"/>
      <w:bookmarkEnd w:id="44"/>
      <w:bookmarkStart w:id="45" w:name="_Toc184313268"/>
      <w:bookmarkEnd w:id="45"/>
      <w:bookmarkStart w:id="46" w:name="_Toc184312084"/>
      <w:bookmarkEnd w:id="46"/>
      <w:bookmarkStart w:id="47" w:name="_Toc184314446"/>
      <w:bookmarkEnd w:id="47"/>
      <w:bookmarkStart w:id="48" w:name="_Toc184313250"/>
      <w:bookmarkEnd w:id="48"/>
      <w:bookmarkStart w:id="49" w:name="_Toc184314471"/>
      <w:bookmarkEnd w:id="49"/>
      <w:bookmarkStart w:id="50" w:name="_Toc184308101"/>
      <w:bookmarkEnd w:id="50"/>
      <w:bookmarkStart w:id="51" w:name="_Toc184308045"/>
      <w:bookmarkEnd w:id="51"/>
      <w:bookmarkStart w:id="52" w:name="_Toc184308091"/>
      <w:bookmarkEnd w:id="52"/>
      <w:bookmarkStart w:id="53" w:name="_Toc184310309"/>
      <w:bookmarkEnd w:id="53"/>
      <w:bookmarkStart w:id="54" w:name="_Toc184308071"/>
      <w:bookmarkEnd w:id="54"/>
      <w:bookmarkStart w:id="55" w:name="_Toc184313270"/>
      <w:bookmarkEnd w:id="55"/>
      <w:bookmarkStart w:id="56" w:name="_Toc184313290"/>
      <w:bookmarkEnd w:id="56"/>
      <w:bookmarkStart w:id="57" w:name="_Toc184312127"/>
      <w:bookmarkEnd w:id="57"/>
      <w:bookmarkStart w:id="58" w:name="_Toc184312104"/>
      <w:bookmarkEnd w:id="58"/>
      <w:bookmarkStart w:id="59" w:name="_Toc184308082"/>
      <w:bookmarkEnd w:id="59"/>
      <w:bookmarkStart w:id="60" w:name="_Toc184314443"/>
      <w:bookmarkEnd w:id="60"/>
      <w:bookmarkStart w:id="61" w:name="_Toc184313246"/>
      <w:bookmarkEnd w:id="61"/>
      <w:bookmarkStart w:id="62" w:name="_Toc184313267"/>
      <w:bookmarkEnd w:id="62"/>
      <w:bookmarkStart w:id="63" w:name="_Toc184313255"/>
      <w:bookmarkEnd w:id="63"/>
      <w:bookmarkStart w:id="64" w:name="_Toc184314432"/>
      <w:bookmarkEnd w:id="64"/>
      <w:bookmarkStart w:id="65" w:name="_Toc184310302"/>
      <w:bookmarkEnd w:id="65"/>
      <w:bookmarkStart w:id="66" w:name="_Toc184310336"/>
      <w:bookmarkEnd w:id="66"/>
      <w:bookmarkStart w:id="67" w:name="_Toc184314470"/>
      <w:bookmarkEnd w:id="67"/>
      <w:bookmarkStart w:id="68" w:name="_Toc184312088"/>
      <w:bookmarkEnd w:id="68"/>
      <w:bookmarkStart w:id="69" w:name="_Toc184308077"/>
      <w:bookmarkEnd w:id="69"/>
      <w:bookmarkStart w:id="70" w:name="_Toc184312134"/>
      <w:bookmarkEnd w:id="70"/>
      <w:bookmarkStart w:id="71" w:name="_Toc184313292"/>
      <w:bookmarkEnd w:id="71"/>
      <w:bookmarkStart w:id="72" w:name="_Toc184314455"/>
      <w:bookmarkEnd w:id="72"/>
      <w:bookmarkStart w:id="73" w:name="_Toc184314466"/>
      <w:bookmarkEnd w:id="73"/>
      <w:bookmarkStart w:id="74" w:name="_Toc184312112"/>
      <w:bookmarkEnd w:id="74"/>
      <w:bookmarkStart w:id="75" w:name="_Toc184312121"/>
      <w:bookmarkEnd w:id="75"/>
      <w:bookmarkStart w:id="76" w:name="_Toc184310331"/>
      <w:bookmarkEnd w:id="76"/>
      <w:bookmarkStart w:id="77" w:name="_Toc184313275"/>
      <w:bookmarkEnd w:id="77"/>
      <w:bookmarkStart w:id="78" w:name="_Toc184308095"/>
      <w:bookmarkEnd w:id="78"/>
      <w:bookmarkStart w:id="79" w:name="_Toc184314477"/>
      <w:bookmarkEnd w:id="79"/>
      <w:bookmarkStart w:id="80" w:name="_Toc184310272"/>
      <w:bookmarkEnd w:id="80"/>
      <w:bookmarkStart w:id="81" w:name="_Toc184314429"/>
      <w:bookmarkEnd w:id="81"/>
      <w:bookmarkStart w:id="82" w:name="_Toc184310289"/>
      <w:bookmarkEnd w:id="82"/>
      <w:bookmarkStart w:id="83" w:name="_Toc184314428"/>
      <w:bookmarkEnd w:id="83"/>
      <w:bookmarkStart w:id="84" w:name="_Toc184313238"/>
      <w:bookmarkEnd w:id="84"/>
      <w:bookmarkStart w:id="85" w:name="_Toc184308069"/>
      <w:bookmarkEnd w:id="85"/>
      <w:bookmarkStart w:id="86" w:name="_Toc184308079"/>
      <w:bookmarkEnd w:id="86"/>
      <w:bookmarkStart w:id="87" w:name="_Toc184310303"/>
      <w:bookmarkEnd w:id="87"/>
      <w:bookmarkStart w:id="88" w:name="_Toc184312136"/>
      <w:bookmarkEnd w:id="88"/>
      <w:bookmarkStart w:id="89" w:name="_Toc184308055"/>
      <w:bookmarkEnd w:id="89"/>
      <w:bookmarkStart w:id="90" w:name="_Toc184312072"/>
      <w:bookmarkEnd w:id="90"/>
      <w:bookmarkStart w:id="91" w:name="_Toc184310288"/>
      <w:bookmarkEnd w:id="91"/>
      <w:bookmarkStart w:id="92" w:name="_Toc184313287"/>
      <w:bookmarkEnd w:id="92"/>
      <w:bookmarkStart w:id="93" w:name="_Toc184312081"/>
      <w:bookmarkEnd w:id="93"/>
      <w:bookmarkStart w:id="94" w:name="_Toc184310311"/>
      <w:bookmarkEnd w:id="94"/>
      <w:bookmarkStart w:id="95" w:name="_Toc184308094"/>
      <w:bookmarkEnd w:id="95"/>
      <w:bookmarkStart w:id="96" w:name="_Toc184310306"/>
      <w:bookmarkEnd w:id="96"/>
      <w:bookmarkStart w:id="97" w:name="_Toc184308089"/>
      <w:bookmarkEnd w:id="97"/>
      <w:bookmarkStart w:id="98" w:name="_Toc184313264"/>
      <w:bookmarkEnd w:id="98"/>
      <w:bookmarkStart w:id="99" w:name="_Toc184310322"/>
      <w:bookmarkEnd w:id="99"/>
      <w:bookmarkStart w:id="100" w:name="_Toc184308105"/>
      <w:bookmarkEnd w:id="100"/>
      <w:bookmarkStart w:id="101" w:name="_Toc184313285"/>
      <w:bookmarkEnd w:id="101"/>
      <w:bookmarkStart w:id="102" w:name="_Toc184313302"/>
      <w:bookmarkEnd w:id="102"/>
      <w:bookmarkStart w:id="103" w:name="_Toc184314475"/>
      <w:bookmarkEnd w:id="103"/>
      <w:bookmarkStart w:id="104" w:name="_Toc184314430"/>
      <w:bookmarkEnd w:id="104"/>
      <w:bookmarkStart w:id="105" w:name="_Toc184313249"/>
      <w:bookmarkEnd w:id="105"/>
      <w:bookmarkStart w:id="106" w:name="_Toc184312105"/>
      <w:bookmarkEnd w:id="106"/>
      <w:bookmarkStart w:id="107" w:name="_Toc184313262"/>
      <w:bookmarkEnd w:id="107"/>
      <w:bookmarkStart w:id="108" w:name="_Toc184312078"/>
      <w:bookmarkEnd w:id="108"/>
      <w:bookmarkStart w:id="109" w:name="_Toc184308041"/>
      <w:bookmarkEnd w:id="109"/>
      <w:bookmarkStart w:id="110" w:name="_Toc184308065"/>
      <w:bookmarkEnd w:id="110"/>
      <w:bookmarkStart w:id="111" w:name="_Toc184308043"/>
      <w:bookmarkEnd w:id="111"/>
      <w:bookmarkStart w:id="112" w:name="_Toc184310300"/>
      <w:bookmarkEnd w:id="112"/>
      <w:bookmarkStart w:id="113" w:name="_Toc184310321"/>
      <w:bookmarkEnd w:id="113"/>
      <w:bookmarkStart w:id="114" w:name="_Toc184312107"/>
      <w:bookmarkEnd w:id="114"/>
      <w:bookmarkStart w:id="115" w:name="_Toc184308108"/>
      <w:bookmarkEnd w:id="115"/>
      <w:bookmarkStart w:id="116" w:name="_Toc184308072"/>
      <w:bookmarkEnd w:id="116"/>
      <w:bookmarkStart w:id="117" w:name="_Toc184312096"/>
      <w:bookmarkEnd w:id="117"/>
      <w:bookmarkStart w:id="118" w:name="_Toc184314439"/>
      <w:bookmarkEnd w:id="118"/>
      <w:bookmarkStart w:id="119" w:name="_Toc184310338"/>
      <w:bookmarkEnd w:id="119"/>
      <w:bookmarkStart w:id="120" w:name="_Toc184310285"/>
      <w:bookmarkEnd w:id="120"/>
      <w:bookmarkStart w:id="121" w:name="_Toc184310280"/>
      <w:bookmarkEnd w:id="121"/>
      <w:bookmarkStart w:id="122" w:name="_Toc184312115"/>
      <w:bookmarkEnd w:id="122"/>
      <w:bookmarkStart w:id="123" w:name="_Toc184312108"/>
      <w:bookmarkEnd w:id="123"/>
      <w:bookmarkStart w:id="124" w:name="_Toc184312080"/>
      <w:bookmarkEnd w:id="124"/>
      <w:bookmarkStart w:id="125" w:name="_Toc184314482"/>
      <w:bookmarkEnd w:id="125"/>
      <w:bookmarkStart w:id="126" w:name="_Toc184312101"/>
      <w:bookmarkEnd w:id="126"/>
      <w:bookmarkStart w:id="127" w:name="_Toc184312095"/>
      <w:bookmarkEnd w:id="127"/>
      <w:bookmarkStart w:id="128" w:name="_Toc184310315"/>
      <w:bookmarkEnd w:id="128"/>
      <w:bookmarkStart w:id="129" w:name="_Toc184312106"/>
      <w:bookmarkEnd w:id="129"/>
      <w:bookmarkStart w:id="130" w:name="_Toc184313298"/>
      <w:bookmarkEnd w:id="130"/>
      <w:bookmarkStart w:id="131" w:name="_Toc184312120"/>
      <w:bookmarkEnd w:id="131"/>
      <w:bookmarkStart w:id="132" w:name="_Toc184314411"/>
      <w:bookmarkEnd w:id="132"/>
      <w:bookmarkStart w:id="133" w:name="_Toc184310327"/>
      <w:bookmarkEnd w:id="133"/>
      <w:bookmarkStart w:id="134" w:name="_Toc184310293"/>
      <w:bookmarkEnd w:id="134"/>
      <w:bookmarkStart w:id="135" w:name="_Toc184313283"/>
      <w:bookmarkEnd w:id="135"/>
      <w:bookmarkStart w:id="136" w:name="_Toc184312139"/>
      <w:bookmarkEnd w:id="136"/>
      <w:bookmarkStart w:id="137" w:name="_Toc184313304"/>
      <w:bookmarkEnd w:id="137"/>
      <w:bookmarkStart w:id="138" w:name="_Toc184312133"/>
      <w:bookmarkEnd w:id="138"/>
      <w:bookmarkStart w:id="139" w:name="_Toc184308056"/>
      <w:bookmarkEnd w:id="139"/>
      <w:bookmarkStart w:id="140" w:name="_Toc184314450"/>
      <w:bookmarkEnd w:id="140"/>
      <w:bookmarkStart w:id="141" w:name="_Toc184310312"/>
      <w:bookmarkEnd w:id="141"/>
      <w:bookmarkStart w:id="142" w:name="_Toc184313291"/>
      <w:bookmarkEnd w:id="142"/>
      <w:bookmarkStart w:id="143" w:name="_Toc184314421"/>
      <w:bookmarkEnd w:id="143"/>
      <w:bookmarkStart w:id="144" w:name="_Toc184314473"/>
      <w:bookmarkEnd w:id="144"/>
      <w:bookmarkStart w:id="145" w:name="_Toc184312109"/>
      <w:bookmarkEnd w:id="145"/>
      <w:bookmarkStart w:id="146" w:name="_Toc184312068"/>
      <w:bookmarkEnd w:id="146"/>
      <w:bookmarkStart w:id="147" w:name="_Toc184314433"/>
      <w:bookmarkEnd w:id="147"/>
      <w:bookmarkStart w:id="148" w:name="_Toc184308088"/>
      <w:bookmarkEnd w:id="148"/>
      <w:bookmarkStart w:id="149" w:name="_Toc184308107"/>
      <w:bookmarkEnd w:id="149"/>
      <w:bookmarkStart w:id="150" w:name="_Toc184314442"/>
      <w:bookmarkEnd w:id="150"/>
      <w:bookmarkStart w:id="151" w:name="_Toc184308051"/>
      <w:bookmarkEnd w:id="151"/>
      <w:bookmarkStart w:id="152" w:name="_Toc184310308"/>
      <w:bookmarkEnd w:id="152"/>
      <w:bookmarkStart w:id="153" w:name="_Toc184314465"/>
      <w:bookmarkEnd w:id="153"/>
      <w:bookmarkStart w:id="154" w:name="_Toc184312098"/>
      <w:bookmarkEnd w:id="154"/>
      <w:bookmarkStart w:id="155" w:name="_Toc184314431"/>
      <w:bookmarkEnd w:id="155"/>
      <w:bookmarkStart w:id="156" w:name="_Toc184313240"/>
      <w:bookmarkEnd w:id="156"/>
      <w:bookmarkStart w:id="157" w:name="_Toc184312085"/>
      <w:bookmarkEnd w:id="157"/>
      <w:bookmarkStart w:id="158" w:name="_Toc184310291"/>
      <w:bookmarkEnd w:id="158"/>
      <w:bookmarkStart w:id="159" w:name="_Toc184308064"/>
      <w:bookmarkEnd w:id="159"/>
      <w:bookmarkStart w:id="160" w:name="_Toc184314425"/>
      <w:bookmarkEnd w:id="160"/>
      <w:bookmarkStart w:id="161" w:name="_Toc184314460"/>
      <w:bookmarkEnd w:id="161"/>
      <w:bookmarkStart w:id="162" w:name="_Toc184308068"/>
      <w:bookmarkEnd w:id="162"/>
      <w:bookmarkStart w:id="163" w:name="_Toc184308070"/>
      <w:bookmarkEnd w:id="163"/>
      <w:bookmarkStart w:id="164" w:name="_Toc184310282"/>
      <w:bookmarkEnd w:id="164"/>
      <w:bookmarkStart w:id="165" w:name="_Toc184314453"/>
      <w:bookmarkEnd w:id="165"/>
      <w:bookmarkStart w:id="166" w:name="_Toc184313288"/>
      <w:bookmarkEnd w:id="166"/>
      <w:bookmarkStart w:id="167" w:name="_Toc184308104"/>
      <w:bookmarkEnd w:id="167"/>
      <w:bookmarkStart w:id="168" w:name="_Toc184314435"/>
      <w:bookmarkEnd w:id="168"/>
      <w:bookmarkStart w:id="169" w:name="_Toc184313272"/>
      <w:bookmarkEnd w:id="169"/>
      <w:bookmarkStart w:id="170" w:name="_Toc184310299"/>
      <w:bookmarkEnd w:id="170"/>
      <w:bookmarkStart w:id="171" w:name="_Toc184312074"/>
      <w:bookmarkEnd w:id="171"/>
      <w:bookmarkStart w:id="172" w:name="_Toc184314426"/>
      <w:bookmarkEnd w:id="172"/>
      <w:bookmarkStart w:id="173" w:name="_Toc184314479"/>
      <w:bookmarkEnd w:id="173"/>
      <w:bookmarkStart w:id="174" w:name="_Toc184313305"/>
      <w:bookmarkEnd w:id="174"/>
      <w:bookmarkStart w:id="175" w:name="_Toc184310283"/>
      <w:bookmarkEnd w:id="175"/>
      <w:bookmarkStart w:id="176" w:name="_Toc184313274"/>
      <w:bookmarkEnd w:id="176"/>
      <w:bookmarkStart w:id="177" w:name="_Toc184310314"/>
      <w:bookmarkEnd w:id="177"/>
      <w:bookmarkStart w:id="178" w:name="_Toc184314467"/>
      <w:bookmarkEnd w:id="178"/>
      <w:bookmarkStart w:id="179" w:name="_Toc184310334"/>
      <w:bookmarkEnd w:id="179"/>
      <w:bookmarkStart w:id="180" w:name="_Toc184313293"/>
      <w:bookmarkEnd w:id="180"/>
      <w:bookmarkStart w:id="181" w:name="_Toc184313306"/>
      <w:bookmarkEnd w:id="181"/>
      <w:bookmarkStart w:id="182" w:name="_Toc184310290"/>
      <w:bookmarkEnd w:id="182"/>
      <w:bookmarkStart w:id="183" w:name="_Toc184310329"/>
      <w:bookmarkEnd w:id="183"/>
      <w:bookmarkStart w:id="184" w:name="_Toc184308042"/>
      <w:bookmarkEnd w:id="184"/>
      <w:bookmarkStart w:id="185" w:name="_Toc184314459"/>
      <w:bookmarkEnd w:id="185"/>
      <w:bookmarkStart w:id="186" w:name="_Toc184308054"/>
      <w:bookmarkEnd w:id="186"/>
      <w:bookmarkStart w:id="187" w:name="_Toc184310286"/>
      <w:bookmarkEnd w:id="187"/>
      <w:bookmarkStart w:id="188" w:name="_Toc184313284"/>
      <w:bookmarkEnd w:id="188"/>
      <w:bookmarkStart w:id="189" w:name="_Toc184308067"/>
      <w:bookmarkEnd w:id="189"/>
      <w:bookmarkStart w:id="190" w:name="_Toc184312092"/>
      <w:bookmarkEnd w:id="190"/>
      <w:bookmarkStart w:id="191" w:name="_Toc184314447"/>
      <w:bookmarkEnd w:id="191"/>
      <w:bookmarkStart w:id="192" w:name="_Toc184314436"/>
      <w:bookmarkEnd w:id="192"/>
      <w:bookmarkStart w:id="193" w:name="_Toc184314445"/>
      <w:bookmarkEnd w:id="193"/>
      <w:bookmarkStart w:id="194" w:name="_Toc184308057"/>
      <w:bookmarkEnd w:id="194"/>
      <w:bookmarkStart w:id="195" w:name="_Toc184313308"/>
      <w:bookmarkEnd w:id="195"/>
      <w:bookmarkStart w:id="196" w:name="_Toc184313277"/>
      <w:bookmarkEnd w:id="196"/>
      <w:bookmarkStart w:id="197" w:name="_Toc184310326"/>
      <w:bookmarkEnd w:id="197"/>
      <w:bookmarkStart w:id="198" w:name="_Toc184312126"/>
      <w:bookmarkEnd w:id="198"/>
      <w:bookmarkStart w:id="199" w:name="_Toc184312094"/>
      <w:bookmarkEnd w:id="199"/>
      <w:bookmarkStart w:id="200" w:name="_Toc184310281"/>
      <w:bookmarkEnd w:id="200"/>
      <w:bookmarkStart w:id="201" w:name="_Toc184310292"/>
      <w:bookmarkEnd w:id="201"/>
      <w:bookmarkStart w:id="202" w:name="_Toc184308040"/>
      <w:bookmarkEnd w:id="202"/>
      <w:bookmarkStart w:id="203" w:name="_Toc184314414"/>
      <w:bookmarkEnd w:id="203"/>
      <w:bookmarkStart w:id="204" w:name="_Toc184310333"/>
      <w:bookmarkEnd w:id="204"/>
      <w:bookmarkStart w:id="205" w:name="_Toc184314457"/>
      <w:bookmarkEnd w:id="205"/>
      <w:bookmarkStart w:id="206" w:name="_Toc184313279"/>
      <w:bookmarkEnd w:id="206"/>
      <w:bookmarkStart w:id="207" w:name="_Toc184312118"/>
      <w:bookmarkEnd w:id="207"/>
      <w:bookmarkStart w:id="208" w:name="_Toc184312116"/>
      <w:bookmarkEnd w:id="208"/>
      <w:bookmarkStart w:id="209" w:name="_Toc184312067"/>
      <w:bookmarkEnd w:id="209"/>
      <w:bookmarkStart w:id="210" w:name="_Toc184310275"/>
      <w:bookmarkEnd w:id="210"/>
      <w:bookmarkStart w:id="211" w:name="_Toc184312083"/>
      <w:bookmarkEnd w:id="211"/>
      <w:bookmarkStart w:id="212" w:name="_Toc184308066"/>
      <w:bookmarkEnd w:id="212"/>
      <w:bookmarkStart w:id="213" w:name="_Toc184314461"/>
      <w:bookmarkEnd w:id="213"/>
      <w:bookmarkStart w:id="214" w:name="_Toc184312099"/>
      <w:bookmarkEnd w:id="214"/>
      <w:bookmarkStart w:id="215" w:name="_Toc184308097"/>
      <w:bookmarkEnd w:id="215"/>
      <w:bookmarkStart w:id="216" w:name="_Toc184310301"/>
      <w:bookmarkEnd w:id="216"/>
      <w:bookmarkStart w:id="217" w:name="_Toc184314413"/>
      <w:bookmarkEnd w:id="217"/>
      <w:bookmarkStart w:id="218" w:name="_Toc184313263"/>
      <w:bookmarkEnd w:id="218"/>
      <w:bookmarkStart w:id="219" w:name="_Toc184308096"/>
      <w:bookmarkEnd w:id="219"/>
      <w:bookmarkStart w:id="220" w:name="_Toc184313296"/>
      <w:bookmarkEnd w:id="220"/>
      <w:bookmarkStart w:id="221" w:name="_Toc184314472"/>
      <w:bookmarkEnd w:id="221"/>
      <w:bookmarkStart w:id="222" w:name="_Toc184313260"/>
      <w:bookmarkEnd w:id="222"/>
      <w:bookmarkStart w:id="223" w:name="_Toc184314452"/>
      <w:bookmarkEnd w:id="223"/>
      <w:bookmarkStart w:id="224" w:name="_Toc184314454"/>
      <w:bookmarkEnd w:id="224"/>
      <w:bookmarkStart w:id="225" w:name="_Toc184310317"/>
      <w:bookmarkEnd w:id="225"/>
      <w:bookmarkStart w:id="226" w:name="_Toc184312117"/>
      <w:bookmarkEnd w:id="226"/>
      <w:bookmarkStart w:id="227" w:name="_Toc184310320"/>
      <w:bookmarkEnd w:id="227"/>
      <w:bookmarkStart w:id="228" w:name="_Toc184308059"/>
      <w:bookmarkEnd w:id="228"/>
      <w:bookmarkStart w:id="229" w:name="_Toc184312077"/>
      <w:bookmarkEnd w:id="229"/>
      <w:bookmarkStart w:id="230" w:name="_Toc184312069"/>
      <w:bookmarkEnd w:id="230"/>
      <w:bookmarkStart w:id="231" w:name="_Toc184310342"/>
      <w:bookmarkEnd w:id="231"/>
      <w:bookmarkStart w:id="232" w:name="_Toc184310328"/>
      <w:bookmarkEnd w:id="232"/>
      <w:bookmarkStart w:id="233" w:name="_Toc184313281"/>
      <w:bookmarkEnd w:id="233"/>
      <w:bookmarkStart w:id="234" w:name="_Toc184312114"/>
      <w:bookmarkEnd w:id="234"/>
      <w:bookmarkStart w:id="235" w:name="_Toc184312124"/>
      <w:bookmarkEnd w:id="235"/>
      <w:bookmarkStart w:id="236" w:name="_Toc184314415"/>
      <w:bookmarkEnd w:id="236"/>
      <w:bookmarkStart w:id="237" w:name="_Toc184310316"/>
      <w:bookmarkEnd w:id="237"/>
      <w:bookmarkStart w:id="238" w:name="_Toc184312073"/>
      <w:bookmarkEnd w:id="238"/>
      <w:bookmarkStart w:id="239" w:name="_Toc184312089"/>
      <w:bookmarkEnd w:id="239"/>
      <w:bookmarkStart w:id="240" w:name="_Toc184310298"/>
      <w:bookmarkEnd w:id="240"/>
      <w:bookmarkStart w:id="241" w:name="_Toc184308060"/>
      <w:bookmarkEnd w:id="241"/>
      <w:bookmarkStart w:id="242" w:name="_Toc184308093"/>
      <w:bookmarkEnd w:id="242"/>
      <w:bookmarkStart w:id="243" w:name="_Toc184313252"/>
      <w:bookmarkEnd w:id="243"/>
      <w:bookmarkStart w:id="244" w:name="_Toc184314462"/>
      <w:bookmarkEnd w:id="244"/>
      <w:bookmarkStart w:id="245" w:name="_Toc184313295"/>
      <w:bookmarkEnd w:id="245"/>
      <w:bookmarkStart w:id="246" w:name="_Toc184313269"/>
      <w:bookmarkEnd w:id="246"/>
      <w:bookmarkStart w:id="247" w:name="_Toc184308038"/>
      <w:bookmarkEnd w:id="247"/>
      <w:bookmarkStart w:id="248" w:name="_Toc184310297"/>
      <w:bookmarkEnd w:id="248"/>
      <w:bookmarkStart w:id="249" w:name="_Toc184314418"/>
      <w:bookmarkEnd w:id="249"/>
      <w:bookmarkStart w:id="250" w:name="_Toc184313258"/>
      <w:bookmarkEnd w:id="250"/>
      <w:bookmarkStart w:id="251" w:name="_Toc184312113"/>
      <w:bookmarkEnd w:id="251"/>
      <w:bookmarkStart w:id="252" w:name="_Toc184313239"/>
      <w:bookmarkEnd w:id="252"/>
      <w:bookmarkStart w:id="253" w:name="_Toc184310324"/>
      <w:bookmarkEnd w:id="253"/>
      <w:bookmarkStart w:id="254" w:name="_Toc184308078"/>
      <w:bookmarkEnd w:id="254"/>
      <w:bookmarkStart w:id="255" w:name="_Toc184314438"/>
      <w:bookmarkEnd w:id="255"/>
      <w:bookmarkStart w:id="256" w:name="_Toc184310337"/>
      <w:bookmarkEnd w:id="256"/>
      <w:bookmarkStart w:id="257" w:name="_Toc184313294"/>
      <w:bookmarkEnd w:id="257"/>
      <w:bookmarkStart w:id="258" w:name="_Toc184314440"/>
      <w:bookmarkEnd w:id="258"/>
      <w:bookmarkStart w:id="259" w:name="_Toc184312090"/>
      <w:bookmarkEnd w:id="259"/>
      <w:bookmarkStart w:id="260" w:name="_Toc184313257"/>
      <w:bookmarkEnd w:id="260"/>
      <w:bookmarkStart w:id="261" w:name="_Toc184314410"/>
      <w:bookmarkEnd w:id="261"/>
      <w:bookmarkStart w:id="262" w:name="_Toc184314441"/>
      <w:bookmarkEnd w:id="262"/>
      <w:bookmarkStart w:id="263" w:name="_Toc184314419"/>
      <w:bookmarkEnd w:id="263"/>
      <w:bookmarkStart w:id="264" w:name="_Toc184308086"/>
      <w:bookmarkEnd w:id="264"/>
      <w:bookmarkStart w:id="265" w:name="_Toc184308075"/>
      <w:bookmarkEnd w:id="265"/>
      <w:bookmarkStart w:id="266" w:name="_Toc184308100"/>
      <w:bookmarkEnd w:id="266"/>
      <w:bookmarkStart w:id="267" w:name="_Toc184313300"/>
      <w:bookmarkEnd w:id="267"/>
      <w:bookmarkStart w:id="268" w:name="_Toc184314417"/>
      <w:bookmarkEnd w:id="268"/>
      <w:bookmarkStart w:id="269" w:name="_Toc184308036"/>
      <w:bookmarkEnd w:id="269"/>
      <w:bookmarkStart w:id="270" w:name="_Toc184312131"/>
      <w:bookmarkEnd w:id="270"/>
      <w:bookmarkStart w:id="271" w:name="_Toc184308081"/>
      <w:bookmarkEnd w:id="271"/>
      <w:bookmarkStart w:id="272" w:name="_Toc184313271"/>
      <w:bookmarkEnd w:id="272"/>
      <w:bookmarkStart w:id="273" w:name="_Toc184308103"/>
      <w:bookmarkEnd w:id="273"/>
      <w:bookmarkStart w:id="274" w:name="_Toc184312103"/>
      <w:bookmarkEnd w:id="274"/>
      <w:bookmarkStart w:id="275" w:name="_Toc184312130"/>
      <w:bookmarkEnd w:id="275"/>
      <w:bookmarkStart w:id="276" w:name="_Toc184314458"/>
      <w:bookmarkEnd w:id="276"/>
      <w:bookmarkStart w:id="277" w:name="_Toc184310274"/>
      <w:bookmarkEnd w:id="277"/>
      <w:bookmarkStart w:id="278" w:name="_Toc184310343"/>
      <w:bookmarkEnd w:id="278"/>
      <w:bookmarkStart w:id="279" w:name="_Toc184310278"/>
      <w:bookmarkEnd w:id="279"/>
      <w:bookmarkStart w:id="280" w:name="_Toc184308058"/>
      <w:bookmarkEnd w:id="280"/>
      <w:bookmarkStart w:id="281" w:name="_Toc184313259"/>
      <w:bookmarkEnd w:id="281"/>
      <w:bookmarkStart w:id="282" w:name="_Toc184308076"/>
      <w:bookmarkEnd w:id="282"/>
      <w:bookmarkStart w:id="283" w:name="_Toc184314424"/>
      <w:bookmarkEnd w:id="283"/>
      <w:bookmarkStart w:id="284" w:name="_Toc184310332"/>
      <w:bookmarkEnd w:id="284"/>
      <w:bookmarkStart w:id="285" w:name="_Toc184313278"/>
      <w:bookmarkEnd w:id="285"/>
      <w:bookmarkStart w:id="286" w:name="_Toc184314463"/>
      <w:bookmarkEnd w:id="286"/>
      <w:bookmarkStart w:id="287" w:name="_Toc184308047"/>
      <w:bookmarkEnd w:id="287"/>
      <w:bookmarkStart w:id="288" w:name="_Toc184308074"/>
      <w:bookmarkEnd w:id="288"/>
      <w:bookmarkStart w:id="289" w:name="_Toc184313286"/>
      <w:bookmarkEnd w:id="289"/>
      <w:bookmarkStart w:id="290" w:name="_Toc184313253"/>
      <w:bookmarkEnd w:id="290"/>
      <w:bookmarkStart w:id="291" w:name="_Toc184308053"/>
      <w:bookmarkEnd w:id="291"/>
      <w:bookmarkStart w:id="292" w:name="_Toc184312138"/>
      <w:bookmarkEnd w:id="292"/>
      <w:bookmarkStart w:id="293" w:name="_Toc184314456"/>
      <w:bookmarkEnd w:id="293"/>
      <w:bookmarkStart w:id="294" w:name="_Toc184312100"/>
      <w:bookmarkEnd w:id="294"/>
      <w:bookmarkStart w:id="295" w:name="_Toc184314449"/>
      <w:bookmarkEnd w:id="295"/>
      <w:bookmarkStart w:id="296" w:name="_Toc184308052"/>
      <w:bookmarkEnd w:id="296"/>
      <w:bookmarkStart w:id="297" w:name="_Toc184312123"/>
      <w:bookmarkEnd w:id="297"/>
      <w:bookmarkStart w:id="298" w:name="_Toc184312135"/>
      <w:bookmarkEnd w:id="298"/>
      <w:bookmarkStart w:id="299" w:name="_Toc184310284"/>
      <w:bookmarkEnd w:id="299"/>
      <w:bookmarkStart w:id="300" w:name="_Toc184310294"/>
      <w:bookmarkEnd w:id="300"/>
      <w:bookmarkStart w:id="301" w:name="_Toc184312122"/>
      <w:bookmarkEnd w:id="301"/>
      <w:bookmarkStart w:id="302" w:name="_Toc184310341"/>
      <w:bookmarkEnd w:id="302"/>
      <w:bookmarkStart w:id="303" w:name="_Toc184313309"/>
      <w:bookmarkEnd w:id="303"/>
      <w:bookmarkStart w:id="304" w:name="_Toc184314469"/>
      <w:bookmarkEnd w:id="304"/>
      <w:bookmarkStart w:id="305" w:name="_Toc184312093"/>
      <w:bookmarkEnd w:id="305"/>
      <w:bookmarkStart w:id="306" w:name="_Toc184310339"/>
      <w:bookmarkEnd w:id="306"/>
      <w:bookmarkStart w:id="307" w:name="_Toc184308099"/>
      <w:bookmarkEnd w:id="307"/>
      <w:bookmarkStart w:id="308" w:name="_Toc184308090"/>
      <w:bookmarkEnd w:id="308"/>
      <w:bookmarkStart w:id="309" w:name="_Toc184313297"/>
      <w:bookmarkEnd w:id="309"/>
      <w:bookmarkStart w:id="310" w:name="_Toc184313301"/>
      <w:bookmarkEnd w:id="310"/>
      <w:bookmarkStart w:id="311" w:name="_Toc184314448"/>
      <w:bookmarkEnd w:id="311"/>
      <w:bookmarkStart w:id="312" w:name="_Toc184312125"/>
      <w:bookmarkEnd w:id="312"/>
      <w:bookmarkStart w:id="313" w:name="_Toc184312128"/>
      <w:bookmarkEnd w:id="313"/>
      <w:bookmarkStart w:id="314" w:name="_Toc184313243"/>
      <w:bookmarkEnd w:id="314"/>
      <w:bookmarkStart w:id="315" w:name="_Toc184312075"/>
      <w:bookmarkEnd w:id="315"/>
      <w:bookmarkStart w:id="316" w:name="_Toc184314422"/>
      <w:bookmarkEnd w:id="316"/>
      <w:bookmarkStart w:id="317" w:name="_Toc184308050"/>
      <w:bookmarkEnd w:id="317"/>
      <w:bookmarkStart w:id="318" w:name="_Toc184310276"/>
      <w:bookmarkEnd w:id="318"/>
      <w:bookmarkStart w:id="319" w:name="_Toc184312119"/>
      <w:bookmarkEnd w:id="319"/>
      <w:bookmarkStart w:id="320" w:name="_Toc184308106"/>
      <w:bookmarkEnd w:id="320"/>
      <w:bookmarkStart w:id="321" w:name="_Toc184308080"/>
      <w:bookmarkEnd w:id="321"/>
      <w:bookmarkStart w:id="322" w:name="_Toc184314416"/>
      <w:bookmarkEnd w:id="322"/>
      <w:bookmarkStart w:id="323" w:name="_Toc184308063"/>
      <w:bookmarkEnd w:id="323"/>
      <w:bookmarkStart w:id="324" w:name="_Toc184308083"/>
      <w:bookmarkEnd w:id="324"/>
      <w:bookmarkStart w:id="325" w:name="_Toc184313266"/>
      <w:bookmarkEnd w:id="325"/>
      <w:bookmarkStart w:id="326" w:name="_Toc184313248"/>
      <w:bookmarkEnd w:id="326"/>
      <w:bookmarkStart w:id="327" w:name="_Toc184314444"/>
      <w:bookmarkEnd w:id="327"/>
      <w:bookmarkStart w:id="328" w:name="_Toc184308044"/>
      <w:bookmarkEnd w:id="328"/>
      <w:bookmarkStart w:id="329" w:name="_Toc184308049"/>
      <w:bookmarkEnd w:id="329"/>
      <w:bookmarkStart w:id="330" w:name="_Toc184308073"/>
      <w:bookmarkEnd w:id="330"/>
      <w:bookmarkStart w:id="331" w:name="_Toc184310340"/>
      <w:bookmarkEnd w:id="331"/>
      <w:bookmarkStart w:id="332" w:name="_Toc184310323"/>
      <w:bookmarkEnd w:id="332"/>
      <w:bookmarkStart w:id="333" w:name="_Toc184310344"/>
      <w:bookmarkEnd w:id="333"/>
      <w:bookmarkStart w:id="334" w:name="_Toc184312076"/>
      <w:bookmarkEnd w:id="334"/>
      <w:bookmarkStart w:id="335" w:name="_Toc184313265"/>
      <w:bookmarkEnd w:id="335"/>
      <w:bookmarkStart w:id="336" w:name="_Toc184308092"/>
      <w:bookmarkEnd w:id="336"/>
      <w:bookmarkStart w:id="337" w:name="_Toc184313261"/>
      <w:bookmarkEnd w:id="337"/>
      <w:bookmarkStart w:id="338" w:name="_Toc184314481"/>
      <w:bookmarkEnd w:id="338"/>
      <w:bookmarkStart w:id="339" w:name="_Toc184310304"/>
      <w:bookmarkEnd w:id="339"/>
      <w:bookmarkStart w:id="340" w:name="_Toc184313310"/>
      <w:bookmarkEnd w:id="340"/>
      <w:bookmarkStart w:id="341" w:name="_Toc184314480"/>
      <w:bookmarkEnd w:id="341"/>
      <w:bookmarkStart w:id="342" w:name="_Toc184314437"/>
      <w:bookmarkEnd w:id="342"/>
      <w:bookmarkStart w:id="343" w:name="_Toc184313247"/>
      <w:bookmarkEnd w:id="343"/>
      <w:bookmarkStart w:id="344" w:name="_Toc184314464"/>
      <w:bookmarkEnd w:id="344"/>
      <w:bookmarkStart w:id="345" w:name="_Toc184310279"/>
      <w:bookmarkEnd w:id="345"/>
      <w:bookmarkStart w:id="346" w:name="_Toc184312110"/>
      <w:bookmarkEnd w:id="346"/>
      <w:bookmarkStart w:id="347" w:name="_Toc184312071"/>
      <w:bookmarkEnd w:id="347"/>
      <w:bookmarkStart w:id="348" w:name="_Toc184314476"/>
      <w:bookmarkEnd w:id="348"/>
      <w:bookmarkStart w:id="349" w:name="_Toc184314423"/>
      <w:bookmarkEnd w:id="349"/>
      <w:bookmarkStart w:id="350" w:name="_Toc184310330"/>
      <w:bookmarkEnd w:id="350"/>
      <w:bookmarkStart w:id="351" w:name="_Toc184313256"/>
      <w:bookmarkEnd w:id="351"/>
      <w:bookmarkStart w:id="352" w:name="_Toc184310305"/>
      <w:bookmarkEnd w:id="352"/>
      <w:bookmarkStart w:id="353" w:name="_Toc184312132"/>
      <w:bookmarkEnd w:id="353"/>
      <w:bookmarkStart w:id="354" w:name="_Toc184310319"/>
      <w:bookmarkEnd w:id="354"/>
      <w:bookmarkStart w:id="355" w:name="_Toc184308087"/>
      <w:bookmarkEnd w:id="355"/>
      <w:bookmarkStart w:id="356" w:name="_Toc184310277"/>
      <w:bookmarkEnd w:id="356"/>
      <w:bookmarkStart w:id="357" w:name="_Toc184313276"/>
      <w:bookmarkEnd w:id="357"/>
      <w:bookmarkStart w:id="358" w:name="_Toc184310313"/>
      <w:bookmarkEnd w:id="358"/>
      <w:bookmarkStart w:id="359" w:name="_Toc184313282"/>
      <w:bookmarkEnd w:id="359"/>
      <w:bookmarkStart w:id="360" w:name="_Toc184312091"/>
      <w:bookmarkEnd w:id="360"/>
      <w:bookmarkStart w:id="361" w:name="_Toc184312082"/>
      <w:bookmarkEnd w:id="361"/>
      <w:bookmarkStart w:id="362" w:name="_Toc184313289"/>
      <w:bookmarkEnd w:id="362"/>
      <w:bookmarkStart w:id="363" w:name="_Toc184313251"/>
      <w:bookmarkEnd w:id="363"/>
      <w:bookmarkStart w:id="364" w:name="_Toc184308084"/>
      <w:bookmarkEnd w:id="364"/>
      <w:bookmarkStart w:id="365" w:name="_Toc184314427"/>
      <w:bookmarkEnd w:id="365"/>
      <w:bookmarkStart w:id="366" w:name="_Toc184314434"/>
      <w:bookmarkEnd w:id="366"/>
      <w:bookmarkStart w:id="367" w:name="_Toc184314468"/>
      <w:bookmarkEnd w:id="367"/>
      <w:bookmarkStart w:id="368" w:name="_Toc184310310"/>
      <w:bookmarkEnd w:id="368"/>
      <w:bookmarkStart w:id="369" w:name="_Toc184313245"/>
      <w:bookmarkEnd w:id="369"/>
      <w:bookmarkStart w:id="370" w:name="_Toc184312129"/>
      <w:bookmarkEnd w:id="370"/>
      <w:bookmarkStart w:id="371" w:name="_Toc184308046"/>
      <w:bookmarkEnd w:id="371"/>
      <w:bookmarkStart w:id="372" w:name="_Toc184308085"/>
      <w:bookmarkEnd w:id="372"/>
      <w:bookmarkStart w:id="373" w:name="_Toc184308102"/>
      <w:bookmarkEnd w:id="373"/>
      <w:bookmarkStart w:id="374" w:name="_Toc184312111"/>
      <w:bookmarkEnd w:id="374"/>
      <w:bookmarkStart w:id="375" w:name="_Toc184308062"/>
      <w:bookmarkEnd w:id="375"/>
      <w:bookmarkStart w:id="376" w:name="_Toc184313242"/>
      <w:bookmarkEnd w:id="376"/>
      <w:bookmarkStart w:id="377" w:name="_Toc184313254"/>
      <w:bookmarkEnd w:id="377"/>
      <w:bookmarkStart w:id="378" w:name="_Toc184313244"/>
      <w:bookmarkEnd w:id="378"/>
      <w:bookmarkStart w:id="379" w:name="_Toc184312079"/>
      <w:bookmarkEnd w:id="379"/>
      <w:bookmarkStart w:id="380" w:name="_Toc184313280"/>
      <w:bookmarkEnd w:id="380"/>
      <w:bookmarkStart w:id="381" w:name="_Toc184308039"/>
      <w:bookmarkEnd w:id="381"/>
      <w:bookmarkStart w:id="382" w:name="_Toc184312097"/>
      <w:bookmarkEnd w:id="382"/>
      <w:bookmarkStart w:id="383" w:name="_Toc184308037"/>
      <w:bookmarkEnd w:id="383"/>
      <w:bookmarkStart w:id="384" w:name="_Toc184313241"/>
      <w:bookmarkEnd w:id="384"/>
      <w:bookmarkStart w:id="385" w:name="_Toc184312070"/>
      <w:bookmarkEnd w:id="385"/>
      <w:bookmarkStart w:id="386" w:name="_Toc184314451"/>
      <w:bookmarkEnd w:id="386"/>
      <w:bookmarkStart w:id="387" w:name="_Toc184310273"/>
      <w:bookmarkEnd w:id="387"/>
      <w:bookmarkStart w:id="388" w:name="_Toc184314412"/>
      <w:bookmarkEnd w:id="388"/>
      <w:bookmarkStart w:id="389" w:name="_Toc184308098"/>
      <w:bookmarkEnd w:id="389"/>
      <w:bookmarkStart w:id="390" w:name="_Toc184310318"/>
      <w:bookmarkEnd w:id="390"/>
      <w:bookmarkStart w:id="391" w:name="_Toc184313299"/>
      <w:bookmarkEnd w:id="391"/>
      <w:bookmarkStart w:id="392" w:name="_Toc184314478"/>
      <w:bookmarkEnd w:id="392"/>
      <w:bookmarkStart w:id="393" w:name="_Toc184313273"/>
      <w:bookmarkEnd w:id="393"/>
      <w:bookmarkStart w:id="394" w:name="_Toc184312087"/>
      <w:bookmarkEnd w:id="394"/>
      <w:bookmarkStart w:id="395" w:name="_Toc184314420"/>
      <w:bookmarkEnd w:id="395"/>
      <w:bookmarkStart w:id="396" w:name="_Toc184313303"/>
      <w:bookmarkEnd w:id="396"/>
      <w:bookmarkStart w:id="397" w:name="_Toc184310335"/>
      <w:bookmarkEnd w:id="397"/>
      <w:r>
        <w:rPr>
          <w:rFonts w:hint="eastAsia" w:ascii="仿宋" w:hAnsi="仿宋" w:eastAsia="仿宋" w:cs="仿宋_GB2312"/>
          <w:b/>
          <w:sz w:val="36"/>
          <w:szCs w:val="36"/>
        </w:rPr>
        <w:t>评标办法</w:t>
      </w:r>
    </w:p>
    <w:p>
      <w:pPr>
        <w:snapToGrid w:val="0"/>
        <w:spacing w:line="360" w:lineRule="auto"/>
        <w:jc w:val="cente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53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5664"/>
        <w:gridCol w:w="7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序号</w:t>
            </w:r>
          </w:p>
        </w:tc>
        <w:tc>
          <w:tcPr>
            <w:tcW w:w="3124" w:type="pct"/>
            <w:vAlign w:val="center"/>
          </w:tcPr>
          <w:p>
            <w:pPr>
              <w:spacing w:before="100" w:beforeAutospacing="1" w:line="420" w:lineRule="exact"/>
              <w:jc w:val="center"/>
              <w:rPr>
                <w:rFonts w:ascii="仿宋_GB2312" w:hAnsi="仿宋" w:eastAsia="仿宋_GB2312"/>
                <w:kern w:val="0"/>
                <w:sz w:val="24"/>
              </w:rPr>
            </w:pPr>
            <w:r>
              <w:rPr>
                <w:rFonts w:hint="eastAsia" w:ascii="仿宋_GB2312" w:hAnsi="仿宋" w:eastAsia="仿宋_GB2312"/>
                <w:kern w:val="0"/>
                <w:sz w:val="24"/>
              </w:rPr>
              <w:t>评标标准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权重</w:t>
            </w:r>
          </w:p>
        </w:tc>
        <w:tc>
          <w:tcPr>
            <w:tcW w:w="107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w:t>
            </w:r>
          </w:p>
        </w:tc>
        <w:tc>
          <w:tcPr>
            <w:tcW w:w="3124" w:type="pct"/>
            <w:vAlign w:val="center"/>
          </w:tcPr>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1、投标人具有CMMI3及以上认证得2分；</w:t>
            </w:r>
          </w:p>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2、投标人具有有效期内的ISO9001质量管理体系、ISO27001信息安全体系、ISO20000信息技术服务管理体系每提供一个得1分，最高3分；</w:t>
            </w:r>
          </w:p>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w:t>
            </w:r>
            <w:r>
              <w:rPr>
                <w:rFonts w:hint="eastAsia" w:ascii="仿宋_GB2312" w:hAnsi="仿宋" w:eastAsia="仿宋_GB2312"/>
                <w:kern w:val="0"/>
                <w:sz w:val="24"/>
              </w:rPr>
              <w:t>须</w:t>
            </w:r>
            <w:r>
              <w:rPr>
                <w:rFonts w:hint="eastAsia" w:ascii="仿宋_GB2312" w:hAnsi="仿宋" w:eastAsia="仿宋_GB2312"/>
                <w:kern w:val="0"/>
                <w:sz w:val="24"/>
                <w:lang w:val="zh-CN"/>
              </w:rPr>
              <w:t>提供相关有效资质证书复印件并加盖公章作为证明材料）</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5</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w:t>
            </w:r>
          </w:p>
        </w:tc>
        <w:tc>
          <w:tcPr>
            <w:tcW w:w="3124" w:type="pct"/>
            <w:vAlign w:val="center"/>
          </w:tcPr>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投标人2019年1月1日以来（以合同签订时间为准）承接过类似</w:t>
            </w:r>
            <w:r>
              <w:rPr>
                <w:rFonts w:hint="eastAsia" w:ascii="仿宋_GB2312" w:hAnsi="仿宋" w:eastAsia="仿宋_GB2312"/>
                <w:kern w:val="0"/>
                <w:sz w:val="24"/>
              </w:rPr>
              <w:t>项目</w:t>
            </w:r>
            <w:r>
              <w:rPr>
                <w:rFonts w:hint="eastAsia" w:ascii="仿宋_GB2312" w:hAnsi="仿宋" w:eastAsia="仿宋_GB2312"/>
                <w:kern w:val="0"/>
                <w:sz w:val="24"/>
                <w:lang w:val="zh-CN"/>
              </w:rPr>
              <w:t>业绩的，每个业绩为</w:t>
            </w:r>
            <w:r>
              <w:rPr>
                <w:rFonts w:hint="eastAsia" w:ascii="仿宋_GB2312" w:hAnsi="仿宋" w:eastAsia="仿宋_GB2312"/>
                <w:kern w:val="0"/>
                <w:sz w:val="24"/>
              </w:rPr>
              <w:t>1</w:t>
            </w:r>
            <w:r>
              <w:rPr>
                <w:rFonts w:hint="eastAsia" w:ascii="仿宋_GB2312" w:hAnsi="仿宋" w:eastAsia="仿宋_GB2312"/>
                <w:kern w:val="0"/>
                <w:sz w:val="24"/>
                <w:lang w:val="zh-CN"/>
              </w:rPr>
              <w:t>分，最高3分。（</w:t>
            </w:r>
            <w:r>
              <w:rPr>
                <w:rFonts w:hint="eastAsia" w:ascii="仿宋_GB2312" w:hAnsi="仿宋" w:eastAsia="仿宋_GB2312"/>
                <w:kern w:val="0"/>
                <w:sz w:val="24"/>
              </w:rPr>
              <w:t>须提供合同扫描件，未提供者不得分）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w:t>
            </w:r>
          </w:p>
        </w:tc>
        <w:tc>
          <w:tcPr>
            <w:tcW w:w="3124" w:type="pct"/>
            <w:vAlign w:val="center"/>
          </w:tcPr>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投标人提供系统的需求分析：</w:t>
            </w:r>
          </w:p>
          <w:p>
            <w:pPr>
              <w:numPr>
                <w:ilvl w:val="0"/>
                <w:numId w:val="1"/>
              </w:num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系统功能需求</w:t>
            </w:r>
            <w:r>
              <w:rPr>
                <w:rFonts w:hint="eastAsia" w:ascii="仿宋_GB2312" w:hAnsi="仿宋" w:eastAsia="仿宋_GB2312"/>
                <w:kern w:val="0"/>
                <w:sz w:val="24"/>
              </w:rPr>
              <w:t>分析准确合理的得2分，需求分析不完全，欠合理的得1分，未提供分析内容或内容与项目无关的不得分</w:t>
            </w:r>
            <w:r>
              <w:rPr>
                <w:rFonts w:hint="eastAsia" w:ascii="仿宋_GB2312" w:hAnsi="仿宋" w:eastAsia="仿宋_GB2312"/>
                <w:kern w:val="0"/>
                <w:sz w:val="24"/>
                <w:lang w:val="zh-CN"/>
              </w:rPr>
              <w:t>；</w:t>
            </w:r>
          </w:p>
          <w:p>
            <w:pPr>
              <w:numPr>
                <w:ilvl w:val="0"/>
                <w:numId w:val="1"/>
              </w:num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性能要求</w:t>
            </w:r>
            <w:r>
              <w:rPr>
                <w:rFonts w:hint="eastAsia" w:ascii="仿宋_GB2312" w:hAnsi="仿宋" w:eastAsia="仿宋_GB2312"/>
                <w:kern w:val="0"/>
                <w:sz w:val="24"/>
              </w:rPr>
              <w:t>分析准确合理的得2分，需求分析不完全，欠合理的得1分，未提供分析内容或内容与项目无关的不得分</w:t>
            </w:r>
            <w:r>
              <w:rPr>
                <w:rFonts w:hint="eastAsia" w:ascii="仿宋_GB2312" w:hAnsi="仿宋" w:eastAsia="仿宋_GB2312"/>
                <w:kern w:val="0"/>
                <w:sz w:val="24"/>
                <w:lang w:val="zh-CN"/>
              </w:rPr>
              <w:t>；</w:t>
            </w:r>
          </w:p>
          <w:p>
            <w:pPr>
              <w:numPr>
                <w:ilvl w:val="0"/>
                <w:numId w:val="1"/>
              </w:num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现状分析及存在的问题</w:t>
            </w:r>
            <w:r>
              <w:rPr>
                <w:rFonts w:hint="eastAsia" w:ascii="仿宋_GB2312" w:hAnsi="仿宋" w:eastAsia="仿宋_GB2312"/>
                <w:kern w:val="0"/>
                <w:sz w:val="24"/>
              </w:rPr>
              <w:t>分析准确合理的得2分，需求分析不完全，欠合理的得1分，未提供分析内容或内容与项目无关的不得分</w:t>
            </w:r>
            <w:r>
              <w:rPr>
                <w:rFonts w:hint="eastAsia" w:ascii="仿宋_GB2312" w:hAnsi="仿宋" w:eastAsia="仿宋_GB2312"/>
                <w:kern w:val="0"/>
                <w:sz w:val="24"/>
                <w:lang w:val="zh-CN"/>
              </w:rPr>
              <w:t>；</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6</w:t>
            </w:r>
          </w:p>
        </w:tc>
        <w:tc>
          <w:tcPr>
            <w:tcW w:w="1073" w:type="pct"/>
            <w:vAlign w:val="center"/>
          </w:tcPr>
          <w:p>
            <w:pPr>
              <w:spacing w:before="100" w:beforeAutospacing="1" w:line="420" w:lineRule="exact"/>
              <w:rPr>
                <w:rFonts w:ascii="仿宋_GB2312" w:hAnsi="仿宋"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4</w:t>
            </w:r>
          </w:p>
        </w:tc>
        <w:tc>
          <w:tcPr>
            <w:tcW w:w="3124" w:type="pct"/>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投标供应商能够根据系统要求：</w:t>
            </w:r>
          </w:p>
          <w:p>
            <w:pPr>
              <w:numPr>
                <w:ilvl w:val="0"/>
                <w:numId w:val="2"/>
              </w:numPr>
              <w:snapToGrid w:val="0"/>
              <w:spacing w:line="360" w:lineRule="auto"/>
              <w:rPr>
                <w:rFonts w:ascii="仿宋_GB2312" w:hAnsi="仿宋" w:eastAsia="仿宋_GB2312"/>
                <w:kern w:val="0"/>
                <w:sz w:val="24"/>
              </w:rPr>
            </w:pPr>
            <w:r>
              <w:rPr>
                <w:rFonts w:hint="eastAsia" w:ascii="仿宋_GB2312" w:hAnsi="仿宋" w:eastAsia="仿宋_GB2312"/>
                <w:kern w:val="0"/>
                <w:sz w:val="24"/>
              </w:rPr>
              <w:t>提供的技术架构图完整且合理的得2分，提供的技术架构图有缺漏但不影响使用的得1分，未提供技术架构图的或架构图与项目不符的不得分；</w:t>
            </w:r>
          </w:p>
          <w:p>
            <w:pPr>
              <w:numPr>
                <w:ilvl w:val="0"/>
                <w:numId w:val="2"/>
              </w:numPr>
              <w:snapToGrid w:val="0"/>
              <w:spacing w:line="360" w:lineRule="auto"/>
              <w:rPr>
                <w:rFonts w:ascii="仿宋_GB2312" w:hAnsi="仿宋" w:eastAsia="仿宋_GB2312"/>
                <w:kern w:val="0"/>
                <w:sz w:val="24"/>
              </w:rPr>
            </w:pPr>
            <w:r>
              <w:rPr>
                <w:rFonts w:hint="eastAsia" w:ascii="仿宋_GB2312" w:hAnsi="仿宋" w:eastAsia="仿宋_GB2312"/>
                <w:kern w:val="0"/>
                <w:sz w:val="24"/>
              </w:rPr>
              <w:t>提供的网络架构图完整且合理的得2分，提供的网络架构图有缺漏但不影响使用的得1分，未提供网络架构图的或架构图与项目不符的不得分；</w:t>
            </w:r>
          </w:p>
          <w:p>
            <w:pPr>
              <w:numPr>
                <w:ilvl w:val="0"/>
                <w:numId w:val="2"/>
              </w:numPr>
              <w:snapToGrid w:val="0"/>
              <w:spacing w:line="360" w:lineRule="auto"/>
              <w:rPr>
                <w:rFonts w:ascii="仿宋_GB2312" w:hAnsi="仿宋" w:eastAsia="仿宋_GB2312"/>
                <w:kern w:val="0"/>
                <w:sz w:val="24"/>
              </w:rPr>
            </w:pPr>
            <w:r>
              <w:rPr>
                <w:rFonts w:hint="eastAsia" w:ascii="仿宋_GB2312" w:hAnsi="仿宋" w:eastAsia="仿宋_GB2312"/>
                <w:kern w:val="0"/>
                <w:sz w:val="24"/>
              </w:rPr>
              <w:t>提供关键技术选型完整且合理的得2分，提供的关键技术选型有缺漏但不影响使用的得1分，未提供关键技术选型的或关键技术选型与项目不符的不得分；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6</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5</w:t>
            </w:r>
          </w:p>
        </w:tc>
        <w:tc>
          <w:tcPr>
            <w:tcW w:w="3124"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投标人根据对本项目的理解，对PC端桌面程序+PAD端桌面程序包括:</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1.PC端桌面程序-登录；</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2.PC端桌面程序-会议列表、</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3.PC端桌面程序-会议详情、</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4.PC端桌面程序-创建共享、</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5.PAD端桌面程序-会议列表、</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6.PAD端桌面程序-会议详情建设</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分别根据以上建设内容提供合理的方案，每个建设内容方案合理、符合性性高的得2分，建设内容方案有缺漏的得1分，没有提供建设方案或者方案不符合要求的不得分，本项共12分。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12</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6</w:t>
            </w:r>
          </w:p>
        </w:tc>
        <w:tc>
          <w:tcPr>
            <w:tcW w:w="3124"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1、拟派项目经理具有PMP证书的，得2分；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2、项目组成员具有信息系统项目管理师（高级）、OCP数据库工程师、高级工程师等，每个得1分，最多得3分。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（同一位项目组成员有多本证的只计一本，提供上述人员的证书复印件以及近3个月缴纳的社保费证明材料）</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5</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7</w:t>
            </w:r>
          </w:p>
        </w:tc>
        <w:tc>
          <w:tcPr>
            <w:tcW w:w="3124"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演示业务系统（PC端）：</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（1）提供PC端登录业务系统演示，1分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（2）提供PC端会议列表完整业务模块演示：列表数据，1分，切换会议，1分；本项最高2分；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（3）提供PC端会议详情完整业务模块演示：</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查看人员数据，1分；查看大表，1分；考核材料，1分；发起共享，1分；结束共享，1分；搜索，1分；展示状态，1分；本项最高7分；</w:t>
            </w:r>
          </w:p>
          <w:p>
            <w:pPr>
              <w:numPr>
                <w:ilvl w:val="0"/>
                <w:numId w:val="3"/>
              </w:num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提供PC端创建共享完整业务模块演示：</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实现管理共享，1分；局域网内共享数据，1分；单个新增人员，1分；删除人员，1分；批量新增人员，1分；批量上传大表及考核材料，1分；通过文件名中的人员姓名去匹配人员，1分；本项最高7分；</w:t>
            </w:r>
          </w:p>
          <w:p>
            <w:pPr>
              <w:numPr>
                <w:ilvl w:val="0"/>
                <w:numId w:val="3"/>
              </w:num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提供PAD端会议列表完整业务模块演示：列表数据，1分；数据自动同步，1分；查看，1分；本项最高3分；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（6）提供PAD端会议详情完整业务模块演示：人员数据，1分；查看大表，1分；考核材料，1分；搜索，1分；本项最高4分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注：投标人提供功能演示，根据演示情况打分，演示均以真实系统或者DEMO形式演示。演示时长不得超过15分钟。演示视频需密封送达，评标阶段拆封演示，因响应方自身原因导致无法演示或者演示效果不理想的，责任自负。</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24</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8</w:t>
            </w:r>
          </w:p>
        </w:tc>
        <w:tc>
          <w:tcPr>
            <w:tcW w:w="3124"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1.质量保证期内提供上门维护、升级服务的得1分；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2.提供7×24小时标准电话技术支持服务的得1分；</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3.若系统发生一般故障，2小时内修复问题。若系统发生严重故障，4小时之内修复问题的得1分；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9</w:t>
            </w:r>
          </w:p>
        </w:tc>
        <w:tc>
          <w:tcPr>
            <w:tcW w:w="3124"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投标人提供的售后服务方案及售后服务承诺合理、完整、可行的得3分，方案不完整的得1分，未提供方案或方案不合理的不得分；</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10</w:t>
            </w:r>
          </w:p>
        </w:tc>
        <w:tc>
          <w:tcPr>
            <w:tcW w:w="3124" w:type="pct"/>
            <w:vAlign w:val="center"/>
          </w:tcPr>
          <w:p>
            <w:pPr>
              <w:spacing w:before="100" w:beforeAutospacing="1" w:line="420" w:lineRule="exact"/>
              <w:rPr>
                <w:rFonts w:ascii="仿宋_GB2312" w:hAnsi="仿宋" w:eastAsia="仿宋_GB2312"/>
                <w:kern w:val="0"/>
                <w:sz w:val="24"/>
              </w:rPr>
            </w:pPr>
            <w:bookmarkStart w:id="502" w:name="_GoBack"/>
            <w:r>
              <w:rPr>
                <w:rFonts w:hint="eastAsia" w:ascii="仿宋_GB2312" w:hAnsi="仿宋" w:eastAsia="仿宋_GB2312"/>
                <w:kern w:val="0"/>
                <w:sz w:val="24"/>
              </w:rPr>
              <w:t>投标人提供的功能测试、试运行及验收方案的合理、可行的得3分，方案不完整的得1分，未提供方案或方案不合理的不得分；</w:t>
            </w:r>
            <w:bookmarkEnd w:id="502"/>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w:t>
            </w:r>
          </w:p>
        </w:tc>
        <w:tc>
          <w:tcPr>
            <w:tcW w:w="1073" w:type="pct"/>
            <w:vAlign w:val="center"/>
          </w:tcPr>
          <w:p>
            <w:pPr>
              <w:spacing w:before="100" w:beforeAutospacing="1" w:line="420" w:lineRule="exact"/>
              <w:rPr>
                <w:rFonts w:ascii="仿宋_GB2312" w:hAnsi="仿宋" w:eastAsia="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68"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11</w:t>
            </w:r>
          </w:p>
        </w:tc>
        <w:tc>
          <w:tcPr>
            <w:tcW w:w="3124" w:type="pct"/>
          </w:tcPr>
          <w:p>
            <w:pPr>
              <w:spacing w:before="100" w:beforeAutospacing="1" w:line="420" w:lineRule="exact"/>
              <w:rPr>
                <w:rFonts w:ascii="仿宋_GB2312" w:hAnsi="仿宋" w:eastAsia="仿宋_GB2312"/>
                <w:kern w:val="0"/>
                <w:sz w:val="24"/>
                <w:lang w:val="zh-CN"/>
              </w:rPr>
            </w:pPr>
            <w:r>
              <w:rPr>
                <w:rFonts w:hint="eastAsia" w:ascii="仿宋_GB2312" w:hAnsi="仿宋" w:eastAsia="仿宋_GB2312"/>
                <w:kern w:val="0"/>
                <w:sz w:val="24"/>
                <w:lang w:val="zh-CN"/>
              </w:rPr>
              <w:t>有效投标报价的最低价作为评标基准价，其最低报价为满分；按［投标报价得分=（评标基准价/投标报价）*</w:t>
            </w:r>
            <w:r>
              <w:rPr>
                <w:rFonts w:hint="eastAsia" w:ascii="仿宋_GB2312" w:hAnsi="仿宋" w:eastAsia="仿宋_GB2312"/>
                <w:kern w:val="0"/>
                <w:sz w:val="24"/>
              </w:rPr>
              <w:t>3</w:t>
            </w:r>
            <w:r>
              <w:rPr>
                <w:rFonts w:hint="eastAsia" w:ascii="仿宋_GB2312" w:hAnsi="仿宋" w:eastAsia="仿宋_GB2312"/>
                <w:kern w:val="0"/>
                <w:sz w:val="24"/>
                <w:lang w:val="zh-CN"/>
              </w:rPr>
              <w:t>0］的计算公式计算。</w:t>
            </w:r>
          </w:p>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lang w:val="zh-CN"/>
              </w:rPr>
              <w:t>评标过程中，不得去掉报价中的最高报价和最低报价。因落实政府采购政策需要进行价格调整的，以调整后的价格计算评标基准价和投标报价。</w:t>
            </w:r>
          </w:p>
        </w:tc>
        <w:tc>
          <w:tcPr>
            <w:tcW w:w="43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30分</w:t>
            </w:r>
          </w:p>
        </w:tc>
        <w:tc>
          <w:tcPr>
            <w:tcW w:w="1073" w:type="pct"/>
            <w:vAlign w:val="center"/>
          </w:tcPr>
          <w:p>
            <w:pPr>
              <w:spacing w:before="100" w:beforeAutospacing="1" w:line="420" w:lineRule="exact"/>
              <w:rPr>
                <w:rFonts w:ascii="仿宋_GB2312" w:hAnsi="仿宋" w:eastAsia="仿宋_GB2312"/>
                <w:kern w:val="0"/>
                <w:sz w:val="24"/>
              </w:rPr>
            </w:pPr>
            <w:r>
              <w:rPr>
                <w:rFonts w:hint="eastAsia" w:ascii="仿宋_GB2312" w:hAnsi="仿宋" w:eastAsia="仿宋_GB2312"/>
                <w:kern w:val="0"/>
                <w:sz w:val="24"/>
              </w:rPr>
              <w:t>报价</w:t>
            </w:r>
          </w:p>
        </w:tc>
      </w:tr>
    </w:tbl>
    <w:p>
      <w:pPr>
        <w:snapToGrid w:val="0"/>
        <w:spacing w:line="360" w:lineRule="auto"/>
        <w:rPr>
          <w:rFonts w:ascii="仿宋" w:hAnsi="仿宋" w:eastAsia="仿宋" w:cs="仿宋_GB2312"/>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w:t>
      </w:r>
    </w:p>
    <w:p>
      <w:pPr>
        <w:snapToGrid w:val="0"/>
        <w:spacing w:line="360" w:lineRule="auto"/>
        <w:rPr>
          <w:rFonts w:ascii="仿宋" w:hAnsi="仿宋" w:eastAsia="仿宋" w:cs="仿宋_GB2312"/>
          <w:sz w:val="24"/>
        </w:rPr>
      </w:pPr>
      <w:r>
        <w:rPr>
          <w:rFonts w:hint="eastAsia" w:ascii="仿宋" w:hAnsi="仿宋" w:eastAsia="仿宋" w:cs="仿宋_GB2312"/>
          <w:sz w:val="24"/>
        </w:rPr>
        <w:t>内容）提供</w:t>
      </w:r>
    </w:p>
    <w:p>
      <w:pPr>
        <w:snapToGrid w:val="0"/>
        <w:spacing w:line="360" w:lineRule="auto"/>
        <w:rPr>
          <w:rFonts w:ascii="仿宋" w:hAnsi="仿宋" w:eastAsia="仿宋" w:cs="仿宋_GB2312"/>
          <w:b/>
          <w:sz w:val="24"/>
        </w:rPr>
      </w:pPr>
      <w:r>
        <w:rPr>
          <w:rFonts w:hint="eastAsia" w:ascii="仿宋" w:hAnsi="仿宋" w:eastAsia="仿宋" w:cs="仿宋_GB2312"/>
          <w:sz w:val="24"/>
        </w:rPr>
        <w:t>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1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1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1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1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16"/>
        <w:snapToGrid w:val="0"/>
        <w:spacing w:line="360" w:lineRule="auto"/>
        <w:ind w:firstLine="0" w:firstLineChars="0"/>
        <w:rPr>
          <w:rFonts w:ascii="仿宋_GB2312" w:hAnsi="仿宋" w:eastAsia="仿宋_GB2312" w:cs="仿宋_GB2312"/>
        </w:rPr>
      </w:pPr>
    </w:p>
    <w:bookmarkEnd w:id="25"/>
    <w:p>
      <w:pPr>
        <w:spacing w:line="360" w:lineRule="auto"/>
        <w:ind w:left="720" w:leftChars="343" w:firstLine="1084" w:firstLineChars="300"/>
        <w:outlineLvl w:val="0"/>
        <w:rPr>
          <w:rFonts w:ascii="仿宋_GB2312" w:hAnsi="仿宋" w:eastAsia="仿宋_GB2312" w:cs="仿宋_GB2312"/>
          <w:b/>
          <w:sz w:val="36"/>
          <w:szCs w:val="36"/>
        </w:rPr>
      </w:pPr>
      <w:bookmarkStart w:id="398" w:name="第五部分"/>
      <w:bookmarkStart w:id="399"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rPr>
          <w:rFonts w:ascii="仿宋_GB2312" w:hAnsi="仿宋" w:eastAsia="仿宋_GB2312" w:cs="仿宋_GB2312"/>
          <w:b/>
          <w:sz w:val="36"/>
          <w:szCs w:val="36"/>
        </w:rPr>
      </w:pPr>
      <w:r>
        <w:rPr>
          <w:rFonts w:hint="eastAsia"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699"/>
        <w:rPr>
          <w:rFonts w:ascii="仿宋" w:hAnsi="仿宋" w:eastAsia="仿宋"/>
          <w:szCs w:val="24"/>
        </w:rPr>
      </w:pPr>
    </w:p>
    <w:p>
      <w:pPr>
        <w:pStyle w:val="699"/>
        <w:rPr>
          <w:rFonts w:ascii="仿宋" w:hAnsi="仿宋" w:eastAsia="仿宋"/>
          <w:szCs w:val="24"/>
        </w:rPr>
      </w:pPr>
    </w:p>
    <w:p>
      <w:pPr>
        <w:pStyle w:val="699"/>
        <w:jc w:val="center"/>
        <w:rPr>
          <w:rFonts w:ascii="仿宋" w:hAnsi="仿宋" w:eastAsia="仿宋"/>
          <w:szCs w:val="24"/>
        </w:rPr>
      </w:pPr>
    </w:p>
    <w:p>
      <w:pPr>
        <w:pStyle w:val="699"/>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699"/>
        <w:rPr>
          <w:rFonts w:ascii="仿宋" w:hAnsi="仿宋" w:eastAsia="仿宋"/>
          <w:szCs w:val="24"/>
        </w:rPr>
      </w:pPr>
    </w:p>
    <w:p>
      <w:pPr>
        <w:pStyle w:val="699"/>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400" w:name="_Toc2232"/>
      <w:bookmarkStart w:id="401" w:name="_Toc24059"/>
      <w:bookmarkStart w:id="402" w:name="_Toc3029"/>
      <w:r>
        <w:rPr>
          <w:rFonts w:ascii="仿宋" w:hAnsi="仿宋" w:eastAsia="仿宋"/>
          <w:b/>
          <w:sz w:val="24"/>
        </w:rPr>
        <w:t xml:space="preserve">1.1 </w:t>
      </w:r>
      <w:r>
        <w:rPr>
          <w:rFonts w:hint="eastAsia" w:ascii="仿宋" w:hAnsi="仿宋" w:eastAsia="仿宋"/>
          <w:b/>
          <w:sz w:val="24"/>
        </w:rPr>
        <w:t>合同组成部分</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403" w:name="_Toc21295"/>
      <w:bookmarkStart w:id="404" w:name="_Toc24300"/>
      <w:bookmarkStart w:id="405" w:name="_Toc27126"/>
      <w:r>
        <w:rPr>
          <w:rFonts w:ascii="仿宋" w:hAnsi="仿宋" w:eastAsia="仿宋"/>
          <w:b/>
          <w:sz w:val="24"/>
        </w:rPr>
        <w:t xml:space="preserve">1.2 </w:t>
      </w:r>
      <w:r>
        <w:rPr>
          <w:rFonts w:hint="eastAsia" w:ascii="仿宋" w:hAnsi="仿宋" w:eastAsia="仿宋"/>
          <w:b/>
          <w:sz w:val="24"/>
        </w:rPr>
        <w:t>货物</w:t>
      </w:r>
      <w:bookmarkEnd w:id="403"/>
      <w:bookmarkEnd w:id="404"/>
      <w:bookmarkEnd w:id="405"/>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6" w:name="_Toc21631"/>
      <w:bookmarkStart w:id="407" w:name="_Toc23292"/>
      <w:bookmarkStart w:id="408" w:name="_Toc21551"/>
      <w:r>
        <w:rPr>
          <w:rFonts w:ascii="仿宋" w:hAnsi="仿宋" w:eastAsia="仿宋"/>
          <w:b/>
          <w:sz w:val="24"/>
        </w:rPr>
        <w:t xml:space="preserve">1.3 </w:t>
      </w:r>
      <w:r>
        <w:rPr>
          <w:rFonts w:hint="eastAsia" w:ascii="仿宋" w:hAnsi="仿宋" w:eastAsia="仿宋"/>
          <w:b/>
          <w:sz w:val="24"/>
        </w:rPr>
        <w:t>价款</w:t>
      </w:r>
      <w:bookmarkEnd w:id="406"/>
      <w:bookmarkEnd w:id="407"/>
      <w:bookmarkEnd w:id="408"/>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9" w:name="_Toc22618"/>
      <w:bookmarkStart w:id="410" w:name="_Toc1814"/>
      <w:bookmarkStart w:id="411" w:name="_Toc10340"/>
      <w:r>
        <w:rPr>
          <w:rFonts w:ascii="仿宋" w:hAnsi="仿宋" w:eastAsia="仿宋"/>
          <w:b/>
          <w:sz w:val="24"/>
        </w:rPr>
        <w:t xml:space="preserve">1.4 </w:t>
      </w:r>
      <w:r>
        <w:rPr>
          <w:rFonts w:hint="eastAsia" w:ascii="仿宋" w:hAnsi="仿宋" w:eastAsia="仿宋"/>
          <w:b/>
          <w:sz w:val="24"/>
        </w:rPr>
        <w:t>付款</w:t>
      </w:r>
      <w:bookmarkEnd w:id="409"/>
      <w:bookmarkEnd w:id="410"/>
      <w:bookmarkEnd w:id="411"/>
      <w:r>
        <w:rPr>
          <w:rFonts w:hint="eastAsia" w:ascii="仿宋" w:hAnsi="仿宋" w:eastAsia="仿宋"/>
          <w:b/>
          <w:sz w:val="24"/>
        </w:rPr>
        <w:t>方式、时间和条件</w:t>
      </w:r>
    </w:p>
    <w:p>
      <w:pPr>
        <w:pStyle w:val="958"/>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12" w:name="_Toc2846"/>
      <w:bookmarkStart w:id="413" w:name="_Toc19304"/>
      <w:bookmarkStart w:id="414" w:name="_Toc32071"/>
      <w:r>
        <w:rPr>
          <w:rFonts w:ascii="仿宋" w:hAnsi="仿宋" w:eastAsia="仿宋"/>
          <w:b/>
          <w:sz w:val="24"/>
        </w:rPr>
        <w:t xml:space="preserve">1.5 </w:t>
      </w:r>
      <w:r>
        <w:rPr>
          <w:rFonts w:hint="eastAsia" w:ascii="仿宋" w:hAnsi="仿宋" w:eastAsia="仿宋"/>
          <w:b/>
          <w:sz w:val="24"/>
        </w:rPr>
        <w:t>货物交付期限、地点和方式</w:t>
      </w:r>
      <w:bookmarkEnd w:id="412"/>
      <w:bookmarkEnd w:id="413"/>
      <w:bookmarkEnd w:id="414"/>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15" w:name="_Toc27250"/>
      <w:bookmarkStart w:id="416" w:name="_Toc21423"/>
      <w:bookmarkStart w:id="417" w:name="_Toc19554"/>
      <w:r>
        <w:rPr>
          <w:rFonts w:ascii="仿宋" w:hAnsi="仿宋" w:eastAsia="仿宋"/>
          <w:b/>
          <w:sz w:val="24"/>
        </w:rPr>
        <w:t xml:space="preserve">1.6 </w:t>
      </w:r>
      <w:r>
        <w:rPr>
          <w:rFonts w:hint="eastAsia" w:ascii="仿宋" w:hAnsi="仿宋" w:eastAsia="仿宋"/>
          <w:b/>
          <w:sz w:val="24"/>
        </w:rPr>
        <w:t>违约责任</w:t>
      </w:r>
      <w:bookmarkEnd w:id="415"/>
      <w:bookmarkEnd w:id="416"/>
      <w:bookmarkEnd w:id="417"/>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8" w:name="_Toc16021"/>
      <w:bookmarkStart w:id="419" w:name="_Toc15583"/>
      <w:bookmarkStart w:id="420" w:name="_Toc28375"/>
      <w:r>
        <w:rPr>
          <w:rFonts w:ascii="仿宋" w:hAnsi="仿宋" w:eastAsia="仿宋"/>
          <w:b/>
          <w:sz w:val="24"/>
        </w:rPr>
        <w:t xml:space="preserve">1.7 </w:t>
      </w:r>
      <w:r>
        <w:rPr>
          <w:rFonts w:hint="eastAsia" w:ascii="仿宋" w:hAnsi="仿宋" w:eastAsia="仿宋"/>
          <w:b/>
          <w:sz w:val="24"/>
        </w:rPr>
        <w:t>合同争议的解决</w:t>
      </w:r>
      <w:bookmarkEnd w:id="418"/>
      <w:bookmarkEnd w:id="419"/>
      <w:bookmarkEnd w:id="420"/>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21" w:name="_Toc15322"/>
      <w:bookmarkStart w:id="422" w:name="_Toc11173"/>
      <w:bookmarkStart w:id="423" w:name="_Toc7245"/>
      <w:r>
        <w:rPr>
          <w:rFonts w:ascii="仿宋" w:hAnsi="仿宋" w:eastAsia="仿宋"/>
          <w:b/>
          <w:sz w:val="24"/>
        </w:rPr>
        <w:t xml:space="preserve">1.8 </w:t>
      </w:r>
      <w:r>
        <w:rPr>
          <w:rFonts w:hint="eastAsia" w:ascii="仿宋" w:hAnsi="仿宋" w:eastAsia="仿宋"/>
          <w:b/>
          <w:sz w:val="24"/>
        </w:rPr>
        <w:t>合同生效</w:t>
      </w:r>
      <w:bookmarkEnd w:id="421"/>
      <w:bookmarkEnd w:id="422"/>
      <w:bookmarkEnd w:id="423"/>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pStyle w:val="699"/>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4" w:name="_Toc19680"/>
      <w:bookmarkStart w:id="425" w:name="_Toc31297"/>
      <w:bookmarkStart w:id="426" w:name="_Toc14021"/>
      <w:bookmarkStart w:id="427" w:name="_Toc25079"/>
      <w:bookmarkStart w:id="428" w:name="_Toc5228"/>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24"/>
      <w:bookmarkEnd w:id="425"/>
      <w:bookmarkEnd w:id="426"/>
      <w:bookmarkEnd w:id="427"/>
      <w:bookmarkEnd w:id="42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9" w:name="_Toc3769"/>
      <w:bookmarkStart w:id="430" w:name="_Toc16752"/>
      <w:bookmarkStart w:id="431" w:name="_Toc19539"/>
      <w:bookmarkStart w:id="432" w:name="_Toc23289"/>
      <w:bookmarkStart w:id="433" w:name="_Toc31402"/>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29"/>
      <w:bookmarkEnd w:id="430"/>
      <w:bookmarkEnd w:id="431"/>
      <w:bookmarkEnd w:id="432"/>
      <w:bookmarkEnd w:id="433"/>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4" w:name="_Toc13673"/>
      <w:bookmarkStart w:id="435" w:name="_Toc12412"/>
      <w:bookmarkStart w:id="436" w:name="_Toc27945"/>
      <w:bookmarkStart w:id="437" w:name="_Toc4133"/>
      <w:bookmarkStart w:id="438" w:name="_Toc9161"/>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34"/>
      <w:bookmarkEnd w:id="435"/>
      <w:bookmarkEnd w:id="436"/>
      <w:bookmarkEnd w:id="437"/>
      <w:bookmarkEnd w:id="43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9" w:name="_Toc15447"/>
      <w:bookmarkStart w:id="440" w:name="_Toc26555"/>
      <w:bookmarkStart w:id="441" w:name="_Toc32670"/>
      <w:bookmarkStart w:id="442" w:name="_Toc31233"/>
      <w:bookmarkStart w:id="443" w:name="_Toc22011"/>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39"/>
      <w:bookmarkEnd w:id="440"/>
      <w:bookmarkEnd w:id="441"/>
      <w:bookmarkEnd w:id="442"/>
      <w:bookmarkEnd w:id="443"/>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4" w:name="_Toc18990"/>
      <w:bookmarkStart w:id="445" w:name="_Toc13467"/>
      <w:bookmarkStart w:id="446" w:name="_Toc16163"/>
      <w:bookmarkStart w:id="447" w:name="_Toc13154"/>
      <w:bookmarkStart w:id="448" w:name="_Toc30507"/>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44"/>
      <w:bookmarkEnd w:id="445"/>
      <w:bookmarkEnd w:id="446"/>
      <w:bookmarkEnd w:id="447"/>
      <w:bookmarkEnd w:id="44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9" w:name="_Toc19069"/>
      <w:r>
        <w:rPr>
          <w:rFonts w:hint="eastAsia" w:ascii="仿宋" w:hAnsi="仿宋" w:eastAsia="仿宋"/>
          <w:b/>
          <w:color w:val="000000" w:themeColor="text1"/>
          <w:sz w:val="24"/>
          <w14:textFill>
            <w14:solidFill>
              <w14:schemeClr w14:val="tx1"/>
            </w14:solidFill>
          </w14:textFill>
        </w:rPr>
        <w:t>2.7 质量保证</w:t>
      </w:r>
      <w:bookmarkEnd w:id="44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0" w:name="_Toc22267"/>
      <w:r>
        <w:rPr>
          <w:rFonts w:hint="eastAsia" w:ascii="仿宋" w:hAnsi="仿宋" w:eastAsia="仿宋"/>
          <w:b/>
          <w:color w:val="000000" w:themeColor="text1"/>
          <w:sz w:val="24"/>
          <w14:textFill>
            <w14:solidFill>
              <w14:schemeClr w14:val="tx1"/>
            </w14:solidFill>
          </w14:textFill>
        </w:rPr>
        <w:t>2.8 延迟履行</w:t>
      </w:r>
      <w:bookmarkEnd w:id="45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1" w:name="_Toc10611"/>
      <w:r>
        <w:rPr>
          <w:rFonts w:hint="eastAsia" w:ascii="仿宋" w:hAnsi="仿宋" w:eastAsia="仿宋"/>
          <w:b/>
          <w:color w:val="000000" w:themeColor="text1"/>
          <w:sz w:val="24"/>
          <w14:textFill>
            <w14:solidFill>
              <w14:schemeClr w14:val="tx1"/>
            </w14:solidFill>
          </w14:textFill>
        </w:rPr>
        <w:t>2.9 合同变更</w:t>
      </w:r>
      <w:bookmarkEnd w:id="45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2" w:name="_Toc21830"/>
      <w:bookmarkStart w:id="453" w:name="_Toc23368"/>
      <w:bookmarkStart w:id="454" w:name="_Toc10663"/>
      <w:bookmarkStart w:id="455" w:name="_Toc42"/>
      <w:bookmarkStart w:id="456" w:name="_Toc26689"/>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52"/>
      <w:bookmarkEnd w:id="453"/>
      <w:bookmarkEnd w:id="454"/>
      <w:bookmarkEnd w:id="455"/>
      <w:bookmarkEnd w:id="45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7" w:name="_Toc4720"/>
      <w:bookmarkStart w:id="458" w:name="_Toc14371"/>
      <w:bookmarkStart w:id="459" w:name="_Toc32494"/>
      <w:bookmarkStart w:id="460" w:name="_Toc26633"/>
      <w:bookmarkStart w:id="461" w:name="_Toc25571"/>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57"/>
      <w:bookmarkEnd w:id="458"/>
      <w:bookmarkEnd w:id="459"/>
      <w:bookmarkEnd w:id="460"/>
      <w:bookmarkEnd w:id="46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2" w:name="_Toc23854"/>
      <w:bookmarkStart w:id="463" w:name="_Toc3638"/>
      <w:bookmarkStart w:id="464" w:name="_Toc24465"/>
      <w:bookmarkStart w:id="465" w:name="_Toc25783"/>
      <w:bookmarkStart w:id="466" w:name="_Toc1411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62"/>
      <w:bookmarkEnd w:id="463"/>
      <w:bookmarkEnd w:id="464"/>
      <w:bookmarkEnd w:id="465"/>
      <w:bookmarkEnd w:id="46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7" w:name="_Toc14814"/>
      <w:bookmarkStart w:id="468" w:name="_Toc26883"/>
      <w:bookmarkStart w:id="469" w:name="_Toc7315"/>
      <w:bookmarkStart w:id="470" w:name="_Toc30105"/>
      <w:bookmarkStart w:id="471" w:name="_Toc2552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67"/>
      <w:bookmarkEnd w:id="468"/>
      <w:bookmarkEnd w:id="469"/>
      <w:bookmarkEnd w:id="470"/>
      <w:bookmarkEnd w:id="47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2" w:name="_Toc1123"/>
      <w:bookmarkStart w:id="473" w:name="_Toc23323"/>
      <w:bookmarkStart w:id="474" w:name="_Toc2016"/>
      <w:r>
        <w:rPr>
          <w:rFonts w:ascii="仿宋" w:hAnsi="仿宋" w:eastAsia="仿宋"/>
          <w:b/>
          <w:color w:val="000000" w:themeColor="text1"/>
          <w:sz w:val="24"/>
          <w14:textFill>
            <w14:solidFill>
              <w14:schemeClr w14:val="tx1"/>
            </w14:solidFill>
          </w14:textFill>
        </w:rPr>
        <w:t>2.14 合同中止、终止</w:t>
      </w:r>
      <w:bookmarkEnd w:id="472"/>
      <w:bookmarkEnd w:id="473"/>
      <w:bookmarkEnd w:id="47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5" w:name="_Toc1969"/>
      <w:bookmarkStart w:id="476" w:name="_Toc14525"/>
      <w:bookmarkStart w:id="477" w:name="_Toc17363"/>
      <w:r>
        <w:rPr>
          <w:rFonts w:ascii="仿宋" w:hAnsi="仿宋" w:eastAsia="仿宋"/>
          <w:b/>
          <w:color w:val="000000" w:themeColor="text1"/>
          <w:sz w:val="24"/>
          <w14:textFill>
            <w14:solidFill>
              <w14:schemeClr w14:val="tx1"/>
            </w14:solidFill>
          </w14:textFill>
        </w:rPr>
        <w:t>2.15 检验和验收</w:t>
      </w:r>
      <w:bookmarkEnd w:id="475"/>
      <w:bookmarkEnd w:id="476"/>
      <w:bookmarkEnd w:id="477"/>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8" w:name="_Toc2308"/>
      <w:bookmarkStart w:id="479" w:name="_Toc31892"/>
      <w:bookmarkStart w:id="480" w:name="_Toc9808"/>
      <w:bookmarkStart w:id="481" w:name="_Toc12666"/>
      <w:bookmarkStart w:id="482" w:name="_Toc25198"/>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78"/>
      <w:bookmarkEnd w:id="479"/>
      <w:bookmarkEnd w:id="480"/>
      <w:bookmarkEnd w:id="481"/>
      <w:bookmarkEnd w:id="482"/>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483" w:name="_Toc27674"/>
      <w:bookmarkStart w:id="484" w:name="_Toc18401"/>
      <w:r>
        <w:rPr>
          <w:rFonts w:ascii="仿宋" w:hAnsi="仿宋" w:eastAsia="仿宋"/>
          <w:color w:val="000000" w:themeColor="text1"/>
          <w:sz w:val="24"/>
          <w14:textFill>
            <w14:solidFill>
              <w14:schemeClr w14:val="tx1"/>
            </w14:solidFill>
          </w14:textFill>
        </w:rPr>
        <w:t>2.17.1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83"/>
      <w:bookmarkEnd w:id="484"/>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5" w:name="_Toc28906"/>
      <w:bookmarkStart w:id="486" w:name="_Toc27644"/>
      <w:bookmarkStart w:id="487" w:name="_Toc20808"/>
      <w:bookmarkStart w:id="488" w:name="_Toc12254"/>
      <w:bookmarkStart w:id="489" w:name="_Toc5063"/>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85"/>
      <w:bookmarkEnd w:id="486"/>
      <w:bookmarkEnd w:id="487"/>
      <w:bookmarkEnd w:id="488"/>
      <w:bookmarkEnd w:id="48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0" w:name="_Toc27127"/>
      <w:bookmarkStart w:id="491" w:name="_Toc30096"/>
      <w:bookmarkStart w:id="492" w:name="_Toc1492"/>
      <w:bookmarkStart w:id="493" w:name="_Toc22266"/>
      <w:bookmarkStart w:id="494" w:name="_Toc27403"/>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490"/>
      <w:bookmarkEnd w:id="491"/>
      <w:bookmarkEnd w:id="492"/>
      <w:bookmarkEnd w:id="493"/>
      <w:bookmarkEnd w:id="494"/>
    </w:p>
    <w:p>
      <w:pPr>
        <w:pStyle w:val="958"/>
        <w:spacing w:before="0" w:beforeAutospacing="0" w:after="0" w:afterAutospacing="0" w:line="360" w:lineRule="auto"/>
        <w:ind w:firstLine="42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2.20.3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2.21.4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合同金额5%</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2.19 合同份数</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pStyle w:val="699"/>
        <w:spacing w:line="560" w:lineRule="exact"/>
        <w:jc w:val="center"/>
        <w:rPr>
          <w:rFonts w:ascii="仿宋" w:hAnsi="仿宋" w:eastAsia="仿宋"/>
          <w:b/>
          <w:color w:val="000000" w:themeColor="text1"/>
          <w:szCs w:val="24"/>
          <w14:textFill>
            <w14:solidFill>
              <w14:schemeClr w14:val="tx1"/>
            </w14:solidFill>
          </w14:textFill>
        </w:rPr>
      </w:pPr>
      <w:r>
        <w:rPr>
          <w:rFonts w:ascii="仿宋" w:hAnsi="仿宋" w:eastAsia="仿宋" w:cstheme="minorBidi"/>
          <w:kern w:val="0"/>
          <w:szCs w:val="24"/>
        </w:rPr>
        <w:br w:type="page"/>
      </w:r>
      <w:r>
        <w:rPr>
          <w:rFonts w:hint="eastAsia" w:ascii="仿宋" w:hAnsi="仿宋" w:eastAsia="仿宋"/>
          <w:b/>
          <w:color w:val="000000" w:themeColor="text1"/>
          <w:szCs w:val="24"/>
          <w14:textFill>
            <w14:solidFill>
              <w14:schemeClr w14:val="tx1"/>
            </w14:solidFill>
          </w14:textFill>
        </w:rPr>
        <w:t>第三部分  合同专用条款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w:t>
      </w:r>
      <w:r>
        <w:rPr>
          <w:rFonts w:ascii="仿宋" w:hAnsi="仿宋" w:eastAsia="仿宋"/>
          <w:color w:val="000000" w:themeColor="text1"/>
          <w:sz w:val="24"/>
          <w14:textFill>
            <w14:solidFill>
              <w14:schemeClr w14:val="tx1"/>
            </w14:solidFill>
          </w14:textFill>
        </w:rPr>
        <w:t>是对</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部分的补充和修改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部分和本部分的约定不一致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应以本部分的约定为准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本部分的条款号应与</w:t>
      </w:r>
      <w:r>
        <w:rPr>
          <w:rFonts w:hint="eastAsia" w:ascii="仿宋" w:hAnsi="仿宋" w:eastAsia="仿宋"/>
          <w:color w:val="000000" w:themeColor="text1"/>
          <w:sz w:val="24"/>
          <w14:textFill>
            <w14:solidFill>
              <w14:schemeClr w14:val="tx1"/>
            </w14:solidFill>
          </w14:textFill>
        </w:rPr>
        <w:t>前两部分</w:t>
      </w:r>
      <w:r>
        <w:rPr>
          <w:rFonts w:ascii="仿宋" w:hAnsi="仿宋" w:eastAsia="仿宋"/>
          <w:color w:val="000000" w:themeColor="text1"/>
          <w:sz w:val="24"/>
          <w14:textFill>
            <w14:solidFill>
              <w14:schemeClr w14:val="tx1"/>
            </w14:solidFill>
          </w14:textFill>
        </w:rPr>
        <w:t>的条款号保持对应</w:t>
      </w:r>
      <w:r>
        <w:rPr>
          <w:rFonts w:hint="eastAsia" w:ascii="仿宋" w:hAnsi="仿宋" w:eastAsia="仿宋"/>
          <w:color w:val="000000" w:themeColor="text1"/>
          <w:sz w:val="24"/>
          <w14:textFill>
            <w14:solidFill>
              <w14:schemeClr w14:val="tx1"/>
            </w14:solidFill>
          </w14:textFill>
        </w:rPr>
        <w:t>；与前两部分</w:t>
      </w:r>
      <w:r>
        <w:rPr>
          <w:rFonts w:ascii="仿宋" w:hAnsi="仿宋" w:eastAsia="仿宋"/>
          <w:color w:val="000000" w:themeColor="text1"/>
          <w:sz w:val="24"/>
          <w14:textFill>
            <w14:solidFill>
              <w14:schemeClr w14:val="tx1"/>
            </w14:solidFill>
          </w14:textFill>
        </w:rPr>
        <w:t>无对应关系的内容可另行编制条款号</w:t>
      </w:r>
      <w:r>
        <w:rPr>
          <w:rFonts w:hint="eastAsia" w:ascii="仿宋" w:hAnsi="仿宋" w:eastAsia="仿宋"/>
          <w:color w:val="000000" w:themeColor="text1"/>
          <w:sz w:val="24"/>
          <w14:textFill>
            <w14:solidFill>
              <w14:schemeClr w14:val="tx1"/>
            </w14:solidFill>
          </w14:textFill>
        </w:rPr>
        <w:t>。</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7633" w:type="dxa"/>
            <w:vAlign w:val="center"/>
          </w:tcPr>
          <w:p>
            <w:pPr>
              <w:spacing w:line="360" w:lineRule="auto"/>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0"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7633" w:type="dxa"/>
            <w:vAlign w:val="center"/>
          </w:tcPr>
          <w:p>
            <w:pPr>
              <w:pStyle w:val="2"/>
              <w:ind w:left="0" w:firstLine="0"/>
              <w:rPr>
                <w:rFonts w:ascii="仿宋" w:eastAsia="仿宋" w:cstheme="minorBidi"/>
                <w:b w:val="0"/>
                <w:bCs w:val="0"/>
                <w:color w:val="000000" w:themeColor="text1"/>
                <w:sz w:val="24"/>
                <w:szCs w:val="22"/>
                <w:lang w:val="en-US"/>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0"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9</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p>
        </w:tc>
      </w:tr>
    </w:tbl>
    <w:p>
      <w:pPr>
        <w:pStyle w:val="2"/>
        <w:ind w:left="0" w:firstLine="0"/>
      </w:pPr>
    </w:p>
    <w:p>
      <w:pPr>
        <w:pStyle w:val="2"/>
        <w:ind w:left="0" w:firstLine="0"/>
      </w:pPr>
    </w:p>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rPr>
          <w:rFonts w:ascii="仿宋" w:hAnsi="仿宋" w:eastAsia="仿宋" w:cs="仿宋_GB2312"/>
          <w:b/>
          <w:sz w:val="36"/>
          <w:szCs w:val="20"/>
        </w:rPr>
      </w:pPr>
      <w:r>
        <w:rPr>
          <w:rFonts w:hint="eastAsia" w:ascii="仿宋" w:hAnsi="仿宋" w:eastAsia="仿宋" w:cs="仿宋_GB2312"/>
          <w:b/>
          <w:sz w:val="36"/>
          <w:szCs w:val="20"/>
        </w:rPr>
        <w:br w:type="page"/>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8"/>
      <w:r>
        <w:rPr>
          <w:rFonts w:ascii="仿宋" w:hAnsi="仿宋" w:eastAsia="仿宋" w:cs="仿宋_GB2312"/>
          <w:b/>
          <w:sz w:val="36"/>
          <w:szCs w:val="20"/>
        </w:rPr>
        <w:t xml:space="preserve"> </w:t>
      </w:r>
      <w:bookmarkEnd w:id="399"/>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 xml:space="preserve"> </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ind w:left="150"/>
        <w:jc w:val="center"/>
        <w:rPr>
          <w:rFonts w:ascii="仿宋_GB2312" w:hAnsi="仿宋" w:eastAsia="仿宋_GB2312" w:cs="仿宋_GB2312"/>
          <w:b/>
          <w:kern w:val="0"/>
          <w:sz w:val="32"/>
          <w:szCs w:val="32"/>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 xml:space="preserve"> </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w:t>
      </w:r>
      <w:r>
        <w:rPr>
          <w:rFonts w:hint="eastAsia" w:ascii="仿宋_GB2312" w:hAnsi="仿宋" w:eastAsia="仿宋_GB2312" w:cs="仿宋_GB2312"/>
          <w:sz w:val="24"/>
          <w:lang w:eastAsia="zh-CN"/>
        </w:rPr>
        <w:t>杭州市临安区委组织部干部人事任免建议方案共享系统项目（二次）</w:t>
      </w:r>
      <w:r>
        <w:rPr>
          <w:rFonts w:hint="eastAsia" w:ascii="仿宋_GB2312" w:hAnsi="仿宋" w:eastAsia="仿宋_GB2312" w:cs="仿宋_GB2312"/>
          <w:sz w:val="24"/>
        </w:rPr>
        <w:t>）【招标编号：】</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b/>
          <w:kern w:val="0"/>
          <w:sz w:val="32"/>
          <w:szCs w:val="32"/>
          <w:lang w:val="zh-CN"/>
        </w:rPr>
        <w:t xml:space="preserve">      </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2"/>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 ）</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w:t>
      </w:r>
      <w:r>
        <w:rPr>
          <w:rFonts w:hint="eastAsia" w:ascii="仿宋_GB2312" w:hAnsi="仿宋" w:eastAsia="仿宋_GB2312" w:cs="仿宋_GB2312"/>
          <w:kern w:val="0"/>
          <w:sz w:val="24"/>
          <w:lang w:val="zh-CN"/>
        </w:rPr>
        <w:t>杭州市临安区委组织部干部人事任免建议方案共享系统项目（二次）</w:t>
      </w:r>
      <w:r>
        <w:rPr>
          <w:rFonts w:ascii="仿宋_GB2312" w:hAnsi="仿宋" w:eastAsia="仿宋_GB2312" w:cs="仿宋_GB2312"/>
          <w:kern w:val="0"/>
          <w:sz w:val="24"/>
          <w:lang w:val="zh-CN"/>
        </w:rPr>
        <w:t>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2"/>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95" w:name="_Toc465665161"/>
      <w:r>
        <w:rPr>
          <w:rFonts w:hint="eastAsia" w:ascii="仿宋_GB2312" w:hAnsi="仿宋" w:eastAsia="仿宋_GB2312"/>
        </w:rPr>
        <w:t>附件</w:t>
      </w:r>
      <w:bookmarkEnd w:id="495"/>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96" w:name="OLE_LINK13"/>
      <w:bookmarkStart w:id="497" w:name="OLE_LINK14"/>
      <w:r>
        <w:rPr>
          <w:rFonts w:hint="eastAsia" w:ascii="仿宋_GB2312" w:hAnsi="仿宋" w:eastAsia="仿宋_GB2312"/>
          <w:b/>
          <w:spacing w:val="6"/>
          <w:sz w:val="32"/>
          <w:szCs w:val="32"/>
        </w:rPr>
        <w:t>残疾人福利性单位声明函</w:t>
      </w:r>
    </w:p>
    <w:bookmarkEnd w:id="496"/>
    <w:bookmarkEnd w:id="497"/>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w:t>
      </w:r>
      <w:r>
        <w:rPr>
          <w:rFonts w:hint="eastAsia" w:ascii="仿宋_GB2312" w:hAnsi="仿宋" w:eastAsia="仿宋_GB2312"/>
          <w:sz w:val="24"/>
          <w:lang w:eastAsia="zh-CN"/>
        </w:rPr>
        <w:t>杭州市临安区委组织部干部人事任免建议方案共享系统项目（二次）</w:t>
      </w:r>
      <w:r>
        <w:rPr>
          <w:rFonts w:hint="eastAsia" w:ascii="仿宋_GB2312" w:hAnsi="仿宋" w:eastAsia="仿宋_GB2312"/>
          <w:sz w:val="24"/>
        </w:rPr>
        <w:t>：</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 ）</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w:t>
      </w:r>
      <w:r>
        <w:rPr>
          <w:rFonts w:hint="eastAsia" w:ascii="仿宋_GB2312" w:hAnsi="宋体" w:eastAsia="仿宋_GB2312"/>
          <w:sz w:val="24"/>
          <w:lang w:eastAsia="zh-CN"/>
        </w:rPr>
        <w:t>杭州市临安区委组织部干部人事任免建议方案共享系统项目（二次）</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lang w:val="en-US"/>
        </w:rPr>
      </w:pPr>
    </w:p>
    <w:p>
      <w:pPr>
        <w:spacing w:line="360" w:lineRule="auto"/>
        <w:ind w:right="420"/>
      </w:pPr>
    </w:p>
    <w:p>
      <w:pPr>
        <w:rPr>
          <w:rFonts w:ascii="仿宋" w:hAnsi="仿宋" w:eastAsia="仿宋" w:cs="仿宋"/>
          <w:b/>
          <w:bCs/>
          <w:sz w:val="40"/>
          <w:szCs w:val="40"/>
        </w:rPr>
      </w:pPr>
      <w:r>
        <w:rPr>
          <w:rFonts w:hint="eastAsia" w:ascii="仿宋" w:hAnsi="仿宋" w:eastAsia="仿宋" w:cs="仿宋"/>
          <w:b/>
          <w:bCs/>
          <w:sz w:val="40"/>
          <w:szCs w:val="40"/>
        </w:rPr>
        <w:br w:type="page"/>
      </w:r>
    </w:p>
    <w:p>
      <w:pPr>
        <w:spacing w:line="360" w:lineRule="auto"/>
        <w:rPr>
          <w:rFonts w:ascii="仿宋" w:hAnsi="仿宋" w:eastAsia="仿宋"/>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498" w:name="_Toc36110187"/>
    <w:bookmarkStart w:id="499" w:name="_Toc131845147"/>
    <w:bookmarkStart w:id="500" w:name="_Toc91899912"/>
    <w:bookmarkStart w:id="501" w:name="_Toc164085800"/>
    <w:r>
      <w:rPr>
        <w:rFonts w:hint="eastAsia" w:ascii="仿宋_GB2312" w:eastAsia="仿宋_GB2312"/>
        <w:kern w:val="0"/>
        <w:szCs w:val="21"/>
      </w:rPr>
      <w:t xml:space="preserve"> 页</w:t>
    </w:r>
    <w:bookmarkEnd w:id="498"/>
    <w:bookmarkEnd w:id="499"/>
    <w:bookmarkEnd w:id="500"/>
    <w:bookmarkEnd w:id="5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hint="eastAsia" w:eastAsia="宋体"/>
        <w:lang w:eastAsia="zh-CN"/>
      </w:rPr>
    </w:pPr>
    <w:r>
      <w:t></w:t>
    </w:r>
    <w:r>
      <w:rPr>
        <w:rFonts w:hint="eastAsia"/>
      </w:rPr>
      <w:t xml:space="preserve">             </w:t>
    </w:r>
    <w:r>
      <w:rPr>
        <w:rFonts w:hint="eastAsia"/>
        <w:lang w:eastAsia="zh-CN"/>
      </w:rPr>
      <w:t>杭州市临安区委组织部干部人事任免建议方案共享系统项目（二次）</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杭州市临安区委组织部干部人事任免建议方案共享系统项目（二次）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rPr>
        <w:rFonts w:hint="eastAsia"/>
        <w:lang w:eastAsia="zh-CN"/>
      </w:rPr>
      <w:t>杭州市临安区委组织部干部人事任免建议方案共享系统项目（二次）</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rPr>
        <w:rFonts w:hint="eastAsia" w:eastAsia="宋体"/>
        <w:lang w:eastAsia="zh-CN"/>
      </w:rPr>
    </w:pPr>
    <w:r>
      <w:rPr>
        <w:rFonts w:hint="eastAsia"/>
      </w:rPr>
      <w:t xml:space="preserve">                                                                  </w:t>
    </w:r>
    <w:r>
      <w:rPr>
        <w:rFonts w:hint="eastAsia"/>
        <w:lang w:eastAsia="zh-CN"/>
      </w:rPr>
      <w:t>杭州市临安区委组织部干部人事任免建议方案共享系统项目（二次）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rPr>
        <w:rFonts w:hint="eastAsia"/>
        <w:lang w:eastAsia="zh-CN"/>
      </w:rPr>
      <w:t>杭州市临安区委组织部干部人事任免建议方案共享系统项目（二次）</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rPr>
        <w:rFonts w:hint="eastAsia"/>
        <w:lang w:eastAsia="zh-CN"/>
      </w:rPr>
      <w:t>杭州市临安区委组织部干部人事任免建议方案共享系统项目（二次）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w:t>
    </w:r>
    <w:r>
      <w:rPr>
        <w:rFonts w:hint="eastAsia"/>
        <w:lang w:eastAsia="zh-CN"/>
      </w:rPr>
      <w:t>杭州市临安区委组织部干部人事任免建议方案共享系统项目（二次）</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杭州市临安区委组织部干部人事任免建议方案共享系统项目（二次）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8A854"/>
    <w:multiLevelType w:val="singleLevel"/>
    <w:tmpl w:val="9438A854"/>
    <w:lvl w:ilvl="0" w:tentative="0">
      <w:start w:val="1"/>
      <w:numFmt w:val="decimal"/>
      <w:suff w:val="nothing"/>
      <w:lvlText w:val="%1、"/>
      <w:lvlJc w:val="left"/>
    </w:lvl>
  </w:abstractNum>
  <w:abstractNum w:abstractNumId="1">
    <w:nsid w:val="34A129BB"/>
    <w:multiLevelType w:val="singleLevel"/>
    <w:tmpl w:val="34A129BB"/>
    <w:lvl w:ilvl="0" w:tentative="0">
      <w:start w:val="1"/>
      <w:numFmt w:val="decimal"/>
      <w:suff w:val="nothing"/>
      <w:lvlText w:val="%1、"/>
      <w:lvlJc w:val="left"/>
    </w:lvl>
  </w:abstractNum>
  <w:abstractNum w:abstractNumId="2">
    <w:nsid w:val="57DCF639"/>
    <w:multiLevelType w:val="singleLevel"/>
    <w:tmpl w:val="57DCF639"/>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DUzMmY2OTQ0Y2RmNjM5YjY3ZGU5NGJlMzQ3O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4EDF"/>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D0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240"/>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17F"/>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2DC"/>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5F0"/>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3B3"/>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DDB"/>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32F1"/>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949CD"/>
    <w:rsid w:val="011F6449"/>
    <w:rsid w:val="01236AFB"/>
    <w:rsid w:val="019F7441"/>
    <w:rsid w:val="01B37585"/>
    <w:rsid w:val="01B40BDF"/>
    <w:rsid w:val="01D55165"/>
    <w:rsid w:val="01DF6BF8"/>
    <w:rsid w:val="01EC2C57"/>
    <w:rsid w:val="023147D9"/>
    <w:rsid w:val="026B2E25"/>
    <w:rsid w:val="02824D4D"/>
    <w:rsid w:val="02D86301"/>
    <w:rsid w:val="02DC4B10"/>
    <w:rsid w:val="02DD76CE"/>
    <w:rsid w:val="02F36323"/>
    <w:rsid w:val="02F5619C"/>
    <w:rsid w:val="0326446A"/>
    <w:rsid w:val="032D5555"/>
    <w:rsid w:val="036634D2"/>
    <w:rsid w:val="03A964DC"/>
    <w:rsid w:val="03B92498"/>
    <w:rsid w:val="03CC5D27"/>
    <w:rsid w:val="03D41080"/>
    <w:rsid w:val="03DD35E4"/>
    <w:rsid w:val="04076900"/>
    <w:rsid w:val="041A5A3B"/>
    <w:rsid w:val="042311BA"/>
    <w:rsid w:val="042B157A"/>
    <w:rsid w:val="048F763B"/>
    <w:rsid w:val="049F330E"/>
    <w:rsid w:val="04AA775C"/>
    <w:rsid w:val="04AF1889"/>
    <w:rsid w:val="04F66F48"/>
    <w:rsid w:val="05251E14"/>
    <w:rsid w:val="057743B8"/>
    <w:rsid w:val="05A16594"/>
    <w:rsid w:val="05A7762D"/>
    <w:rsid w:val="06093262"/>
    <w:rsid w:val="060E5941"/>
    <w:rsid w:val="06110FAF"/>
    <w:rsid w:val="06493CA7"/>
    <w:rsid w:val="064E336B"/>
    <w:rsid w:val="065A6178"/>
    <w:rsid w:val="065E2E82"/>
    <w:rsid w:val="066F1CF3"/>
    <w:rsid w:val="06930BB8"/>
    <w:rsid w:val="06AD4030"/>
    <w:rsid w:val="07245D42"/>
    <w:rsid w:val="07264C62"/>
    <w:rsid w:val="0779354C"/>
    <w:rsid w:val="07D23B28"/>
    <w:rsid w:val="08061376"/>
    <w:rsid w:val="082C62B9"/>
    <w:rsid w:val="083B460F"/>
    <w:rsid w:val="08452D77"/>
    <w:rsid w:val="086401F8"/>
    <w:rsid w:val="08751CAA"/>
    <w:rsid w:val="087E4C40"/>
    <w:rsid w:val="08891FDF"/>
    <w:rsid w:val="08D66AD6"/>
    <w:rsid w:val="08DA33A3"/>
    <w:rsid w:val="08E80F13"/>
    <w:rsid w:val="08F24482"/>
    <w:rsid w:val="08F6566C"/>
    <w:rsid w:val="09335624"/>
    <w:rsid w:val="093D2A01"/>
    <w:rsid w:val="0944690F"/>
    <w:rsid w:val="09450FD5"/>
    <w:rsid w:val="09535675"/>
    <w:rsid w:val="095F057D"/>
    <w:rsid w:val="09642282"/>
    <w:rsid w:val="09733572"/>
    <w:rsid w:val="0974222E"/>
    <w:rsid w:val="09772C16"/>
    <w:rsid w:val="098175B4"/>
    <w:rsid w:val="098353B5"/>
    <w:rsid w:val="09A92330"/>
    <w:rsid w:val="09B06B87"/>
    <w:rsid w:val="09C13146"/>
    <w:rsid w:val="09E04166"/>
    <w:rsid w:val="0A1C0718"/>
    <w:rsid w:val="0A3E7710"/>
    <w:rsid w:val="0A5B7E63"/>
    <w:rsid w:val="0AA374A5"/>
    <w:rsid w:val="0AAB7649"/>
    <w:rsid w:val="0AAF7DAB"/>
    <w:rsid w:val="0ABC5606"/>
    <w:rsid w:val="0AC27FEC"/>
    <w:rsid w:val="0B30404E"/>
    <w:rsid w:val="0B4C6C14"/>
    <w:rsid w:val="0B5C3308"/>
    <w:rsid w:val="0B631A88"/>
    <w:rsid w:val="0B645F15"/>
    <w:rsid w:val="0B683D45"/>
    <w:rsid w:val="0B6C5BA6"/>
    <w:rsid w:val="0B7F3F11"/>
    <w:rsid w:val="0B884417"/>
    <w:rsid w:val="0BE6171A"/>
    <w:rsid w:val="0BF6188C"/>
    <w:rsid w:val="0BF73C91"/>
    <w:rsid w:val="0C170175"/>
    <w:rsid w:val="0C4A5554"/>
    <w:rsid w:val="0C571A41"/>
    <w:rsid w:val="0C5A4558"/>
    <w:rsid w:val="0C5C1171"/>
    <w:rsid w:val="0C5E1CBC"/>
    <w:rsid w:val="0C615B50"/>
    <w:rsid w:val="0C8445DA"/>
    <w:rsid w:val="0C87121B"/>
    <w:rsid w:val="0CA45DDF"/>
    <w:rsid w:val="0CC007F7"/>
    <w:rsid w:val="0CF4009D"/>
    <w:rsid w:val="0CFE707A"/>
    <w:rsid w:val="0D063BDA"/>
    <w:rsid w:val="0D08375F"/>
    <w:rsid w:val="0D184CFB"/>
    <w:rsid w:val="0D4A7419"/>
    <w:rsid w:val="0D6151BA"/>
    <w:rsid w:val="0D827401"/>
    <w:rsid w:val="0D84094E"/>
    <w:rsid w:val="0D8A00E9"/>
    <w:rsid w:val="0D8D589E"/>
    <w:rsid w:val="0DA01C73"/>
    <w:rsid w:val="0DA47D15"/>
    <w:rsid w:val="0DD63300"/>
    <w:rsid w:val="0DF50604"/>
    <w:rsid w:val="0DF702FE"/>
    <w:rsid w:val="0E060E51"/>
    <w:rsid w:val="0E0B7EE1"/>
    <w:rsid w:val="0E5604B2"/>
    <w:rsid w:val="0E6D5D79"/>
    <w:rsid w:val="0E9D0089"/>
    <w:rsid w:val="0EA26179"/>
    <w:rsid w:val="0EB803EE"/>
    <w:rsid w:val="0EF94D4B"/>
    <w:rsid w:val="0F4958DC"/>
    <w:rsid w:val="0F515DF7"/>
    <w:rsid w:val="0F596BA8"/>
    <w:rsid w:val="0F6248D2"/>
    <w:rsid w:val="0F693536"/>
    <w:rsid w:val="0F6C5FE1"/>
    <w:rsid w:val="0F7B0511"/>
    <w:rsid w:val="0F7B76D9"/>
    <w:rsid w:val="0F816ACD"/>
    <w:rsid w:val="0F9832DB"/>
    <w:rsid w:val="0FB55EDA"/>
    <w:rsid w:val="0FBF3FD2"/>
    <w:rsid w:val="0FBF7FF3"/>
    <w:rsid w:val="10646583"/>
    <w:rsid w:val="107D4B15"/>
    <w:rsid w:val="108A3C80"/>
    <w:rsid w:val="10C26171"/>
    <w:rsid w:val="10F33360"/>
    <w:rsid w:val="10FC16EA"/>
    <w:rsid w:val="110E3E23"/>
    <w:rsid w:val="110F1D40"/>
    <w:rsid w:val="11266F33"/>
    <w:rsid w:val="118963A1"/>
    <w:rsid w:val="11AB1672"/>
    <w:rsid w:val="11C6522A"/>
    <w:rsid w:val="11E104CC"/>
    <w:rsid w:val="11E20309"/>
    <w:rsid w:val="12255233"/>
    <w:rsid w:val="12530213"/>
    <w:rsid w:val="127723A9"/>
    <w:rsid w:val="12862074"/>
    <w:rsid w:val="12883966"/>
    <w:rsid w:val="129E45B4"/>
    <w:rsid w:val="12D81596"/>
    <w:rsid w:val="13072A44"/>
    <w:rsid w:val="135F4BE2"/>
    <w:rsid w:val="137169DC"/>
    <w:rsid w:val="139B1A0A"/>
    <w:rsid w:val="139D25C7"/>
    <w:rsid w:val="13BF3CE4"/>
    <w:rsid w:val="141008D8"/>
    <w:rsid w:val="14125FE6"/>
    <w:rsid w:val="146D271E"/>
    <w:rsid w:val="14982588"/>
    <w:rsid w:val="149A5AD9"/>
    <w:rsid w:val="14A7619D"/>
    <w:rsid w:val="150536C3"/>
    <w:rsid w:val="150C1963"/>
    <w:rsid w:val="151447A0"/>
    <w:rsid w:val="154A6454"/>
    <w:rsid w:val="15762120"/>
    <w:rsid w:val="15956850"/>
    <w:rsid w:val="15C84FA7"/>
    <w:rsid w:val="163548CE"/>
    <w:rsid w:val="165F2A2B"/>
    <w:rsid w:val="16A8729C"/>
    <w:rsid w:val="16B33777"/>
    <w:rsid w:val="16BC70A7"/>
    <w:rsid w:val="16C6339E"/>
    <w:rsid w:val="172F2D79"/>
    <w:rsid w:val="17557BEF"/>
    <w:rsid w:val="17D061C5"/>
    <w:rsid w:val="17D349C1"/>
    <w:rsid w:val="1830729E"/>
    <w:rsid w:val="1870062C"/>
    <w:rsid w:val="18817102"/>
    <w:rsid w:val="18830A15"/>
    <w:rsid w:val="18852B28"/>
    <w:rsid w:val="188B5321"/>
    <w:rsid w:val="18A90DDE"/>
    <w:rsid w:val="194A6D83"/>
    <w:rsid w:val="19932372"/>
    <w:rsid w:val="19A20DD5"/>
    <w:rsid w:val="19AE03F1"/>
    <w:rsid w:val="1A071A03"/>
    <w:rsid w:val="1A1F16AE"/>
    <w:rsid w:val="1A3B5C77"/>
    <w:rsid w:val="1A984BAD"/>
    <w:rsid w:val="1AB8220E"/>
    <w:rsid w:val="1AE4166C"/>
    <w:rsid w:val="1AF06CFB"/>
    <w:rsid w:val="1AF11B8D"/>
    <w:rsid w:val="1AF4331B"/>
    <w:rsid w:val="1B11359C"/>
    <w:rsid w:val="1B2A271F"/>
    <w:rsid w:val="1B530544"/>
    <w:rsid w:val="1B713184"/>
    <w:rsid w:val="1B822D42"/>
    <w:rsid w:val="1B9238A2"/>
    <w:rsid w:val="1BA209CF"/>
    <w:rsid w:val="1BB4777D"/>
    <w:rsid w:val="1BD75AB8"/>
    <w:rsid w:val="1BE40549"/>
    <w:rsid w:val="1C0459C2"/>
    <w:rsid w:val="1C1B3B4A"/>
    <w:rsid w:val="1C7E1E3C"/>
    <w:rsid w:val="1C88086E"/>
    <w:rsid w:val="1CA25AEB"/>
    <w:rsid w:val="1D266CE1"/>
    <w:rsid w:val="1D3963AF"/>
    <w:rsid w:val="1D6A673C"/>
    <w:rsid w:val="1D9247AE"/>
    <w:rsid w:val="1D976AD1"/>
    <w:rsid w:val="1D9A07EC"/>
    <w:rsid w:val="1DB567EC"/>
    <w:rsid w:val="1DF51A98"/>
    <w:rsid w:val="1E3D060F"/>
    <w:rsid w:val="1E3F7D2E"/>
    <w:rsid w:val="1E4134E4"/>
    <w:rsid w:val="1E5062B3"/>
    <w:rsid w:val="1E523514"/>
    <w:rsid w:val="1E714A66"/>
    <w:rsid w:val="1E802593"/>
    <w:rsid w:val="1EA703CC"/>
    <w:rsid w:val="1EB7330C"/>
    <w:rsid w:val="1F0A0FF3"/>
    <w:rsid w:val="1F5771FF"/>
    <w:rsid w:val="1F845AC6"/>
    <w:rsid w:val="1FAA32B6"/>
    <w:rsid w:val="1FE868A9"/>
    <w:rsid w:val="20034907"/>
    <w:rsid w:val="20173E4B"/>
    <w:rsid w:val="20322F5E"/>
    <w:rsid w:val="204E48BC"/>
    <w:rsid w:val="208921B3"/>
    <w:rsid w:val="20973DEB"/>
    <w:rsid w:val="20A60E26"/>
    <w:rsid w:val="20B26522"/>
    <w:rsid w:val="20B44310"/>
    <w:rsid w:val="210C7C53"/>
    <w:rsid w:val="211116EB"/>
    <w:rsid w:val="21232F76"/>
    <w:rsid w:val="216133FC"/>
    <w:rsid w:val="21D56769"/>
    <w:rsid w:val="21E52EF3"/>
    <w:rsid w:val="21FB5D7B"/>
    <w:rsid w:val="220B1C3D"/>
    <w:rsid w:val="221D1D20"/>
    <w:rsid w:val="22334A87"/>
    <w:rsid w:val="22BE6801"/>
    <w:rsid w:val="233500BF"/>
    <w:rsid w:val="23377FF7"/>
    <w:rsid w:val="235D4796"/>
    <w:rsid w:val="236B425F"/>
    <w:rsid w:val="23836192"/>
    <w:rsid w:val="23901F29"/>
    <w:rsid w:val="239866C5"/>
    <w:rsid w:val="239C0061"/>
    <w:rsid w:val="23B908A4"/>
    <w:rsid w:val="23E95BEF"/>
    <w:rsid w:val="23FD0064"/>
    <w:rsid w:val="245375B0"/>
    <w:rsid w:val="24642C0A"/>
    <w:rsid w:val="24B22173"/>
    <w:rsid w:val="24B95AD9"/>
    <w:rsid w:val="24BE24DA"/>
    <w:rsid w:val="24CF5825"/>
    <w:rsid w:val="24D663E6"/>
    <w:rsid w:val="24D77F2B"/>
    <w:rsid w:val="252A06A8"/>
    <w:rsid w:val="25717031"/>
    <w:rsid w:val="258B00E2"/>
    <w:rsid w:val="25A917A6"/>
    <w:rsid w:val="25BE27CC"/>
    <w:rsid w:val="25F74A5C"/>
    <w:rsid w:val="2628662C"/>
    <w:rsid w:val="262D45DE"/>
    <w:rsid w:val="267E6EFD"/>
    <w:rsid w:val="26A53EF9"/>
    <w:rsid w:val="26A94201"/>
    <w:rsid w:val="26AC274F"/>
    <w:rsid w:val="27044A29"/>
    <w:rsid w:val="271D34C8"/>
    <w:rsid w:val="2725264C"/>
    <w:rsid w:val="274742E6"/>
    <w:rsid w:val="276142BF"/>
    <w:rsid w:val="27783712"/>
    <w:rsid w:val="27907362"/>
    <w:rsid w:val="27EC05D9"/>
    <w:rsid w:val="28333E1D"/>
    <w:rsid w:val="28454BD6"/>
    <w:rsid w:val="28455253"/>
    <w:rsid w:val="28551971"/>
    <w:rsid w:val="285B1C53"/>
    <w:rsid w:val="288B3C89"/>
    <w:rsid w:val="289F7086"/>
    <w:rsid w:val="28C32028"/>
    <w:rsid w:val="28CC490F"/>
    <w:rsid w:val="28DE40AA"/>
    <w:rsid w:val="29345E77"/>
    <w:rsid w:val="294C65AD"/>
    <w:rsid w:val="2978238F"/>
    <w:rsid w:val="297D16EE"/>
    <w:rsid w:val="29806583"/>
    <w:rsid w:val="298B3C4C"/>
    <w:rsid w:val="298C3068"/>
    <w:rsid w:val="29E7300B"/>
    <w:rsid w:val="29F26D24"/>
    <w:rsid w:val="2A15033F"/>
    <w:rsid w:val="2A1662C1"/>
    <w:rsid w:val="2A1C7367"/>
    <w:rsid w:val="2A2815FA"/>
    <w:rsid w:val="2A461AE0"/>
    <w:rsid w:val="2A6D6092"/>
    <w:rsid w:val="2A7D76B4"/>
    <w:rsid w:val="2B3D5D48"/>
    <w:rsid w:val="2B437463"/>
    <w:rsid w:val="2B6E487D"/>
    <w:rsid w:val="2B7807EE"/>
    <w:rsid w:val="2B7F321F"/>
    <w:rsid w:val="2B811550"/>
    <w:rsid w:val="2B996587"/>
    <w:rsid w:val="2BBF00EC"/>
    <w:rsid w:val="2BC37CFD"/>
    <w:rsid w:val="2BD5237F"/>
    <w:rsid w:val="2BE536CE"/>
    <w:rsid w:val="2BE758D9"/>
    <w:rsid w:val="2C057779"/>
    <w:rsid w:val="2C09049E"/>
    <w:rsid w:val="2C0A653C"/>
    <w:rsid w:val="2C191F85"/>
    <w:rsid w:val="2C574478"/>
    <w:rsid w:val="2C6478C4"/>
    <w:rsid w:val="2CDB6D27"/>
    <w:rsid w:val="2CE82D6F"/>
    <w:rsid w:val="2CEC4005"/>
    <w:rsid w:val="2D343236"/>
    <w:rsid w:val="2D455B2D"/>
    <w:rsid w:val="2DD15014"/>
    <w:rsid w:val="2DF72DE4"/>
    <w:rsid w:val="2E0220AF"/>
    <w:rsid w:val="2E400F3C"/>
    <w:rsid w:val="2E4B082A"/>
    <w:rsid w:val="2E580034"/>
    <w:rsid w:val="2E5D4E86"/>
    <w:rsid w:val="2E5D790B"/>
    <w:rsid w:val="2E9A3C18"/>
    <w:rsid w:val="2EBB0FEE"/>
    <w:rsid w:val="2EC63002"/>
    <w:rsid w:val="2ED42920"/>
    <w:rsid w:val="2F0A6B38"/>
    <w:rsid w:val="2F1A353B"/>
    <w:rsid w:val="2F4607D4"/>
    <w:rsid w:val="2F946CCB"/>
    <w:rsid w:val="2FD25781"/>
    <w:rsid w:val="2FDC0015"/>
    <w:rsid w:val="2FFD7934"/>
    <w:rsid w:val="30073ABF"/>
    <w:rsid w:val="304856CC"/>
    <w:rsid w:val="30733ACD"/>
    <w:rsid w:val="308C3862"/>
    <w:rsid w:val="309379D8"/>
    <w:rsid w:val="30A270F7"/>
    <w:rsid w:val="30DF1478"/>
    <w:rsid w:val="30EC586F"/>
    <w:rsid w:val="319C6071"/>
    <w:rsid w:val="31AC537E"/>
    <w:rsid w:val="31E27428"/>
    <w:rsid w:val="31E3679B"/>
    <w:rsid w:val="31E732FD"/>
    <w:rsid w:val="321637AC"/>
    <w:rsid w:val="32517576"/>
    <w:rsid w:val="32BE5C2C"/>
    <w:rsid w:val="32EB3B6C"/>
    <w:rsid w:val="32FB6478"/>
    <w:rsid w:val="33263B3F"/>
    <w:rsid w:val="336963EB"/>
    <w:rsid w:val="33816EEB"/>
    <w:rsid w:val="33DD0E01"/>
    <w:rsid w:val="33EB55CD"/>
    <w:rsid w:val="33EC4C02"/>
    <w:rsid w:val="34022441"/>
    <w:rsid w:val="340C5DD9"/>
    <w:rsid w:val="340D2360"/>
    <w:rsid w:val="3410665D"/>
    <w:rsid w:val="34211214"/>
    <w:rsid w:val="34264510"/>
    <w:rsid w:val="342E63AB"/>
    <w:rsid w:val="34353F41"/>
    <w:rsid w:val="34950E68"/>
    <w:rsid w:val="34986E94"/>
    <w:rsid w:val="34AF62C9"/>
    <w:rsid w:val="34CB4388"/>
    <w:rsid w:val="34FA6E12"/>
    <w:rsid w:val="358D5588"/>
    <w:rsid w:val="35C1013F"/>
    <w:rsid w:val="363A3B40"/>
    <w:rsid w:val="365302AE"/>
    <w:rsid w:val="36607A0A"/>
    <w:rsid w:val="366E227C"/>
    <w:rsid w:val="366F2E0D"/>
    <w:rsid w:val="367B6A5C"/>
    <w:rsid w:val="36A74ADA"/>
    <w:rsid w:val="36AD60D5"/>
    <w:rsid w:val="36B224F9"/>
    <w:rsid w:val="36CE0556"/>
    <w:rsid w:val="36EC0CC9"/>
    <w:rsid w:val="373F410B"/>
    <w:rsid w:val="37BE5938"/>
    <w:rsid w:val="37EE7094"/>
    <w:rsid w:val="38296C89"/>
    <w:rsid w:val="383002EB"/>
    <w:rsid w:val="38586797"/>
    <w:rsid w:val="38BC0149"/>
    <w:rsid w:val="38D87D1C"/>
    <w:rsid w:val="38EE64E0"/>
    <w:rsid w:val="39225E0E"/>
    <w:rsid w:val="39273424"/>
    <w:rsid w:val="39636459"/>
    <w:rsid w:val="396B7F6C"/>
    <w:rsid w:val="39B417A9"/>
    <w:rsid w:val="39B90520"/>
    <w:rsid w:val="39FC5695"/>
    <w:rsid w:val="3A006D8E"/>
    <w:rsid w:val="3A0B4517"/>
    <w:rsid w:val="3A2A31CC"/>
    <w:rsid w:val="3A3651E5"/>
    <w:rsid w:val="3A744481"/>
    <w:rsid w:val="3A8C7BEF"/>
    <w:rsid w:val="3A906246"/>
    <w:rsid w:val="3B0D6542"/>
    <w:rsid w:val="3B2349B7"/>
    <w:rsid w:val="3B4262F3"/>
    <w:rsid w:val="3B616CFF"/>
    <w:rsid w:val="3B6259F6"/>
    <w:rsid w:val="3B7B35B3"/>
    <w:rsid w:val="3B976654"/>
    <w:rsid w:val="3BC01EFC"/>
    <w:rsid w:val="3BCA786A"/>
    <w:rsid w:val="3BD31E2F"/>
    <w:rsid w:val="3BF15831"/>
    <w:rsid w:val="3C101F4E"/>
    <w:rsid w:val="3C105946"/>
    <w:rsid w:val="3C1A011C"/>
    <w:rsid w:val="3C471448"/>
    <w:rsid w:val="3C5F759A"/>
    <w:rsid w:val="3C6C525A"/>
    <w:rsid w:val="3C6D180D"/>
    <w:rsid w:val="3CAD3E64"/>
    <w:rsid w:val="3CCD0D28"/>
    <w:rsid w:val="3CCE23CB"/>
    <w:rsid w:val="3CD17D17"/>
    <w:rsid w:val="3D200DE9"/>
    <w:rsid w:val="3D3C7F39"/>
    <w:rsid w:val="3D440F09"/>
    <w:rsid w:val="3D4504A0"/>
    <w:rsid w:val="3D8734BB"/>
    <w:rsid w:val="3D9A11D4"/>
    <w:rsid w:val="3DA16D89"/>
    <w:rsid w:val="3DA364BE"/>
    <w:rsid w:val="3DB72FC9"/>
    <w:rsid w:val="3DE041CB"/>
    <w:rsid w:val="3E0D48F6"/>
    <w:rsid w:val="3E1868B4"/>
    <w:rsid w:val="3E377251"/>
    <w:rsid w:val="3E42664B"/>
    <w:rsid w:val="3E5A7334"/>
    <w:rsid w:val="3E7B5D6B"/>
    <w:rsid w:val="3E843E66"/>
    <w:rsid w:val="3E8F51FE"/>
    <w:rsid w:val="3E926F87"/>
    <w:rsid w:val="3E9A59DE"/>
    <w:rsid w:val="3EAF4836"/>
    <w:rsid w:val="3EB556A0"/>
    <w:rsid w:val="3EC33DFA"/>
    <w:rsid w:val="3F060E16"/>
    <w:rsid w:val="3F1D1096"/>
    <w:rsid w:val="3F221A4C"/>
    <w:rsid w:val="3F2F0234"/>
    <w:rsid w:val="3F6363FE"/>
    <w:rsid w:val="3F756B8F"/>
    <w:rsid w:val="3F95482B"/>
    <w:rsid w:val="3FAE63AB"/>
    <w:rsid w:val="4019356B"/>
    <w:rsid w:val="403B3F0D"/>
    <w:rsid w:val="40592157"/>
    <w:rsid w:val="406E1CAE"/>
    <w:rsid w:val="40A0133A"/>
    <w:rsid w:val="40A47108"/>
    <w:rsid w:val="40C31A53"/>
    <w:rsid w:val="40FF545D"/>
    <w:rsid w:val="410067C8"/>
    <w:rsid w:val="41384420"/>
    <w:rsid w:val="41831414"/>
    <w:rsid w:val="418F0D2A"/>
    <w:rsid w:val="41D01505"/>
    <w:rsid w:val="42474939"/>
    <w:rsid w:val="424C3C57"/>
    <w:rsid w:val="42613FF3"/>
    <w:rsid w:val="42660D96"/>
    <w:rsid w:val="428667D2"/>
    <w:rsid w:val="428947BA"/>
    <w:rsid w:val="42CD1CE0"/>
    <w:rsid w:val="42DC77DF"/>
    <w:rsid w:val="42E1381E"/>
    <w:rsid w:val="42ED6459"/>
    <w:rsid w:val="42FE58DD"/>
    <w:rsid w:val="43174B3D"/>
    <w:rsid w:val="434B790E"/>
    <w:rsid w:val="435F165C"/>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06792"/>
    <w:rsid w:val="45C63B94"/>
    <w:rsid w:val="460E7DA5"/>
    <w:rsid w:val="46422483"/>
    <w:rsid w:val="4659254A"/>
    <w:rsid w:val="465B0637"/>
    <w:rsid w:val="465E3F0D"/>
    <w:rsid w:val="466A16E6"/>
    <w:rsid w:val="46893F2B"/>
    <w:rsid w:val="46C4686E"/>
    <w:rsid w:val="46F4261E"/>
    <w:rsid w:val="47113FAC"/>
    <w:rsid w:val="477B778F"/>
    <w:rsid w:val="478203EC"/>
    <w:rsid w:val="47B025FA"/>
    <w:rsid w:val="48074F86"/>
    <w:rsid w:val="4809698F"/>
    <w:rsid w:val="4811697D"/>
    <w:rsid w:val="487A3E25"/>
    <w:rsid w:val="488B5503"/>
    <w:rsid w:val="48937E21"/>
    <w:rsid w:val="489A0361"/>
    <w:rsid w:val="489A776F"/>
    <w:rsid w:val="48B94FF3"/>
    <w:rsid w:val="48BD16AF"/>
    <w:rsid w:val="48E37AAB"/>
    <w:rsid w:val="48FD4B4C"/>
    <w:rsid w:val="490A68E0"/>
    <w:rsid w:val="491055FE"/>
    <w:rsid w:val="49566CAE"/>
    <w:rsid w:val="495F5B3E"/>
    <w:rsid w:val="496F77D7"/>
    <w:rsid w:val="497654FD"/>
    <w:rsid w:val="49B64211"/>
    <w:rsid w:val="49F6167F"/>
    <w:rsid w:val="4A064FA0"/>
    <w:rsid w:val="4A16615C"/>
    <w:rsid w:val="4A4424D7"/>
    <w:rsid w:val="4A6F057C"/>
    <w:rsid w:val="4A8B50D1"/>
    <w:rsid w:val="4AB82D0F"/>
    <w:rsid w:val="4AD223F0"/>
    <w:rsid w:val="4AEB7664"/>
    <w:rsid w:val="4AFD7C19"/>
    <w:rsid w:val="4B0567D1"/>
    <w:rsid w:val="4B236AAE"/>
    <w:rsid w:val="4B2B2AA5"/>
    <w:rsid w:val="4B3223A6"/>
    <w:rsid w:val="4B6E4EE3"/>
    <w:rsid w:val="4B707271"/>
    <w:rsid w:val="4B9739F7"/>
    <w:rsid w:val="4BB328F5"/>
    <w:rsid w:val="4BEE2503"/>
    <w:rsid w:val="4C245A30"/>
    <w:rsid w:val="4CA761D9"/>
    <w:rsid w:val="4CB6685F"/>
    <w:rsid w:val="4CC367FE"/>
    <w:rsid w:val="4D077F3C"/>
    <w:rsid w:val="4D123355"/>
    <w:rsid w:val="4D2A3B31"/>
    <w:rsid w:val="4D312C52"/>
    <w:rsid w:val="4D5C3245"/>
    <w:rsid w:val="4D905305"/>
    <w:rsid w:val="4D964A72"/>
    <w:rsid w:val="4D9C1254"/>
    <w:rsid w:val="4DBA0D0B"/>
    <w:rsid w:val="4DD3727F"/>
    <w:rsid w:val="4DD94559"/>
    <w:rsid w:val="4E4D47C5"/>
    <w:rsid w:val="4E793892"/>
    <w:rsid w:val="4E800872"/>
    <w:rsid w:val="4E892B8E"/>
    <w:rsid w:val="4EC569ED"/>
    <w:rsid w:val="4ED50EA1"/>
    <w:rsid w:val="4EEC050C"/>
    <w:rsid w:val="4F104EC3"/>
    <w:rsid w:val="4F47354A"/>
    <w:rsid w:val="4F905428"/>
    <w:rsid w:val="4F911C54"/>
    <w:rsid w:val="4FE625E0"/>
    <w:rsid w:val="5021480F"/>
    <w:rsid w:val="50962ECB"/>
    <w:rsid w:val="509F7BCD"/>
    <w:rsid w:val="50A42E38"/>
    <w:rsid w:val="50A4577F"/>
    <w:rsid w:val="50B73D1F"/>
    <w:rsid w:val="50BD5BC9"/>
    <w:rsid w:val="50C11EEE"/>
    <w:rsid w:val="50E97CFC"/>
    <w:rsid w:val="50FA4028"/>
    <w:rsid w:val="51022355"/>
    <w:rsid w:val="510D65B7"/>
    <w:rsid w:val="511157AB"/>
    <w:rsid w:val="5142540C"/>
    <w:rsid w:val="515A6333"/>
    <w:rsid w:val="518832C8"/>
    <w:rsid w:val="51A0432A"/>
    <w:rsid w:val="51A86090"/>
    <w:rsid w:val="51B7396D"/>
    <w:rsid w:val="51D2355C"/>
    <w:rsid w:val="522E4CC3"/>
    <w:rsid w:val="5244713B"/>
    <w:rsid w:val="52615633"/>
    <w:rsid w:val="52977FD4"/>
    <w:rsid w:val="52A03BD4"/>
    <w:rsid w:val="52A25790"/>
    <w:rsid w:val="52A96B6F"/>
    <w:rsid w:val="52B45975"/>
    <w:rsid w:val="52D94AA4"/>
    <w:rsid w:val="52EA3A62"/>
    <w:rsid w:val="52F50BB8"/>
    <w:rsid w:val="53097272"/>
    <w:rsid w:val="53423D47"/>
    <w:rsid w:val="53544462"/>
    <w:rsid w:val="5397158E"/>
    <w:rsid w:val="54013861"/>
    <w:rsid w:val="540E1011"/>
    <w:rsid w:val="54487265"/>
    <w:rsid w:val="544D6070"/>
    <w:rsid w:val="54605E1E"/>
    <w:rsid w:val="5483555B"/>
    <w:rsid w:val="54B3506A"/>
    <w:rsid w:val="54CA0D16"/>
    <w:rsid w:val="54DD4057"/>
    <w:rsid w:val="54E7490F"/>
    <w:rsid w:val="550764A4"/>
    <w:rsid w:val="550B2BF6"/>
    <w:rsid w:val="55202DAA"/>
    <w:rsid w:val="55214EB5"/>
    <w:rsid w:val="55364EFD"/>
    <w:rsid w:val="555D4828"/>
    <w:rsid w:val="55775F4C"/>
    <w:rsid w:val="557A4C8B"/>
    <w:rsid w:val="558931E1"/>
    <w:rsid w:val="55923347"/>
    <w:rsid w:val="55925180"/>
    <w:rsid w:val="55983B1B"/>
    <w:rsid w:val="55A8376B"/>
    <w:rsid w:val="55DC29B6"/>
    <w:rsid w:val="55DD4241"/>
    <w:rsid w:val="55E30486"/>
    <w:rsid w:val="56585F69"/>
    <w:rsid w:val="566B6D1E"/>
    <w:rsid w:val="5698416E"/>
    <w:rsid w:val="57032A2C"/>
    <w:rsid w:val="570F5219"/>
    <w:rsid w:val="575D12B5"/>
    <w:rsid w:val="57610A87"/>
    <w:rsid w:val="57786E1E"/>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154B"/>
    <w:rsid w:val="58B85899"/>
    <w:rsid w:val="58D66342"/>
    <w:rsid w:val="58E363A9"/>
    <w:rsid w:val="58FF201C"/>
    <w:rsid w:val="595E1678"/>
    <w:rsid w:val="596D5BD4"/>
    <w:rsid w:val="597E3DD8"/>
    <w:rsid w:val="59F80043"/>
    <w:rsid w:val="5A09252F"/>
    <w:rsid w:val="5A0B2778"/>
    <w:rsid w:val="5A2A7C7B"/>
    <w:rsid w:val="5A3C6FC5"/>
    <w:rsid w:val="5A3E2560"/>
    <w:rsid w:val="5A5D3B6E"/>
    <w:rsid w:val="5A637A76"/>
    <w:rsid w:val="5A6D33BA"/>
    <w:rsid w:val="5A792B1F"/>
    <w:rsid w:val="5A874767"/>
    <w:rsid w:val="5AAC50E0"/>
    <w:rsid w:val="5AAD6F28"/>
    <w:rsid w:val="5AD63A24"/>
    <w:rsid w:val="5AFE3B8D"/>
    <w:rsid w:val="5B046CCA"/>
    <w:rsid w:val="5B2E1A1D"/>
    <w:rsid w:val="5B843A1C"/>
    <w:rsid w:val="5B873E3F"/>
    <w:rsid w:val="5BC31D7F"/>
    <w:rsid w:val="5BE30367"/>
    <w:rsid w:val="5C02690E"/>
    <w:rsid w:val="5C166CB5"/>
    <w:rsid w:val="5C196DA7"/>
    <w:rsid w:val="5C2A048C"/>
    <w:rsid w:val="5C80234E"/>
    <w:rsid w:val="5C8A680C"/>
    <w:rsid w:val="5D0C4701"/>
    <w:rsid w:val="5D0F0395"/>
    <w:rsid w:val="5D221076"/>
    <w:rsid w:val="5D235B2D"/>
    <w:rsid w:val="5D397964"/>
    <w:rsid w:val="5D5A391C"/>
    <w:rsid w:val="5D5A52C7"/>
    <w:rsid w:val="5D5F10C0"/>
    <w:rsid w:val="5D7A14C5"/>
    <w:rsid w:val="5D891B7B"/>
    <w:rsid w:val="5D942587"/>
    <w:rsid w:val="5DA93817"/>
    <w:rsid w:val="5DAD38EE"/>
    <w:rsid w:val="5DF9063C"/>
    <w:rsid w:val="5E006862"/>
    <w:rsid w:val="5E0207B9"/>
    <w:rsid w:val="5E1834A1"/>
    <w:rsid w:val="5E261785"/>
    <w:rsid w:val="5E4A7017"/>
    <w:rsid w:val="5E552BBA"/>
    <w:rsid w:val="5E611C10"/>
    <w:rsid w:val="5E744166"/>
    <w:rsid w:val="5E9B5C38"/>
    <w:rsid w:val="5EFC7377"/>
    <w:rsid w:val="5F06174D"/>
    <w:rsid w:val="5F3A3602"/>
    <w:rsid w:val="5F4C0C3F"/>
    <w:rsid w:val="5F6277C6"/>
    <w:rsid w:val="5F6D0B1D"/>
    <w:rsid w:val="5F8D0B82"/>
    <w:rsid w:val="5FCC5339"/>
    <w:rsid w:val="5FE34A5B"/>
    <w:rsid w:val="5FFE1E36"/>
    <w:rsid w:val="60232584"/>
    <w:rsid w:val="607330CE"/>
    <w:rsid w:val="607923C2"/>
    <w:rsid w:val="60825176"/>
    <w:rsid w:val="608C39E9"/>
    <w:rsid w:val="60974D44"/>
    <w:rsid w:val="609F2AC4"/>
    <w:rsid w:val="60FA2EE8"/>
    <w:rsid w:val="61054A27"/>
    <w:rsid w:val="610A52BC"/>
    <w:rsid w:val="611D2366"/>
    <w:rsid w:val="61261CDB"/>
    <w:rsid w:val="61421856"/>
    <w:rsid w:val="615227C4"/>
    <w:rsid w:val="61654E3F"/>
    <w:rsid w:val="6182292A"/>
    <w:rsid w:val="619F7F92"/>
    <w:rsid w:val="61F94C26"/>
    <w:rsid w:val="62000E56"/>
    <w:rsid w:val="62497AFB"/>
    <w:rsid w:val="624F3E49"/>
    <w:rsid w:val="62600C89"/>
    <w:rsid w:val="62632286"/>
    <w:rsid w:val="62885958"/>
    <w:rsid w:val="62F40B65"/>
    <w:rsid w:val="62FC2CFE"/>
    <w:rsid w:val="63024505"/>
    <w:rsid w:val="635B1DB5"/>
    <w:rsid w:val="63711FED"/>
    <w:rsid w:val="63880DDC"/>
    <w:rsid w:val="638D750D"/>
    <w:rsid w:val="63AC6CC0"/>
    <w:rsid w:val="64055776"/>
    <w:rsid w:val="64240056"/>
    <w:rsid w:val="642A77A1"/>
    <w:rsid w:val="643E143A"/>
    <w:rsid w:val="647E7AED"/>
    <w:rsid w:val="648B6EEF"/>
    <w:rsid w:val="64C158BF"/>
    <w:rsid w:val="64CE2EAA"/>
    <w:rsid w:val="64FC7253"/>
    <w:rsid w:val="653C3090"/>
    <w:rsid w:val="654153A3"/>
    <w:rsid w:val="65674676"/>
    <w:rsid w:val="65770683"/>
    <w:rsid w:val="65854376"/>
    <w:rsid w:val="658767BE"/>
    <w:rsid w:val="65892531"/>
    <w:rsid w:val="661379DB"/>
    <w:rsid w:val="66195831"/>
    <w:rsid w:val="662E75B1"/>
    <w:rsid w:val="66342C2E"/>
    <w:rsid w:val="663E784C"/>
    <w:rsid w:val="668B6A45"/>
    <w:rsid w:val="66EA118C"/>
    <w:rsid w:val="672F3F24"/>
    <w:rsid w:val="673E055F"/>
    <w:rsid w:val="67551CE3"/>
    <w:rsid w:val="67A22552"/>
    <w:rsid w:val="67B22DCC"/>
    <w:rsid w:val="67BE71AA"/>
    <w:rsid w:val="67D143D7"/>
    <w:rsid w:val="67D90273"/>
    <w:rsid w:val="67DE5875"/>
    <w:rsid w:val="67E55852"/>
    <w:rsid w:val="67EB1AB4"/>
    <w:rsid w:val="67FA1285"/>
    <w:rsid w:val="68551F4F"/>
    <w:rsid w:val="687C10C9"/>
    <w:rsid w:val="68840C16"/>
    <w:rsid w:val="68876EFB"/>
    <w:rsid w:val="68884654"/>
    <w:rsid w:val="689F444F"/>
    <w:rsid w:val="68A941D6"/>
    <w:rsid w:val="68B96DBB"/>
    <w:rsid w:val="68CA2805"/>
    <w:rsid w:val="68E937A3"/>
    <w:rsid w:val="693E15D3"/>
    <w:rsid w:val="69627681"/>
    <w:rsid w:val="697414BE"/>
    <w:rsid w:val="6977531D"/>
    <w:rsid w:val="698D7BC0"/>
    <w:rsid w:val="699043CA"/>
    <w:rsid w:val="69BE10EB"/>
    <w:rsid w:val="69CC2BFF"/>
    <w:rsid w:val="69FA6AB8"/>
    <w:rsid w:val="69FD55B8"/>
    <w:rsid w:val="6A0B1C62"/>
    <w:rsid w:val="6A2406C8"/>
    <w:rsid w:val="6A2627B9"/>
    <w:rsid w:val="6A5424B9"/>
    <w:rsid w:val="6ADE0BD1"/>
    <w:rsid w:val="6AE96859"/>
    <w:rsid w:val="6B147746"/>
    <w:rsid w:val="6B24787C"/>
    <w:rsid w:val="6B2B6C86"/>
    <w:rsid w:val="6B4D1FC7"/>
    <w:rsid w:val="6B573233"/>
    <w:rsid w:val="6B5B6274"/>
    <w:rsid w:val="6B8F25DF"/>
    <w:rsid w:val="6B935D53"/>
    <w:rsid w:val="6BB350B5"/>
    <w:rsid w:val="6C196F71"/>
    <w:rsid w:val="6C224A45"/>
    <w:rsid w:val="6C226FCB"/>
    <w:rsid w:val="6C2B3B63"/>
    <w:rsid w:val="6C31226F"/>
    <w:rsid w:val="6C552F0B"/>
    <w:rsid w:val="6C8C67B7"/>
    <w:rsid w:val="6C9D744C"/>
    <w:rsid w:val="6CE43092"/>
    <w:rsid w:val="6CED3A62"/>
    <w:rsid w:val="6D167928"/>
    <w:rsid w:val="6D25144D"/>
    <w:rsid w:val="6D26299B"/>
    <w:rsid w:val="6D352454"/>
    <w:rsid w:val="6D4772EC"/>
    <w:rsid w:val="6D9078AF"/>
    <w:rsid w:val="6DAA3FEF"/>
    <w:rsid w:val="6DC0172B"/>
    <w:rsid w:val="6DCB690C"/>
    <w:rsid w:val="6DD41A5B"/>
    <w:rsid w:val="6DF43C2E"/>
    <w:rsid w:val="6DF51CA3"/>
    <w:rsid w:val="6E422E01"/>
    <w:rsid w:val="6E8335BD"/>
    <w:rsid w:val="6E8E12EF"/>
    <w:rsid w:val="6E972936"/>
    <w:rsid w:val="6ED446C5"/>
    <w:rsid w:val="6F173E90"/>
    <w:rsid w:val="6F2A7D94"/>
    <w:rsid w:val="6F8331F1"/>
    <w:rsid w:val="6FAE1A09"/>
    <w:rsid w:val="6FD75BF8"/>
    <w:rsid w:val="70732DBF"/>
    <w:rsid w:val="707723D0"/>
    <w:rsid w:val="70F5661B"/>
    <w:rsid w:val="71360107"/>
    <w:rsid w:val="713B688E"/>
    <w:rsid w:val="71D43752"/>
    <w:rsid w:val="71F1796A"/>
    <w:rsid w:val="72154626"/>
    <w:rsid w:val="72262B5D"/>
    <w:rsid w:val="72283FF7"/>
    <w:rsid w:val="722E7212"/>
    <w:rsid w:val="723A0474"/>
    <w:rsid w:val="725923E4"/>
    <w:rsid w:val="72790C00"/>
    <w:rsid w:val="72864BF7"/>
    <w:rsid w:val="729023FC"/>
    <w:rsid w:val="72BA1E03"/>
    <w:rsid w:val="73C0646E"/>
    <w:rsid w:val="742222F5"/>
    <w:rsid w:val="74476126"/>
    <w:rsid w:val="745851FE"/>
    <w:rsid w:val="74706664"/>
    <w:rsid w:val="747F3682"/>
    <w:rsid w:val="749C4185"/>
    <w:rsid w:val="74F21CE7"/>
    <w:rsid w:val="75067759"/>
    <w:rsid w:val="752E6DCD"/>
    <w:rsid w:val="7551380D"/>
    <w:rsid w:val="75600BE5"/>
    <w:rsid w:val="7564475C"/>
    <w:rsid w:val="7583797F"/>
    <w:rsid w:val="759E7FEF"/>
    <w:rsid w:val="75D20BF5"/>
    <w:rsid w:val="75D20F1D"/>
    <w:rsid w:val="75DA2C18"/>
    <w:rsid w:val="75F54412"/>
    <w:rsid w:val="761D08E0"/>
    <w:rsid w:val="763D14D8"/>
    <w:rsid w:val="765D347C"/>
    <w:rsid w:val="766C1E9B"/>
    <w:rsid w:val="76742AFE"/>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1F528E"/>
    <w:rsid w:val="792A231A"/>
    <w:rsid w:val="79316829"/>
    <w:rsid w:val="796D4C26"/>
    <w:rsid w:val="797E66A9"/>
    <w:rsid w:val="79A97383"/>
    <w:rsid w:val="79E27E8B"/>
    <w:rsid w:val="79F301DD"/>
    <w:rsid w:val="79F850CE"/>
    <w:rsid w:val="79FD443C"/>
    <w:rsid w:val="7A1D1975"/>
    <w:rsid w:val="7A201EC1"/>
    <w:rsid w:val="7A3E5150"/>
    <w:rsid w:val="7A4670D6"/>
    <w:rsid w:val="7A534B63"/>
    <w:rsid w:val="7A615382"/>
    <w:rsid w:val="7A67303B"/>
    <w:rsid w:val="7AAB1D04"/>
    <w:rsid w:val="7ABA4368"/>
    <w:rsid w:val="7AD05746"/>
    <w:rsid w:val="7B257FFD"/>
    <w:rsid w:val="7B2E771F"/>
    <w:rsid w:val="7B343476"/>
    <w:rsid w:val="7B5A2978"/>
    <w:rsid w:val="7B5A7E4C"/>
    <w:rsid w:val="7B667AF9"/>
    <w:rsid w:val="7B7468F8"/>
    <w:rsid w:val="7BC77B74"/>
    <w:rsid w:val="7BEE0103"/>
    <w:rsid w:val="7BFA5853"/>
    <w:rsid w:val="7C0A0FE4"/>
    <w:rsid w:val="7C254906"/>
    <w:rsid w:val="7C3C6C20"/>
    <w:rsid w:val="7C590818"/>
    <w:rsid w:val="7C7C10F6"/>
    <w:rsid w:val="7C853BEA"/>
    <w:rsid w:val="7C881368"/>
    <w:rsid w:val="7CE27788"/>
    <w:rsid w:val="7D0C32F1"/>
    <w:rsid w:val="7D0F408D"/>
    <w:rsid w:val="7D476A0B"/>
    <w:rsid w:val="7D491C6C"/>
    <w:rsid w:val="7D5429C0"/>
    <w:rsid w:val="7D6E6D43"/>
    <w:rsid w:val="7DB57A34"/>
    <w:rsid w:val="7DE60973"/>
    <w:rsid w:val="7DEF0916"/>
    <w:rsid w:val="7DF764EE"/>
    <w:rsid w:val="7E1E5218"/>
    <w:rsid w:val="7E2E7A36"/>
    <w:rsid w:val="7E9A4E1F"/>
    <w:rsid w:val="7EA7723A"/>
    <w:rsid w:val="7EF56FBB"/>
    <w:rsid w:val="7EF96296"/>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2"/>
    <w:next w:val="1"/>
    <w:qFormat/>
    <w:uiPriority w:val="0"/>
    <w:pPr>
      <w:tabs>
        <w:tab w:val="left" w:pos="900"/>
        <w:tab w:val="clear" w:pos="432"/>
      </w:tabs>
      <w:spacing w:before="260" w:after="260" w:line="416" w:lineRule="auto"/>
      <w:ind w:left="900" w:hanging="720"/>
      <w:outlineLvl w:val="2"/>
    </w:p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
    <w:link w:val="262"/>
    <w:qFormat/>
    <w:uiPriority w:val="0"/>
    <w:pPr>
      <w:spacing w:line="480" w:lineRule="exact"/>
      <w:ind w:firstLine="480" w:firstLineChars="200"/>
    </w:pPr>
    <w:rPr>
      <w:rFonts w:ascii="宋体" w:hAnsi="宋体"/>
      <w:sz w:val="24"/>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next w:val="50"/>
    <w:link w:val="318"/>
    <w:qFormat/>
    <w:uiPriority w:val="0"/>
    <w:pPr>
      <w:ind w:firstLine="420"/>
    </w:pPr>
    <w:rPr>
      <w:rFonts w:hAnsi="Calibri" w:cs="Times New Roman"/>
      <w:snapToGrid/>
      <w:szCs w:val="20"/>
    </w:rPr>
  </w:style>
  <w:style w:type="paragraph" w:styleId="61">
    <w:name w:val="Body Text First Indent 2"/>
    <w:basedOn w:val="16"/>
    <w:next w:val="60"/>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spacing w:before="240" w:after="240" w:line="360" w:lineRule="auto"/>
      <w:ind w:left="851" w:right="407" w:rightChars="194" w:hanging="851"/>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1"/>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spacing w:before="200" w:after="200" w:line="560" w:lineRule="exac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838"/>
    <w:qFormat/>
    <w:uiPriority w:val="0"/>
    <w:pPr>
      <w:tabs>
        <w:tab w:val="right" w:leader="dot" w:pos="8268"/>
      </w:tabs>
      <w:ind w:left="0" w:firstLine="480" w:firstLineChars="200"/>
    </w:pPr>
    <w:rPr>
      <w:rFonts w:ascii="仿宋_GB2312" w:hAnsi="Courier New" w:eastAsia="仿宋_GB2312"/>
      <w:kern w:val="28"/>
      <w:sz w:val="24"/>
    </w:rPr>
  </w:style>
  <w:style w:type="paragraph" w:customStyle="1" w:styleId="838">
    <w:name w:val="正文_自定义"/>
    <w:basedOn w:val="1"/>
    <w:qFormat/>
    <w:uiPriority w:val="0"/>
    <w:pPr>
      <w:ind w:left="420"/>
    </w:pPr>
    <w:rPr>
      <w:rFonts w:eastAsia="仿宋"/>
      <w:sz w:val="28"/>
      <w:szCs w:val="28"/>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69"/>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5"/>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pPr>
    <w:rPr>
      <w:rFonts w:ascii="Arial Narrow" w:hAnsi="Arial Narrow"/>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6"/>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0"/>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59"/>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0"/>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5"/>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Normal]"/>
    <w:qFormat/>
    <w:uiPriority w:val="0"/>
    <w:rPr>
      <w:rFonts w:ascii="宋体" w:hAnsi="宋体" w:eastAsia="宋体" w:cs="Times New Roman"/>
      <w:sz w:val="24"/>
      <w:szCs w:val="22"/>
      <w:lang w:val="zh-CN" w:eastAsia="zh-CN" w:bidi="ar-SA"/>
    </w:rPr>
  </w:style>
  <w:style w:type="table" w:customStyle="1" w:styleId="963">
    <w:name w:val="Table Normal"/>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964">
    <w:name w:val="_Style 2"/>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F2732-98C7-4ECB-8F4E-AAB04443B33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33176</Words>
  <Characters>35304</Characters>
  <Lines>293</Lines>
  <Paragraphs>82</Paragraphs>
  <TotalTime>58</TotalTime>
  <ScaleCrop>false</ScaleCrop>
  <LinksUpToDate>false</LinksUpToDate>
  <CharactersWithSpaces>39742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那年那月那日</cp:lastModifiedBy>
  <cp:lastPrinted>2021-12-27T03:06:00Z</cp:lastPrinted>
  <dcterms:modified xsi:type="dcterms:W3CDTF">2022-06-28T01:26:13Z</dcterms:modified>
  <dc:title>杭州市市民卡扩大发卡工程</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FCB43256B17E4AE2914996A37B26B20F</vt:lpwstr>
  </property>
</Properties>
</file>