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4"/>
          <w:szCs w:val="44"/>
        </w:rPr>
      </w:pPr>
      <w:r>
        <w:rPr>
          <w:rFonts w:hint="eastAsia" w:ascii="仿宋" w:hAnsi="仿宋" w:eastAsia="仿宋" w:cs="仿宋_GB2312"/>
          <w:sz w:val="44"/>
          <w:szCs w:val="44"/>
        </w:rPr>
        <w:t xml:space="preserve">杭州市临安区2022年渔业资源增殖放流项目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color w:val="000000" w:themeColor="text1"/>
          <w:sz w:val="30"/>
          <w:szCs w:val="30"/>
          <w:lang w:eastAsia="zh-CN"/>
          <w14:textFill>
            <w14:solidFill>
              <w14:schemeClr w14:val="tx1"/>
            </w14:solidFill>
          </w14:textFill>
        </w:rPr>
      </w:pPr>
      <w:r>
        <w:rPr>
          <w:rFonts w:hint="eastAsia" w:ascii="仿宋" w:hAnsi="仿宋" w:eastAsia="仿宋" w:cs="仿宋_GB2312"/>
          <w:sz w:val="30"/>
          <w:szCs w:val="30"/>
        </w:rPr>
        <w:t>编号</w:t>
      </w:r>
      <w:r>
        <w:rPr>
          <w:rFonts w:ascii="仿宋" w:hAnsi="仿宋" w:eastAsia="仿宋" w:cs="仿宋_GB2312"/>
          <w:sz w:val="30"/>
          <w:szCs w:val="30"/>
          <w:highlight w:val="none"/>
        </w:rPr>
        <w:t>:</w:t>
      </w:r>
      <w:r>
        <w:rPr>
          <w:rFonts w:hint="eastAsia" w:ascii="仿宋" w:hAnsi="仿宋" w:eastAsia="仿宋" w:cs="仿宋_GB2312"/>
          <w:color w:val="000000" w:themeColor="text1"/>
          <w:sz w:val="30"/>
          <w:szCs w:val="30"/>
          <w:highlight w:val="none"/>
          <w:lang w:eastAsia="zh-CN"/>
          <w14:textFill>
            <w14:solidFill>
              <w14:schemeClr w14:val="tx1"/>
            </w14:solidFill>
          </w14:textFill>
        </w:rPr>
        <w:t>临[2022]1020-1021号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500" w:lineRule="exact"/>
        <w:ind w:right="532"/>
        <w:jc w:val="center"/>
        <w:rPr>
          <w:rFonts w:hint="eastAsia" w:ascii="宋体" w:hAnsi="宋体" w:cs="宋体"/>
          <w:color w:val="000000"/>
          <w:sz w:val="32"/>
          <w:szCs w:val="32"/>
          <w:lang w:eastAsia="zh-CN"/>
        </w:rPr>
      </w:pPr>
      <w:r>
        <w:rPr>
          <w:rFonts w:hint="eastAsia" w:ascii="宋体" w:hAnsi="宋体" w:cs="宋体"/>
          <w:color w:val="000000"/>
          <w:sz w:val="32"/>
          <w:szCs w:val="32"/>
        </w:rPr>
        <w:t>采购</w:t>
      </w:r>
      <w:r>
        <w:rPr>
          <w:rFonts w:hint="eastAsia" w:ascii="宋体" w:hAnsi="宋体" w:cs="宋体"/>
          <w:color w:val="000000"/>
          <w:sz w:val="32"/>
          <w:szCs w:val="32"/>
          <w:lang w:eastAsia="zh-CN"/>
        </w:rPr>
        <w:t>人</w:t>
      </w:r>
      <w:r>
        <w:rPr>
          <w:rFonts w:hint="eastAsia" w:ascii="宋体" w:hAnsi="宋体" w:cs="宋体"/>
          <w:color w:val="000000"/>
          <w:sz w:val="32"/>
          <w:szCs w:val="32"/>
        </w:rPr>
        <w:t>：杭州市临安区农业农村局</w:t>
      </w:r>
    </w:p>
    <w:p>
      <w:pPr>
        <w:spacing w:line="500" w:lineRule="exact"/>
        <w:ind w:right="532"/>
        <w:jc w:val="center"/>
        <w:rPr>
          <w:rFonts w:hint="eastAsia" w:ascii="宋体" w:hAnsi="宋体" w:cs="宋体"/>
          <w:color w:val="000000"/>
          <w:sz w:val="32"/>
          <w:szCs w:val="32"/>
        </w:rPr>
      </w:pPr>
      <w:r>
        <w:rPr>
          <w:rFonts w:hint="eastAsia" w:ascii="宋体" w:hAnsi="宋体" w:cs="宋体"/>
          <w:color w:val="000000"/>
          <w:sz w:val="32"/>
          <w:szCs w:val="32"/>
        </w:rPr>
        <w:t>采购机构：浙江中际工程项目管理有限公司</w:t>
      </w:r>
    </w:p>
    <w:p>
      <w:pPr>
        <w:pStyle w:val="34"/>
        <w:spacing w:before="120" w:after="120" w:line="360" w:lineRule="auto"/>
        <w:jc w:val="center"/>
        <w:rPr>
          <w:rFonts w:hint="eastAsia" w:ascii="宋体" w:hAnsi="宋体" w:eastAsia="宋体" w:cs="宋体"/>
          <w:color w:val="000000"/>
          <w:sz w:val="32"/>
          <w:szCs w:val="32"/>
          <w:highlight w:val="none"/>
          <w:lang w:val="en-US" w:eastAsia="zh-CN"/>
        </w:rPr>
      </w:pPr>
      <w:r>
        <w:rPr>
          <w:rFonts w:hint="eastAsia" w:ascii="宋体" w:hAnsi="宋体" w:cs="宋体"/>
          <w:color w:val="000000"/>
          <w:sz w:val="32"/>
          <w:szCs w:val="32"/>
        </w:rPr>
        <w:t>二〇二</w:t>
      </w:r>
      <w:r>
        <w:rPr>
          <w:rFonts w:hint="eastAsia" w:hAnsi="宋体" w:cs="宋体"/>
          <w:color w:val="000000"/>
          <w:sz w:val="32"/>
          <w:szCs w:val="32"/>
          <w:lang w:eastAsia="zh-CN"/>
        </w:rPr>
        <w:t>二</w:t>
      </w:r>
      <w:r>
        <w:rPr>
          <w:rFonts w:hint="eastAsia" w:ascii="宋体" w:hAnsi="宋体" w:cs="宋体"/>
          <w:color w:val="000000"/>
          <w:sz w:val="32"/>
          <w:szCs w:val="32"/>
        </w:rPr>
        <w:t>年</w:t>
      </w:r>
      <w:r>
        <w:rPr>
          <w:rFonts w:hint="eastAsia" w:hAnsi="宋体" w:cs="宋体"/>
          <w:color w:val="000000"/>
          <w:sz w:val="32"/>
          <w:szCs w:val="32"/>
          <w:lang w:val="en-US" w:eastAsia="zh-CN"/>
        </w:rPr>
        <w:t>五</w:t>
      </w:r>
      <w:r>
        <w:rPr>
          <w:rFonts w:hint="eastAsia" w:ascii="宋体" w:hAnsi="宋体" w:cs="宋体"/>
          <w:color w:val="000000"/>
          <w:sz w:val="32"/>
          <w:szCs w:val="32"/>
          <w:highlight w:val="none"/>
        </w:rPr>
        <w:t>月</w:t>
      </w:r>
      <w:r>
        <w:rPr>
          <w:rFonts w:hint="eastAsia" w:hAnsi="宋体" w:cs="宋体"/>
          <w:color w:val="000000"/>
          <w:sz w:val="32"/>
          <w:szCs w:val="32"/>
          <w:highlight w:val="none"/>
          <w:lang w:eastAsia="zh-CN"/>
        </w:rPr>
        <w:t>十号</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杭州市临安区2022年渔业资源增殖放流项目</w:t>
      </w:r>
      <w:r>
        <w:rPr>
          <w:rFonts w:hint="eastAsia" w:ascii="仿宋_GB2312" w:hAnsi="仿宋" w:eastAsia="仿宋_GB2312"/>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color w:val="000000" w:themeColor="text1"/>
          <w:sz w:val="24"/>
          <w:highlight w:val="none"/>
          <w:lang w:eastAsia="zh-CN"/>
          <w14:textFill>
            <w14:solidFill>
              <w14:schemeClr w14:val="tx1"/>
            </w14:solidFill>
          </w14:textFill>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highlight w:val="none"/>
        </w:rPr>
        <w:t>：</w:t>
      </w:r>
      <w:r>
        <w:rPr>
          <w:rFonts w:hint="eastAsia" w:ascii="仿宋_GB2312" w:hAnsi="仿宋" w:eastAsia="仿宋_GB2312"/>
          <w:color w:val="000000" w:themeColor="text1"/>
          <w:sz w:val="24"/>
          <w:highlight w:val="none"/>
          <w:lang w:eastAsia="zh-CN"/>
          <w14:textFill>
            <w14:solidFill>
              <w14:schemeClr w14:val="tx1"/>
            </w14:solidFill>
          </w14:textFill>
        </w:rPr>
        <w:t>临[2022]1020-1021号</w:t>
      </w:r>
    </w:p>
    <w:p>
      <w:pPr>
        <w:spacing w:line="360" w:lineRule="auto"/>
        <w:ind w:firstLine="480"/>
        <w:rPr>
          <w:rFonts w:hint="eastAsia" w:ascii="仿宋_GB2312" w:hAnsi="仿宋" w:eastAsia="仿宋_GB2312" w:cs="仿宋_GB2312"/>
          <w:sz w:val="24"/>
        </w:rPr>
      </w:pPr>
      <w:r>
        <w:rPr>
          <w:rFonts w:ascii="仿宋_GB2312" w:hAnsi="仿宋" w:eastAsia="仿宋_GB2312"/>
          <w:b/>
          <w:sz w:val="24"/>
        </w:rPr>
        <w:t>项目名称：</w:t>
      </w:r>
      <w:r>
        <w:rPr>
          <w:rFonts w:hint="eastAsia" w:ascii="仿宋_GB2312" w:hAnsi="仿宋" w:eastAsia="仿宋_GB2312" w:cs="仿宋_GB2312"/>
          <w:sz w:val="24"/>
        </w:rPr>
        <w:t>杭州市临安区2022年渔业资源增殖放流项目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cs="仿宋_GB2312"/>
          <w:sz w:val="24"/>
          <w:lang w:val="en-US" w:eastAsia="zh-CN"/>
        </w:rPr>
        <w:t>290000元。</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cs="仿宋_GB2312"/>
          <w:sz w:val="24"/>
          <w:lang w:val="en-US" w:eastAsia="zh-CN"/>
        </w:rPr>
        <w:t>290000元。</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2" w:firstLineChars="200"/>
        <w:rPr>
          <w:rFonts w:hint="eastAsia" w:ascii="仿宋_GB2312" w:hAnsi="仿宋" w:eastAsia="仿宋_GB2312"/>
          <w:bCs/>
          <w:snapToGrid/>
          <w:color w:val="FF0000"/>
          <w:kern w:val="2"/>
          <w:sz w:val="24"/>
          <w:szCs w:val="24"/>
          <w:lang w:eastAsia="zh-CN"/>
        </w:rPr>
      </w:pPr>
      <w:r>
        <w:rPr>
          <w:rFonts w:hint="eastAsia" w:ascii="仿宋_GB2312" w:hAnsi="仿宋" w:eastAsia="仿宋_GB2312"/>
          <w:b/>
          <w:color w:val="auto"/>
          <w:sz w:val="24"/>
        </w:rPr>
        <w:t>采购需求：</w:t>
      </w:r>
    </w:p>
    <w:tbl>
      <w:tblPr>
        <w:tblStyle w:val="62"/>
        <w:tblW w:w="107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709"/>
        <w:gridCol w:w="1873"/>
        <w:gridCol w:w="1305"/>
        <w:gridCol w:w="1074"/>
        <w:gridCol w:w="1350"/>
        <w:gridCol w:w="1281"/>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采购内容</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标项</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标项内容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规格</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预算价</w:t>
            </w:r>
          </w:p>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（万元）</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固定总价（万元）</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最低投标尾数（个）</w:t>
            </w:r>
          </w:p>
        </w:tc>
        <w:tc>
          <w:tcPr>
            <w:tcW w:w="18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286" w:type="dxa"/>
            <w:vMerge w:val="restart"/>
            <w:tcBorders>
              <w:top w:val="single" w:color="auto" w:sz="4" w:space="0"/>
              <w:left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杭州市临安区2022年渔业资源增殖放流项目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1</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eastAsia="zh-CN"/>
              </w:rPr>
              <w:t>夏花</w:t>
            </w:r>
            <w:r>
              <w:rPr>
                <w:rFonts w:hint="eastAsia" w:ascii="仿宋_GB2312" w:hAnsi="仿宋" w:eastAsia="仿宋_GB2312" w:cs="仿宋_GB2312"/>
                <w:sz w:val="24"/>
                <w:lang w:val="en-US" w:eastAsia="zh-CN"/>
              </w:rPr>
              <w:t>-光唇鱼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25</w:t>
            </w:r>
          </w:p>
        </w:tc>
        <w:tc>
          <w:tcPr>
            <w:tcW w:w="1885" w:type="dxa"/>
            <w:vMerge w:val="restart"/>
            <w:tcBorders>
              <w:top w:val="single" w:color="auto" w:sz="4" w:space="0"/>
              <w:left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所有标项的投标报价为固定总价不能变，以投标尾数来计算报价得分，投标尾数数量以“个”为单位，1个等于1万尾。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2</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夏花</w:t>
            </w:r>
            <w:r>
              <w:rPr>
                <w:rFonts w:hint="eastAsia" w:ascii="仿宋_GB2312" w:hAnsi="仿宋" w:eastAsia="仿宋_GB2312" w:cs="仿宋_GB2312"/>
                <w:sz w:val="24"/>
                <w:lang w:val="en-US" w:eastAsia="zh-CN"/>
              </w:rPr>
              <w:t>-花鱼骨</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130</w:t>
            </w:r>
          </w:p>
        </w:tc>
        <w:tc>
          <w:tcPr>
            <w:tcW w:w="1885"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3</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宋体" w:cs="仿宋_GB2312"/>
                <w:sz w:val="24"/>
                <w:lang w:val="en-US" w:eastAsia="zh-CN"/>
              </w:rPr>
            </w:pPr>
            <w:r>
              <w:rPr>
                <w:rFonts w:hint="eastAsia" w:ascii="仿宋_GB2312" w:hAnsi="仿宋" w:eastAsia="仿宋_GB2312" w:cs="仿宋_GB2312"/>
                <w:sz w:val="24"/>
                <w:lang w:val="en-US" w:eastAsia="zh-CN"/>
              </w:rPr>
              <w:t>夏花-黄尾密鲴</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130</w:t>
            </w:r>
          </w:p>
        </w:tc>
        <w:tc>
          <w:tcPr>
            <w:tcW w:w="1885"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宋体" w:cs="仿宋_GB2312"/>
                <w:sz w:val="24"/>
                <w:lang w:val="en-US" w:eastAsia="zh-CN"/>
              </w:rPr>
            </w:pPr>
            <w:r>
              <w:rPr>
                <w:rFonts w:hint="eastAsia" w:ascii="仿宋_GB2312" w:hAnsi="仿宋" w:eastAsia="仿宋_GB2312" w:cs="仿宋_GB2312"/>
                <w:sz w:val="24"/>
                <w:lang w:eastAsia="zh-CN"/>
              </w:rPr>
              <w:t>冬片</w:t>
            </w:r>
            <w:r>
              <w:rPr>
                <w:rFonts w:hint="eastAsia" w:ascii="仿宋_GB2312" w:hAnsi="仿宋" w:eastAsia="仿宋_GB2312" w:cs="仿宋_GB2312"/>
                <w:sz w:val="24"/>
                <w:lang w:val="en-US" w:eastAsia="zh-CN"/>
              </w:rPr>
              <w:t>-</w:t>
            </w:r>
            <w:r>
              <w:rPr>
                <w:rFonts w:hint="eastAsia" w:ascii="仿宋_GB2312" w:hAnsi="仿宋" w:eastAsia="仿宋_GB2312" w:cs="仿宋_GB2312"/>
                <w:sz w:val="24"/>
                <w:lang w:eastAsia="zh-CN"/>
              </w:rPr>
              <w:t>鳙鱼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≥10cm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8</w:t>
            </w:r>
          </w:p>
        </w:tc>
        <w:tc>
          <w:tcPr>
            <w:tcW w:w="1885"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000000"/>
          <w:sz w:val="24"/>
          <w:szCs w:val="24"/>
          <w:highlight w:val="yellow"/>
          <w:lang w:val="en-US" w:eastAsia="zh-CN"/>
        </w:rPr>
      </w:pPr>
      <w:r>
        <w:rPr>
          <w:rFonts w:hint="eastAsia" w:ascii="仿宋_GB2312" w:hAnsi="仿宋" w:eastAsia="仿宋_GB2312" w:cs="Times New Roman"/>
          <w:b/>
          <w:snapToGrid w:val="0"/>
          <w:color w:val="auto"/>
          <w:kern w:val="28"/>
          <w:sz w:val="24"/>
          <w:szCs w:val="20"/>
          <w:lang w:val="en-US" w:eastAsia="zh-CN" w:bidi="ar-SA"/>
        </w:rPr>
        <w:t>合同履约期限：</w:t>
      </w:r>
      <w:r>
        <w:rPr>
          <w:rFonts w:hint="eastAsia" w:ascii="仿宋" w:hAnsi="仿宋" w:eastAsia="仿宋" w:cs="仿宋"/>
          <w:color w:val="000000"/>
          <w:sz w:val="24"/>
          <w:szCs w:val="24"/>
          <w:highlight w:val="none"/>
          <w:lang w:val="en-US" w:eastAsia="zh-CN"/>
        </w:rPr>
        <w:t>放流完成时间：2022年6月-12月</w:t>
      </w:r>
    </w:p>
    <w:p>
      <w:pPr>
        <w:pStyle w:val="3"/>
        <w:ind w:firstLine="516" w:firstLineChars="214"/>
        <w:rPr>
          <w:rFonts w:hint="eastAsia" w:ascii="仿宋_GB2312" w:hAnsi="仿宋" w:eastAsia="仿宋_GB2312" w:cs="Times New Roman"/>
          <w:b/>
          <w:snapToGrid w:val="0"/>
          <w:color w:val="auto"/>
          <w:kern w:val="28"/>
          <w:sz w:val="24"/>
          <w:szCs w:val="20"/>
          <w:lang w:val="en-US" w:eastAsia="zh-CN" w:bidi="ar-SA"/>
        </w:rPr>
      </w:pPr>
      <w:r>
        <w:rPr>
          <w:rFonts w:hint="eastAsia" w:ascii="仿宋_GB2312" w:hAnsi="仿宋" w:eastAsia="仿宋_GB2312" w:cs="Times New Roman"/>
          <w:b/>
          <w:snapToGrid w:val="0"/>
          <w:color w:val="auto"/>
          <w:kern w:val="28"/>
          <w:sz w:val="24"/>
          <w:szCs w:val="20"/>
          <w:lang w:val="en-US" w:eastAsia="zh-CN" w:bidi="ar-SA"/>
        </w:rPr>
        <w:t>注：本项目分为4个标项，供应商可以参加每个标项的投标，但是每个标项的投标文件应分开编制，分开上传。</w:t>
      </w:r>
    </w:p>
    <w:p>
      <w:pPr>
        <w:pStyle w:val="8"/>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numPr>
          <w:ilvl w:val="0"/>
          <w:numId w:val="1"/>
        </w:numPr>
        <w:spacing w:line="360" w:lineRule="auto"/>
        <w:ind w:firstLine="482" w:firstLineChars="200"/>
        <w:rPr>
          <w:rFonts w:hint="eastAsia" w:ascii="仿宋_GB2312" w:hAnsi="仿宋" w:eastAsia="仿宋_GB2312" w:cs="Times New Roman"/>
          <w:b/>
          <w:bCs/>
          <w:sz w:val="24"/>
          <w:lang w:val="en-US" w:eastAsia="zh-CN"/>
        </w:rPr>
      </w:pPr>
      <w:r>
        <w:rPr>
          <w:rFonts w:ascii="仿宋_GB2312" w:hAnsi="仿宋" w:eastAsia="仿宋_GB2312"/>
          <w:b/>
          <w:bCs/>
          <w:sz w:val="24"/>
        </w:rPr>
        <w:t>本项目的特定资格要求：</w:t>
      </w:r>
      <w:r>
        <w:rPr>
          <w:rFonts w:hint="eastAsia" w:ascii="仿宋_GB2312" w:hAnsi="仿宋" w:eastAsia="仿宋_GB2312" w:cs="Times New Roman"/>
          <w:b/>
          <w:bCs/>
          <w:sz w:val="24"/>
          <w:lang w:val="en-US" w:eastAsia="zh-CN"/>
        </w:rPr>
        <w:t>（标项1、标项2、标项3、标项4）</w:t>
      </w:r>
    </w:p>
    <w:p>
      <w:pPr>
        <w:pStyle w:val="2"/>
        <w:numPr>
          <w:ilvl w:val="0"/>
          <w:numId w:val="0"/>
        </w:numPr>
        <w:ind w:firstLine="482" w:firstLineChars="200"/>
        <w:rPr>
          <w:rFonts w:ascii="仿宋_GB2312" w:hAnsi="仿宋" w:eastAsia="仿宋_GB2312" w:cs="Times New Roman"/>
          <w:b/>
          <w:bCs/>
          <w:snapToGrid/>
          <w:kern w:val="2"/>
          <w:sz w:val="24"/>
          <w:szCs w:val="24"/>
          <w:highlight w:val="yellow"/>
          <w:lang w:val="en-US" w:eastAsia="zh-CN" w:bidi="ar-SA"/>
        </w:rPr>
      </w:pPr>
      <w:r>
        <w:rPr>
          <w:rFonts w:hint="eastAsia" w:ascii="仿宋_GB2312" w:hAnsi="仿宋" w:eastAsia="仿宋_GB2312" w:cs="Times New Roman"/>
          <w:b/>
          <w:bCs/>
          <w:snapToGrid/>
          <w:kern w:val="2"/>
          <w:sz w:val="24"/>
          <w:szCs w:val="24"/>
          <w:lang w:val="en-US" w:eastAsia="zh-CN" w:bidi="ar-SA"/>
        </w:rPr>
        <w:t>苗种供应商必须持有效的省级《水产种苗生产许可证》</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w:t>
      </w:r>
      <w:r>
        <w:rPr>
          <w:rFonts w:ascii="仿宋_GB2312" w:hAnsi="仿宋" w:eastAsia="仿宋_GB2312"/>
          <w:color w:val="FF0000"/>
          <w:sz w:val="24"/>
        </w:rPr>
        <w:t>至</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30</w:t>
      </w:r>
      <w:r>
        <w:rPr>
          <w:rFonts w:ascii="仿宋_GB2312" w:hAnsi="仿宋" w:eastAsia="仿宋_GB2312"/>
          <w:color w:val="FF0000"/>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FF0000"/>
          <w:sz w:val="24"/>
          <w:u w:val="single"/>
        </w:rPr>
        <w:t xml:space="preserve"> </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FF0000"/>
          <w:sz w:val="24"/>
          <w:u w:val="single"/>
        </w:rPr>
      </w:pPr>
      <w:r>
        <w:rPr>
          <w:rFonts w:hint="eastAsia" w:ascii="仿宋_GB2312" w:hAnsi="仿宋" w:eastAsia="仿宋_GB2312"/>
          <w:b/>
          <w:sz w:val="24"/>
        </w:rPr>
        <w:t>开标时间：</w:t>
      </w:r>
      <w:r>
        <w:rPr>
          <w:rFonts w:hint="eastAsia" w:ascii="仿宋_GB2312" w:hAnsi="仿宋" w:eastAsia="仿宋_GB2312"/>
          <w:color w:val="FF0000"/>
          <w:sz w:val="24"/>
          <w:u w:val="single"/>
        </w:rPr>
        <w:t>202</w:t>
      </w:r>
      <w:r>
        <w:rPr>
          <w:rFonts w:hint="eastAsia" w:ascii="仿宋_GB2312" w:hAnsi="仿宋" w:eastAsia="仿宋_GB2312"/>
          <w:color w:val="FF0000"/>
          <w:sz w:val="24"/>
          <w:u w:val="single"/>
          <w:lang w:val="en-US" w:eastAsia="zh-CN"/>
        </w:rPr>
        <w:t>2</w:t>
      </w:r>
      <w:r>
        <w:rPr>
          <w:rFonts w:ascii="仿宋_GB2312" w:hAnsi="仿宋" w:eastAsia="仿宋_GB2312"/>
          <w:color w:val="FF0000"/>
          <w:sz w:val="24"/>
          <w:u w:val="single"/>
        </w:rPr>
        <w:t>年</w:t>
      </w:r>
      <w:r>
        <w:rPr>
          <w:rFonts w:hint="eastAsia" w:ascii="仿宋_GB2312" w:hAnsi="仿宋" w:eastAsia="仿宋_GB2312"/>
          <w:color w:val="FF0000"/>
          <w:sz w:val="24"/>
          <w:u w:val="single"/>
          <w:lang w:val="en-US" w:eastAsia="zh-CN"/>
        </w:rPr>
        <w:t>05</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30</w:t>
      </w:r>
      <w:r>
        <w:rPr>
          <w:rFonts w:hint="eastAsia" w:ascii="仿宋_GB2312" w:hAnsi="仿宋" w:eastAsia="仿宋_GB2312"/>
          <w:color w:val="FF0000"/>
          <w:sz w:val="24"/>
          <w:u w:val="single"/>
        </w:rPr>
        <w:t>日</w:t>
      </w:r>
      <w:r>
        <w:rPr>
          <w:rFonts w:hint="eastAsia" w:ascii="仿宋_GB2312" w:hAnsi="仿宋" w:eastAsia="仿宋_GB2312"/>
          <w:color w:val="FF0000"/>
          <w:sz w:val="24"/>
          <w:u w:val="single"/>
          <w:lang w:val="en-US" w:eastAsia="zh-CN"/>
        </w:rPr>
        <w:t>14</w:t>
      </w:r>
      <w:r>
        <w:rPr>
          <w:rFonts w:hint="eastAsia" w:ascii="仿宋_GB2312" w:hAnsi="仿宋" w:eastAsia="仿宋_GB2312"/>
          <w:color w:val="FF0000"/>
          <w:sz w:val="24"/>
          <w:u w:val="single"/>
        </w:rPr>
        <w:t>点</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bCs/>
          <w:color w:val="FF0000"/>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b w:val="0"/>
          <w:bCs w:val="0"/>
          <w:kern w:val="2"/>
          <w:sz w:val="24"/>
          <w:szCs w:val="24"/>
          <w:lang w:val="en-US" w:eastAsia="zh-CN" w:bidi="ar-SA"/>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1、采购人：杭州市临安区农业农村局</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经办联系人（询问）：顾黎清       联系电话（询问）：0571-61102638</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highlight w:val="none"/>
          <w:lang w:val="en-US" w:eastAsia="zh-CN" w:bidi="ar-SA"/>
        </w:rPr>
        <w:t xml:space="preserve">质疑答复联系人：梅晖          联系电话：0571-61083908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highlight w:val="none"/>
          <w:lang w:val="en-US" w:eastAsia="zh-CN" w:bidi="ar-SA"/>
        </w:rPr>
      </w:pPr>
      <w:r>
        <w:rPr>
          <w:rFonts w:hint="eastAsia" w:ascii="仿宋_GB2312" w:hAnsi="仿宋" w:eastAsia="仿宋_GB2312" w:cs="仿宋_GB2312"/>
          <w:b w:val="0"/>
          <w:bCs w:val="0"/>
          <w:kern w:val="2"/>
          <w:sz w:val="24"/>
          <w:szCs w:val="24"/>
          <w:lang w:val="en-US" w:eastAsia="zh-CN" w:bidi="ar-SA"/>
        </w:rPr>
        <w:t>地址：</w:t>
      </w:r>
      <w:r>
        <w:rPr>
          <w:rFonts w:hint="eastAsia" w:ascii="仿宋_GB2312" w:hAnsi="仿宋" w:eastAsia="仿宋_GB2312" w:cs="仿宋_GB2312"/>
          <w:b w:val="0"/>
          <w:bCs w:val="0"/>
          <w:kern w:val="2"/>
          <w:sz w:val="24"/>
          <w:szCs w:val="24"/>
          <w:highlight w:val="none"/>
          <w:lang w:val="en-US" w:eastAsia="zh-CN" w:bidi="ar-SA"/>
        </w:rPr>
        <w:t>杭州市临安区锦北街道科技大道4398号行政服务中心3号楼2楼</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2、采购机构：浙江中际工程项目管理有限公司</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经办联系人（询问）： 苏丽亚        联系电话（询问）： 13989885222  0571-63811976</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质疑答复联系人：兰丽霞、王光芬   联系电话： 13606573508  0571-63811976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地址：杭州市临安区锦北街道武肃街1399号6楼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3、同级政府采购监督管理部门名称：杭州市临安区财政局政府采购监督管理科</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 xml:space="preserve">联系人：喻伟建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监督投诉电话：0571-61073953   传真：0571-63722886</w:t>
      </w:r>
    </w:p>
    <w:p>
      <w:pPr>
        <w:spacing w:line="360" w:lineRule="auto"/>
        <w:rPr>
          <w:rFonts w:ascii="仿宋_GB2312" w:hAnsi="仿宋" w:eastAsia="仿宋_GB2312"/>
          <w:sz w:val="24"/>
        </w:rPr>
      </w:pPr>
      <w:r>
        <w:rPr>
          <w:rFonts w:hint="eastAsia" w:ascii="仿宋_GB2312" w:hAnsi="仿宋" w:eastAsia="仿宋_GB2312" w:cs="仿宋_GB2312"/>
          <w:b w:val="0"/>
          <w:bCs w:val="0"/>
          <w:kern w:val="2"/>
          <w:sz w:val="24"/>
          <w:szCs w:val="24"/>
          <w:lang w:val="en-US" w:eastAsia="zh-CN" w:bidi="ar-SA"/>
        </w:rPr>
        <w:t xml:space="preserve">地址：杭州市临安区锦北街道科技大道4398号市民中心4号楼B座1129  </w:t>
      </w:r>
      <w:r>
        <w:rPr>
          <w:rFonts w:ascii="仿宋_GB2312" w:hAnsi="仿宋" w:eastAsia="仿宋_GB2312"/>
          <w:sz w:val="24"/>
        </w:rPr>
        <w:t xml:space="preserve">     </w:t>
      </w:r>
    </w:p>
    <w:p>
      <w:pPr>
        <w:spacing w:line="360" w:lineRule="auto"/>
        <w:ind w:firstLine="420" w:firstLineChars="200"/>
        <w:rPr>
          <w:rFonts w:ascii="仿宋_GB2312" w:hAnsi="仿宋" w:eastAsia="仿宋_GB2312"/>
          <w:sz w:val="21"/>
          <w:szCs w:val="21"/>
        </w:rPr>
      </w:pPr>
      <w:r>
        <w:rPr>
          <w:rFonts w:hint="eastAsia" w:ascii="仿宋_GB2312" w:hAnsi="仿宋" w:eastAsia="仿宋_GB2312"/>
          <w:sz w:val="21"/>
          <w:szCs w:val="21"/>
        </w:rPr>
        <w:t>若对项目采购电子交易系统操作有疑问，可登录政采云（</w:t>
      </w:r>
      <w:r>
        <w:rPr>
          <w:rFonts w:ascii="仿宋_GB2312" w:hAnsi="仿宋" w:eastAsia="仿宋_GB2312"/>
          <w:sz w:val="21"/>
          <w:szCs w:val="21"/>
        </w:rPr>
        <w:t>https://www.zcygov.cn/），点击右侧咨询小采，获取采小蜜智能服务管家帮助，或拨打政</w:t>
      </w:r>
      <w:r>
        <w:rPr>
          <w:rFonts w:hint="eastAsia" w:ascii="仿宋_GB2312" w:hAnsi="仿宋" w:eastAsia="仿宋_GB2312"/>
          <w:sz w:val="21"/>
          <w:szCs w:val="21"/>
        </w:rPr>
        <w:t>采云服务热线</w:t>
      </w:r>
      <w:r>
        <w:rPr>
          <w:rFonts w:ascii="仿宋_GB2312" w:hAnsi="仿宋" w:eastAsia="仿宋_GB2312"/>
          <w:sz w:val="21"/>
          <w:szCs w:val="21"/>
        </w:rPr>
        <w:t>400-881-7190获取热线服务帮助。</w:t>
      </w:r>
    </w:p>
    <w:p>
      <w:pPr>
        <w:spacing w:line="360" w:lineRule="auto"/>
        <w:ind w:firstLine="420" w:firstLineChars="200"/>
        <w:rPr>
          <w:rFonts w:ascii="仿宋_GB2312" w:hAnsi="仿宋" w:eastAsia="仿宋_GB2312"/>
          <w:sz w:val="21"/>
          <w:szCs w:val="21"/>
        </w:rPr>
      </w:pPr>
      <w:r>
        <w:rPr>
          <w:rFonts w:ascii="仿宋_GB2312" w:hAnsi="仿宋" w:eastAsia="仿宋_GB2312"/>
          <w:sz w:val="21"/>
          <w:szCs w:val="21"/>
        </w:rPr>
        <w:t>CA问题联系电话（人工）：</w:t>
      </w:r>
      <w:r>
        <w:rPr>
          <w:rFonts w:hint="eastAsia" w:ascii="仿宋_GB2312" w:hAnsi="仿宋" w:eastAsia="仿宋_GB2312"/>
          <w:sz w:val="21"/>
          <w:szCs w:val="21"/>
        </w:rPr>
        <w:t>汇信</w:t>
      </w:r>
      <w:r>
        <w:rPr>
          <w:rFonts w:ascii="仿宋_GB2312" w:hAnsi="仿宋" w:eastAsia="仿宋_GB2312"/>
          <w:sz w:val="21"/>
          <w:szCs w:val="21"/>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val="0"/>
                <w:bCs/>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val="0"/>
                <w:bCs/>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hint="eastAsia" w:ascii="仿宋" w:hAnsi="仿宋" w:eastAsia="仿宋" w:cs="仿宋"/>
                <w:b/>
                <w:bCs/>
                <w:color w:val="000000" w:themeColor="text1"/>
                <w:kern w:val="0"/>
                <w:sz w:val="24"/>
                <w:lang w:eastAsia="zh-CN"/>
                <w14:textFill>
                  <w14:solidFill>
                    <w14:schemeClr w14:val="tx1"/>
                  </w14:solidFill>
                </w14:textFill>
              </w:rPr>
              <w:t>或者投标尾数低于最低投标尾数的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4"/>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lang w:val="en-US" w:eastAsia="zh-CN"/>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szCs w:val="24"/>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tabs>
                <w:tab w:val="left" w:pos="0"/>
                <w:tab w:val="clear" w:pos="432"/>
              </w:tabs>
              <w:rPr>
                <w:lang w:val="en-US"/>
              </w:rPr>
            </w:pPr>
            <w:r>
              <w:rPr>
                <w:rFonts w:hint="eastAsia" w:ascii="仿宋_GB2312" w:hAnsi="仿宋" w:eastAsia="仿宋_GB2312"/>
                <w:sz w:val="24"/>
              </w:rPr>
              <w:t>采购标的：</w:t>
            </w:r>
            <w:r>
              <w:rPr>
                <w:rFonts w:hint="eastAsia" w:ascii="仿宋_GB2312" w:hAnsi="宋体" w:eastAsia="仿宋_GB2312" w:cs="宋体"/>
                <w:color w:val="000000" w:themeColor="text1"/>
                <w:sz w:val="24"/>
                <w:highlight w:val="none"/>
                <w:u w:val="single"/>
                <w14:textFill>
                  <w14:solidFill>
                    <w14:schemeClr w14:val="tx1"/>
                  </w14:solidFill>
                </w14:textFill>
              </w:rPr>
              <w:t>杭州市临安区2022年渔业资源增殖放流项目</w:t>
            </w:r>
            <w:r>
              <w:rPr>
                <w:rFonts w:hint="eastAsia" w:ascii="仿宋_GB2312" w:hAnsi="宋体" w:eastAsia="仿宋_GB2312" w:cs="宋体"/>
                <w:sz w:val="24"/>
                <w:lang w:eastAsia="zh-CN"/>
              </w:rPr>
              <w:t>；</w:t>
            </w:r>
            <w:r>
              <w:rPr>
                <w:rFonts w:hint="eastAsia" w:ascii="仿宋_GB2312" w:hAnsi="仿宋" w:eastAsia="仿宋_GB2312"/>
                <w:sz w:val="24"/>
              </w:rPr>
              <w:t>所属行业：</w:t>
            </w:r>
            <w:r>
              <w:rPr>
                <w:rFonts w:hint="eastAsia" w:ascii="仿宋_GB2312" w:hAnsi="宋体" w:eastAsia="仿宋_GB2312" w:cs="宋体"/>
                <w:color w:val="000000" w:themeColor="text1"/>
                <w:sz w:val="24"/>
                <w:highlight w:val="none"/>
                <w:u w:val="single"/>
                <w14:textFill>
                  <w14:solidFill>
                    <w14:schemeClr w14:val="tx1"/>
                  </w14:solidFill>
                </w14:textFill>
              </w:rPr>
              <w:t xml:space="preserve"> 农、林、牧、渔业</w:t>
            </w:r>
            <w:r>
              <w:rPr>
                <w:rFonts w:hint="eastAsia" w:ascii="仿宋_GB2312" w:hAnsi="宋体" w:eastAsia="仿宋_GB2312" w:cs="宋体"/>
                <w:color w:val="000000" w:themeColor="text1"/>
                <w:sz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仿宋_GB2312"/>
                <w:sz w:val="24"/>
                <w:szCs w:val="24"/>
              </w:rPr>
              <w:t>杭州市临安区锦北街道武肃街1399号6楼</w:t>
            </w:r>
            <w:r>
              <w:rPr>
                <w:rFonts w:hint="eastAsia" w:ascii="仿宋_GB2312" w:hAnsi="仿宋" w:eastAsia="仿宋_GB2312" w:cs="Times New Roman"/>
                <w:kern w:val="28"/>
                <w:sz w:val="24"/>
                <w:szCs w:val="24"/>
              </w:rPr>
              <w:t>；</w:t>
            </w:r>
            <w:r>
              <w:rPr>
                <w:rFonts w:hint="eastAsia" w:ascii="仿宋_GB2312" w:hAnsi="仿宋" w:eastAsia="仿宋_GB2312" w:cs="仿宋_GB2312"/>
                <w:sz w:val="24"/>
                <w:szCs w:val="24"/>
              </w:rPr>
              <w:t>备份投标文件签收人员联系电话：</w:t>
            </w:r>
            <w:r>
              <w:rPr>
                <w:rFonts w:hint="eastAsia" w:ascii="仿宋_GB2312" w:hAnsi="仿宋" w:eastAsia="仿宋_GB2312"/>
                <w:sz w:val="24"/>
                <w:u w:val="single"/>
                <w:lang w:val="en-US" w:eastAsia="zh-CN"/>
              </w:rPr>
              <w:t>0571-63811976/13989885222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代理</w:t>
            </w:r>
            <w:r>
              <w:rPr>
                <w:rFonts w:hint="eastAsia" w:ascii="仿宋_GB2312" w:hAnsi="仿宋" w:eastAsia="仿宋_GB2312" w:cs="仿宋_GB2312"/>
                <w:b/>
                <w:sz w:val="24"/>
                <w:lang w:eastAsia="zh-CN"/>
              </w:rPr>
              <w:t>服务</w:t>
            </w:r>
            <w:r>
              <w:rPr>
                <w:rFonts w:hint="eastAsia" w:ascii="仿宋_GB2312" w:hAnsi="仿宋" w:eastAsia="仿宋_GB2312" w:cs="仿宋_GB2312"/>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 w:hAnsi="仿宋" w:eastAsia="仿宋" w:cs="仿宋"/>
                <w:color w:val="000000"/>
                <w:szCs w:val="21"/>
              </w:rPr>
            </w:pPr>
            <w:r>
              <w:rPr>
                <w:rFonts w:hint="eastAsia" w:ascii="仿宋" w:hAnsi="仿宋" w:eastAsia="仿宋" w:cs="仿宋"/>
                <w:color w:val="000000"/>
                <w:szCs w:val="21"/>
              </w:rPr>
              <w:t>代理服务费参照发改价格〔2011〕534号文件、国家发改委计价格〔2002〕1980号文件规定收费,单个</w:t>
            </w:r>
            <w:r>
              <w:rPr>
                <w:rFonts w:hint="eastAsia" w:ascii="仿宋" w:hAnsi="仿宋" w:eastAsia="仿宋" w:cs="仿宋"/>
                <w:color w:val="000000"/>
                <w:szCs w:val="21"/>
                <w:lang w:val="en-US" w:eastAsia="zh-CN"/>
              </w:rPr>
              <w:t>项目</w:t>
            </w:r>
            <w:r>
              <w:rPr>
                <w:rFonts w:hint="eastAsia" w:ascii="仿宋" w:hAnsi="仿宋" w:eastAsia="仿宋" w:cs="仿宋"/>
                <w:color w:val="000000"/>
                <w:szCs w:val="21"/>
              </w:rPr>
              <w:t>代理服务费不足肆仟元可按肆仟元收取</w:t>
            </w:r>
            <w:r>
              <w:rPr>
                <w:rFonts w:hint="eastAsia" w:ascii="仿宋" w:hAnsi="仿宋" w:eastAsia="仿宋" w:cs="仿宋"/>
                <w:color w:val="000000"/>
                <w:szCs w:val="21"/>
                <w:lang w:eastAsia="zh-CN"/>
              </w:rPr>
              <w:t>，</w:t>
            </w:r>
            <w:r>
              <w:rPr>
                <w:rFonts w:hint="eastAsia" w:ascii="仿宋" w:hAnsi="仿宋" w:eastAsia="仿宋" w:cs="仿宋"/>
                <w:color w:val="000000"/>
                <w:szCs w:val="21"/>
              </w:rPr>
              <w:t>代理服务收费按差额定率累进法计算。</w:t>
            </w:r>
          </w:p>
          <w:p>
            <w:pPr>
              <w:snapToGrid w:val="0"/>
              <w:spacing w:line="312"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收费对象：本项目代理服务费向</w:t>
            </w:r>
            <w:r>
              <w:rPr>
                <w:rFonts w:hint="eastAsia" w:ascii="仿宋" w:hAnsi="仿宋" w:eastAsia="仿宋" w:cs="仿宋"/>
                <w:snapToGrid w:val="0"/>
                <w:color w:val="000000"/>
                <w:kern w:val="0"/>
                <w:szCs w:val="21"/>
                <w:lang w:eastAsia="zh-CN"/>
              </w:rPr>
              <w:t>成交</w:t>
            </w:r>
            <w:r>
              <w:rPr>
                <w:rFonts w:hint="eastAsia" w:ascii="仿宋" w:hAnsi="仿宋" w:eastAsia="仿宋" w:cs="仿宋"/>
                <w:snapToGrid w:val="0"/>
                <w:color w:val="000000"/>
                <w:kern w:val="0"/>
                <w:szCs w:val="21"/>
              </w:rPr>
              <w:t>供应商收取</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缴纳时间：中标(成交)结果公示后5个工作日内一次性付清</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缴纳形式：汇票/支票/电汇/现金</w:t>
            </w:r>
          </w:p>
          <w:p>
            <w:pPr>
              <w:numPr>
                <w:ilvl w:val="0"/>
                <w:numId w:val="0"/>
              </w:num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收款单位：</w:t>
            </w:r>
            <w:r>
              <w:rPr>
                <w:rFonts w:hint="eastAsia" w:ascii="仿宋" w:hAnsi="仿宋" w:eastAsia="仿宋" w:cs="仿宋"/>
                <w:color w:val="000000"/>
                <w:kern w:val="0"/>
                <w:szCs w:val="21"/>
              </w:rPr>
              <w:t>浙江中际工程项目管理有限公司</w:t>
            </w:r>
          </w:p>
          <w:p>
            <w:pPr>
              <w:tabs>
                <w:tab w:val="left" w:pos="440"/>
              </w:tabs>
              <w:spacing w:line="312" w:lineRule="auto"/>
              <w:rPr>
                <w:rFonts w:hint="eastAsia" w:ascii="仿宋" w:hAnsi="仿宋" w:eastAsia="仿宋" w:cs="仿宋"/>
                <w:snapToGrid w:val="0"/>
                <w:color w:val="000000"/>
                <w:kern w:val="0"/>
                <w:szCs w:val="21"/>
              </w:rPr>
            </w:pPr>
            <w:r>
              <w:rPr>
                <w:rFonts w:hint="eastAsia" w:ascii="仿宋" w:hAnsi="仿宋" w:eastAsia="仿宋" w:cs="仿宋"/>
                <w:b/>
                <w:snapToGrid w:val="0"/>
                <w:color w:val="000000"/>
                <w:kern w:val="0"/>
                <w:szCs w:val="21"/>
              </w:rPr>
              <w:t>开户银行：</w:t>
            </w:r>
            <w:r>
              <w:rPr>
                <w:rFonts w:hint="eastAsia" w:ascii="仿宋" w:hAnsi="仿宋" w:eastAsia="仿宋" w:cs="仿宋"/>
                <w:color w:val="000000"/>
                <w:kern w:val="0"/>
                <w:szCs w:val="21"/>
              </w:rPr>
              <w:t>中国银行杭州城东支行</w:t>
            </w:r>
          </w:p>
          <w:p>
            <w:pPr>
              <w:snapToGrid w:val="0"/>
              <w:spacing w:line="360" w:lineRule="auto"/>
              <w:rPr>
                <w:rFonts w:hint="eastAsia" w:ascii="仿宋_GB2312" w:hAnsi="仿宋" w:eastAsia="仿宋_GB2312"/>
                <w:snapToGrid w:val="0"/>
                <w:kern w:val="28"/>
                <w:sz w:val="24"/>
              </w:rPr>
            </w:pPr>
            <w:r>
              <w:rPr>
                <w:rFonts w:hint="eastAsia" w:ascii="仿宋" w:hAnsi="仿宋" w:eastAsia="仿宋" w:cs="仿宋"/>
                <w:b/>
                <w:snapToGrid w:val="0"/>
                <w:color w:val="000000"/>
                <w:kern w:val="0"/>
                <w:szCs w:val="21"/>
              </w:rPr>
              <w:t>银行账号：</w:t>
            </w:r>
            <w:r>
              <w:rPr>
                <w:rFonts w:hint="eastAsia" w:ascii="仿宋" w:hAnsi="仿宋" w:eastAsia="仿宋" w:cs="仿宋"/>
                <w:color w:val="000000"/>
                <w:kern w:val="0"/>
                <w:szCs w:val="21"/>
              </w:rPr>
              <w:t>401 358 327 200</w:t>
            </w:r>
          </w:p>
        </w:tc>
      </w:tr>
      <w:bookmarkEnd w:id="10"/>
    </w:tbl>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4.2.4对同一采购程序环节的质疑，供应商须一次性提出。</w:t>
      </w:r>
    </w:p>
    <w:p>
      <w:pPr>
        <w:pStyle w:val="890"/>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w:t>
      </w:r>
      <w:r>
        <w:rPr>
          <w:rFonts w:hint="eastAsia" w:ascii="仿宋_GB2312" w:hAnsi="仿宋" w:eastAsia="仿宋_GB2312"/>
          <w:highlight w:val="none"/>
          <w:lang w:val="en-US" w:eastAsia="zh-CN"/>
        </w:rPr>
        <w:t>5</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w:t>
      </w:r>
      <w:r>
        <w:rPr>
          <w:rFonts w:hint="eastAsia" w:ascii="仿宋_GB2312" w:hAnsi="仿宋" w:eastAsia="仿宋_GB2312"/>
          <w:lang w:val="en-US" w:eastAsia="zh-CN"/>
        </w:rPr>
        <w:t>6</w:t>
      </w:r>
      <w:r>
        <w:rPr>
          <w:rFonts w:ascii="仿宋_GB2312" w:hAnsi="仿宋" w:eastAsia="仿宋_GB2312"/>
        </w:rPr>
        <w:t>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0"/>
        <w:shd w:val="clear" w:color="auto" w:fill="FFFFFF"/>
        <w:snapToGrid w:val="0"/>
        <w:spacing w:after="240" w:afterAutospacing="0" w:line="360" w:lineRule="auto"/>
        <w:ind w:firstLine="400"/>
        <w:contextualSpacing/>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4.4在线质疑、投诉</w:t>
      </w:r>
    </w:p>
    <w:p>
      <w:pPr>
        <w:pStyle w:val="890"/>
        <w:shd w:val="clear" w:color="auto" w:fill="FFFFFF"/>
        <w:snapToGrid w:val="0"/>
        <w:spacing w:after="240" w:afterAutospacing="0" w:line="360" w:lineRule="auto"/>
        <w:ind w:firstLine="400"/>
        <w:contextualSpacing/>
        <w:rPr>
          <w:rFonts w:hint="default" w:ascii="仿宋_GB2312" w:hAnsi="仿宋" w:eastAsia="仿宋_GB2312"/>
          <w:highlight w:val="none"/>
          <w:lang w:val="en-US" w:eastAsia="zh-CN"/>
        </w:rPr>
      </w:pPr>
      <w:r>
        <w:rPr>
          <w:rFonts w:hint="default" w:ascii="仿宋_GB2312" w:hAnsi="仿宋" w:eastAsia="仿宋_GB231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sz w:val="24"/>
        </w:rPr>
        <w:t>11.1.2落实政府采购政策需满足的资格要求</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eastAsia="zh-CN"/>
          <w14:textFill>
            <w14:solidFill>
              <w14:schemeClr w14:val="tx1"/>
            </w14:solidFill>
          </w14:textFill>
        </w:rPr>
        <w:t>（</w:t>
      </w:r>
      <w:r>
        <w:rPr>
          <w:rFonts w:ascii="仿宋_GB2312" w:hAnsi="仿宋" w:eastAsia="仿宋_GB2312" w:cs="仿宋_GB2312"/>
          <w:sz w:val="24"/>
        </w:rPr>
        <w:t>中小企业声明函</w:t>
      </w:r>
      <w:r>
        <w:rPr>
          <w:rFonts w:hint="eastAsia" w:ascii="仿宋_GB2312" w:hAnsi="仿宋" w:eastAsia="仿宋_GB2312" w:cs="仿宋_GB2312"/>
          <w:color w:val="000000" w:themeColor="text1"/>
          <w:sz w:val="24"/>
          <w:lang w:eastAsia="zh-CN"/>
          <w14:textFill>
            <w14:solidFill>
              <w14:schemeClr w14:val="tx1"/>
            </w14:solidFill>
          </w14:textFill>
        </w:rPr>
        <w:t>）</w:t>
      </w:r>
    </w:p>
    <w:p>
      <w:pPr>
        <w:snapToGrid w:val="0"/>
        <w:spacing w:line="360" w:lineRule="auto"/>
        <w:ind w:firstLine="960" w:firstLineChars="400"/>
        <w:rPr>
          <w:rFonts w:hint="eastAsia" w:ascii="仿宋_GB2312" w:hAnsi="仿宋" w:eastAsia="仿宋_GB2312" w:cs="仿宋_GB2312"/>
          <w:color w:val="000000" w:themeColor="text1"/>
          <w:sz w:val="24"/>
          <w:lang w:eastAsia="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hint="eastAsia" w:ascii="仿宋_GB2312" w:hAnsi="仿宋" w:eastAsia="仿宋_GB2312" w:cs="仿宋_GB2312"/>
          <w:sz w:val="24"/>
          <w:lang w:eastAsia="zh-CN"/>
        </w:rPr>
      </w:pPr>
      <w:r>
        <w:rPr>
          <w:rFonts w:ascii="仿宋_GB2312" w:hAnsi="仿宋" w:eastAsia="仿宋_GB2312" w:cs="仿宋_GB2312"/>
          <w:sz w:val="24"/>
        </w:rPr>
        <w:t>开标一览表（报价表）</w:t>
      </w:r>
      <w:r>
        <w:rPr>
          <w:rFonts w:hint="eastAsia" w:ascii="仿宋_GB2312" w:hAnsi="仿宋" w:eastAsia="仿宋_GB2312" w:cs="仿宋_GB2312"/>
          <w:sz w:val="24"/>
          <w:lang w:val="en-US" w:eastAsia="zh-CN"/>
        </w:rPr>
        <w:t xml:space="preserve"> </w:t>
      </w:r>
    </w:p>
    <w:p>
      <w:pPr>
        <w:spacing w:line="360" w:lineRule="auto"/>
        <w:ind w:firstLine="720" w:firstLineChars="300"/>
        <w:rPr>
          <w:rFonts w:ascii="仿宋_GB2312" w:hAnsi="仿宋" w:eastAsia="仿宋_GB2312"/>
          <w:b/>
          <w:sz w:val="24"/>
        </w:rPr>
      </w:pPr>
      <w:r>
        <w:rPr>
          <w:rFonts w:hint="eastAsia" w:ascii="仿宋_GB2312" w:hAnsi="仿宋" w:eastAsia="仿宋_GB2312" w:cs="仿宋_GB2312"/>
          <w:sz w:val="24"/>
          <w:lang w:val="en-US" w:eastAsia="zh-CN"/>
        </w:rPr>
        <w:t xml:space="preserve"> </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9"/>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_GB2312" w:hAnsi="仿宋" w:eastAsia="仿宋_GB2312" w:cs="仿宋_GB2312"/>
          <w:b/>
          <w:sz w:val="32"/>
        </w:rPr>
      </w:pPr>
    </w:p>
    <w:p>
      <w:pPr>
        <w:pStyle w:val="13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9"/>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32"/>
        <w:snapToGrid w:val="0"/>
        <w:spacing w:before="0"/>
        <w:ind w:firstLine="480" w:firstLineChars="200"/>
        <w:rPr>
          <w:rFonts w:hint="eastAsia" w:ascii="仿宋_GB2312" w:hAnsi="仿宋" w:eastAsia="仿宋_GB2312" w:cs="仿宋_GB2312"/>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32"/>
        <w:snapToGrid w:val="0"/>
        <w:spacing w:before="0"/>
        <w:ind w:left="0" w:leftChars="0"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9"/>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pStyle w:val="132"/>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w:t>
      </w:r>
      <w:r>
        <w:rPr>
          <w:rFonts w:hint="eastAsia" w:ascii="仿宋_GB2312" w:hAnsi="仿宋" w:eastAsia="仿宋_GB2312" w:cs="仿宋_GB2312"/>
          <w:b/>
          <w:bCs/>
          <w:highlight w:val="none"/>
        </w:rPr>
        <w:t>采购人不得拒收履约保函</w:t>
      </w:r>
      <w:r>
        <w:rPr>
          <w:rFonts w:hint="eastAsia" w:ascii="仿宋_GB2312" w:hAnsi="仿宋" w:eastAsia="仿宋_GB2312" w:cs="仿宋_GB2312"/>
          <w:highlight w:val="none"/>
        </w:rPr>
        <w:t>，项目验收结束后应及时退还。</w:t>
      </w:r>
    </w:p>
    <w:p>
      <w:pPr>
        <w:pStyle w:val="132"/>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9"/>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07468"/>
      <w:bookmarkEnd w:id="15"/>
      <w:bookmarkStart w:id="16" w:name="_Hlt75236290"/>
      <w:bookmarkEnd w:id="16"/>
      <w:bookmarkStart w:id="17" w:name="_Hlt75236101"/>
      <w:bookmarkEnd w:id="17"/>
      <w:bookmarkStart w:id="18" w:name="_Hlt68057669"/>
      <w:bookmarkEnd w:id="18"/>
      <w:bookmarkStart w:id="19" w:name="_Hlt68403820"/>
      <w:bookmarkEnd w:id="19"/>
      <w:bookmarkStart w:id="20" w:name="_Hlt68072998"/>
      <w:bookmarkEnd w:id="20"/>
      <w:bookmarkStart w:id="21" w:name="_Hlt75236011"/>
      <w:bookmarkEnd w:id="21"/>
      <w:bookmarkStart w:id="22" w:name="_Hlt68072990"/>
      <w:bookmarkEnd w:id="22"/>
      <w:bookmarkStart w:id="23" w:name="_Hlt74714665"/>
      <w:bookmarkEnd w:id="23"/>
      <w:bookmarkStart w:id="24" w:name="_Hlt68073093"/>
      <w:bookmarkEnd w:id="24"/>
      <w:bookmarkStart w:id="25" w:name="_Hlt7473029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jc w:val="left"/>
        <w:rPr>
          <w:rFonts w:hint="eastAsia" w:ascii="仿宋_GB2312" w:hAnsi="仿宋" w:eastAsia="仿宋_GB2312" w:cs="仿宋_GB2312"/>
          <w:b/>
          <w:bCs/>
          <w:sz w:val="24"/>
          <w:lang w:eastAsia="zh-CN"/>
        </w:rPr>
      </w:pPr>
      <w:r>
        <w:rPr>
          <w:rFonts w:hint="eastAsia" w:ascii="仿宋_GB2312" w:hAnsi="仿宋" w:eastAsia="仿宋_GB2312" w:cs="仿宋_GB2312"/>
          <w:b/>
          <w:bCs/>
          <w:sz w:val="24"/>
          <w:lang w:eastAsia="zh-CN"/>
        </w:rPr>
        <w:t>一、采购内容</w:t>
      </w:r>
    </w:p>
    <w:tbl>
      <w:tblPr>
        <w:tblStyle w:val="62"/>
        <w:tblW w:w="10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709"/>
        <w:gridCol w:w="1873"/>
        <w:gridCol w:w="1305"/>
        <w:gridCol w:w="1074"/>
        <w:gridCol w:w="1350"/>
        <w:gridCol w:w="1281"/>
        <w:gridCol w:w="1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采购内容</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标项</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标项内容</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规格</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预算价</w:t>
            </w:r>
          </w:p>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（万元）</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固定总价（万元）</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最低投标尾数（个）</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exact"/>
          <w:jc w:val="center"/>
        </w:trPr>
        <w:tc>
          <w:tcPr>
            <w:tcW w:w="1286" w:type="dxa"/>
            <w:vMerge w:val="restart"/>
            <w:tcBorders>
              <w:top w:val="single" w:color="auto" w:sz="4" w:space="0"/>
              <w:left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杭州市临安区2022年渔业资源增殖放流项目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1</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val="en-US" w:eastAsia="zh-CN"/>
              </w:rPr>
            </w:pPr>
            <w:r>
              <w:rPr>
                <w:rFonts w:hint="eastAsia" w:ascii="仿宋_GB2312" w:hAnsi="仿宋" w:eastAsia="仿宋_GB2312" w:cs="仿宋_GB2312"/>
                <w:sz w:val="24"/>
                <w:lang w:eastAsia="zh-CN"/>
              </w:rPr>
              <w:t>夏花</w:t>
            </w:r>
            <w:r>
              <w:rPr>
                <w:rFonts w:hint="eastAsia" w:ascii="仿宋_GB2312" w:hAnsi="仿宋" w:eastAsia="仿宋_GB2312" w:cs="仿宋_GB2312"/>
                <w:sz w:val="24"/>
                <w:lang w:val="en-US" w:eastAsia="zh-CN"/>
              </w:rPr>
              <w:t>-光唇鱼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25</w:t>
            </w:r>
          </w:p>
        </w:tc>
        <w:tc>
          <w:tcPr>
            <w:tcW w:w="1834" w:type="dxa"/>
            <w:vMerge w:val="restart"/>
            <w:tcBorders>
              <w:top w:val="single" w:color="auto" w:sz="4" w:space="0"/>
              <w:left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所有标项的投标报价为固定总价不能变，以投标尾数来计算报价得分，投标尾数数量以“个”为单位，1个等于1万尾，投标尾数不得低于最低投标尾数。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exac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2</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夏花</w:t>
            </w:r>
            <w:r>
              <w:rPr>
                <w:rFonts w:hint="eastAsia" w:ascii="仿宋_GB2312" w:hAnsi="仿宋" w:eastAsia="仿宋_GB2312" w:cs="仿宋_GB2312"/>
                <w:sz w:val="24"/>
                <w:lang w:val="en-US" w:eastAsia="zh-CN"/>
              </w:rPr>
              <w:t>-花鱼骨</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130</w:t>
            </w:r>
          </w:p>
        </w:tc>
        <w:tc>
          <w:tcPr>
            <w:tcW w:w="1834"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3</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宋体" w:cs="仿宋_GB2312"/>
                <w:sz w:val="24"/>
                <w:lang w:val="en-US" w:eastAsia="zh-CN"/>
              </w:rPr>
            </w:pPr>
            <w:r>
              <w:rPr>
                <w:rFonts w:hint="eastAsia" w:ascii="仿宋_GB2312" w:hAnsi="仿宋" w:eastAsia="仿宋_GB2312" w:cs="仿宋_GB2312"/>
                <w:sz w:val="24"/>
                <w:lang w:val="en-US" w:eastAsia="zh-CN"/>
              </w:rPr>
              <w:t>夏花-黄尾密鲴</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5</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130</w:t>
            </w:r>
          </w:p>
        </w:tc>
        <w:tc>
          <w:tcPr>
            <w:tcW w:w="1834"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exact"/>
          <w:jc w:val="center"/>
        </w:trPr>
        <w:tc>
          <w:tcPr>
            <w:tcW w:w="1286"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4</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宋体" w:cs="仿宋_GB2312"/>
                <w:sz w:val="24"/>
                <w:lang w:val="en-US" w:eastAsia="zh-CN"/>
              </w:rPr>
            </w:pPr>
            <w:r>
              <w:rPr>
                <w:rFonts w:hint="eastAsia" w:ascii="仿宋_GB2312" w:hAnsi="仿宋" w:eastAsia="仿宋_GB2312" w:cs="仿宋_GB2312"/>
                <w:sz w:val="24"/>
                <w:lang w:eastAsia="zh-CN"/>
              </w:rPr>
              <w:t>冬片</w:t>
            </w:r>
            <w:r>
              <w:rPr>
                <w:rFonts w:hint="eastAsia" w:ascii="仿宋_GB2312" w:hAnsi="仿宋" w:eastAsia="仿宋_GB2312" w:cs="仿宋_GB2312"/>
                <w:sz w:val="24"/>
                <w:lang w:val="en-US" w:eastAsia="zh-CN"/>
              </w:rPr>
              <w:t>-</w:t>
            </w:r>
            <w:r>
              <w:rPr>
                <w:rFonts w:hint="eastAsia" w:ascii="仿宋_GB2312" w:hAnsi="仿宋" w:eastAsia="仿宋_GB2312" w:cs="仿宋_GB2312"/>
                <w:sz w:val="24"/>
                <w:lang w:eastAsia="zh-CN"/>
              </w:rPr>
              <w:t>鳙鱼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≥10cm</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4</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both"/>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8</w:t>
            </w:r>
          </w:p>
        </w:tc>
        <w:tc>
          <w:tcPr>
            <w:tcW w:w="1834" w:type="dxa"/>
            <w:vMerge w:val="continue"/>
            <w:tcBorders>
              <w:left w:val="single" w:color="auto" w:sz="4" w:space="0"/>
              <w:right w:val="single" w:color="auto" w:sz="4" w:space="0"/>
            </w:tcBorders>
            <w:vAlign w:val="center"/>
          </w:tcPr>
          <w:p>
            <w:pPr>
              <w:spacing w:line="360" w:lineRule="auto"/>
              <w:ind w:firstLine="480"/>
              <w:rPr>
                <w:rFonts w:hint="eastAsia" w:ascii="仿宋_GB2312" w:hAnsi="仿宋" w:eastAsia="仿宋_GB2312" w:cs="仿宋_GB2312"/>
                <w:sz w:val="24"/>
                <w:lang w:eastAsia="zh-CN"/>
              </w:rPr>
            </w:pPr>
          </w:p>
        </w:tc>
      </w:tr>
    </w:tbl>
    <w:p>
      <w:pPr>
        <w:spacing w:line="360" w:lineRule="auto"/>
        <w:jc w:val="left"/>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本项目各个标项按投标尾数来计算报价分，最高投标尾数的报价分为满分，商务技术分+报价分总得分最高的为中标供应商，投标报价为固定总价，投标尾数数量以“个”为单位，1个等于1万尾，投标尾数不得低于最低投标尾数。</w:t>
      </w:r>
    </w:p>
    <w:p>
      <w:pPr>
        <w:spacing w:line="360" w:lineRule="auto"/>
        <w:jc w:val="left"/>
        <w:rPr>
          <w:rFonts w:hint="eastAsia" w:ascii="仿宋_GB2312" w:hAnsi="仿宋" w:eastAsia="仿宋_GB2312" w:cs="仿宋_GB2312"/>
          <w:b/>
          <w:bCs/>
          <w:sz w:val="24"/>
          <w:lang w:eastAsia="zh-CN"/>
        </w:rPr>
      </w:pPr>
      <w:r>
        <w:rPr>
          <w:rFonts w:hint="eastAsia" w:ascii="仿宋_GB2312" w:hAnsi="仿宋" w:eastAsia="仿宋_GB2312" w:cs="仿宋_GB2312"/>
          <w:b/>
          <w:bCs/>
          <w:sz w:val="24"/>
          <w:lang w:eastAsia="zh-CN"/>
        </w:rPr>
        <w:t>二、放流完成时间</w:t>
      </w:r>
    </w:p>
    <w:p>
      <w:pPr>
        <w:spacing w:line="360" w:lineRule="auto"/>
        <w:jc w:val="left"/>
        <w:rPr>
          <w:rFonts w:hint="eastAsia" w:ascii="仿宋_GB2312" w:hAnsi="仿宋" w:eastAsia="仿宋_GB2312" w:cs="仿宋_GB2312"/>
          <w:sz w:val="24"/>
          <w:highlight w:val="none"/>
          <w:lang w:eastAsia="zh-CN"/>
        </w:rPr>
      </w:pPr>
      <w:r>
        <w:rPr>
          <w:rFonts w:hint="eastAsia" w:ascii="仿宋_GB2312" w:hAnsi="仿宋" w:eastAsia="仿宋_GB2312" w:cs="仿宋_GB2312"/>
          <w:sz w:val="24"/>
          <w:lang w:eastAsia="zh-CN"/>
        </w:rPr>
        <w:t>本项目放流完成时间：</w:t>
      </w:r>
      <w:r>
        <w:rPr>
          <w:rFonts w:hint="eastAsia" w:ascii="仿宋_GB2312" w:hAnsi="仿宋" w:eastAsia="仿宋_GB2312" w:cs="仿宋_GB2312"/>
          <w:sz w:val="24"/>
          <w:highlight w:val="none"/>
          <w:lang w:eastAsia="zh-CN"/>
        </w:rPr>
        <w:t>202</w:t>
      </w:r>
      <w:r>
        <w:rPr>
          <w:rFonts w:hint="eastAsia" w:ascii="仿宋_GB2312" w:hAnsi="仿宋" w:eastAsia="仿宋_GB2312" w:cs="仿宋_GB2312"/>
          <w:sz w:val="24"/>
          <w:highlight w:val="none"/>
          <w:lang w:val="en-US" w:eastAsia="zh-CN"/>
        </w:rPr>
        <w:t>2</w:t>
      </w:r>
      <w:r>
        <w:rPr>
          <w:rFonts w:hint="eastAsia" w:ascii="仿宋_GB2312" w:hAnsi="仿宋" w:eastAsia="仿宋_GB2312" w:cs="仿宋_GB2312"/>
          <w:sz w:val="24"/>
          <w:highlight w:val="none"/>
          <w:lang w:eastAsia="zh-CN"/>
        </w:rPr>
        <w:t>年</w:t>
      </w:r>
      <w:r>
        <w:rPr>
          <w:rFonts w:hint="eastAsia" w:ascii="仿宋_GB2312" w:hAnsi="仿宋" w:eastAsia="仿宋_GB2312" w:cs="仿宋_GB2312"/>
          <w:sz w:val="24"/>
          <w:highlight w:val="none"/>
          <w:lang w:val="en-US" w:eastAsia="zh-CN"/>
        </w:rPr>
        <w:t>6月-12</w:t>
      </w:r>
      <w:r>
        <w:rPr>
          <w:rFonts w:hint="eastAsia" w:ascii="仿宋_GB2312" w:hAnsi="仿宋" w:eastAsia="仿宋_GB2312" w:cs="仿宋_GB2312"/>
          <w:sz w:val="24"/>
          <w:highlight w:val="none"/>
          <w:lang w:eastAsia="zh-CN"/>
        </w:rPr>
        <w:t>月</w:t>
      </w:r>
    </w:p>
    <w:p>
      <w:pPr>
        <w:spacing w:line="360" w:lineRule="auto"/>
        <w:jc w:val="left"/>
        <w:rPr>
          <w:rFonts w:hint="eastAsia" w:ascii="仿宋_GB2312" w:hAnsi="仿宋" w:eastAsia="仿宋_GB2312" w:cs="仿宋_GB2312"/>
          <w:b/>
          <w:bCs/>
          <w:sz w:val="24"/>
          <w:highlight w:val="none"/>
          <w:lang w:eastAsia="zh-CN"/>
        </w:rPr>
      </w:pPr>
      <w:r>
        <w:rPr>
          <w:rFonts w:hint="eastAsia" w:ascii="仿宋_GB2312" w:hAnsi="仿宋" w:eastAsia="仿宋_GB2312" w:cs="仿宋_GB2312"/>
          <w:b/>
          <w:bCs/>
          <w:sz w:val="24"/>
          <w:highlight w:val="none"/>
          <w:lang w:eastAsia="zh-CN"/>
        </w:rPr>
        <w:t>三、采购质量要求：</w:t>
      </w:r>
    </w:p>
    <w:p>
      <w:pPr>
        <w:spacing w:line="360" w:lineRule="auto"/>
        <w:jc w:val="left"/>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1、供应商必须遵守我省制订的上述相应种类苗种放流技术规范；</w:t>
      </w:r>
    </w:p>
    <w:p>
      <w:pPr>
        <w:spacing w:line="360" w:lineRule="auto"/>
        <w:jc w:val="left"/>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2、 苗种需品质优良，规格整齐，健康活泼，无伤病；鱼苗运输放流前存活率达到99.9%。</w:t>
      </w:r>
    </w:p>
    <w:p>
      <w:pPr>
        <w:spacing w:line="360" w:lineRule="auto"/>
        <w:jc w:val="left"/>
        <w:rPr>
          <w:rFonts w:hint="eastAsia" w:ascii="仿宋_GB2312" w:hAnsi="仿宋" w:eastAsia="仿宋_GB2312" w:cs="仿宋_GB2312"/>
          <w:b/>
          <w:bCs/>
          <w:sz w:val="24"/>
          <w:highlight w:val="none"/>
          <w:lang w:eastAsia="zh-CN"/>
        </w:rPr>
      </w:pPr>
      <w:r>
        <w:rPr>
          <w:rFonts w:hint="eastAsia" w:ascii="仿宋_GB2312" w:hAnsi="仿宋" w:eastAsia="仿宋_GB2312" w:cs="仿宋_GB2312"/>
          <w:b/>
          <w:bCs/>
          <w:sz w:val="24"/>
          <w:highlight w:val="none"/>
          <w:lang w:eastAsia="zh-CN"/>
        </w:rPr>
        <w:t>四、项目放流区域：</w:t>
      </w:r>
    </w:p>
    <w:p>
      <w:pPr>
        <w:spacing w:line="360" w:lineRule="auto"/>
        <w:jc w:val="left"/>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青山湖水库、里畈水库、水涛庄水库、苕溪、天目溪、昌化溪等全区各公共水域。</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snapToGrid/>
          <w:kern w:val="2"/>
          <w:sz w:val="24"/>
          <w:szCs w:val="24"/>
          <w:highlight w:val="none"/>
          <w:lang w:val="en-US" w:eastAsia="zh-CN" w:bidi="ar-SA"/>
        </w:rPr>
      </w:pPr>
      <w:r>
        <w:rPr>
          <w:rFonts w:hint="eastAsia" w:ascii="仿宋" w:hAnsi="仿宋" w:eastAsia="仿宋" w:cs="仿宋"/>
          <w:b/>
          <w:bCs w:val="0"/>
          <w:snapToGrid/>
          <w:kern w:val="2"/>
          <w:sz w:val="24"/>
          <w:szCs w:val="24"/>
          <w:highlight w:val="none"/>
          <w:lang w:val="en-US" w:eastAsia="zh-CN" w:bidi="ar-SA"/>
        </w:rPr>
        <w:t>五、验收</w:t>
      </w:r>
    </w:p>
    <w:p>
      <w:pPr>
        <w:spacing w:line="360" w:lineRule="auto"/>
        <w:jc w:val="left"/>
        <w:rPr>
          <w:rFonts w:hint="eastAsia" w:ascii="仿宋_GB2312" w:hAnsi="仿宋" w:eastAsia="仿宋_GB2312" w:cs="仿宋_GB2312"/>
          <w:sz w:val="24"/>
          <w:highlight w:val="none"/>
          <w:lang w:eastAsia="zh-CN"/>
        </w:rPr>
      </w:pPr>
      <w:r>
        <w:rPr>
          <w:rFonts w:hint="eastAsia" w:ascii="仿宋_GB2312" w:hAnsi="仿宋" w:eastAsia="仿宋_GB2312" w:cs="仿宋_GB2312"/>
          <w:sz w:val="24"/>
          <w:highlight w:val="none"/>
          <w:lang w:eastAsia="zh-CN"/>
        </w:rPr>
        <w:t>提供符合质量要求的苗种且按要求运输放流到指定区域，采购人自行组织验收。</w:t>
      </w:r>
    </w:p>
    <w:p>
      <w:pPr>
        <w:spacing w:line="360" w:lineRule="auto"/>
        <w:jc w:val="left"/>
        <w:rPr>
          <w:rFonts w:hint="eastAsia" w:ascii="仿宋_GB2312" w:hAnsi="仿宋" w:eastAsia="仿宋_GB2312" w:cs="仿宋_GB2312"/>
          <w:b/>
          <w:bCs/>
          <w:sz w:val="24"/>
          <w:lang w:eastAsia="zh-CN"/>
        </w:rPr>
      </w:pPr>
      <w:r>
        <w:rPr>
          <w:rFonts w:hint="eastAsia" w:ascii="仿宋_GB2312" w:hAnsi="仿宋" w:eastAsia="仿宋_GB2312" w:cs="仿宋_GB2312"/>
          <w:b/>
          <w:bCs/>
          <w:sz w:val="24"/>
          <w:lang w:eastAsia="zh-CN"/>
        </w:rPr>
        <w:t>六、支付方式：</w:t>
      </w:r>
    </w:p>
    <w:p>
      <w:pPr>
        <w:spacing w:line="360" w:lineRule="auto"/>
        <w:jc w:val="left"/>
        <w:rPr>
          <w:rFonts w:hint="eastAsia" w:ascii="仿宋_GB2312" w:hAnsi="仿宋" w:eastAsia="仿宋_GB2312" w:cs="仿宋_GB2312"/>
          <w:sz w:val="24"/>
          <w:lang w:eastAsia="zh-CN"/>
        </w:rPr>
      </w:pPr>
      <w:r>
        <w:rPr>
          <w:rFonts w:hint="eastAsia" w:ascii="仿宋_GB2312" w:hAnsi="仿宋" w:eastAsia="仿宋_GB2312" w:cs="仿宋_GB2312"/>
          <w:sz w:val="24"/>
          <w:lang w:eastAsia="zh-CN"/>
        </w:rPr>
        <w:t>完成鱼苗放流且通过采购人验收后支付100%合同款。</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、合同签订</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1、成交供应商须在</w:t>
      </w:r>
      <w:r>
        <w:rPr>
          <w:rFonts w:hint="eastAsia" w:ascii="仿宋" w:hAnsi="仿宋" w:eastAsia="仿宋" w:cs="仿宋"/>
          <w:color w:val="000000"/>
          <w:sz w:val="24"/>
          <w:szCs w:val="24"/>
          <w:lang w:eastAsia="zh-CN"/>
        </w:rPr>
        <w:t>收到</w:t>
      </w:r>
      <w:r>
        <w:rPr>
          <w:rFonts w:hint="eastAsia" w:ascii="仿宋" w:hAnsi="仿宋" w:eastAsia="仿宋" w:cs="仿宋"/>
          <w:color w:val="000000"/>
          <w:sz w:val="24"/>
          <w:szCs w:val="24"/>
        </w:rPr>
        <w:t xml:space="preserve">中标通知书之日起10个工作日内和采购人签订合同。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_GB2312"/>
          <w:b/>
          <w:sz w:val="36"/>
          <w:szCs w:val="36"/>
        </w:rPr>
      </w:pPr>
      <w:r>
        <w:rPr>
          <w:rFonts w:hint="eastAsia" w:ascii="仿宋" w:hAnsi="仿宋" w:eastAsia="仿宋" w:cs="仿宋"/>
          <w:color w:val="000000"/>
          <w:sz w:val="24"/>
          <w:szCs w:val="24"/>
        </w:rPr>
        <w:t>2、如成交供应商拒绝承担中标的项目，或提出采购人不能接受的条件，致使合同无法签订，采购人</w:t>
      </w:r>
      <w:r>
        <w:rPr>
          <w:rFonts w:hint="eastAsia" w:ascii="仿宋" w:hAnsi="仿宋" w:eastAsia="仿宋" w:cs="仿宋"/>
          <w:sz w:val="24"/>
          <w:szCs w:val="24"/>
        </w:rPr>
        <w:t>将对其失信行为上报至同级政府采购监督管理部门对其依法处理。</w:t>
      </w:r>
    </w:p>
    <w:p>
      <w:pPr>
        <w:snapToGrid w:val="0"/>
        <w:spacing w:line="360" w:lineRule="auto"/>
        <w:jc w:val="cente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rPr>
          <w:rFonts w:hint="eastAsia"/>
        </w:rPr>
      </w:pPr>
    </w:p>
    <w:p>
      <w:pPr>
        <w:snapToGrid w:val="0"/>
        <w:spacing w:line="360" w:lineRule="auto"/>
        <w:jc w:val="cente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3307"/>
      <w:bookmarkEnd w:id="27"/>
      <w:bookmarkStart w:id="28" w:name="_Toc184314454"/>
      <w:bookmarkEnd w:id="28"/>
      <w:bookmarkStart w:id="29" w:name="_Toc184310322"/>
      <w:bookmarkEnd w:id="29"/>
      <w:bookmarkStart w:id="30" w:name="_Toc184313251"/>
      <w:bookmarkEnd w:id="30"/>
      <w:bookmarkStart w:id="31" w:name="_Toc184310335"/>
      <w:bookmarkEnd w:id="31"/>
      <w:bookmarkStart w:id="32" w:name="_Toc184314430"/>
      <w:bookmarkEnd w:id="32"/>
      <w:bookmarkStart w:id="33" w:name="_Toc184310281"/>
      <w:bookmarkEnd w:id="33"/>
      <w:bookmarkStart w:id="34" w:name="_Toc184310274"/>
      <w:bookmarkEnd w:id="34"/>
      <w:bookmarkStart w:id="35" w:name="_Toc184308104"/>
      <w:bookmarkEnd w:id="35"/>
      <w:bookmarkStart w:id="36" w:name="_Toc184308043"/>
      <w:bookmarkEnd w:id="36"/>
      <w:bookmarkStart w:id="37" w:name="_Toc184308105"/>
      <w:bookmarkEnd w:id="37"/>
      <w:bookmarkStart w:id="38" w:name="_Toc184313260"/>
      <w:bookmarkEnd w:id="38"/>
      <w:bookmarkStart w:id="39" w:name="_Toc184308038"/>
      <w:bookmarkEnd w:id="39"/>
      <w:bookmarkStart w:id="40" w:name="_Toc184314474"/>
      <w:bookmarkEnd w:id="40"/>
      <w:bookmarkStart w:id="41" w:name="_Toc184310290"/>
      <w:bookmarkEnd w:id="41"/>
      <w:bookmarkStart w:id="42" w:name="_Toc184313246"/>
      <w:bookmarkEnd w:id="42"/>
      <w:bookmarkStart w:id="43" w:name="_Toc184314418"/>
      <w:bookmarkEnd w:id="43"/>
      <w:bookmarkStart w:id="44" w:name="_Toc184312133"/>
      <w:bookmarkEnd w:id="44"/>
      <w:bookmarkStart w:id="45" w:name="_Toc184312073"/>
      <w:bookmarkEnd w:id="45"/>
      <w:bookmarkStart w:id="46" w:name="_Toc184314411"/>
      <w:bookmarkEnd w:id="46"/>
      <w:bookmarkStart w:id="47" w:name="_Toc184310339"/>
      <w:bookmarkEnd w:id="47"/>
      <w:bookmarkStart w:id="48" w:name="_Toc184308090"/>
      <w:bookmarkEnd w:id="48"/>
      <w:bookmarkStart w:id="49" w:name="_Toc184313288"/>
      <w:bookmarkEnd w:id="49"/>
      <w:bookmarkStart w:id="50" w:name="_Toc184308095"/>
      <w:bookmarkEnd w:id="50"/>
      <w:bookmarkStart w:id="51" w:name="_Toc184308089"/>
      <w:bookmarkEnd w:id="51"/>
      <w:bookmarkStart w:id="52" w:name="_Toc184310338"/>
      <w:bookmarkEnd w:id="52"/>
      <w:bookmarkStart w:id="53" w:name="_Toc184313286"/>
      <w:bookmarkEnd w:id="53"/>
      <w:bookmarkStart w:id="54" w:name="_Toc184314478"/>
      <w:bookmarkEnd w:id="54"/>
      <w:bookmarkStart w:id="55" w:name="_Toc184310297"/>
      <w:bookmarkEnd w:id="55"/>
      <w:bookmarkStart w:id="56" w:name="_Toc184313277"/>
      <w:bookmarkEnd w:id="56"/>
      <w:bookmarkStart w:id="57" w:name="_Toc184310289"/>
      <w:bookmarkEnd w:id="57"/>
      <w:bookmarkStart w:id="58" w:name="_Toc184313262"/>
      <w:bookmarkEnd w:id="58"/>
      <w:bookmarkStart w:id="59" w:name="_Toc184308039"/>
      <w:bookmarkEnd w:id="59"/>
      <w:bookmarkStart w:id="60" w:name="_Toc184314428"/>
      <w:bookmarkEnd w:id="60"/>
      <w:bookmarkStart w:id="61" w:name="_Toc184312085"/>
      <w:bookmarkEnd w:id="61"/>
      <w:bookmarkStart w:id="62" w:name="_Toc184312067"/>
      <w:bookmarkEnd w:id="62"/>
      <w:bookmarkStart w:id="63" w:name="_Toc184314450"/>
      <w:bookmarkEnd w:id="63"/>
      <w:bookmarkStart w:id="64" w:name="_Toc184314449"/>
      <w:bookmarkEnd w:id="64"/>
      <w:bookmarkStart w:id="65" w:name="_Toc184310299"/>
      <w:bookmarkEnd w:id="65"/>
      <w:bookmarkStart w:id="66" w:name="_Toc184313306"/>
      <w:bookmarkEnd w:id="66"/>
      <w:bookmarkStart w:id="67" w:name="_Toc184310296"/>
      <w:bookmarkEnd w:id="67"/>
      <w:bookmarkStart w:id="68" w:name="_Toc184313253"/>
      <w:bookmarkEnd w:id="68"/>
      <w:bookmarkStart w:id="69" w:name="_Toc184313280"/>
      <w:bookmarkEnd w:id="69"/>
      <w:bookmarkStart w:id="70" w:name="_Toc184312069"/>
      <w:bookmarkEnd w:id="70"/>
      <w:bookmarkStart w:id="71" w:name="_Toc184310288"/>
      <w:bookmarkEnd w:id="71"/>
      <w:bookmarkStart w:id="72" w:name="_Toc184314413"/>
      <w:bookmarkEnd w:id="72"/>
      <w:bookmarkStart w:id="73" w:name="_Toc184308049"/>
      <w:bookmarkEnd w:id="73"/>
      <w:bookmarkStart w:id="74" w:name="_Toc184312116"/>
      <w:bookmarkEnd w:id="74"/>
      <w:bookmarkStart w:id="75" w:name="_Toc184313263"/>
      <w:bookmarkEnd w:id="75"/>
      <w:bookmarkStart w:id="76" w:name="_Toc184313287"/>
      <w:bookmarkEnd w:id="76"/>
      <w:bookmarkStart w:id="77" w:name="_Toc184308054"/>
      <w:bookmarkEnd w:id="77"/>
      <w:bookmarkStart w:id="78" w:name="_Toc184308056"/>
      <w:bookmarkEnd w:id="78"/>
      <w:bookmarkStart w:id="79" w:name="_Toc184310317"/>
      <w:bookmarkEnd w:id="79"/>
      <w:bookmarkStart w:id="80" w:name="_Toc184314458"/>
      <w:bookmarkEnd w:id="80"/>
      <w:bookmarkStart w:id="81" w:name="_Toc184308040"/>
      <w:bookmarkEnd w:id="81"/>
      <w:bookmarkStart w:id="82" w:name="_Toc184314429"/>
      <w:bookmarkEnd w:id="82"/>
      <w:bookmarkStart w:id="83" w:name="_Toc184313275"/>
      <w:bookmarkEnd w:id="83"/>
      <w:bookmarkStart w:id="84" w:name="_Toc184312112"/>
      <w:bookmarkEnd w:id="84"/>
      <w:bookmarkStart w:id="85" w:name="_Toc184310275"/>
      <w:bookmarkEnd w:id="85"/>
      <w:bookmarkStart w:id="86" w:name="_Toc184313292"/>
      <w:bookmarkEnd w:id="86"/>
      <w:bookmarkStart w:id="87" w:name="_Toc184314459"/>
      <w:bookmarkEnd w:id="87"/>
      <w:bookmarkStart w:id="88" w:name="_Toc184312086"/>
      <w:bookmarkEnd w:id="88"/>
      <w:bookmarkStart w:id="89" w:name="_Toc184310336"/>
      <w:bookmarkEnd w:id="89"/>
      <w:bookmarkStart w:id="90" w:name="_Toc184310298"/>
      <w:bookmarkEnd w:id="90"/>
      <w:bookmarkStart w:id="91" w:name="_Toc184308081"/>
      <w:bookmarkEnd w:id="91"/>
      <w:bookmarkStart w:id="92" w:name="_Toc184308101"/>
      <w:bookmarkEnd w:id="92"/>
      <w:bookmarkStart w:id="93" w:name="_Toc184308053"/>
      <w:bookmarkEnd w:id="93"/>
      <w:bookmarkStart w:id="94" w:name="_Toc184310326"/>
      <w:bookmarkEnd w:id="94"/>
      <w:bookmarkStart w:id="95" w:name="_Toc184314435"/>
      <w:bookmarkEnd w:id="95"/>
      <w:bookmarkStart w:id="96" w:name="_Toc184314463"/>
      <w:bookmarkEnd w:id="96"/>
      <w:bookmarkStart w:id="97" w:name="_Toc184308091"/>
      <w:bookmarkEnd w:id="97"/>
      <w:bookmarkStart w:id="98" w:name="_Toc184313294"/>
      <w:bookmarkEnd w:id="98"/>
      <w:bookmarkStart w:id="99" w:name="_Toc184310331"/>
      <w:bookmarkEnd w:id="99"/>
      <w:bookmarkStart w:id="100" w:name="_Toc184314457"/>
      <w:bookmarkEnd w:id="100"/>
      <w:bookmarkStart w:id="101" w:name="_Toc184312120"/>
      <w:bookmarkEnd w:id="101"/>
      <w:bookmarkStart w:id="102" w:name="_Toc184308094"/>
      <w:bookmarkEnd w:id="102"/>
      <w:bookmarkStart w:id="103" w:name="_Toc184310333"/>
      <w:bookmarkEnd w:id="103"/>
      <w:bookmarkStart w:id="104" w:name="_Toc184310325"/>
      <w:bookmarkEnd w:id="104"/>
      <w:bookmarkStart w:id="105" w:name="_Toc184312123"/>
      <w:bookmarkEnd w:id="105"/>
      <w:bookmarkStart w:id="106" w:name="_Toc184312121"/>
      <w:bookmarkEnd w:id="106"/>
      <w:bookmarkStart w:id="107" w:name="_Toc184312127"/>
      <w:bookmarkEnd w:id="107"/>
      <w:bookmarkStart w:id="108" w:name="_Toc184314467"/>
      <w:bookmarkEnd w:id="108"/>
      <w:bookmarkStart w:id="109" w:name="_Toc184314466"/>
      <w:bookmarkEnd w:id="109"/>
      <w:bookmarkStart w:id="110" w:name="_Toc184314476"/>
      <w:bookmarkEnd w:id="110"/>
      <w:bookmarkStart w:id="111" w:name="_Toc184312107"/>
      <w:bookmarkEnd w:id="111"/>
      <w:bookmarkStart w:id="112" w:name="_Toc184313298"/>
      <w:bookmarkEnd w:id="112"/>
      <w:bookmarkStart w:id="113" w:name="_Toc184312114"/>
      <w:bookmarkEnd w:id="113"/>
      <w:bookmarkStart w:id="114" w:name="_Toc184308085"/>
      <w:bookmarkEnd w:id="114"/>
      <w:bookmarkStart w:id="115" w:name="_Toc184308088"/>
      <w:bookmarkEnd w:id="115"/>
      <w:bookmarkStart w:id="116" w:name="_Toc184308087"/>
      <w:bookmarkEnd w:id="116"/>
      <w:bookmarkStart w:id="117" w:name="_Toc184313241"/>
      <w:bookmarkEnd w:id="117"/>
      <w:bookmarkStart w:id="118" w:name="_Toc184312137"/>
      <w:bookmarkEnd w:id="118"/>
      <w:bookmarkStart w:id="119" w:name="_Toc184308093"/>
      <w:bookmarkEnd w:id="119"/>
      <w:bookmarkStart w:id="120" w:name="_Toc184314461"/>
      <w:bookmarkEnd w:id="120"/>
      <w:bookmarkStart w:id="121" w:name="_Toc184312093"/>
      <w:bookmarkEnd w:id="121"/>
      <w:bookmarkStart w:id="122" w:name="_Toc184314479"/>
      <w:bookmarkEnd w:id="122"/>
      <w:bookmarkStart w:id="123" w:name="_Toc184312080"/>
      <w:bookmarkEnd w:id="123"/>
      <w:bookmarkStart w:id="124" w:name="_Toc184314423"/>
      <w:bookmarkEnd w:id="124"/>
      <w:bookmarkStart w:id="125" w:name="_Toc184308063"/>
      <w:bookmarkEnd w:id="125"/>
      <w:bookmarkStart w:id="126" w:name="_Toc184314462"/>
      <w:bookmarkEnd w:id="126"/>
      <w:bookmarkStart w:id="127" w:name="_Toc184312071"/>
      <w:bookmarkEnd w:id="127"/>
      <w:bookmarkStart w:id="128" w:name="_Toc184313301"/>
      <w:bookmarkEnd w:id="128"/>
      <w:bookmarkStart w:id="129" w:name="_Toc184314465"/>
      <w:bookmarkEnd w:id="129"/>
      <w:bookmarkStart w:id="130" w:name="_Toc184313252"/>
      <w:bookmarkEnd w:id="130"/>
      <w:bookmarkStart w:id="131" w:name="_Toc184310286"/>
      <w:bookmarkEnd w:id="131"/>
      <w:bookmarkStart w:id="132" w:name="_Toc184314451"/>
      <w:bookmarkEnd w:id="132"/>
      <w:bookmarkStart w:id="133" w:name="_Toc184312108"/>
      <w:bookmarkEnd w:id="133"/>
      <w:bookmarkStart w:id="134" w:name="_Toc184313302"/>
      <w:bookmarkEnd w:id="134"/>
      <w:bookmarkStart w:id="135" w:name="_Toc184312119"/>
      <w:bookmarkEnd w:id="135"/>
      <w:bookmarkStart w:id="136" w:name="_Toc184313242"/>
      <w:bookmarkEnd w:id="136"/>
      <w:bookmarkStart w:id="137" w:name="_Toc184310324"/>
      <w:bookmarkEnd w:id="137"/>
      <w:bookmarkStart w:id="138" w:name="_Toc184312118"/>
      <w:bookmarkEnd w:id="138"/>
      <w:bookmarkStart w:id="139" w:name="_Toc184312136"/>
      <w:bookmarkEnd w:id="139"/>
      <w:bookmarkStart w:id="140" w:name="_Toc184314419"/>
      <w:bookmarkEnd w:id="140"/>
      <w:bookmarkStart w:id="141" w:name="_Toc184314456"/>
      <w:bookmarkEnd w:id="141"/>
      <w:bookmarkStart w:id="142" w:name="_Toc184312124"/>
      <w:bookmarkEnd w:id="142"/>
      <w:bookmarkStart w:id="143" w:name="_Toc184310294"/>
      <w:bookmarkEnd w:id="143"/>
      <w:bookmarkStart w:id="144" w:name="_Toc184308102"/>
      <w:bookmarkEnd w:id="144"/>
      <w:bookmarkStart w:id="145" w:name="_Toc184312113"/>
      <w:bookmarkEnd w:id="145"/>
      <w:bookmarkStart w:id="146" w:name="_Toc184312125"/>
      <w:bookmarkEnd w:id="146"/>
      <w:bookmarkStart w:id="147" w:name="_Toc184314436"/>
      <w:bookmarkEnd w:id="147"/>
      <w:bookmarkStart w:id="148" w:name="_Toc184313289"/>
      <w:bookmarkEnd w:id="148"/>
      <w:bookmarkStart w:id="149" w:name="_Toc184313243"/>
      <w:bookmarkEnd w:id="149"/>
      <w:bookmarkStart w:id="150" w:name="_Toc184310320"/>
      <w:bookmarkEnd w:id="150"/>
      <w:bookmarkStart w:id="151" w:name="_Toc184313278"/>
      <w:bookmarkEnd w:id="151"/>
      <w:bookmarkStart w:id="152" w:name="_Toc184314422"/>
      <w:bookmarkEnd w:id="152"/>
      <w:bookmarkStart w:id="153" w:name="_Toc184310313"/>
      <w:bookmarkEnd w:id="153"/>
      <w:bookmarkStart w:id="154" w:name="_Toc184312105"/>
      <w:bookmarkEnd w:id="154"/>
      <w:bookmarkStart w:id="155" w:name="_Toc184313250"/>
      <w:bookmarkEnd w:id="155"/>
      <w:bookmarkStart w:id="156" w:name="_Toc184308077"/>
      <w:bookmarkEnd w:id="156"/>
      <w:bookmarkStart w:id="157" w:name="_Toc184313248"/>
      <w:bookmarkEnd w:id="157"/>
      <w:bookmarkStart w:id="158" w:name="_Toc184314480"/>
      <w:bookmarkEnd w:id="158"/>
      <w:bookmarkStart w:id="159" w:name="_Toc184310327"/>
      <w:bookmarkEnd w:id="159"/>
      <w:bookmarkStart w:id="160" w:name="_Toc184314464"/>
      <w:bookmarkEnd w:id="160"/>
      <w:bookmarkStart w:id="161" w:name="_Toc184312089"/>
      <w:bookmarkEnd w:id="161"/>
      <w:bookmarkStart w:id="162" w:name="_Toc184312072"/>
      <w:bookmarkEnd w:id="162"/>
      <w:bookmarkStart w:id="163" w:name="_Toc184312110"/>
      <w:bookmarkEnd w:id="163"/>
      <w:bookmarkStart w:id="164" w:name="_Toc184313309"/>
      <w:bookmarkEnd w:id="164"/>
      <w:bookmarkStart w:id="165" w:name="_Toc184308073"/>
      <w:bookmarkEnd w:id="165"/>
      <w:bookmarkStart w:id="166" w:name="_Toc184313265"/>
      <w:bookmarkEnd w:id="166"/>
      <w:bookmarkStart w:id="167" w:name="_Toc184314437"/>
      <w:bookmarkEnd w:id="167"/>
      <w:bookmarkStart w:id="168" w:name="_Toc184308045"/>
      <w:bookmarkEnd w:id="168"/>
      <w:bookmarkStart w:id="169" w:name="_Toc184313284"/>
      <w:bookmarkEnd w:id="169"/>
      <w:bookmarkStart w:id="170" w:name="_Toc184308050"/>
      <w:bookmarkEnd w:id="170"/>
      <w:bookmarkStart w:id="171" w:name="_Toc184312128"/>
      <w:bookmarkEnd w:id="171"/>
      <w:bookmarkStart w:id="172" w:name="_Toc184312122"/>
      <w:bookmarkEnd w:id="172"/>
      <w:bookmarkStart w:id="173" w:name="_Toc184310329"/>
      <w:bookmarkEnd w:id="173"/>
      <w:bookmarkStart w:id="174" w:name="_Toc184308037"/>
      <w:bookmarkEnd w:id="174"/>
      <w:bookmarkStart w:id="175" w:name="_Toc184310334"/>
      <w:bookmarkEnd w:id="175"/>
      <w:bookmarkStart w:id="176" w:name="_Toc184314452"/>
      <w:bookmarkEnd w:id="176"/>
      <w:bookmarkStart w:id="177" w:name="_Toc184308092"/>
      <w:bookmarkEnd w:id="177"/>
      <w:bookmarkStart w:id="178" w:name="_Toc184308099"/>
      <w:bookmarkEnd w:id="178"/>
      <w:bookmarkStart w:id="179" w:name="_Toc184313297"/>
      <w:bookmarkEnd w:id="179"/>
      <w:bookmarkStart w:id="180" w:name="_Toc184308072"/>
      <w:bookmarkEnd w:id="180"/>
      <w:bookmarkStart w:id="181" w:name="_Toc184310309"/>
      <w:bookmarkEnd w:id="181"/>
      <w:bookmarkStart w:id="182" w:name="_Toc184312126"/>
      <w:bookmarkEnd w:id="182"/>
      <w:bookmarkStart w:id="183" w:name="_Toc184313293"/>
      <w:bookmarkEnd w:id="183"/>
      <w:bookmarkStart w:id="184" w:name="_Toc184308051"/>
      <w:bookmarkEnd w:id="184"/>
      <w:bookmarkStart w:id="185" w:name="_Toc184308107"/>
      <w:bookmarkEnd w:id="185"/>
      <w:bookmarkStart w:id="186" w:name="_Toc184310307"/>
      <w:bookmarkEnd w:id="186"/>
      <w:bookmarkStart w:id="187" w:name="_Toc184313310"/>
      <w:bookmarkEnd w:id="187"/>
      <w:bookmarkStart w:id="188" w:name="_Toc184314421"/>
      <w:bookmarkEnd w:id="188"/>
      <w:bookmarkStart w:id="189" w:name="_Toc184312138"/>
      <w:bookmarkEnd w:id="189"/>
      <w:bookmarkStart w:id="190" w:name="_Toc184314460"/>
      <w:bookmarkEnd w:id="190"/>
      <w:bookmarkStart w:id="191" w:name="_Toc184310319"/>
      <w:bookmarkEnd w:id="191"/>
      <w:bookmarkStart w:id="192" w:name="_Toc184313274"/>
      <w:bookmarkEnd w:id="192"/>
      <w:bookmarkStart w:id="193" w:name="_Toc184310328"/>
      <w:bookmarkEnd w:id="193"/>
      <w:bookmarkStart w:id="194" w:name="_Toc184310323"/>
      <w:bookmarkEnd w:id="194"/>
      <w:bookmarkStart w:id="195" w:name="_Toc184312104"/>
      <w:bookmarkEnd w:id="195"/>
      <w:bookmarkStart w:id="196" w:name="_Toc184308086"/>
      <w:bookmarkEnd w:id="196"/>
      <w:bookmarkStart w:id="197" w:name="_Toc184313295"/>
      <w:bookmarkEnd w:id="197"/>
      <w:bookmarkStart w:id="198" w:name="_Toc184312099"/>
      <w:bookmarkEnd w:id="198"/>
      <w:bookmarkStart w:id="199" w:name="_Toc184314444"/>
      <w:bookmarkEnd w:id="199"/>
      <w:bookmarkStart w:id="200" w:name="_Toc184314482"/>
      <w:bookmarkEnd w:id="200"/>
      <w:bookmarkStart w:id="201" w:name="_Toc184310284"/>
      <w:bookmarkEnd w:id="201"/>
      <w:bookmarkStart w:id="202" w:name="_Toc184308079"/>
      <w:bookmarkEnd w:id="202"/>
      <w:bookmarkStart w:id="203" w:name="_Toc184312079"/>
      <w:bookmarkEnd w:id="203"/>
      <w:bookmarkStart w:id="204" w:name="_Toc184312139"/>
      <w:bookmarkEnd w:id="204"/>
      <w:bookmarkStart w:id="205" w:name="_Toc184308108"/>
      <w:bookmarkEnd w:id="205"/>
      <w:bookmarkStart w:id="206" w:name="_Toc184312096"/>
      <w:bookmarkEnd w:id="206"/>
      <w:bookmarkStart w:id="207" w:name="_Toc184314420"/>
      <w:bookmarkEnd w:id="207"/>
      <w:bookmarkStart w:id="208" w:name="_Toc184308100"/>
      <w:bookmarkEnd w:id="208"/>
      <w:bookmarkStart w:id="209" w:name="_Toc184312102"/>
      <w:bookmarkEnd w:id="209"/>
      <w:bookmarkStart w:id="210" w:name="_Toc184310283"/>
      <w:bookmarkEnd w:id="210"/>
      <w:bookmarkStart w:id="211" w:name="_Toc184313238"/>
      <w:bookmarkEnd w:id="211"/>
      <w:bookmarkStart w:id="212" w:name="_Toc184314445"/>
      <w:bookmarkEnd w:id="212"/>
      <w:bookmarkStart w:id="213" w:name="_Toc184313308"/>
      <w:bookmarkEnd w:id="213"/>
      <w:bookmarkStart w:id="214" w:name="_Toc184310306"/>
      <w:bookmarkEnd w:id="214"/>
      <w:bookmarkStart w:id="215" w:name="_Toc184310337"/>
      <w:bookmarkEnd w:id="215"/>
      <w:bookmarkStart w:id="216" w:name="_Toc184308084"/>
      <w:bookmarkEnd w:id="216"/>
      <w:bookmarkStart w:id="217" w:name="_Toc184313249"/>
      <w:bookmarkEnd w:id="217"/>
      <w:bookmarkStart w:id="218" w:name="_Toc184314442"/>
      <w:bookmarkEnd w:id="218"/>
      <w:bookmarkStart w:id="219" w:name="_Toc184313239"/>
      <w:bookmarkEnd w:id="219"/>
      <w:bookmarkStart w:id="220" w:name="_Toc184313247"/>
      <w:bookmarkEnd w:id="220"/>
      <w:bookmarkStart w:id="221" w:name="_Toc184314441"/>
      <w:bookmarkEnd w:id="221"/>
      <w:bookmarkStart w:id="222" w:name="_Toc184314410"/>
      <w:bookmarkEnd w:id="222"/>
      <w:bookmarkStart w:id="223" w:name="_Toc184313279"/>
      <w:bookmarkEnd w:id="223"/>
      <w:bookmarkStart w:id="224" w:name="_Toc184312131"/>
      <w:bookmarkEnd w:id="224"/>
      <w:bookmarkStart w:id="225" w:name="_Toc184310285"/>
      <w:bookmarkEnd w:id="225"/>
      <w:bookmarkStart w:id="226" w:name="_Toc184314453"/>
      <w:bookmarkEnd w:id="226"/>
      <w:bookmarkStart w:id="227" w:name="_Toc184314440"/>
      <w:bookmarkEnd w:id="227"/>
      <w:bookmarkStart w:id="228" w:name="_Toc184313272"/>
      <w:bookmarkEnd w:id="228"/>
      <w:bookmarkStart w:id="229" w:name="_Toc184310303"/>
      <w:bookmarkEnd w:id="229"/>
      <w:bookmarkStart w:id="230" w:name="_Toc184308048"/>
      <w:bookmarkEnd w:id="230"/>
      <w:bookmarkStart w:id="231" w:name="_Toc184313291"/>
      <w:bookmarkEnd w:id="231"/>
      <w:bookmarkStart w:id="232" w:name="_Toc184308071"/>
      <w:bookmarkEnd w:id="232"/>
      <w:bookmarkStart w:id="233" w:name="_Toc184308070"/>
      <w:bookmarkEnd w:id="233"/>
      <w:bookmarkStart w:id="234" w:name="_Toc184310343"/>
      <w:bookmarkEnd w:id="234"/>
      <w:bookmarkStart w:id="235" w:name="_Toc184310311"/>
      <w:bookmarkEnd w:id="235"/>
      <w:bookmarkStart w:id="236" w:name="_Toc184313264"/>
      <w:bookmarkEnd w:id="236"/>
      <w:bookmarkStart w:id="237" w:name="_Toc184312078"/>
      <w:bookmarkEnd w:id="237"/>
      <w:bookmarkStart w:id="238" w:name="_Toc184308083"/>
      <w:bookmarkEnd w:id="238"/>
      <w:bookmarkStart w:id="239" w:name="_Toc184312081"/>
      <w:bookmarkEnd w:id="239"/>
      <w:bookmarkStart w:id="240" w:name="_Toc184313270"/>
      <w:bookmarkEnd w:id="240"/>
      <w:bookmarkStart w:id="241" w:name="_Toc184312101"/>
      <w:bookmarkEnd w:id="241"/>
      <w:bookmarkStart w:id="242" w:name="_Toc184313258"/>
      <w:bookmarkEnd w:id="242"/>
      <w:bookmarkStart w:id="243" w:name="_Toc184313255"/>
      <w:bookmarkEnd w:id="243"/>
      <w:bookmarkStart w:id="244" w:name="_Toc184313240"/>
      <w:bookmarkEnd w:id="244"/>
      <w:bookmarkStart w:id="245" w:name="_Toc184314439"/>
      <w:bookmarkEnd w:id="245"/>
      <w:bookmarkStart w:id="246" w:name="_Toc184313268"/>
      <w:bookmarkEnd w:id="246"/>
      <w:bookmarkStart w:id="247" w:name="_Toc184310305"/>
      <w:bookmarkEnd w:id="247"/>
      <w:bookmarkStart w:id="248" w:name="_Toc184313283"/>
      <w:bookmarkEnd w:id="248"/>
      <w:bookmarkStart w:id="249" w:name="_Toc184308069"/>
      <w:bookmarkEnd w:id="249"/>
      <w:bookmarkStart w:id="250" w:name="_Toc184310300"/>
      <w:bookmarkEnd w:id="250"/>
      <w:bookmarkStart w:id="251" w:name="_Toc184308082"/>
      <w:bookmarkEnd w:id="251"/>
      <w:bookmarkStart w:id="252" w:name="_Toc184308078"/>
      <w:bookmarkEnd w:id="252"/>
      <w:bookmarkStart w:id="253" w:name="_Toc184313281"/>
      <w:bookmarkEnd w:id="253"/>
      <w:bookmarkStart w:id="254" w:name="_Toc184310308"/>
      <w:bookmarkEnd w:id="254"/>
      <w:bookmarkStart w:id="255" w:name="_Toc184313269"/>
      <w:bookmarkEnd w:id="255"/>
      <w:bookmarkStart w:id="256" w:name="_Toc184313271"/>
      <w:bookmarkEnd w:id="256"/>
      <w:bookmarkStart w:id="257" w:name="_Toc184310310"/>
      <w:bookmarkEnd w:id="257"/>
      <w:bookmarkStart w:id="258" w:name="_Toc184310293"/>
      <w:bookmarkEnd w:id="258"/>
      <w:bookmarkStart w:id="259" w:name="_Toc184314426"/>
      <w:bookmarkEnd w:id="259"/>
      <w:bookmarkStart w:id="260" w:name="_Toc184313257"/>
      <w:bookmarkEnd w:id="260"/>
      <w:bookmarkStart w:id="261" w:name="_Toc184313267"/>
      <w:bookmarkEnd w:id="261"/>
      <w:bookmarkStart w:id="262" w:name="_Toc184308047"/>
      <w:bookmarkEnd w:id="262"/>
      <w:bookmarkStart w:id="263" w:name="_Toc184310302"/>
      <w:bookmarkEnd w:id="263"/>
      <w:bookmarkStart w:id="264" w:name="_Toc184312100"/>
      <w:bookmarkEnd w:id="264"/>
      <w:bookmarkStart w:id="265" w:name="_Toc184308052"/>
      <w:bookmarkEnd w:id="265"/>
      <w:bookmarkStart w:id="266" w:name="_Toc184312103"/>
      <w:bookmarkEnd w:id="266"/>
      <w:bookmarkStart w:id="267" w:name="_Toc184310282"/>
      <w:bookmarkEnd w:id="267"/>
      <w:bookmarkStart w:id="268" w:name="_Toc184310301"/>
      <w:bookmarkEnd w:id="268"/>
      <w:bookmarkStart w:id="269" w:name="_Toc184314443"/>
      <w:bookmarkEnd w:id="269"/>
      <w:bookmarkStart w:id="270" w:name="_Toc184313273"/>
      <w:bookmarkEnd w:id="270"/>
      <w:bookmarkStart w:id="271" w:name="_Toc184314446"/>
      <w:bookmarkEnd w:id="271"/>
      <w:bookmarkStart w:id="272" w:name="_Toc184314475"/>
      <w:bookmarkEnd w:id="272"/>
      <w:bookmarkStart w:id="273" w:name="_Toc184312083"/>
      <w:bookmarkEnd w:id="273"/>
      <w:bookmarkStart w:id="274" w:name="_Toc184308065"/>
      <w:bookmarkEnd w:id="274"/>
      <w:bookmarkStart w:id="275" w:name="_Toc184312088"/>
      <w:bookmarkEnd w:id="275"/>
      <w:bookmarkStart w:id="276" w:name="_Toc184310291"/>
      <w:bookmarkEnd w:id="276"/>
      <w:bookmarkStart w:id="277" w:name="_Toc184314473"/>
      <w:bookmarkEnd w:id="277"/>
      <w:bookmarkStart w:id="278" w:name="_Toc184310341"/>
      <w:bookmarkEnd w:id="278"/>
      <w:bookmarkStart w:id="279" w:name="_Toc184308057"/>
      <w:bookmarkEnd w:id="279"/>
      <w:bookmarkStart w:id="280" w:name="_Toc184312095"/>
      <w:bookmarkEnd w:id="280"/>
      <w:bookmarkStart w:id="281" w:name="_Toc184313259"/>
      <w:bookmarkEnd w:id="281"/>
      <w:bookmarkStart w:id="282" w:name="_Toc184310315"/>
      <w:bookmarkEnd w:id="282"/>
      <w:bookmarkStart w:id="283" w:name="_Toc184313254"/>
      <w:bookmarkEnd w:id="283"/>
      <w:bookmarkStart w:id="284" w:name="_Toc184312084"/>
      <w:bookmarkEnd w:id="284"/>
      <w:bookmarkStart w:id="285" w:name="_Toc184312106"/>
      <w:bookmarkEnd w:id="285"/>
      <w:bookmarkStart w:id="286" w:name="_Toc184314447"/>
      <w:bookmarkEnd w:id="286"/>
      <w:bookmarkStart w:id="287" w:name="_Toc184312098"/>
      <w:bookmarkEnd w:id="287"/>
      <w:bookmarkStart w:id="288" w:name="_Toc184308058"/>
      <w:bookmarkEnd w:id="288"/>
      <w:bookmarkStart w:id="289" w:name="_Toc184308074"/>
      <w:bookmarkEnd w:id="289"/>
      <w:bookmarkStart w:id="290" w:name="_Toc184314432"/>
      <w:bookmarkEnd w:id="290"/>
      <w:bookmarkStart w:id="291" w:name="_Toc184312068"/>
      <w:bookmarkEnd w:id="291"/>
      <w:bookmarkStart w:id="292" w:name="_Toc184308064"/>
      <w:bookmarkEnd w:id="292"/>
      <w:bookmarkStart w:id="293" w:name="_Toc184310273"/>
      <w:bookmarkEnd w:id="293"/>
      <w:bookmarkStart w:id="294" w:name="_Toc184314434"/>
      <w:bookmarkEnd w:id="294"/>
      <w:bookmarkStart w:id="295" w:name="_Toc184308055"/>
      <w:bookmarkEnd w:id="295"/>
      <w:bookmarkStart w:id="296" w:name="_Toc184312097"/>
      <w:bookmarkEnd w:id="296"/>
      <w:bookmarkStart w:id="297" w:name="_Toc184312087"/>
      <w:bookmarkEnd w:id="297"/>
      <w:bookmarkStart w:id="298" w:name="_Toc184313266"/>
      <w:bookmarkEnd w:id="298"/>
      <w:bookmarkStart w:id="299" w:name="_Toc184313256"/>
      <w:bookmarkEnd w:id="299"/>
      <w:bookmarkStart w:id="300" w:name="_Toc184308066"/>
      <w:bookmarkEnd w:id="300"/>
      <w:bookmarkStart w:id="301" w:name="_Toc184310314"/>
      <w:bookmarkEnd w:id="301"/>
      <w:bookmarkStart w:id="302" w:name="_Toc184314431"/>
      <w:bookmarkEnd w:id="302"/>
      <w:bookmarkStart w:id="303" w:name="_Toc184314438"/>
      <w:bookmarkEnd w:id="303"/>
      <w:bookmarkStart w:id="304" w:name="_Toc184308067"/>
      <w:bookmarkEnd w:id="304"/>
      <w:bookmarkStart w:id="305" w:name="_Toc184308061"/>
      <w:bookmarkEnd w:id="305"/>
      <w:bookmarkStart w:id="306" w:name="_Toc184312070"/>
      <w:bookmarkEnd w:id="306"/>
      <w:bookmarkStart w:id="307" w:name="_Toc184312135"/>
      <w:bookmarkEnd w:id="307"/>
      <w:bookmarkStart w:id="308" w:name="_Toc184310292"/>
      <w:bookmarkEnd w:id="308"/>
      <w:bookmarkStart w:id="309" w:name="_Toc184314455"/>
      <w:bookmarkEnd w:id="309"/>
      <w:bookmarkStart w:id="310" w:name="_Toc184313303"/>
      <w:bookmarkEnd w:id="310"/>
      <w:bookmarkStart w:id="311" w:name="_Toc184312117"/>
      <w:bookmarkEnd w:id="311"/>
      <w:bookmarkStart w:id="312" w:name="_Toc184312094"/>
      <w:bookmarkEnd w:id="312"/>
      <w:bookmarkStart w:id="313" w:name="_Toc184312115"/>
      <w:bookmarkEnd w:id="313"/>
      <w:bookmarkStart w:id="314" w:name="_Toc184314417"/>
      <w:bookmarkEnd w:id="314"/>
      <w:bookmarkStart w:id="315" w:name="_Toc184310342"/>
      <w:bookmarkEnd w:id="315"/>
      <w:bookmarkStart w:id="316" w:name="_Toc184310279"/>
      <w:bookmarkEnd w:id="316"/>
      <w:bookmarkStart w:id="317" w:name="_Toc184313244"/>
      <w:bookmarkEnd w:id="317"/>
      <w:bookmarkStart w:id="318" w:name="_Toc184314416"/>
      <w:bookmarkEnd w:id="318"/>
      <w:bookmarkStart w:id="319" w:name="_Toc184310312"/>
      <w:bookmarkEnd w:id="319"/>
      <w:bookmarkStart w:id="320" w:name="_Toc184310316"/>
      <w:bookmarkEnd w:id="320"/>
      <w:bookmarkStart w:id="321" w:name="_Toc184308044"/>
      <w:bookmarkEnd w:id="321"/>
      <w:bookmarkStart w:id="322" w:name="_Toc184312076"/>
      <w:bookmarkEnd w:id="322"/>
      <w:bookmarkStart w:id="323" w:name="_Toc184310272"/>
      <w:bookmarkEnd w:id="323"/>
      <w:bookmarkStart w:id="324" w:name="_Toc184314415"/>
      <w:bookmarkEnd w:id="324"/>
      <w:bookmarkStart w:id="325" w:name="_Toc184308041"/>
      <w:bookmarkEnd w:id="325"/>
      <w:bookmarkStart w:id="326" w:name="_Toc184312111"/>
      <w:bookmarkEnd w:id="326"/>
      <w:bookmarkStart w:id="327" w:name="_Toc184314414"/>
      <w:bookmarkEnd w:id="327"/>
      <w:bookmarkStart w:id="328" w:name="_Toc184310280"/>
      <w:bookmarkEnd w:id="328"/>
      <w:bookmarkStart w:id="329" w:name="_Toc184314472"/>
      <w:bookmarkEnd w:id="329"/>
      <w:bookmarkStart w:id="330" w:name="_Toc184312077"/>
      <w:bookmarkEnd w:id="330"/>
      <w:bookmarkStart w:id="331" w:name="_Toc184310318"/>
      <w:bookmarkEnd w:id="331"/>
      <w:bookmarkStart w:id="332" w:name="_Toc184312074"/>
      <w:bookmarkEnd w:id="332"/>
      <w:bookmarkStart w:id="333" w:name="_Toc184312075"/>
      <w:bookmarkEnd w:id="333"/>
      <w:bookmarkStart w:id="334" w:name="_Toc184313245"/>
      <w:bookmarkEnd w:id="334"/>
      <w:bookmarkStart w:id="335" w:name="_Toc184313282"/>
      <w:bookmarkEnd w:id="335"/>
      <w:bookmarkStart w:id="336" w:name="_Toc184310276"/>
      <w:bookmarkEnd w:id="336"/>
      <w:bookmarkStart w:id="337" w:name="_Toc184314448"/>
      <w:bookmarkEnd w:id="337"/>
      <w:bookmarkStart w:id="338" w:name="_Toc184310278"/>
      <w:bookmarkEnd w:id="338"/>
      <w:bookmarkStart w:id="339" w:name="_Toc184310344"/>
      <w:bookmarkEnd w:id="339"/>
      <w:bookmarkStart w:id="340" w:name="_Toc184314433"/>
      <w:bookmarkEnd w:id="340"/>
      <w:bookmarkStart w:id="341" w:name="_Toc184312092"/>
      <w:bookmarkEnd w:id="341"/>
      <w:bookmarkStart w:id="342" w:name="_Toc184308075"/>
      <w:bookmarkEnd w:id="342"/>
      <w:bookmarkStart w:id="343" w:name="_Toc184312082"/>
      <w:bookmarkEnd w:id="343"/>
      <w:bookmarkStart w:id="344" w:name="_Toc184308042"/>
      <w:bookmarkEnd w:id="344"/>
      <w:bookmarkStart w:id="345" w:name="_Toc184308059"/>
      <w:bookmarkEnd w:id="345"/>
      <w:bookmarkStart w:id="346" w:name="_Toc184314425"/>
      <w:bookmarkEnd w:id="346"/>
      <w:bookmarkStart w:id="347" w:name="_Toc184313261"/>
      <w:bookmarkEnd w:id="347"/>
      <w:bookmarkStart w:id="348" w:name="_Toc184308106"/>
      <w:bookmarkEnd w:id="348"/>
      <w:bookmarkStart w:id="349" w:name="_Toc184310277"/>
      <w:bookmarkEnd w:id="349"/>
      <w:bookmarkStart w:id="350" w:name="_Toc184308060"/>
      <w:bookmarkEnd w:id="350"/>
      <w:bookmarkStart w:id="351" w:name="_Toc184308062"/>
      <w:bookmarkEnd w:id="351"/>
      <w:bookmarkStart w:id="352" w:name="_Toc184313276"/>
      <w:bookmarkEnd w:id="352"/>
      <w:bookmarkStart w:id="353" w:name="_Toc184314477"/>
      <w:bookmarkEnd w:id="353"/>
      <w:bookmarkStart w:id="354" w:name="_Toc184310332"/>
      <w:bookmarkEnd w:id="354"/>
      <w:bookmarkStart w:id="355" w:name="_Toc184310287"/>
      <w:bookmarkEnd w:id="355"/>
      <w:bookmarkStart w:id="356" w:name="_Toc184310295"/>
      <w:bookmarkEnd w:id="356"/>
      <w:bookmarkStart w:id="357" w:name="_Toc184314471"/>
      <w:bookmarkEnd w:id="357"/>
      <w:bookmarkStart w:id="358" w:name="_Toc184308080"/>
      <w:bookmarkEnd w:id="358"/>
      <w:bookmarkStart w:id="359" w:name="_Toc184308096"/>
      <w:bookmarkEnd w:id="359"/>
      <w:bookmarkStart w:id="360" w:name="_Toc184314424"/>
      <w:bookmarkEnd w:id="360"/>
      <w:bookmarkStart w:id="361" w:name="_Toc184310304"/>
      <w:bookmarkEnd w:id="361"/>
      <w:bookmarkStart w:id="362" w:name="_Toc184310321"/>
      <w:bookmarkEnd w:id="362"/>
      <w:bookmarkStart w:id="363" w:name="_Toc184314427"/>
      <w:bookmarkEnd w:id="363"/>
      <w:bookmarkStart w:id="364" w:name="_Toc184313290"/>
      <w:bookmarkEnd w:id="364"/>
      <w:bookmarkStart w:id="365" w:name="_Toc184312090"/>
      <w:bookmarkEnd w:id="365"/>
      <w:bookmarkStart w:id="366" w:name="_Toc184313296"/>
      <w:bookmarkEnd w:id="366"/>
      <w:bookmarkStart w:id="367" w:name="_Toc184313300"/>
      <w:bookmarkEnd w:id="367"/>
      <w:bookmarkStart w:id="368" w:name="_Toc184308036"/>
      <w:bookmarkEnd w:id="368"/>
      <w:bookmarkStart w:id="369" w:name="_Toc184314412"/>
      <w:bookmarkEnd w:id="369"/>
      <w:bookmarkStart w:id="370" w:name="_Toc184308098"/>
      <w:bookmarkEnd w:id="370"/>
      <w:bookmarkStart w:id="371" w:name="_Toc184313305"/>
      <w:bookmarkEnd w:id="371"/>
      <w:bookmarkStart w:id="372" w:name="_Toc184312129"/>
      <w:bookmarkEnd w:id="372"/>
      <w:bookmarkStart w:id="373" w:name="_Toc184308097"/>
      <w:bookmarkEnd w:id="373"/>
      <w:bookmarkStart w:id="374" w:name="_Toc184312134"/>
      <w:bookmarkEnd w:id="374"/>
      <w:bookmarkStart w:id="375" w:name="_Toc184308103"/>
      <w:bookmarkEnd w:id="375"/>
      <w:bookmarkStart w:id="376" w:name="_Toc184313304"/>
      <w:bookmarkEnd w:id="376"/>
      <w:bookmarkStart w:id="377" w:name="_Toc184314468"/>
      <w:bookmarkEnd w:id="377"/>
      <w:bookmarkStart w:id="378" w:name="_Toc184314469"/>
      <w:bookmarkEnd w:id="378"/>
      <w:bookmarkStart w:id="379" w:name="_Toc184308068"/>
      <w:bookmarkEnd w:id="379"/>
      <w:bookmarkStart w:id="380" w:name="_Toc184312091"/>
      <w:bookmarkEnd w:id="380"/>
      <w:bookmarkStart w:id="381" w:name="_Toc184308046"/>
      <w:bookmarkEnd w:id="381"/>
      <w:bookmarkStart w:id="382" w:name="_Toc184312130"/>
      <w:bookmarkEnd w:id="382"/>
      <w:bookmarkStart w:id="383" w:name="_Toc184312132"/>
      <w:bookmarkEnd w:id="383"/>
      <w:bookmarkStart w:id="384" w:name="_Toc184313299"/>
      <w:bookmarkEnd w:id="384"/>
      <w:bookmarkStart w:id="385" w:name="_Toc184314470"/>
      <w:bookmarkEnd w:id="385"/>
      <w:bookmarkStart w:id="386" w:name="_Toc184313285"/>
      <w:bookmarkEnd w:id="386"/>
      <w:bookmarkStart w:id="387" w:name="_Toc184310340"/>
      <w:bookmarkEnd w:id="387"/>
      <w:bookmarkStart w:id="388" w:name="_Toc184308076"/>
      <w:bookmarkEnd w:id="388"/>
      <w:bookmarkStart w:id="389" w:name="_Toc184312109"/>
      <w:bookmarkEnd w:id="389"/>
      <w:bookmarkStart w:id="390" w:name="_Toc184310330"/>
      <w:bookmarkEnd w:id="390"/>
      <w:bookmarkStart w:id="391" w:name="_Toc184314481"/>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3"/>
        <w:ind w:left="9" w:leftChars="-35" w:hanging="82" w:hangingChars="34"/>
        <w:rPr>
          <w:rFonts w:hint="eastAsia" w:ascii="仿宋" w:hAnsi="仿宋" w:eastAsia="仿宋" w:cs="仿宋_GB2312"/>
          <w:b/>
          <w:bCs/>
          <w:snapToGrid/>
          <w:kern w:val="2"/>
          <w:sz w:val="24"/>
          <w:szCs w:val="24"/>
          <w:lang w:val="en-US" w:eastAsia="zh-CN" w:bidi="ar-SA"/>
        </w:rPr>
      </w:pPr>
      <w:r>
        <w:rPr>
          <w:rFonts w:hint="eastAsia" w:ascii="仿宋" w:hAnsi="仿宋" w:eastAsia="仿宋" w:cs="仿宋_GB2312"/>
          <w:b/>
          <w:bCs/>
          <w:snapToGrid/>
          <w:kern w:val="2"/>
          <w:sz w:val="24"/>
          <w:szCs w:val="24"/>
          <w:lang w:val="en-US" w:eastAsia="zh-CN" w:bidi="ar-SA"/>
        </w:rPr>
        <w:t>标项一、标项二、标项三、标项四：</w:t>
      </w:r>
    </w:p>
    <w:tbl>
      <w:tblPr>
        <w:tblStyle w:val="62"/>
        <w:tblpPr w:leftFromText="180" w:rightFromText="180" w:vertAnchor="text" w:horzAnchor="page" w:tblpX="929" w:tblpY="212"/>
        <w:tblOverlap w:val="never"/>
        <w:tblW w:w="10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25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60" w:type="dxa"/>
          </w:tcPr>
          <w:p>
            <w:pPr>
              <w:pStyle w:val="34"/>
              <w:adjustRightInd w:val="0"/>
              <w:snapToGrid w:val="0"/>
              <w:spacing w:beforeLines="0" w:afterLines="0" w:line="240" w:lineRule="auto"/>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序号</w:t>
            </w:r>
          </w:p>
        </w:tc>
        <w:tc>
          <w:tcPr>
            <w:tcW w:w="9255" w:type="dxa"/>
          </w:tcPr>
          <w:p>
            <w:pPr>
              <w:pStyle w:val="34"/>
              <w:adjustRightInd w:val="0"/>
              <w:snapToGrid w:val="0"/>
              <w:spacing w:beforeLines="0" w:afterLines="0" w:line="240" w:lineRule="auto"/>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评 分 内 容</w:t>
            </w:r>
          </w:p>
        </w:tc>
        <w:tc>
          <w:tcPr>
            <w:tcW w:w="750" w:type="dxa"/>
          </w:tcPr>
          <w:p>
            <w:pPr>
              <w:pStyle w:val="34"/>
              <w:adjustRightInd w:val="0"/>
              <w:snapToGrid w:val="0"/>
              <w:spacing w:beforeLines="0" w:afterLines="0" w:line="240" w:lineRule="auto"/>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60" w:type="dxa"/>
            <w:vAlign w:val="center"/>
          </w:tcPr>
          <w:p>
            <w:pPr>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1</w:t>
            </w:r>
          </w:p>
        </w:tc>
        <w:tc>
          <w:tcPr>
            <w:tcW w:w="9255" w:type="dxa"/>
            <w:vAlign w:val="center"/>
          </w:tcPr>
          <w:p>
            <w:pP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2019年01月01日以来承担过国家级、省级、市（区县）级（本苗种）水产苗种放流项目情况，每承担一次国家级放流项目的得3分，省级的得2分，市（区县）级得1分，最多不超过4分。（以中标通知书或合同或供货证明材料为准，业绩时间以中标通知书发放时间或合同、供货证明材料签订时间为准）。</w:t>
            </w:r>
          </w:p>
        </w:tc>
        <w:tc>
          <w:tcPr>
            <w:tcW w:w="750" w:type="dxa"/>
            <w:vAlign w:val="center"/>
          </w:tcPr>
          <w:p>
            <w:pPr>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2</w:t>
            </w:r>
          </w:p>
        </w:tc>
        <w:tc>
          <w:tcPr>
            <w:tcW w:w="9255" w:type="dxa"/>
            <w:vAlign w:val="center"/>
          </w:tcPr>
          <w:p>
            <w:pP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鱼种亲本数量及实际年生产种苗数量、从事苗种生产实际年限、可实际承担放流任务数量等（本苗种）。</w:t>
            </w:r>
            <w:r>
              <w:rPr>
                <w:rFonts w:hint="eastAsia" w:ascii="仿宋" w:hAnsi="仿宋" w:eastAsia="仿宋" w:cs="仿宋_GB2312"/>
                <w:snapToGrid/>
                <w:kern w:val="2"/>
                <w:sz w:val="24"/>
                <w:szCs w:val="24"/>
                <w:lang w:val="zh-CN" w:eastAsia="zh-CN" w:bidi="ar-SA"/>
              </w:rPr>
              <w:t>（0-10）</w:t>
            </w:r>
          </w:p>
        </w:tc>
        <w:tc>
          <w:tcPr>
            <w:tcW w:w="750" w:type="dxa"/>
            <w:vAlign w:val="center"/>
          </w:tcPr>
          <w:p>
            <w:pPr>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3</w:t>
            </w:r>
          </w:p>
        </w:tc>
        <w:tc>
          <w:tcPr>
            <w:tcW w:w="9255" w:type="dxa"/>
            <w:vAlign w:val="center"/>
          </w:tcPr>
          <w:p>
            <w:pP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根据投标人提供的苗种培育计划和进度计划酌情打分（本苗种）（0-10）</w:t>
            </w:r>
          </w:p>
        </w:tc>
        <w:tc>
          <w:tcPr>
            <w:tcW w:w="750" w:type="dxa"/>
            <w:vAlign w:val="center"/>
          </w:tcPr>
          <w:p>
            <w:pPr>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4</w:t>
            </w:r>
          </w:p>
        </w:tc>
        <w:tc>
          <w:tcPr>
            <w:tcW w:w="92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根据投标人对本项目苗种供应的组织实施方案、质量控制措施制订情况等进行评审。</w:t>
            </w:r>
            <w:r>
              <w:rPr>
                <w:rFonts w:hint="eastAsia" w:ascii="仿宋" w:hAnsi="仿宋" w:eastAsia="仿宋" w:cs="仿宋_GB2312"/>
                <w:snapToGrid/>
                <w:kern w:val="2"/>
                <w:sz w:val="24"/>
                <w:szCs w:val="24"/>
                <w:lang w:val="en-US" w:eastAsia="zh-CN" w:bidi="ar-SA"/>
              </w:rPr>
              <w:t>（0-8）。</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8</w:t>
            </w:r>
            <w:r>
              <w:rPr>
                <w:rFonts w:hint="eastAsia" w:ascii="仿宋" w:hAnsi="仿宋" w:eastAsia="仿宋" w:cs="仿宋_GB2312"/>
                <w:snapToGrid/>
                <w:kern w:val="2"/>
                <w:sz w:val="24"/>
                <w:szCs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5</w:t>
            </w:r>
          </w:p>
        </w:tc>
        <w:tc>
          <w:tcPr>
            <w:tcW w:w="925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根据运输方式、运输时间安排等（注意放流季节等因素）内容是否科学合理进行评审。（0-7）</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7</w:t>
            </w:r>
            <w:r>
              <w:rPr>
                <w:rFonts w:hint="eastAsia" w:ascii="仿宋" w:hAnsi="仿宋" w:eastAsia="仿宋" w:cs="仿宋_GB2312"/>
                <w:snapToGrid/>
                <w:kern w:val="2"/>
                <w:sz w:val="24"/>
                <w:szCs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6</w:t>
            </w:r>
          </w:p>
        </w:tc>
        <w:tc>
          <w:tcPr>
            <w:tcW w:w="9255" w:type="dxa"/>
            <w:vAlign w:val="center"/>
          </w:tcPr>
          <w:p>
            <w:pP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根据投标人对本项目苗种的放流方案、放流注意事项等进行评审。（0-8）</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8</w:t>
            </w:r>
            <w:r>
              <w:rPr>
                <w:rFonts w:hint="eastAsia" w:ascii="仿宋" w:hAnsi="仿宋" w:eastAsia="仿宋" w:cs="仿宋_GB2312"/>
                <w:snapToGrid/>
                <w:kern w:val="2"/>
                <w:sz w:val="24"/>
                <w:szCs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60" w:type="dxa"/>
            <w:vMerge w:val="restart"/>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7</w:t>
            </w:r>
          </w:p>
        </w:tc>
        <w:tc>
          <w:tcPr>
            <w:tcW w:w="9255" w:type="dxa"/>
            <w:vAlign w:val="center"/>
          </w:tcPr>
          <w:p>
            <w:pPr>
              <w:pStyle w:val="34"/>
              <w:adjustRightInd w:val="0"/>
              <w:snapToGrid w:val="0"/>
              <w:spacing w:beforeLines="0" w:afterLines="0" w:line="320" w:lineRule="exact"/>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建立各项规章制度并上墙和有效运行</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60" w:type="dxa"/>
            <w:vMerge w:val="continue"/>
            <w:vAlign w:val="center"/>
          </w:tcPr>
          <w:p>
            <w:pPr>
              <w:autoSpaceDE w:val="0"/>
              <w:autoSpaceDN w:val="0"/>
              <w:adjustRightInd w:val="0"/>
              <w:spacing w:line="360" w:lineRule="auto"/>
              <w:jc w:val="left"/>
              <w:rPr>
                <w:rFonts w:hint="eastAsia" w:ascii="仿宋" w:hAnsi="仿宋" w:eastAsia="仿宋" w:cs="仿宋_GB2312"/>
                <w:snapToGrid/>
                <w:kern w:val="2"/>
                <w:sz w:val="24"/>
                <w:szCs w:val="24"/>
                <w:lang w:val="en-US" w:eastAsia="zh-CN" w:bidi="ar-SA"/>
              </w:rPr>
            </w:pPr>
          </w:p>
        </w:tc>
        <w:tc>
          <w:tcPr>
            <w:tcW w:w="9255" w:type="dxa"/>
            <w:vAlign w:val="center"/>
          </w:tcPr>
          <w:p>
            <w:pPr>
              <w:pStyle w:val="34"/>
              <w:adjustRightInd w:val="0"/>
              <w:snapToGrid w:val="0"/>
              <w:spacing w:beforeLines="0" w:afterLines="0" w:line="320" w:lineRule="exact"/>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有苗种生产技术操作规程和苗种质量标准</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0" w:type="dxa"/>
            <w:vMerge w:val="continue"/>
            <w:vAlign w:val="center"/>
          </w:tcPr>
          <w:p>
            <w:pPr>
              <w:autoSpaceDE w:val="0"/>
              <w:autoSpaceDN w:val="0"/>
              <w:adjustRightInd w:val="0"/>
              <w:spacing w:line="360" w:lineRule="auto"/>
              <w:jc w:val="left"/>
              <w:rPr>
                <w:rFonts w:hint="eastAsia" w:ascii="仿宋" w:hAnsi="仿宋" w:eastAsia="仿宋" w:cs="仿宋_GB2312"/>
                <w:snapToGrid/>
                <w:kern w:val="2"/>
                <w:sz w:val="24"/>
                <w:szCs w:val="24"/>
                <w:lang w:val="zh-CN" w:eastAsia="zh-CN" w:bidi="ar-SA"/>
              </w:rPr>
            </w:pPr>
          </w:p>
        </w:tc>
        <w:tc>
          <w:tcPr>
            <w:tcW w:w="9255" w:type="dxa"/>
            <w:vAlign w:val="center"/>
          </w:tcPr>
          <w:p>
            <w:pPr>
              <w:pStyle w:val="34"/>
              <w:adjustRightInd w:val="0"/>
              <w:snapToGrid w:val="0"/>
              <w:spacing w:beforeLines="0" w:afterLines="0" w:line="320" w:lineRule="exact"/>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苗种引种、保种记录完整</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0" w:type="dxa"/>
            <w:vMerge w:val="continue"/>
            <w:vAlign w:val="center"/>
          </w:tcPr>
          <w:p>
            <w:pPr>
              <w:autoSpaceDE w:val="0"/>
              <w:autoSpaceDN w:val="0"/>
              <w:adjustRightInd w:val="0"/>
              <w:spacing w:line="360" w:lineRule="auto"/>
              <w:jc w:val="left"/>
              <w:rPr>
                <w:rFonts w:hint="eastAsia" w:ascii="仿宋" w:hAnsi="仿宋" w:eastAsia="仿宋" w:cs="仿宋_GB2312"/>
                <w:snapToGrid/>
                <w:kern w:val="2"/>
                <w:sz w:val="24"/>
                <w:szCs w:val="24"/>
                <w:lang w:val="zh-CN" w:eastAsia="zh-CN" w:bidi="ar-SA"/>
              </w:rPr>
            </w:pPr>
          </w:p>
        </w:tc>
        <w:tc>
          <w:tcPr>
            <w:tcW w:w="9255" w:type="dxa"/>
            <w:vAlign w:val="center"/>
          </w:tcPr>
          <w:p>
            <w:pPr>
              <w:pStyle w:val="34"/>
              <w:adjustRightInd w:val="0"/>
              <w:snapToGrid w:val="0"/>
              <w:spacing w:beforeLines="0" w:afterLines="0" w:line="320" w:lineRule="exact"/>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苗种生产、用药、销售记录完整</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pPr>
              <w:autoSpaceDE w:val="0"/>
              <w:autoSpaceDN w:val="0"/>
              <w:adjustRightInd w:val="0"/>
              <w:spacing w:line="360" w:lineRule="auto"/>
              <w:jc w:val="left"/>
              <w:rPr>
                <w:rFonts w:hint="eastAsia" w:ascii="仿宋" w:hAnsi="仿宋" w:eastAsia="仿宋" w:cs="仿宋_GB2312"/>
                <w:snapToGrid/>
                <w:kern w:val="2"/>
                <w:sz w:val="24"/>
                <w:szCs w:val="24"/>
                <w:lang w:val="zh-CN" w:eastAsia="zh-CN" w:bidi="ar-SA"/>
              </w:rPr>
            </w:pPr>
          </w:p>
        </w:tc>
        <w:tc>
          <w:tcPr>
            <w:tcW w:w="9255" w:type="dxa"/>
            <w:vAlign w:val="center"/>
          </w:tcPr>
          <w:p>
            <w:pPr>
              <w:pStyle w:val="34"/>
              <w:adjustRightInd w:val="0"/>
              <w:snapToGrid w:val="0"/>
              <w:spacing w:beforeLines="0" w:afterLines="0" w:line="320" w:lineRule="exact"/>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zh-CN" w:eastAsia="zh-CN" w:bidi="ar-SA"/>
              </w:rPr>
              <w:t>检验检测记录完整</w:t>
            </w:r>
          </w:p>
        </w:tc>
        <w:tc>
          <w:tcPr>
            <w:tcW w:w="750" w:type="dxa"/>
            <w:vAlign w:val="center"/>
          </w:tcPr>
          <w:p>
            <w:pPr>
              <w:autoSpaceDE w:val="0"/>
              <w:autoSpaceDN w:val="0"/>
              <w:adjustRightInd w:val="0"/>
              <w:spacing w:line="360" w:lineRule="auto"/>
              <w:jc w:val="center"/>
              <w:rPr>
                <w:rFonts w:hint="eastAsia" w:ascii="仿宋" w:hAnsi="仿宋" w:eastAsia="仿宋" w:cs="仿宋_GB2312"/>
                <w:snapToGrid/>
                <w:kern w:val="2"/>
                <w:sz w:val="24"/>
                <w:szCs w:val="24"/>
                <w:lang w:val="zh-CN" w:eastAsia="zh-CN" w:bidi="ar-SA"/>
              </w:rPr>
            </w:pPr>
            <w:r>
              <w:rPr>
                <w:rFonts w:hint="eastAsia" w:ascii="仿宋" w:hAnsi="仿宋" w:eastAsia="仿宋" w:cs="仿宋_GB2312"/>
                <w:snapToGrid/>
                <w:kern w:val="2"/>
                <w:sz w:val="24"/>
                <w:szCs w:val="24"/>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0" w:type="dxa"/>
            <w:vAlign w:val="center"/>
          </w:tcPr>
          <w:p>
            <w:pPr>
              <w:pStyle w:val="34"/>
              <w:adjustRightInd w:val="0"/>
              <w:snapToGrid w:val="0"/>
              <w:spacing w:beforeLines="0" w:afterLines="0"/>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8</w:t>
            </w:r>
          </w:p>
        </w:tc>
        <w:tc>
          <w:tcPr>
            <w:tcW w:w="9255" w:type="dxa"/>
          </w:tcPr>
          <w:p>
            <w:pP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2019年01月01日以来是否有滥用药物等不良信用记录。无不良记录得3分，有不良记录的不得分。以主管部门处罚为准，投标人应如实提供。</w:t>
            </w:r>
          </w:p>
        </w:tc>
        <w:tc>
          <w:tcPr>
            <w:tcW w:w="750" w:type="dxa"/>
            <w:vAlign w:val="center"/>
          </w:tcPr>
          <w:p>
            <w:pPr>
              <w:jc w:val="center"/>
              <w:rPr>
                <w:rFonts w:hint="eastAsia"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0" w:type="dxa"/>
            <w:vAlign w:val="center"/>
          </w:tcPr>
          <w:p>
            <w:pPr>
              <w:pStyle w:val="34"/>
              <w:adjustRightInd w:val="0"/>
              <w:snapToGrid w:val="0"/>
              <w:spacing w:beforeLines="0" w:afterLines="0"/>
              <w:jc w:val="center"/>
              <w:rPr>
                <w:rFonts w:hint="default" w:ascii="仿宋" w:hAnsi="仿宋" w:eastAsia="仿宋" w:cs="仿宋_GB2312"/>
                <w:snapToGrid/>
                <w:kern w:val="2"/>
                <w:sz w:val="24"/>
                <w:szCs w:val="24"/>
                <w:lang w:val="en-US" w:eastAsia="zh-CN" w:bidi="ar-SA"/>
              </w:rPr>
            </w:pPr>
            <w:r>
              <w:rPr>
                <w:rFonts w:hint="eastAsia" w:ascii="仿宋" w:hAnsi="仿宋" w:eastAsia="仿宋" w:cs="仿宋_GB2312"/>
                <w:snapToGrid/>
                <w:kern w:val="2"/>
                <w:sz w:val="24"/>
                <w:szCs w:val="24"/>
                <w:lang w:val="en-US" w:eastAsia="zh-CN" w:bidi="ar-SA"/>
              </w:rPr>
              <w:t>9</w:t>
            </w:r>
          </w:p>
        </w:tc>
        <w:tc>
          <w:tcPr>
            <w:tcW w:w="9255" w:type="dxa"/>
          </w:tcPr>
          <w:p>
            <w:pPr>
              <w:spacing w:line="360" w:lineRule="auto"/>
              <w:outlineLvl w:val="0"/>
              <w:rPr>
                <w:rFonts w:ascii="仿宋" w:hAnsi="仿宋" w:eastAsia="仿宋" w:cs="仿宋_GB2312"/>
                <w:sz w:val="24"/>
              </w:rPr>
            </w:pPr>
            <w:r>
              <w:rPr>
                <w:rFonts w:hint="eastAsia" w:ascii="仿宋" w:hAnsi="仿宋" w:eastAsia="仿宋" w:cs="仿宋_GB2312"/>
                <w:sz w:val="24"/>
              </w:rPr>
              <w:t>以全部有效报价的最高投标尾数为评标基准价，其报价为满分；各投标方的投标报价分统一按照[投标报价得分=（投标尾数/评标基准价）*40%*100]的计算公式计算。</w:t>
            </w:r>
          </w:p>
          <w:p>
            <w:pPr>
              <w:widowControl/>
              <w:shd w:val="clear" w:color="auto" w:fill="FFFFFF"/>
              <w:adjustRightInd/>
              <w:spacing w:after="225" w:line="315" w:lineRule="atLeast"/>
              <w:jc w:val="left"/>
              <w:rPr>
                <w:rFonts w:hint="eastAsia" w:ascii="仿宋" w:hAnsi="仿宋" w:eastAsia="仿宋" w:cs="仿宋_GB2312"/>
                <w:snapToGrid/>
                <w:kern w:val="2"/>
                <w:sz w:val="24"/>
                <w:szCs w:val="24"/>
                <w:highlight w:val="yellow"/>
                <w:lang w:val="en-US" w:eastAsia="zh-CN" w:bidi="ar-SA"/>
              </w:rPr>
            </w:pPr>
            <w:r>
              <w:rPr>
                <w:rFonts w:ascii="仿宋" w:hAnsi="仿宋" w:eastAsia="仿宋" w:cs="仿宋_GB2312"/>
                <w:sz w:val="24"/>
              </w:rPr>
              <w:t>评标过程中，不得去掉报价中的最高报价和最低报价。</w:t>
            </w:r>
          </w:p>
        </w:tc>
        <w:tc>
          <w:tcPr>
            <w:tcW w:w="750" w:type="dxa"/>
            <w:vAlign w:val="center"/>
          </w:tcPr>
          <w:p>
            <w:pPr>
              <w:jc w:val="center"/>
              <w:rPr>
                <w:rFonts w:hint="default" w:ascii="仿宋" w:hAnsi="仿宋" w:eastAsia="仿宋" w:cs="仿宋_GB2312"/>
                <w:snapToGrid/>
                <w:kern w:val="2"/>
                <w:sz w:val="24"/>
                <w:szCs w:val="24"/>
                <w:highlight w:val="yellow"/>
                <w:lang w:val="en-US" w:eastAsia="zh-CN" w:bidi="ar-SA"/>
              </w:rPr>
            </w:pPr>
            <w:r>
              <w:rPr>
                <w:rFonts w:hint="eastAsia" w:ascii="仿宋" w:hAnsi="仿宋" w:eastAsia="仿宋" w:cs="仿宋_GB2312"/>
                <w:snapToGrid/>
                <w:kern w:val="2"/>
                <w:sz w:val="24"/>
                <w:szCs w:val="24"/>
                <w:highlight w:val="none"/>
                <w:lang w:val="en-US" w:eastAsia="zh-CN" w:bidi="ar-SA"/>
              </w:rPr>
              <w:t>40分</w:t>
            </w:r>
          </w:p>
        </w:tc>
      </w:tr>
    </w:tbl>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w:t>
      </w:r>
      <w:r>
        <w:rPr>
          <w:rFonts w:hint="eastAsia" w:ascii="仿宋" w:hAnsi="仿宋" w:eastAsia="仿宋" w:cs="仿宋_GB2312"/>
          <w:b/>
          <w:bCs/>
          <w:color w:val="000000" w:themeColor="text1"/>
          <w:sz w:val="24"/>
          <w14:textFill>
            <w14:solidFill>
              <w14:schemeClr w14:val="tx1"/>
            </w14:solidFill>
          </w14:textFill>
        </w:rPr>
        <w:t>（序号和内容）</w:t>
      </w:r>
      <w:r>
        <w:rPr>
          <w:rFonts w:hint="eastAsia" w:ascii="仿宋" w:hAnsi="仿宋" w:eastAsia="仿宋" w:cs="仿宋_GB2312"/>
          <w:sz w:val="24"/>
        </w:rPr>
        <w:t>提供评标标准相应的商务技术资料。</w:t>
      </w:r>
      <w:r>
        <w:rPr>
          <w:rFonts w:ascii="仿宋" w:hAnsi="仿宋" w:eastAsia="仿宋" w:cs="仿宋_GB2312"/>
          <w:sz w:val="24"/>
        </w:rPr>
        <w:t> </w:t>
      </w:r>
    </w:p>
    <w:p>
      <w:pPr>
        <w:snapToGrid w:val="0"/>
        <w:spacing w:line="360" w:lineRule="auto"/>
        <w:rPr>
          <w:rFonts w:hint="eastAsia" w:ascii="仿宋" w:hAnsi="仿宋" w:eastAsia="仿宋" w:cs="仿宋_GB2312"/>
          <w:snapToGrid/>
          <w:kern w:val="2"/>
          <w:sz w:val="24"/>
          <w:szCs w:val="24"/>
          <w:lang w:val="en-US" w:eastAsia="zh-CN" w:bidi="ar-SA"/>
        </w:rPr>
      </w:pPr>
    </w:p>
    <w:p>
      <w:pPr>
        <w:pStyle w:val="2"/>
        <w:rPr>
          <w:rFonts w:hint="eastAsia"/>
          <w:lang w:val="en-US" w:eastAsia="zh-CN"/>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lang w:val="en-US" w:eastAsia="zh-CN"/>
        </w:rPr>
      </w:pPr>
      <w:r>
        <w:rPr>
          <w:rFonts w:ascii="仿宋_GB2312" w:hAnsi="仿宋" w:eastAsia="仿宋_GB2312" w:cs="Arial"/>
          <w:b/>
          <w:kern w:val="0"/>
          <w:sz w:val="24"/>
        </w:rPr>
        <w:t>3.4报价评审。</w:t>
      </w:r>
      <w:r>
        <w:rPr>
          <w:rFonts w:hint="eastAsia" w:ascii="仿宋_GB2312" w:hAnsi="仿宋" w:eastAsia="仿宋_GB2312" w:cs="Arial"/>
          <w:b/>
          <w:kern w:val="0"/>
          <w:sz w:val="24"/>
          <w:lang w:val="en-US" w:eastAsia="zh-CN"/>
        </w:rPr>
        <w:t xml:space="preserve"> </w:t>
      </w:r>
    </w:p>
    <w:p>
      <w:pPr>
        <w:pStyle w:val="13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2"/>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FF0000"/>
          <w:kern w:val="0"/>
          <w:sz w:val="24"/>
        </w:rPr>
      </w:pPr>
      <w:r>
        <w:rPr>
          <w:rFonts w:ascii="仿宋" w:hAnsi="仿宋" w:eastAsia="仿宋" w:cs="仿宋"/>
          <w:kern w:val="0"/>
          <w:sz w:val="24"/>
        </w:rPr>
        <w:t>3.4.3</w:t>
      </w:r>
      <w:r>
        <w:rPr>
          <w:rFonts w:hint="eastAsia" w:ascii="仿宋" w:hAnsi="仿宋" w:eastAsia="仿宋" w:cs="仿宋"/>
          <w:color w:val="FF0000"/>
          <w:kern w:val="0"/>
          <w:sz w:val="24"/>
        </w:rPr>
        <w:t>投标报价超过招标文件中规定的预算金额或者最高限价的，</w:t>
      </w:r>
      <w:r>
        <w:rPr>
          <w:rFonts w:hint="eastAsia" w:ascii="仿宋" w:hAnsi="仿宋" w:eastAsia="仿宋" w:cs="仿宋"/>
          <w:color w:val="FF0000"/>
          <w:kern w:val="0"/>
          <w:sz w:val="24"/>
          <w:lang w:eastAsia="zh-CN"/>
        </w:rPr>
        <w:t>或者投标尾数低于最低投标尾数的，</w:t>
      </w:r>
      <w:r>
        <w:rPr>
          <w:rFonts w:hint="eastAsia" w:ascii="仿宋" w:hAnsi="仿宋" w:eastAsia="仿宋" w:cs="仿宋"/>
          <w:color w:val="FF0000"/>
          <w:kern w:val="0"/>
          <w:sz w:val="24"/>
        </w:rPr>
        <w:t>投标无效。</w:t>
      </w:r>
    </w:p>
    <w:p>
      <w:pPr>
        <w:pStyle w:val="132"/>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2"/>
        <w:spacing w:before="0"/>
        <w:ind w:firstLine="480"/>
        <w:rPr>
          <w:rFonts w:hint="eastAsia" w:ascii="仿宋" w:hAnsi="仿宋" w:eastAsia="仿宋_GB2312" w:cs="仿宋"/>
          <w:kern w:val="0"/>
          <w:szCs w:val="24"/>
          <w:lang w:val="en-US" w:eastAsia="zh-CN"/>
        </w:rPr>
      </w:pPr>
      <w:r>
        <w:rPr>
          <w:rFonts w:ascii="仿宋" w:hAnsi="仿宋" w:eastAsia="仿宋" w:cs="仿宋"/>
          <w:kern w:val="0"/>
          <w:szCs w:val="24"/>
        </w:rPr>
        <w:t>3.4.5</w:t>
      </w:r>
      <w:r>
        <w:rPr>
          <w:rFonts w:hint="eastAsia" w:ascii="仿宋" w:hAnsi="仿宋" w:eastAsia="仿宋" w:cs="仿宋"/>
          <w:kern w:val="0"/>
          <w:szCs w:val="24"/>
          <w:lang w:val="en-US" w:eastAsia="zh-CN"/>
        </w:rPr>
        <w:t xml:space="preserve"> </w:t>
      </w:r>
      <w:r>
        <w:rPr>
          <w:rFonts w:ascii="仿宋_GB2312" w:hAnsi="仿宋" w:eastAsia="仿宋_GB2312" w:cs="Arial"/>
          <w:kern w:val="0"/>
          <w:sz w:val="24"/>
        </w:rPr>
        <w:t>投标人对根据修正原则修正后的报价不确认的</w:t>
      </w:r>
      <w:r>
        <w:rPr>
          <w:rFonts w:hint="eastAsia" w:ascii="仿宋_GB2312" w:hAnsi="仿宋" w:eastAsia="仿宋_GB2312" w:cs="Arial"/>
          <w:kern w:val="0"/>
          <w:sz w:val="24"/>
          <w:lang w:eastAsia="zh-CN"/>
        </w:rPr>
        <w:t>。</w:t>
      </w:r>
    </w:p>
    <w:p>
      <w:pPr>
        <w:pStyle w:val="132"/>
        <w:spacing w:before="0"/>
        <w:ind w:firstLine="48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lang w:val="en-US" w:eastAsia="zh-CN"/>
        </w:rPr>
        <w:t xml:space="preserve">6 </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w:t>
      </w:r>
      <w:r>
        <w:rPr>
          <w:rFonts w:hint="eastAsia" w:ascii="仿宋_GB2312" w:hAnsi="仿宋" w:eastAsia="仿宋_GB2312" w:cs="Arial"/>
          <w:kern w:val="0"/>
          <w:sz w:val="24"/>
          <w:lang w:val="en-US" w:eastAsia="zh-CN"/>
        </w:rPr>
        <w:t>7</w:t>
      </w:r>
      <w:r>
        <w:rPr>
          <w:rFonts w:ascii="仿宋_GB2312" w:hAnsi="仿宋" w:eastAsia="仿宋_GB2312" w:cs="Arial"/>
          <w:kern w:val="0"/>
          <w:sz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lang w:val="en-US" w:eastAsia="zh-CN"/>
        </w:rPr>
        <w:t>8</w:t>
      </w:r>
      <w:r>
        <w:rPr>
          <w:rFonts w:ascii="仿宋_GB2312" w:hAnsi="仿宋" w:eastAsia="仿宋_GB2312" w:cs="Arial"/>
          <w:kern w:val="0"/>
          <w:sz w:val="24"/>
        </w:rPr>
        <w:t>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eastAsia="zh-CN"/>
        </w:rPr>
        <w:t>9</w:t>
      </w:r>
      <w:r>
        <w:rPr>
          <w:rFonts w:cs="Arial"/>
          <w:b w:val="0"/>
          <w:bCs w:val="0"/>
          <w:kern w:val="0"/>
          <w:sz w:val="24"/>
          <w:szCs w:val="24"/>
          <w:lang w:val="en-US"/>
        </w:rPr>
        <w:t xml:space="preserve">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0</w:t>
      </w:r>
      <w:r>
        <w:rPr>
          <w:rFonts w:ascii="仿宋_GB2312" w:hAnsi="仿宋" w:eastAsia="仿宋_GB2312" w:cs="Arial"/>
          <w:kern w:val="0"/>
          <w:sz w:val="24"/>
        </w:rPr>
        <w:t>法律、法规、规章（适用本市的）及省级以上规范性文件（适用本市的）规定的其他无效情形。</w:t>
      </w:r>
      <w:bookmarkStart w:id="561" w:name="_GoBack"/>
      <w:bookmarkEnd w:id="561"/>
    </w:p>
    <w:p>
      <w:pPr>
        <w:pStyle w:val="9"/>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9"/>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9"/>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9"/>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9"/>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9"/>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9"/>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9"/>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9"/>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9"/>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2"/>
        <w:rPr>
          <w:rFonts w:ascii="仿宋_GB2312" w:hAnsi="仿宋" w:eastAsia="仿宋_GB2312" w:cs="仿宋_GB2312"/>
          <w:b/>
          <w:sz w:val="36"/>
          <w:szCs w:val="36"/>
        </w:rPr>
      </w:pPr>
    </w:p>
    <w:p>
      <w:pPr>
        <w:pStyle w:val="3"/>
        <w:rPr>
          <w:rFonts w:ascii="仿宋_GB2312" w:hAnsi="仿宋" w:eastAsia="仿宋_GB2312" w:cs="仿宋_GB2312"/>
          <w:b/>
          <w:sz w:val="36"/>
          <w:szCs w:val="36"/>
        </w:rPr>
      </w:pPr>
    </w:p>
    <w:p>
      <w:pPr>
        <w:pStyle w:val="4"/>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firstLine="2168" w:firstLineChars="600"/>
        <w:outlineLvl w:val="0"/>
        <w:rPr>
          <w:rFonts w:ascii="仿宋_GB2312" w:hAnsi="仿宋_GB2312"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_GB2312" w:eastAsia="仿宋_GB2312" w:cs="仿宋_GB2312"/>
          <w:b/>
          <w:sz w:val="36"/>
          <w:szCs w:val="36"/>
        </w:rPr>
        <w:t xml:space="preserve"> 拟签订的合同文本</w:t>
      </w: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703"/>
        <w:ind w:leftChars="0" w:firstLine="2826" w:firstLineChars="7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703"/>
        <w:rPr>
          <w:rFonts w:ascii="仿宋_GB2312" w:hAnsi="楷体" w:eastAsia="仿宋_GB2312"/>
          <w:szCs w:val="24"/>
        </w:rPr>
      </w:pPr>
    </w:p>
    <w:p>
      <w:pPr>
        <w:pStyle w:val="703"/>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00"/>
        <w:spacing w:before="12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adjustRightInd/>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项目进行了采购。经评定，</w:t>
      </w:r>
      <w:r>
        <w:rPr>
          <w:rFonts w:hint="eastAsia" w:ascii="仿宋_GB2312" w:hAnsi="楷体" w:eastAsia="仿宋_GB2312"/>
          <w:sz w:val="24"/>
          <w:u w:val="single"/>
        </w:rPr>
        <w:t xml:space="preserve">   （成交供应商名称）</w:t>
      </w:r>
      <w:r>
        <w:rPr>
          <w:rFonts w:hint="eastAsia" w:ascii="仿宋_GB2312" w:hAnsi="楷体" w:eastAsia="仿宋_GB2312"/>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4" w:name="_Toc2232"/>
      <w:bookmarkStart w:id="395" w:name="_Toc24059"/>
      <w:bookmarkStart w:id="396" w:name="_Toc3029"/>
      <w:r>
        <w:rPr>
          <w:rFonts w:hint="eastAsia" w:ascii="仿宋_GB2312" w:hAnsi="楷体" w:eastAsia="仿宋_GB2312"/>
          <w:b/>
          <w:sz w:val="24"/>
        </w:rPr>
        <w:t>1.1 合同组成部分</w:t>
      </w:r>
      <w:bookmarkEnd w:id="394"/>
      <w:bookmarkEnd w:id="395"/>
      <w:bookmarkEnd w:id="396"/>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其他相关采购文件。</w:t>
      </w:r>
    </w:p>
    <w:p>
      <w:pPr>
        <w:spacing w:line="360" w:lineRule="auto"/>
        <w:ind w:firstLine="482" w:firstLineChars="200"/>
        <w:outlineLvl w:val="0"/>
        <w:rPr>
          <w:rFonts w:ascii="仿宋_GB2312" w:hAnsi="楷体" w:eastAsia="仿宋_GB2312"/>
          <w:b/>
          <w:sz w:val="24"/>
        </w:rPr>
      </w:pPr>
      <w:bookmarkStart w:id="397" w:name="_Toc27126"/>
      <w:bookmarkStart w:id="398" w:name="_Toc21295"/>
      <w:bookmarkStart w:id="399" w:name="_Toc24300"/>
      <w:r>
        <w:rPr>
          <w:rFonts w:hint="eastAsia" w:ascii="仿宋_GB2312" w:hAnsi="楷体" w:eastAsia="仿宋_GB2312"/>
          <w:b/>
          <w:sz w:val="24"/>
        </w:rPr>
        <w:t>1.2 标的物</w:t>
      </w:r>
      <w:bookmarkEnd w:id="397"/>
      <w:bookmarkEnd w:id="398"/>
      <w:bookmarkEnd w:id="39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0" w:name="_Toc21551"/>
      <w:bookmarkStart w:id="401" w:name="_Toc23292"/>
      <w:bookmarkStart w:id="402" w:name="_Toc21631"/>
      <w:r>
        <w:rPr>
          <w:rFonts w:hint="eastAsia" w:ascii="仿宋_GB2312" w:hAnsi="楷体" w:eastAsia="仿宋_GB2312"/>
          <w:b/>
          <w:sz w:val="24"/>
        </w:rPr>
        <w:t>1.3 价款</w:t>
      </w:r>
      <w:bookmarkEnd w:id="400"/>
      <w:bookmarkEnd w:id="401"/>
      <w:bookmarkEnd w:id="402"/>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元人民币）。该合同总价为含税总价。</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321"/>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321"/>
              <w:spacing w:line="360" w:lineRule="auto"/>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ascii="仿宋_GB2312" w:hAnsi="楷体" w:eastAsia="仿宋_GB2312"/>
                <w:sz w:val="24"/>
                <w:szCs w:val="24"/>
              </w:rPr>
            </w:pPr>
          </w:p>
        </w:tc>
        <w:tc>
          <w:tcPr>
            <w:tcW w:w="3402" w:type="dxa"/>
            <w:vAlign w:val="center"/>
          </w:tcPr>
          <w:p>
            <w:pPr>
              <w:pStyle w:val="321"/>
              <w:spacing w:line="360" w:lineRule="auto"/>
              <w:ind w:firstLine="200"/>
              <w:jc w:val="center"/>
              <w:rPr>
                <w:rFonts w:ascii="仿宋_GB2312" w:hAnsi="楷体" w:eastAsia="仿宋_GB2312"/>
                <w:sz w:val="24"/>
                <w:szCs w:val="24"/>
              </w:rPr>
            </w:pPr>
          </w:p>
        </w:tc>
        <w:tc>
          <w:tcPr>
            <w:tcW w:w="2552" w:type="dxa"/>
            <w:vAlign w:val="center"/>
          </w:tcPr>
          <w:p>
            <w:pPr>
              <w:pStyle w:val="321"/>
              <w:spacing w:line="360" w:lineRule="auto"/>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360" w:lineRule="auto"/>
              <w:ind w:firstLine="20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321"/>
              <w:spacing w:line="360" w:lineRule="auto"/>
              <w:ind w:firstLine="20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3" w:name="_Toc22618"/>
      <w:bookmarkStart w:id="404" w:name="_Toc10340"/>
      <w:bookmarkStart w:id="405" w:name="_Toc1814"/>
      <w:r>
        <w:rPr>
          <w:rFonts w:hint="eastAsia" w:ascii="仿宋_GB2312" w:hAnsi="楷体" w:eastAsia="仿宋_GB2312"/>
          <w:b/>
          <w:sz w:val="24"/>
        </w:rPr>
        <w:t>1.4 付款方式和发票开具方式</w:t>
      </w:r>
      <w:bookmarkEnd w:id="403"/>
      <w:bookmarkEnd w:id="404"/>
      <w:bookmarkEnd w:id="405"/>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1.4.3甲方拒绝或迟延支付中小企业款项，乙方可向有关部门投诉   。</w:t>
      </w:r>
    </w:p>
    <w:p>
      <w:pPr>
        <w:spacing w:line="360" w:lineRule="auto"/>
        <w:ind w:firstLine="480" w:firstLineChars="200"/>
        <w:rPr>
          <w:rFonts w:ascii="仿宋_GB2312" w:hAnsi="楷体" w:eastAsia="仿宋_GB2312"/>
          <w:bCs/>
          <w:sz w:val="24"/>
        </w:rPr>
      </w:pPr>
      <w:bookmarkStart w:id="406" w:name="_Toc32071"/>
      <w:bookmarkStart w:id="407" w:name="_Toc2846"/>
      <w:bookmarkStart w:id="408" w:name="_Toc19304"/>
      <w:r>
        <w:rPr>
          <w:rFonts w:ascii="仿宋_GB2312" w:hAnsi="楷体" w:eastAsia="仿宋_GB2312"/>
          <w:bCs/>
          <w:sz w:val="24"/>
        </w:rPr>
        <w:t>1.4.4</w:t>
      </w:r>
      <w:r>
        <w:rPr>
          <w:rFonts w:hint="eastAsia" w:ascii="仿宋_GB2312" w:hAnsi="楷体" w:eastAsia="仿宋_GB2312"/>
          <w:bCs/>
          <w:sz w:val="24"/>
        </w:rPr>
        <w:t>乙方未向甲方开具发票或者开具的发票不符合规定或者发票内容不正确的，甲方有权暂不付款，且无需承担逾期付款的违约责任。</w:t>
      </w:r>
    </w:p>
    <w:p>
      <w:pPr>
        <w:spacing w:line="360" w:lineRule="auto"/>
        <w:ind w:firstLine="482" w:firstLineChars="200"/>
        <w:rPr>
          <w:rFonts w:ascii="仿宋_GB2312" w:hAnsi="楷体" w:eastAsia="仿宋_GB2312"/>
          <w:b/>
          <w:sz w:val="24"/>
        </w:rPr>
      </w:pPr>
      <w:r>
        <w:rPr>
          <w:rFonts w:hint="eastAsia" w:ascii="仿宋_GB2312" w:hAnsi="楷体" w:eastAsia="仿宋_GB2312"/>
          <w:b/>
          <w:sz w:val="24"/>
        </w:rPr>
        <w:t>1.5 标的物交付期限、地点和方式</w:t>
      </w:r>
      <w:bookmarkEnd w:id="406"/>
      <w:bookmarkEnd w:id="407"/>
      <w:bookmarkEnd w:id="408"/>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仿宋" w:eastAsia="仿宋_GB2312"/>
          <w:b/>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9" w:name="_Toc19554"/>
      <w:bookmarkStart w:id="410" w:name="_Toc21423"/>
      <w:bookmarkStart w:id="411" w:name="_Toc27250"/>
      <w:r>
        <w:rPr>
          <w:rFonts w:hint="eastAsia" w:ascii="仿宋_GB2312" w:hAnsi="楷体" w:eastAsia="仿宋_GB2312"/>
          <w:b/>
          <w:sz w:val="24"/>
        </w:rPr>
        <w:t>1.6 违约责任</w:t>
      </w:r>
      <w:bookmarkEnd w:id="409"/>
      <w:bookmarkEnd w:id="410"/>
      <w:bookmarkEnd w:id="411"/>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除不可抗力外，如果乙方没有按照本合同约定的期限、地点和方式交付标的物，那么甲方可要求乙方支付违约金，违约金按每迟延交付标的物一日的应交付而未交付标的物或者未提供服务价格的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%；迟延交付标的物的违约金计算数额达到前述最高限额之日起，甲方有权在要求乙方支付违约金的同时，书面通知乙方解除本合同，由此产生的一切不利后果由乙方承担；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20 </w:t>
      </w:r>
      <w:r>
        <w:rPr>
          <w:rFonts w:hint="eastAsia" w:ascii="仿宋_GB2312" w:hAnsi="楷体" w:eastAsia="仿宋_GB2312"/>
          <w:sz w:val="24"/>
        </w:rPr>
        <w:t>%；迟延付款的违约金计算数额达到前述最高限额之日起，乙方有权在要求甲方支付违约金的同时，书面通知甲方解除本合同，由此产生的一切不利后果由乙方承担；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2" w:name="_Toc28375"/>
      <w:bookmarkStart w:id="413" w:name="_Toc15583"/>
      <w:bookmarkStart w:id="414" w:name="_Toc16021"/>
      <w:r>
        <w:rPr>
          <w:rFonts w:hint="eastAsia" w:ascii="仿宋_GB2312" w:hAnsi="楷体" w:eastAsia="仿宋_GB2312"/>
          <w:b/>
          <w:sz w:val="24"/>
        </w:rPr>
        <w:t>1.7 合同争议的解决</w:t>
      </w:r>
      <w:bookmarkEnd w:id="412"/>
      <w:bookmarkEnd w:id="413"/>
      <w:bookmarkEnd w:id="41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ascii="仿宋_GB2312" w:hAnsi="楷体" w:eastAsia="仿宋_GB2312"/>
          <w:sz w:val="24"/>
          <w:u w:val="single"/>
        </w:rPr>
        <w:t>2</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临安区</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5" w:name="_Toc11173"/>
      <w:bookmarkStart w:id="416" w:name="_Toc15322"/>
      <w:bookmarkStart w:id="417" w:name="_Toc7245"/>
      <w:r>
        <w:rPr>
          <w:rFonts w:hint="eastAsia" w:ascii="仿宋_GB2312" w:hAnsi="楷体" w:eastAsia="仿宋_GB2312"/>
          <w:b/>
          <w:sz w:val="24"/>
        </w:rPr>
        <w:t>1.8 合同生效</w:t>
      </w:r>
      <w:bookmarkEnd w:id="415"/>
      <w:bookmarkEnd w:id="416"/>
      <w:bookmarkEnd w:id="417"/>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本合同自双方当事人盖章并且签字时生效。</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甲方：                                   乙方：</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adjustRightInd/>
        <w:ind w:firstLine="482"/>
        <w:jc w:val="center"/>
        <w:rPr>
          <w:rFonts w:ascii="仿宋_GB2312" w:hAnsi="楷体" w:eastAsia="仿宋_GB2312"/>
          <w:b/>
          <w:sz w:val="28"/>
          <w:szCs w:val="28"/>
        </w:rPr>
      </w:pPr>
      <w:bookmarkStart w:id="418" w:name="_Toc331685783"/>
      <w:r>
        <w:rPr>
          <w:rFonts w:hint="eastAsia" w:ascii="仿宋_GB2312" w:hAnsi="楷体" w:eastAsia="仿宋_GB2312"/>
          <w:b/>
        </w:rPr>
        <w:br w:type="page"/>
      </w:r>
      <w:r>
        <w:rPr>
          <w:rFonts w:hint="eastAsia" w:ascii="仿宋_GB2312" w:hAnsi="楷体" w:eastAsia="仿宋_GB2312"/>
          <w:b/>
          <w:sz w:val="28"/>
          <w:szCs w:val="28"/>
        </w:rPr>
        <w:t>第二部分 合同一般条款</w:t>
      </w:r>
      <w:bookmarkEnd w:id="418"/>
    </w:p>
    <w:p>
      <w:pPr>
        <w:spacing w:line="360" w:lineRule="auto"/>
        <w:ind w:firstLine="482" w:firstLineChars="200"/>
        <w:outlineLvl w:val="0"/>
        <w:rPr>
          <w:rFonts w:ascii="仿宋_GB2312" w:hAnsi="楷体" w:eastAsia="仿宋_GB2312"/>
          <w:b/>
          <w:sz w:val="24"/>
        </w:rPr>
      </w:pPr>
      <w:bookmarkStart w:id="419" w:name="_Ref467379225"/>
      <w:bookmarkStart w:id="420" w:name="_Toc487900349"/>
      <w:bookmarkStart w:id="421" w:name="_Ref467378499"/>
      <w:bookmarkStart w:id="422" w:name="_Ref467379205"/>
      <w:bookmarkStart w:id="423" w:name="_Ref467379094"/>
      <w:bookmarkStart w:id="424" w:name="_Toc28763"/>
      <w:bookmarkStart w:id="425" w:name="_Ref467379214"/>
      <w:bookmarkStart w:id="426" w:name="_Ref467378404"/>
      <w:bookmarkStart w:id="427" w:name="_Toc16917"/>
      <w:bookmarkStart w:id="428" w:name="_Toc259093669"/>
      <w:bookmarkStart w:id="429" w:name="_Toc279701240"/>
      <w:bookmarkStart w:id="430" w:name="_Toc19614"/>
      <w:bookmarkStart w:id="431" w:name="_Ref467379195"/>
      <w:bookmarkStart w:id="432" w:name="_Ref467379109"/>
      <w:bookmarkStart w:id="433" w:name="_Ref467379101"/>
      <w:bookmarkStart w:id="434" w:name="_Ref467378463"/>
      <w:r>
        <w:rPr>
          <w:rFonts w:hint="eastAsia" w:ascii="仿宋_GB2312" w:hAnsi="楷体" w:eastAsia="仿宋_GB2312"/>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5" w:name="_Ref467378840"/>
      <w:r>
        <w:rPr>
          <w:rFonts w:hint="eastAsia" w:ascii="仿宋_GB2312" w:hAnsi="楷体" w:eastAsia="仿宋_GB2312"/>
          <w:sz w:val="24"/>
        </w:rPr>
        <w:t>2.1.4 “甲方”系指与成交供应商签署合同的采购人</w:t>
      </w:r>
      <w:bookmarkEnd w:id="435"/>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6" w:name="_Ref467379400"/>
      <w:r>
        <w:rPr>
          <w:rFonts w:hint="eastAsia" w:ascii="仿宋_GB2312" w:hAnsi="楷体" w:eastAsia="仿宋_GB2312"/>
          <w:sz w:val="24"/>
        </w:rPr>
        <w:t>2.1.5 “乙方”系指根据合同约定交付标的物的成交供应商</w:t>
      </w:r>
      <w:bookmarkEnd w:id="436"/>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37" w:name="_Ref467379436"/>
      <w:r>
        <w:rPr>
          <w:rFonts w:hint="eastAsia" w:ascii="仿宋_GB2312" w:hAnsi="楷体" w:eastAsia="仿宋_GB2312"/>
          <w:sz w:val="24"/>
        </w:rPr>
        <w:t>2.1.6 “现场”系指合同约定标的物将要运至或者实施或者安装的地点。</w:t>
      </w:r>
      <w:bookmarkEnd w:id="437"/>
    </w:p>
    <w:p>
      <w:pPr>
        <w:spacing w:line="360" w:lineRule="auto"/>
        <w:ind w:firstLine="482" w:firstLineChars="200"/>
        <w:outlineLvl w:val="0"/>
        <w:rPr>
          <w:rFonts w:ascii="仿宋_GB2312" w:hAnsi="楷体" w:eastAsia="仿宋_GB2312"/>
          <w:b/>
          <w:sz w:val="24"/>
        </w:rPr>
      </w:pPr>
      <w:bookmarkStart w:id="438" w:name="_Toc32504"/>
      <w:bookmarkStart w:id="439" w:name="_Toc13336"/>
      <w:bookmarkStart w:id="440" w:name="_Toc259093670"/>
      <w:bookmarkStart w:id="441" w:name="_Toc27635"/>
      <w:bookmarkStart w:id="442" w:name="_Toc487900350"/>
      <w:bookmarkStart w:id="443" w:name="_Toc279701241"/>
      <w:r>
        <w:rPr>
          <w:rFonts w:hint="eastAsia" w:ascii="仿宋_GB2312" w:hAnsi="楷体" w:eastAsia="仿宋_GB2312"/>
          <w:b/>
          <w:sz w:val="24"/>
        </w:rPr>
        <w:t>2.2 技术规范</w:t>
      </w:r>
      <w:bookmarkEnd w:id="438"/>
      <w:bookmarkEnd w:id="439"/>
      <w:bookmarkEnd w:id="440"/>
      <w:bookmarkEnd w:id="441"/>
      <w:bookmarkEnd w:id="442"/>
      <w:bookmarkEnd w:id="443"/>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4" w:name="_Toc259093671"/>
      <w:bookmarkStart w:id="445" w:name="_Toc487900351"/>
      <w:bookmarkStart w:id="446" w:name="_Toc31634"/>
      <w:bookmarkStart w:id="447" w:name="_Toc279701242"/>
      <w:bookmarkStart w:id="448" w:name="_Toc9829"/>
      <w:bookmarkStart w:id="449" w:name="_Toc27853"/>
      <w:r>
        <w:rPr>
          <w:rFonts w:hint="eastAsia" w:ascii="仿宋_GB2312" w:hAnsi="楷体" w:eastAsia="仿宋_GB2312"/>
          <w:b/>
          <w:sz w:val="24"/>
        </w:rPr>
        <w:t>2.3 知识产权</w:t>
      </w:r>
      <w:bookmarkEnd w:id="444"/>
      <w:bookmarkEnd w:id="445"/>
      <w:bookmarkEnd w:id="446"/>
      <w:bookmarkEnd w:id="447"/>
      <w:bookmarkEnd w:id="448"/>
      <w:bookmarkEnd w:id="449"/>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0" w:name="_Toc29149"/>
      <w:bookmarkStart w:id="451" w:name="_Toc4194"/>
      <w:bookmarkStart w:id="452" w:name="_Toc11932"/>
      <w:r>
        <w:rPr>
          <w:rFonts w:hint="eastAsia" w:ascii="仿宋_GB2312" w:hAnsi="楷体" w:eastAsia="仿宋_GB2312"/>
          <w:b/>
          <w:sz w:val="24"/>
        </w:rPr>
        <w:t>2.4 包装和装运</w:t>
      </w:r>
      <w:bookmarkEnd w:id="450"/>
      <w:bookmarkEnd w:id="451"/>
      <w:bookmarkEnd w:id="452"/>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3" w:name="_Ref467378591"/>
      <w:bookmarkStart w:id="454" w:name="_Ref467378541"/>
      <w:bookmarkStart w:id="455" w:name="_Ref467379536"/>
      <w:bookmarkStart w:id="456" w:name="_Toc279701245"/>
      <w:bookmarkStart w:id="457" w:name="_Toc487900354"/>
      <w:bookmarkStart w:id="458" w:name="_Toc259093674"/>
      <w:bookmarkStart w:id="459" w:name="_Ref467379542"/>
      <w:bookmarkStart w:id="460" w:name="_Ref467379527"/>
      <w:bookmarkStart w:id="461" w:name="_Toc19074"/>
      <w:bookmarkStart w:id="462" w:name="_Toc26182"/>
      <w:bookmarkStart w:id="463" w:name="_Toc30272"/>
      <w:r>
        <w:rPr>
          <w:rFonts w:hint="eastAsia" w:ascii="仿宋_GB2312" w:hAnsi="楷体" w:eastAsia="仿宋_GB2312"/>
          <w:b/>
          <w:sz w:val="24"/>
        </w:rPr>
        <w:t>2.</w:t>
      </w:r>
      <w:bookmarkEnd w:id="453"/>
      <w:bookmarkEnd w:id="454"/>
      <w:bookmarkEnd w:id="455"/>
      <w:bookmarkEnd w:id="456"/>
      <w:bookmarkEnd w:id="457"/>
      <w:bookmarkEnd w:id="458"/>
      <w:bookmarkEnd w:id="459"/>
      <w:bookmarkEnd w:id="460"/>
      <w:r>
        <w:rPr>
          <w:rFonts w:hint="eastAsia" w:ascii="仿宋_GB2312" w:hAnsi="楷体" w:eastAsia="仿宋_GB2312"/>
          <w:b/>
          <w:sz w:val="24"/>
        </w:rPr>
        <w:t>5 履约检查和问题反馈</w:t>
      </w:r>
      <w:bookmarkEnd w:id="461"/>
      <w:bookmarkEnd w:id="462"/>
      <w:bookmarkEnd w:id="463"/>
    </w:p>
    <w:p>
      <w:pPr>
        <w:spacing w:line="360" w:lineRule="auto"/>
        <w:ind w:firstLine="480" w:firstLineChars="200"/>
        <w:rPr>
          <w:rFonts w:ascii="仿宋_GB2312" w:hAnsi="楷体" w:eastAsia="仿宋_GB2312"/>
          <w:sz w:val="24"/>
        </w:rPr>
      </w:pPr>
      <w:bookmarkStart w:id="464" w:name="_Ref467379657"/>
      <w:r>
        <w:rPr>
          <w:rFonts w:hint="eastAsia" w:ascii="仿宋_GB2312" w:hAnsi="楷体" w:eastAsia="仿宋_GB2312"/>
          <w:sz w:val="24"/>
        </w:rPr>
        <w:t>2.5.1</w:t>
      </w:r>
      <w:bookmarkEnd w:id="464"/>
      <w:bookmarkStart w:id="465" w:name="_Toc186431854"/>
      <w:bookmarkStart w:id="466" w:name="_Toc487900357"/>
      <w:bookmarkStart w:id="467" w:name="_Ref467379793"/>
      <w:bookmarkStart w:id="468" w:name="_Toc259093676"/>
      <w:bookmarkStart w:id="469" w:name="_Toc279701247"/>
      <w:bookmarkStart w:id="470"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5"/>
      <w:bookmarkStart w:id="471" w:name="_Toc186431855"/>
      <w:r>
        <w:rPr>
          <w:rFonts w:hint="eastAsia" w:ascii="仿宋_GB2312" w:hAnsi="楷体" w:eastAsia="仿宋_GB2312"/>
          <w:sz w:val="24"/>
        </w:rPr>
        <w:t>。</w:t>
      </w:r>
    </w:p>
    <w:bookmarkEnd w:id="471"/>
    <w:p>
      <w:pPr>
        <w:spacing w:line="360" w:lineRule="auto"/>
        <w:ind w:firstLine="482" w:firstLineChars="200"/>
        <w:outlineLvl w:val="0"/>
        <w:rPr>
          <w:rFonts w:ascii="仿宋_GB2312" w:hAnsi="楷体" w:eastAsia="仿宋_GB2312"/>
          <w:b/>
          <w:sz w:val="24"/>
        </w:rPr>
      </w:pPr>
      <w:bookmarkStart w:id="472" w:name="_Toc7836"/>
      <w:bookmarkStart w:id="473" w:name="_Toc19219"/>
      <w:bookmarkStart w:id="474" w:name="_Toc28451"/>
      <w:r>
        <w:rPr>
          <w:rFonts w:hint="eastAsia" w:ascii="仿宋_GB2312" w:hAnsi="楷体" w:eastAsia="仿宋_GB2312"/>
          <w:b/>
          <w:sz w:val="24"/>
        </w:rPr>
        <w:t>2.6 结算方式和付款条件</w:t>
      </w:r>
      <w:bookmarkEnd w:id="466"/>
      <w:bookmarkEnd w:id="467"/>
      <w:bookmarkEnd w:id="468"/>
      <w:bookmarkEnd w:id="469"/>
      <w:bookmarkEnd w:id="470"/>
      <w:bookmarkEnd w:id="472"/>
      <w:bookmarkEnd w:id="473"/>
      <w:bookmarkEnd w:id="474"/>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5" w:name="_Toc259093677"/>
      <w:bookmarkStart w:id="476" w:name="_Ref467379863"/>
      <w:bookmarkStart w:id="477" w:name="_Toc279701248"/>
      <w:bookmarkStart w:id="478" w:name="_Toc487900358"/>
      <w:bookmarkStart w:id="479" w:name="_Ref467379923"/>
      <w:bookmarkStart w:id="480" w:name="_Ref467379852"/>
      <w:bookmarkStart w:id="481" w:name="_Toc16110"/>
      <w:bookmarkStart w:id="482" w:name="_Toc774"/>
      <w:bookmarkStart w:id="483" w:name="_Toc3225"/>
      <w:r>
        <w:rPr>
          <w:rFonts w:hint="eastAsia" w:ascii="仿宋_GB2312" w:hAnsi="楷体" w:eastAsia="仿宋_GB2312"/>
          <w:b/>
          <w:sz w:val="24"/>
        </w:rPr>
        <w:t>2.7 技术资料</w:t>
      </w:r>
      <w:bookmarkEnd w:id="475"/>
      <w:bookmarkEnd w:id="476"/>
      <w:bookmarkEnd w:id="477"/>
      <w:bookmarkEnd w:id="478"/>
      <w:bookmarkEnd w:id="479"/>
      <w:bookmarkEnd w:id="480"/>
      <w:r>
        <w:rPr>
          <w:rFonts w:hint="eastAsia" w:ascii="仿宋_GB2312" w:hAnsi="楷体" w:eastAsia="仿宋_GB2312"/>
          <w:b/>
          <w:sz w:val="24"/>
        </w:rPr>
        <w:t>和保密义务</w:t>
      </w:r>
      <w:bookmarkEnd w:id="481"/>
      <w:bookmarkEnd w:id="482"/>
      <w:bookmarkEnd w:id="483"/>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4" w:name="_Toc7860"/>
      <w:r>
        <w:rPr>
          <w:rFonts w:hint="eastAsia" w:ascii="仿宋_GB2312" w:hAnsi="楷体" w:eastAsia="仿宋_GB2312"/>
          <w:b/>
          <w:sz w:val="24"/>
        </w:rPr>
        <w:t>2.8 质量保证</w:t>
      </w:r>
      <w:bookmarkEnd w:id="484"/>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5" w:name="_Toc17244"/>
      <w:bookmarkStart w:id="486" w:name="_Toc487900362"/>
      <w:bookmarkStart w:id="487" w:name="_Toc259093681"/>
      <w:bookmarkStart w:id="488" w:name="_Toc279701252"/>
      <w:r>
        <w:rPr>
          <w:rFonts w:hint="eastAsia" w:ascii="仿宋_GB2312" w:hAnsi="楷体" w:eastAsia="仿宋_GB2312"/>
          <w:b/>
          <w:sz w:val="24"/>
        </w:rPr>
        <w:t>2.9 标的物的风险负担</w:t>
      </w:r>
      <w:bookmarkEnd w:id="485"/>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89" w:name="_Toc14055"/>
      <w:r>
        <w:rPr>
          <w:rFonts w:hint="eastAsia" w:ascii="仿宋_GB2312" w:hAnsi="楷体" w:eastAsia="仿宋_GB2312"/>
          <w:b/>
          <w:sz w:val="24"/>
        </w:rPr>
        <w:t>2.10 延迟交货</w:t>
      </w:r>
      <w:bookmarkEnd w:id="486"/>
      <w:bookmarkEnd w:id="487"/>
      <w:bookmarkEnd w:id="488"/>
      <w:bookmarkEnd w:id="489"/>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0" w:name="_Toc7502"/>
      <w:bookmarkStart w:id="491" w:name="_Toc279701254"/>
      <w:bookmarkStart w:id="492" w:name="_Toc487900364"/>
      <w:bookmarkStart w:id="493" w:name="_Ref467378121"/>
      <w:bookmarkStart w:id="494" w:name="_Toc259093683"/>
      <w:r>
        <w:rPr>
          <w:rFonts w:hint="eastAsia" w:ascii="仿宋_GB2312" w:hAnsi="楷体" w:eastAsia="仿宋_GB2312"/>
          <w:b/>
          <w:sz w:val="24"/>
        </w:rPr>
        <w:t>2.11 合同变更</w:t>
      </w:r>
      <w:bookmarkEnd w:id="490"/>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pPr>
        <w:spacing w:line="360" w:lineRule="auto"/>
        <w:ind w:firstLine="482" w:firstLineChars="200"/>
        <w:outlineLvl w:val="0"/>
        <w:rPr>
          <w:rFonts w:ascii="仿宋_GB2312" w:hAnsi="楷体" w:eastAsia="仿宋_GB2312"/>
          <w:b/>
          <w:sz w:val="24"/>
        </w:rPr>
      </w:pPr>
      <w:bookmarkStart w:id="498" w:name="_Toc15237"/>
      <w:bookmarkStart w:id="499" w:name="_Toc22955"/>
      <w:bookmarkStart w:id="500" w:name="_Toc10366"/>
      <w:r>
        <w:rPr>
          <w:rFonts w:hint="eastAsia" w:ascii="仿宋_GB2312" w:hAnsi="楷体" w:eastAsia="仿宋_GB2312"/>
          <w:b/>
          <w:sz w:val="24"/>
        </w:rPr>
        <w:t>2.12 合同转让</w:t>
      </w:r>
      <w:bookmarkEnd w:id="495"/>
      <w:bookmarkEnd w:id="496"/>
      <w:bookmarkEnd w:id="497"/>
      <w:r>
        <w:rPr>
          <w:rFonts w:hint="eastAsia" w:ascii="仿宋_GB2312" w:hAnsi="楷体" w:eastAsia="仿宋_GB2312"/>
          <w:b/>
          <w:sz w:val="24"/>
        </w:rPr>
        <w:t>和分包</w:t>
      </w:r>
      <w:bookmarkEnd w:id="498"/>
      <w:bookmarkEnd w:id="499"/>
      <w:bookmarkEnd w:id="500"/>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1" w:name="_Toc13566"/>
      <w:bookmarkStart w:id="502" w:name="_Toc14066"/>
      <w:bookmarkStart w:id="503" w:name="_Toc16508"/>
      <w:r>
        <w:rPr>
          <w:rFonts w:hint="eastAsia" w:ascii="仿宋_GB2312" w:hAnsi="楷体" w:eastAsia="仿宋_GB2312"/>
          <w:b/>
          <w:sz w:val="24"/>
        </w:rPr>
        <w:t>2.13 不可抗力</w:t>
      </w:r>
      <w:bookmarkEnd w:id="501"/>
      <w:bookmarkEnd w:id="502"/>
      <w:bookmarkEnd w:id="503"/>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4" w:name="_Toc6969"/>
      <w:bookmarkStart w:id="505" w:name="_Toc689"/>
      <w:bookmarkStart w:id="506" w:name="_Toc259093684"/>
      <w:bookmarkStart w:id="507" w:name="_Toc279701255"/>
      <w:bookmarkStart w:id="508" w:name="_Toc487900365"/>
      <w:bookmarkStart w:id="509" w:name="_Toc30676"/>
      <w:r>
        <w:rPr>
          <w:rFonts w:hint="eastAsia" w:ascii="仿宋_GB2312" w:hAnsi="楷体" w:eastAsia="仿宋_GB2312"/>
          <w:b/>
          <w:sz w:val="24"/>
        </w:rPr>
        <w:t>2.14 税费</w:t>
      </w:r>
      <w:bookmarkEnd w:id="504"/>
      <w:bookmarkEnd w:id="505"/>
      <w:bookmarkEnd w:id="506"/>
      <w:bookmarkEnd w:id="507"/>
      <w:bookmarkEnd w:id="508"/>
      <w:bookmarkEnd w:id="509"/>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0" w:name="_Toc8298"/>
      <w:bookmarkStart w:id="511" w:name="_Toc259093687"/>
      <w:bookmarkStart w:id="512" w:name="_Toc7102"/>
      <w:bookmarkStart w:id="513" w:name="_Toc487900368"/>
      <w:bookmarkStart w:id="514" w:name="_Toc279701258"/>
      <w:bookmarkStart w:id="515" w:name="_Toc16959"/>
      <w:r>
        <w:rPr>
          <w:rFonts w:hint="eastAsia" w:ascii="仿宋_GB2312" w:hAnsi="楷体" w:eastAsia="仿宋_GB2312"/>
          <w:b/>
          <w:sz w:val="24"/>
        </w:rPr>
        <w:t>2.15 乙方破产</w:t>
      </w:r>
      <w:bookmarkEnd w:id="510"/>
      <w:bookmarkEnd w:id="511"/>
      <w:bookmarkEnd w:id="512"/>
      <w:bookmarkEnd w:id="513"/>
      <w:bookmarkEnd w:id="514"/>
      <w:bookmarkEnd w:id="515"/>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6" w:name="_Toc29333"/>
      <w:bookmarkStart w:id="517" w:name="_Toc15387"/>
      <w:bookmarkStart w:id="518" w:name="_Toc6134"/>
      <w:r>
        <w:rPr>
          <w:rFonts w:hint="eastAsia" w:ascii="仿宋_GB2312" w:hAnsi="楷体" w:eastAsia="仿宋_GB2312"/>
          <w:b/>
          <w:sz w:val="24"/>
        </w:rPr>
        <w:t>2.16 合同中止、终止</w:t>
      </w:r>
      <w:bookmarkEnd w:id="516"/>
      <w:bookmarkEnd w:id="517"/>
      <w:bookmarkEnd w:id="518"/>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sz w:val="24"/>
        </w:rPr>
      </w:pPr>
      <w:bookmarkStart w:id="519" w:name="_Toc1125"/>
      <w:bookmarkStart w:id="520" w:name="_Toc6596"/>
      <w:bookmarkStart w:id="521" w:name="_Toc14563"/>
      <w:r>
        <w:rPr>
          <w:rFonts w:hint="eastAsia" w:ascii="仿宋_GB2312" w:hAnsi="楷体" w:eastAsia="仿宋_GB2312"/>
          <w:b/>
          <w:sz w:val="24"/>
        </w:rPr>
        <w:t>2.17 检验和验收</w:t>
      </w:r>
      <w:bookmarkEnd w:id="519"/>
      <w:bookmarkEnd w:id="520"/>
      <w:bookmarkEnd w:id="521"/>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1"/>
    <w:bookmarkEnd w:id="492"/>
    <w:bookmarkEnd w:id="493"/>
    <w:bookmarkEnd w:id="494"/>
    <w:p>
      <w:pPr>
        <w:spacing w:line="360" w:lineRule="auto"/>
        <w:ind w:firstLine="482" w:firstLineChars="200"/>
        <w:outlineLvl w:val="0"/>
        <w:rPr>
          <w:rFonts w:ascii="仿宋_GB2312" w:hAnsi="楷体" w:eastAsia="仿宋_GB2312"/>
          <w:b/>
          <w:sz w:val="24"/>
        </w:rPr>
      </w:pPr>
      <w:bookmarkStart w:id="522" w:name="_Toc487900371"/>
      <w:bookmarkStart w:id="523" w:name="_Toc279701261"/>
      <w:bookmarkStart w:id="524" w:name="_Toc259093690"/>
      <w:bookmarkStart w:id="525" w:name="_Toc19604"/>
      <w:bookmarkStart w:id="526" w:name="_Toc25182"/>
      <w:bookmarkStart w:id="527" w:name="_Toc11284"/>
      <w:r>
        <w:rPr>
          <w:rFonts w:hint="eastAsia" w:ascii="仿宋_GB2312" w:hAnsi="楷体" w:eastAsia="仿宋_GB2312"/>
          <w:b/>
          <w:sz w:val="24"/>
        </w:rPr>
        <w:t>2.18 通知</w:t>
      </w:r>
      <w:bookmarkEnd w:id="522"/>
      <w:bookmarkEnd w:id="523"/>
      <w:bookmarkEnd w:id="524"/>
      <w:r>
        <w:rPr>
          <w:rFonts w:hint="eastAsia" w:ascii="仿宋_GB2312" w:hAnsi="楷体" w:eastAsia="仿宋_GB2312"/>
          <w:b/>
          <w:sz w:val="24"/>
        </w:rPr>
        <w:t>和送达</w:t>
      </w:r>
      <w:bookmarkEnd w:id="525"/>
      <w:bookmarkEnd w:id="526"/>
      <w:bookmarkEnd w:id="527"/>
    </w:p>
    <w:p>
      <w:pPr>
        <w:spacing w:line="360" w:lineRule="auto"/>
        <w:ind w:firstLine="480" w:firstLineChars="200"/>
        <w:rPr>
          <w:rFonts w:ascii="仿宋_GB2312" w:hAnsi="楷体" w:eastAsia="仿宋_GB2312"/>
          <w:sz w:val="24"/>
        </w:rPr>
      </w:pPr>
      <w:bookmarkStart w:id="528" w:name="_Toc6698"/>
      <w:bookmarkStart w:id="529" w:name="_Toc3135"/>
      <w:bookmarkStart w:id="530" w:name="_Toc487900372"/>
      <w:bookmarkStart w:id="531" w:name="_Toc259093691"/>
      <w:bookmarkStart w:id="532"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5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28"/>
      <w:bookmarkEnd w:id="529"/>
    </w:p>
    <w:p>
      <w:pPr>
        <w:spacing w:line="360" w:lineRule="auto"/>
        <w:ind w:firstLine="480" w:firstLineChars="200"/>
        <w:rPr>
          <w:rFonts w:ascii="仿宋_GB2312" w:hAnsi="楷体" w:eastAsia="仿宋_GB2312"/>
          <w:sz w:val="24"/>
        </w:rPr>
      </w:pPr>
      <w:bookmarkStart w:id="533" w:name="_Toc23128"/>
      <w:bookmarkStart w:id="534"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360" w:lineRule="auto"/>
        <w:ind w:firstLine="482" w:firstLineChars="200"/>
        <w:outlineLvl w:val="0"/>
        <w:rPr>
          <w:rFonts w:ascii="仿宋_GB2312" w:hAnsi="楷体" w:eastAsia="仿宋_GB2312"/>
          <w:b/>
          <w:sz w:val="24"/>
        </w:rPr>
      </w:pPr>
      <w:bookmarkStart w:id="535" w:name="_Toc18540"/>
      <w:bookmarkStart w:id="536" w:name="_Toc30599"/>
      <w:bookmarkStart w:id="537" w:name="_Toc4355"/>
      <w:r>
        <w:rPr>
          <w:rFonts w:hint="eastAsia" w:ascii="仿宋_GB2312" w:hAnsi="楷体" w:eastAsia="仿宋_GB2312"/>
          <w:b/>
          <w:sz w:val="24"/>
        </w:rPr>
        <w:t>2.19 计量单位</w:t>
      </w:r>
      <w:bookmarkEnd w:id="530"/>
      <w:bookmarkEnd w:id="531"/>
      <w:bookmarkEnd w:id="532"/>
      <w:bookmarkEnd w:id="535"/>
      <w:bookmarkEnd w:id="536"/>
      <w:bookmarkEnd w:id="537"/>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38" w:name="_Toc259093692"/>
      <w:bookmarkStart w:id="539" w:name="_Toc487900373"/>
      <w:bookmarkStart w:id="540" w:name="_Toc12773"/>
      <w:bookmarkStart w:id="541" w:name="_Toc18567"/>
      <w:bookmarkStart w:id="542" w:name="_Toc10330"/>
      <w:bookmarkStart w:id="543" w:name="_Toc279701263"/>
      <w:r>
        <w:rPr>
          <w:rFonts w:hint="eastAsia" w:ascii="仿宋_GB2312" w:hAnsi="楷体" w:eastAsia="仿宋_GB2312"/>
          <w:b/>
          <w:sz w:val="24"/>
        </w:rPr>
        <w:t>2.20 合同使用的文字和适用的法律</w:t>
      </w:r>
      <w:bookmarkEnd w:id="538"/>
      <w:bookmarkEnd w:id="539"/>
      <w:bookmarkEnd w:id="540"/>
      <w:bookmarkEnd w:id="541"/>
      <w:bookmarkEnd w:id="542"/>
      <w:bookmarkEnd w:id="543"/>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sz w:val="24"/>
        </w:rPr>
      </w:pPr>
      <w:bookmarkStart w:id="544" w:name="_Toc259093693"/>
      <w:bookmarkStart w:id="545" w:name="_Toc279701264"/>
      <w:bookmarkStart w:id="546" w:name="_Toc3148"/>
      <w:bookmarkStart w:id="547" w:name="_Toc12004"/>
      <w:bookmarkStart w:id="548" w:name="_Toc16673"/>
      <w:bookmarkStart w:id="549" w:name="_Toc487900374"/>
      <w:r>
        <w:rPr>
          <w:rFonts w:hint="eastAsia" w:ascii="仿宋_GB2312" w:hAnsi="楷体" w:eastAsia="仿宋_GB2312"/>
          <w:b/>
          <w:sz w:val="24"/>
        </w:rPr>
        <w:t>2.21 履约保证金</w:t>
      </w:r>
      <w:bookmarkEnd w:id="544"/>
      <w:bookmarkEnd w:id="545"/>
      <w:bookmarkEnd w:id="546"/>
      <w:bookmarkEnd w:id="547"/>
      <w:bookmarkEnd w:id="548"/>
    </w:p>
    <w:p>
      <w:pPr>
        <w:spacing w:line="360" w:lineRule="auto"/>
        <w:ind w:firstLine="480" w:firstLineChars="200"/>
        <w:rPr>
          <w:rFonts w:ascii="仿宋_GB2312" w:hAnsi="楷体" w:eastAsia="仿宋_GB2312"/>
          <w:sz w:val="24"/>
        </w:rPr>
      </w:pPr>
      <w:r>
        <w:rPr>
          <w:rFonts w:hint="eastAsia" w:ascii="仿宋_GB2312" w:hAnsi="楷体" w:eastAsia="仿宋_GB2312"/>
          <w:sz w:val="24"/>
        </w:rPr>
        <w:t>2.21.1 采购文件要求乙方提交履约保证金的，乙方</w:t>
      </w:r>
      <w:r>
        <w:rPr>
          <w:rFonts w:hint="eastAsia" w:ascii="仿宋_GB2312" w:hAnsi="仿宋" w:eastAsia="仿宋_GB2312"/>
          <w:kern w:val="0"/>
          <w:sz w:val="24"/>
          <w:lang w:val="zh-CN"/>
        </w:rPr>
        <w:t>应在合同签订后3个工作日内</w:t>
      </w:r>
      <w:r>
        <w:rPr>
          <w:rFonts w:hint="eastAsia" w:ascii="仿宋_GB2312" w:hAnsi="楷体" w:eastAsia="仿宋_GB2312"/>
          <w:sz w:val="24"/>
        </w:rPr>
        <w:t>，以支票、汇票、本票或者金融机构、担保机构出具的保函等非现金形式，提交不超过合同价</w:t>
      </w:r>
      <w:r>
        <w:rPr>
          <w:rFonts w:hint="eastAsia" w:ascii="仿宋_GB2312" w:hAnsi="楷体" w:eastAsia="仿宋_GB2312"/>
          <w:sz w:val="24"/>
          <w:u w:val="single"/>
        </w:rPr>
        <w:t xml:space="preserve"> 2.5 </w:t>
      </w:r>
      <w:r>
        <w:rPr>
          <w:rFonts w:hint="eastAsia" w:ascii="仿宋_GB2312" w:hAnsi="楷体" w:eastAsia="仿宋_GB2312"/>
          <w:sz w:val="24"/>
        </w:rPr>
        <w:t>%的履约保证金；</w:t>
      </w:r>
      <w:r>
        <w:rPr>
          <w:rFonts w:ascii="仿宋_GB2312" w:hAnsi="楷体" w:eastAsia="仿宋_GB2312"/>
          <w:sz w:val="24"/>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 xml:space="preserve">2.21.2  </w:t>
      </w:r>
      <w:r>
        <w:rPr>
          <w:rFonts w:hint="eastAsia" w:ascii="仿宋_GB2312" w:hAnsi="楷体" w:eastAsia="仿宋_GB2312"/>
          <w:sz w:val="24"/>
        </w:rPr>
        <w:t>履约保证金在</w:t>
      </w:r>
      <w:r>
        <w:rPr>
          <w:rFonts w:hint="eastAsia" w:ascii="仿宋_GB2312" w:hAnsi="楷体" w:eastAsia="仿宋_GB2312"/>
          <w:sz w:val="24"/>
          <w:u w:val="single"/>
        </w:rPr>
        <w:t>合同有效期</w:t>
      </w:r>
      <w:r>
        <w:rPr>
          <w:rFonts w:hint="eastAsia" w:ascii="仿宋_GB2312" w:hAnsi="楷体" w:eastAsia="仿宋_GB2312"/>
          <w:sz w:val="24"/>
        </w:rPr>
        <w:t>内或者标的物质量保证期内不予退还或者应完全有效</w:t>
      </w:r>
      <w:r>
        <w:rPr>
          <w:rFonts w:hint="eastAsia" w:ascii="仿宋_GB2312" w:hAnsi="仿宋" w:eastAsia="仿宋_GB2312" w:cs="Arial"/>
          <w:snapToGrid w:val="0"/>
          <w:kern w:val="0"/>
          <w:sz w:val="24"/>
        </w:rPr>
        <w:t>。服务期满，通过验收，甲方于收到乙方退还履约保证金申请之日起</w:t>
      </w:r>
      <w:r>
        <w:rPr>
          <w:rFonts w:ascii="仿宋_GB2312" w:hAnsi="仿宋" w:eastAsia="仿宋_GB2312" w:cs="Arial"/>
          <w:snapToGrid w:val="0"/>
          <w:kern w:val="0"/>
          <w:sz w:val="24"/>
          <w:u w:val="single"/>
        </w:rPr>
        <w:t>5</w:t>
      </w:r>
      <w:r>
        <w:rPr>
          <w:rFonts w:hint="eastAsia" w:ascii="仿宋_GB2312" w:hAnsi="仿宋" w:eastAsia="仿宋_GB2312" w:cs="Arial"/>
          <w:snapToGrid w:val="0"/>
          <w:kern w:val="0"/>
          <w:sz w:val="24"/>
        </w:rPr>
        <w:t>个工作日内退还乙方履约保证金。甲方无故逾期退还的，按照每逾期一日支付履约保证金</w:t>
      </w:r>
      <w:r>
        <w:rPr>
          <w:rFonts w:ascii="仿宋_GB2312" w:hAnsi="仿宋" w:eastAsia="仿宋_GB2312" w:cs="Arial"/>
          <w:snapToGrid w:val="0"/>
          <w:kern w:val="0"/>
          <w:sz w:val="24"/>
        </w:rPr>
        <w:t>5‰</w:t>
      </w:r>
      <w:r>
        <w:rPr>
          <w:rFonts w:hint="eastAsia" w:ascii="仿宋_GB2312" w:hAnsi="仿宋" w:eastAsia="仿宋_GB2312" w:cs="Arial"/>
          <w:snapToGrid w:val="0"/>
          <w:kern w:val="0"/>
          <w:sz w:val="24"/>
        </w:rPr>
        <w:t>的额度承担违约责任</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kern w:val="0"/>
          <w:sz w:val="24"/>
        </w:rPr>
      </w:pPr>
      <w:r>
        <w:rPr>
          <w:rFonts w:ascii="仿宋_GB2312" w:hAnsi="楷体" w:eastAsia="仿宋_GB2312"/>
          <w:sz w:val="24"/>
        </w:rPr>
        <w:t>2.21.4</w:t>
      </w:r>
      <w:r>
        <w:rPr>
          <w:rFonts w:hint="eastAsia" w:ascii="仿宋_GB2312" w:hAnsi="楷体" w:eastAsia="仿宋_GB2312"/>
          <w:sz w:val="24"/>
        </w:rPr>
        <w:t>甲方根据杭州市政府采购网公布的供应商履约评价情况减免履约保证金。乙方履约验收评价总分为</w:t>
      </w:r>
      <w:r>
        <w:rPr>
          <w:rFonts w:ascii="仿宋_GB2312" w:hAnsi="楷体" w:eastAsia="仿宋_GB2312"/>
          <w:sz w:val="24"/>
        </w:rPr>
        <w:t>100分的，甲方免收履约保证金；评价总分在90分以上的，收取履约保证金</w:t>
      </w:r>
      <w:r>
        <w:rPr>
          <w:rFonts w:hint="eastAsia" w:ascii="仿宋_GB2312" w:hAnsi="楷体" w:eastAsia="仿宋_GB2312"/>
          <w:sz w:val="24"/>
        </w:rPr>
        <w:t>为</w:t>
      </w:r>
      <w:r>
        <w:rPr>
          <w:rFonts w:ascii="仿宋_GB2312" w:hAnsi="楷体" w:eastAsia="仿宋_GB2312"/>
          <w:sz w:val="24"/>
        </w:rPr>
        <w:t>合同金额2%；评价总分在不满90分或者暂无评分的，收取履约保证金</w:t>
      </w:r>
      <w:r>
        <w:rPr>
          <w:rFonts w:hint="eastAsia" w:ascii="仿宋_GB2312" w:hAnsi="楷体" w:eastAsia="仿宋_GB2312"/>
          <w:sz w:val="24"/>
        </w:rPr>
        <w:t>为</w:t>
      </w:r>
      <w:r>
        <w:rPr>
          <w:rFonts w:ascii="仿宋_GB2312" w:hAnsi="楷体" w:eastAsia="仿宋_GB2312"/>
          <w:sz w:val="24"/>
        </w:rPr>
        <w:t>合同金额</w:t>
      </w:r>
      <w:r>
        <w:rPr>
          <w:rFonts w:hint="eastAsia" w:ascii="仿宋_GB2312" w:hAnsi="楷体" w:eastAsia="仿宋_GB2312"/>
          <w:sz w:val="24"/>
          <w:lang w:val="en-US" w:eastAsia="zh-CN"/>
        </w:rPr>
        <w:t>2.</w:t>
      </w:r>
      <w:r>
        <w:rPr>
          <w:rFonts w:ascii="仿宋_GB2312" w:hAnsi="楷体" w:eastAsia="仿宋_GB2312"/>
          <w:sz w:val="24"/>
        </w:rPr>
        <w:t>5</w:t>
      </w:r>
      <w:r>
        <w:rPr>
          <w:rFonts w:ascii="仿宋" w:hAnsi="仿宋" w:eastAsia="仿宋"/>
          <w:sz w:val="24"/>
        </w:rPr>
        <w:t>%。</w:t>
      </w:r>
    </w:p>
    <w:p>
      <w:pPr>
        <w:spacing w:line="360" w:lineRule="auto"/>
        <w:ind w:firstLine="480"/>
        <w:outlineLvl w:val="0"/>
        <w:rPr>
          <w:rFonts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本合同（</w:t>
      </w:r>
      <w:r>
        <w:rPr>
          <w:rFonts w:hint="eastAsia" w:ascii="仿宋_GB2312" w:hAnsi="仿宋" w:eastAsia="仿宋_GB2312"/>
          <w:kern w:val="0"/>
          <w:sz w:val="24"/>
          <w:lang w:val="zh-CN"/>
        </w:rPr>
        <w:t>☑</w:t>
      </w:r>
      <w:r>
        <w:rPr>
          <w:rFonts w:ascii="仿宋_GB2312" w:hAnsi="仿宋" w:eastAsia="仿宋_GB2312"/>
          <w:kern w:val="0"/>
          <w:sz w:val="24"/>
          <w:lang w:val="zh-CN"/>
        </w:rPr>
        <w:t xml:space="preserve">是  </w:t>
      </w:r>
      <w:r>
        <w:rPr>
          <w:rFonts w:hint="eastAsia" w:ascii="仿宋_GB2312" w:hAnsi="仿宋" w:eastAsia="仿宋_GB2312"/>
          <w:kern w:val="0"/>
          <w:sz w:val="24"/>
          <w:lang w:val="zh-CN"/>
        </w:rPr>
        <w:t>□否）为中小企业预留合同。</w:t>
      </w:r>
    </w:p>
    <w:bookmarkEnd w:id="549"/>
    <w:p>
      <w:pPr>
        <w:spacing w:line="360" w:lineRule="auto"/>
        <w:ind w:firstLine="482" w:firstLineChars="200"/>
        <w:outlineLvl w:val="0"/>
        <w:rPr>
          <w:rFonts w:ascii="仿宋_GB2312" w:hAnsi="楷体" w:eastAsia="仿宋_GB2312"/>
          <w:b/>
          <w:sz w:val="24"/>
        </w:rPr>
      </w:pPr>
      <w:bookmarkStart w:id="550" w:name="_Toc6885"/>
      <w:bookmarkStart w:id="551" w:name="_Toc14001"/>
      <w:bookmarkStart w:id="552" w:name="_Toc19890"/>
      <w:r>
        <w:rPr>
          <w:rFonts w:hint="eastAsia" w:ascii="仿宋_GB2312" w:hAnsi="楷体" w:eastAsia="仿宋_GB2312"/>
          <w:b/>
          <w:sz w:val="24"/>
        </w:rPr>
        <w:t>2.23 合同份数</w:t>
      </w:r>
      <w:bookmarkEnd w:id="550"/>
      <w:bookmarkEnd w:id="551"/>
      <w:bookmarkEnd w:id="552"/>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703"/>
        <w:jc w:val="center"/>
        <w:rPr>
          <w:rFonts w:ascii="仿宋_GB2312" w:hAnsi="楷体" w:eastAsia="仿宋_GB2312"/>
          <w:b/>
          <w:szCs w:val="24"/>
        </w:rPr>
      </w:pPr>
      <w:r>
        <w:rPr>
          <w:rFonts w:hint="eastAsia" w:ascii="仿宋_GB2312" w:hAnsi="楷体" w:eastAsia="仿宋_GB2312"/>
          <w:szCs w:val="24"/>
        </w:rPr>
        <w:br w:type="page"/>
      </w:r>
      <w:bookmarkStart w:id="553" w:name="_Toc331685784"/>
      <w:r>
        <w:rPr>
          <w:rFonts w:hint="eastAsia" w:ascii="仿宋_GB2312" w:hAnsi="楷体" w:eastAsia="仿宋_GB2312"/>
          <w:b/>
          <w:szCs w:val="24"/>
        </w:rPr>
        <w:t xml:space="preserve">第三部分  </w:t>
      </w:r>
      <w:r>
        <w:rPr>
          <w:rFonts w:hint="eastAsia" w:ascii="仿宋_GB2312" w:hAnsi="仿宋" w:eastAsia="仿宋_GB2312"/>
          <w:b/>
        </w:rPr>
        <w:t>※</w:t>
      </w:r>
      <w:r>
        <w:rPr>
          <w:rFonts w:hint="eastAsia" w:ascii="仿宋_GB2312" w:hAnsi="楷体" w:eastAsia="仿宋_GB2312"/>
          <w:b/>
          <w:szCs w:val="24"/>
        </w:rPr>
        <w:t>合同专用条款</w:t>
      </w:r>
      <w:bookmarkEnd w:id="55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sz w:val="24"/>
        </w:rPr>
      </w:pPr>
      <w:r>
        <w:rPr>
          <w:rFonts w:ascii="仿宋_GB2312" w:hAnsi="楷体" w:eastAsia="仿宋_GB2312"/>
          <w:sz w:val="24"/>
        </w:rPr>
        <w:t>3.1</w:t>
      </w:r>
      <w:r>
        <w:rPr>
          <w:rFonts w:hint="eastAsia" w:ascii="仿宋_GB2312" w:hAnsi="楷体" w:eastAsia="仿宋_GB2312"/>
          <w:sz w:val="24"/>
        </w:rPr>
        <w:t>具有知识产权的计算机软件等标的物的知识产权归属：</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  知识产权归甲方所有。                                                  </w:t>
      </w:r>
    </w:p>
    <w:p>
      <w:pPr>
        <w:spacing w:line="360" w:lineRule="auto"/>
        <w:ind w:firstLine="480" w:firstLineChars="200"/>
        <w:rPr>
          <w:rFonts w:ascii="仿宋_GB2312" w:hAnsi="楷体" w:eastAsia="仿宋_GB2312"/>
          <w:sz w:val="24"/>
        </w:rPr>
      </w:pPr>
      <w:r>
        <w:rPr>
          <w:rFonts w:ascii="仿宋_GB2312" w:hAnsi="楷体" w:eastAsia="仿宋_GB2312"/>
          <w:sz w:val="24"/>
        </w:rPr>
        <w:t>3.2</w:t>
      </w:r>
      <w:r>
        <w:rPr>
          <w:rFonts w:hint="eastAsia" w:ascii="仿宋_GB2312" w:hAnsi="楷体" w:eastAsia="仿宋_GB2312"/>
          <w:sz w:val="24"/>
        </w:rPr>
        <w:t>包装和装运专用条款（如果有）：</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3.3</w:t>
      </w:r>
      <w:r>
        <w:rPr>
          <w:rFonts w:hint="eastAsia" w:ascii="仿宋_GB2312" w:hAnsi="楷体" w:eastAsia="仿宋_GB2312"/>
          <w:sz w:val="24"/>
        </w:rPr>
        <w:t>装运标的物的要求和通知（如果有）：</w:t>
      </w:r>
    </w:p>
    <w:p>
      <w:pPr>
        <w:spacing w:line="360" w:lineRule="auto"/>
        <w:ind w:firstLine="480" w:firstLineChars="200"/>
        <w:rPr>
          <w:rFonts w:ascii="仿宋_GB2312" w:hAnsi="楷体" w:eastAsia="仿宋_GB2312"/>
          <w:sz w:val="24"/>
          <w:u w:val="single"/>
        </w:rPr>
      </w:pPr>
      <w:r>
        <w:rPr>
          <w:rFonts w:ascii="仿宋_GB2312" w:hAnsi="楷体" w:eastAsia="仿宋_GB2312"/>
          <w:sz w:val="24"/>
          <w:u w:val="single"/>
        </w:rPr>
        <w:t>/</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b/>
          <w:sz w:val="24"/>
        </w:rPr>
      </w:pPr>
      <w:r>
        <w:rPr>
          <w:rFonts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元），采用分期付款方式，具体如下</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第一期付款：合同签订</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lang w:val="zh-CN"/>
        </w:rPr>
        <w:t>日历天内，甲方支付合同总价</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lang w:val="zh-CN"/>
        </w:rPr>
        <w:t>的服务费</w:t>
      </w:r>
      <w:r>
        <w:rPr>
          <w:rFonts w:hint="eastAsia" w:ascii="仿宋_GB2312" w:eastAsia="仿宋_GB2312"/>
          <w:color w:val="000000"/>
          <w:sz w:val="24"/>
        </w:rPr>
        <w:t>结算手续，计人民币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p>
    <w:p>
      <w:pPr>
        <w:autoSpaceDE w:val="0"/>
        <w:autoSpaceDN w:val="0"/>
        <w:snapToGrid w:val="0"/>
        <w:spacing w:line="360" w:lineRule="auto"/>
        <w:ind w:firstLine="540"/>
        <w:rPr>
          <w:rFonts w:ascii="仿宋_GB2312" w:hAnsi="宋体" w:eastAsia="仿宋_GB2312"/>
          <w:color w:val="000000"/>
          <w:kern w:val="0"/>
          <w:sz w:val="24"/>
          <w:lang w:val="zh-CN"/>
        </w:rPr>
      </w:pPr>
      <w:r>
        <w:rPr>
          <w:rFonts w:hint="eastAsia" w:ascii="仿宋_GB2312" w:hAnsi="宋体" w:eastAsia="仿宋_GB2312"/>
          <w:color w:val="000000"/>
          <w:kern w:val="0"/>
          <w:sz w:val="24"/>
          <w:lang w:val="zh-CN"/>
        </w:rPr>
        <w:t>第二期付款：</w:t>
      </w:r>
      <w:r>
        <w:rPr>
          <w:rFonts w:hint="eastAsia" w:ascii="仿宋_GB2312" w:hAnsi="宋体" w:eastAsia="仿宋_GB2312"/>
          <w:color w:val="000000"/>
          <w:kern w:val="0"/>
          <w:sz w:val="24"/>
        </w:rPr>
        <w:t>甲方支付合同总价</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的</w:t>
      </w:r>
      <w:r>
        <w:rPr>
          <w:rFonts w:hint="eastAsia" w:ascii="仿宋_GB2312" w:hAnsi="宋体" w:eastAsia="仿宋_GB2312"/>
          <w:color w:val="000000"/>
          <w:kern w:val="0"/>
          <w:sz w:val="24"/>
          <w:lang w:val="zh-CN"/>
        </w:rPr>
        <w:t>服务费</w:t>
      </w:r>
      <w:r>
        <w:rPr>
          <w:rFonts w:hint="eastAsia" w:ascii="仿宋_GB2312" w:hAnsi="宋体" w:eastAsia="仿宋_GB2312"/>
          <w:color w:val="000000"/>
          <w:kern w:val="0"/>
          <w:sz w:val="24"/>
        </w:rPr>
        <w:t>结算手续，</w:t>
      </w:r>
      <w:r>
        <w:rPr>
          <w:rFonts w:hint="eastAsia" w:ascii="仿宋_GB2312" w:eastAsia="仿宋_GB2312"/>
          <w:color w:val="000000"/>
          <w:sz w:val="24"/>
        </w:rPr>
        <w:t>计人民币</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整</w:t>
      </w: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rPr>
        <w:t xml:space="preserve"> </w:t>
      </w:r>
      <w:r>
        <w:rPr>
          <w:rFonts w:hint="eastAsia" w:ascii="仿宋_GB2312" w:hAnsi="宋体" w:eastAsia="仿宋_GB2312"/>
          <w:color w:val="000000"/>
          <w:kern w:val="0"/>
          <w:sz w:val="24"/>
          <w:u w:val="single"/>
        </w:rPr>
        <w:t xml:space="preserve">     </w:t>
      </w:r>
      <w:r>
        <w:rPr>
          <w:rFonts w:hint="eastAsia" w:ascii="仿宋_GB2312" w:hAnsi="宋体" w:eastAsia="仿宋_GB2312"/>
          <w:color w:val="000000"/>
          <w:kern w:val="0"/>
          <w:sz w:val="24"/>
        </w:rPr>
        <w:t>元</w:t>
      </w:r>
      <w:r>
        <w:rPr>
          <w:rFonts w:hint="eastAsia" w:ascii="仿宋_GB2312" w:hAnsi="宋体" w:eastAsia="仿宋_GB2312"/>
          <w:color w:val="000000"/>
          <w:kern w:val="0"/>
          <w:sz w:val="24"/>
          <w:lang w:val="zh-CN"/>
        </w:rPr>
        <w:t>）。</w:t>
      </w:r>
    </w:p>
    <w:p>
      <w:pPr>
        <w:snapToGrid w:val="0"/>
        <w:spacing w:line="360" w:lineRule="auto"/>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w:t>
      </w:r>
      <w:r>
        <w:rPr>
          <w:rFonts w:hint="eastAsia" w:ascii="仿宋_GB2312" w:hAnsi="楷体" w:eastAsia="仿宋_GB2312"/>
          <w:sz w:val="24"/>
        </w:rPr>
        <w:t>应付而未付款</w:t>
      </w:r>
      <w:r>
        <w:rPr>
          <w:rFonts w:hint="eastAsia" w:ascii="仿宋_GB2312" w:hAnsi="仿宋" w:eastAsia="仿宋_GB2312"/>
          <w:sz w:val="24"/>
        </w:rPr>
        <w:t>的万分之五承担违约责任，甲方支付违约金的上限为合同总金额的2</w:t>
      </w:r>
      <w:r>
        <w:rPr>
          <w:rFonts w:ascii="仿宋_GB2312" w:hAnsi="仿宋" w:eastAsia="仿宋_GB2312"/>
          <w:sz w:val="24"/>
        </w:rPr>
        <w:t>0</w:t>
      </w:r>
      <w:r>
        <w:rPr>
          <w:rFonts w:hint="eastAsia" w:ascii="仿宋_GB2312" w:hAnsi="仿宋" w:eastAsia="仿宋_GB2312"/>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乙方未向甲方提供发票或者提供的发票不符合规定或者发票内容不正确的，甲方均有权拒绝付款，且无需承担逾期付款的违约责任。</w:t>
      </w:r>
    </w:p>
    <w:p>
      <w:pPr>
        <w:autoSpaceDE w:val="0"/>
        <w:autoSpaceDN w:val="0"/>
        <w:snapToGrid w:val="0"/>
        <w:spacing w:line="360" w:lineRule="auto"/>
        <w:ind w:firstLine="540"/>
        <w:rPr>
          <w:rFonts w:ascii="仿宋_GB2312" w:eastAsia="仿宋_GB2312" w:cs="仿宋_GB2312"/>
          <w:kern w:val="0"/>
          <w:sz w:val="24"/>
        </w:rPr>
      </w:pPr>
      <w:r>
        <w:rPr>
          <w:rFonts w:hint="eastAsia" w:ascii="仿宋_GB2312" w:eastAsia="仿宋_GB2312" w:cs="仿宋_GB2312"/>
          <w:kern w:val="0"/>
          <w:sz w:val="24"/>
          <w:lang w:val="zh-CN"/>
        </w:rPr>
        <w:t>乙方支付申请和查询</w:t>
      </w:r>
      <w:r>
        <w:rPr>
          <w:rFonts w:hint="eastAsia" w:ascii="仿宋_GB2312" w:eastAsia="仿宋_GB2312" w:cs="仿宋_GB2312"/>
          <w:kern w:val="0"/>
          <w:sz w:val="24"/>
        </w:rPr>
        <w:t>：</w:t>
      </w:r>
    </w:p>
    <w:p>
      <w:pPr>
        <w:autoSpaceDE w:val="0"/>
        <w:autoSpaceDN w:val="0"/>
        <w:snapToGrid w:val="0"/>
        <w:spacing w:line="360" w:lineRule="auto"/>
        <w:ind w:firstLine="540"/>
        <w:rPr>
          <w:rFonts w:ascii="仿宋_GB2312" w:eastAsia="仿宋_GB2312" w:cs="仿宋_GB2312"/>
          <w:kern w:val="0"/>
          <w:sz w:val="24"/>
          <w:lang w:val="zh-CN"/>
        </w:rPr>
      </w:pPr>
      <w:r>
        <w:rPr>
          <w:rFonts w:hint="eastAsia" w:ascii="仿宋_GB2312" w:eastAsia="仿宋_GB2312" w:cs="仿宋_GB2312"/>
          <w:kern w:val="0"/>
          <w:sz w:val="24"/>
          <w:lang w:val="zh-CN"/>
        </w:rPr>
        <w:t>乙方可以登录</w:t>
      </w:r>
      <w:r>
        <w:rPr>
          <w:rFonts w:hint="eastAsia" w:ascii="仿宋_GB2312" w:eastAsia="仿宋_GB2312" w:cs="仿宋_GB2312"/>
          <w:kern w:val="0"/>
          <w:sz w:val="24"/>
        </w:rPr>
        <w:t>：http://czj.hangzhou.gov.cn/zfcg（</w:t>
      </w:r>
      <w:r>
        <w:rPr>
          <w:rFonts w:hint="eastAsia" w:ascii="仿宋_GB2312" w:eastAsia="仿宋_GB2312" w:cs="仿宋_GB2312"/>
          <w:kern w:val="0"/>
          <w:sz w:val="24"/>
          <w:lang w:val="zh-CN"/>
        </w:rPr>
        <w:t>杭州市政府采购网</w:t>
      </w:r>
      <w:r>
        <w:rPr>
          <w:rFonts w:hint="eastAsia" w:ascii="仿宋_GB2312" w:eastAsia="仿宋_GB2312" w:cs="仿宋_GB2312"/>
          <w:kern w:val="0"/>
          <w:sz w:val="24"/>
        </w:rPr>
        <w:t>），</w:t>
      </w:r>
      <w:r>
        <w:rPr>
          <w:rFonts w:hint="eastAsia" w:ascii="仿宋_GB2312" w:eastAsia="仿宋_GB2312" w:cs="仿宋_GB2312"/>
          <w:kern w:val="0"/>
          <w:sz w:val="24"/>
          <w:lang w:val="zh-CN"/>
        </w:rPr>
        <w:t>在线发起付款申请和提交发票</w:t>
      </w:r>
      <w:r>
        <w:rPr>
          <w:rFonts w:hint="eastAsia" w:ascii="仿宋_GB2312" w:eastAsia="仿宋_GB2312" w:cs="仿宋_GB2312"/>
          <w:kern w:val="0"/>
          <w:sz w:val="24"/>
        </w:rPr>
        <w:t>，</w:t>
      </w:r>
      <w:r>
        <w:rPr>
          <w:rFonts w:hint="eastAsia" w:ascii="仿宋_GB2312" w:eastAsia="仿宋_GB2312" w:cs="仿宋_GB2312"/>
          <w:kern w:val="0"/>
          <w:sz w:val="24"/>
          <w:lang w:val="zh-CN"/>
        </w:rPr>
        <w:t>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ascii="仿宋_GB2312" w:hAnsi="楷体" w:eastAsia="仿宋_GB2312"/>
          <w:b/>
          <w:sz w:val="24"/>
        </w:rPr>
      </w:pPr>
      <w:r>
        <w:rPr>
          <w:rFonts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标的物或者在途标的物或者交付给第一承运人后的标的物毁损、灭失的风险负担：仍由乙方承担，直至甲方接收标的物后，标的物毁损灭失的风险由甲方承担。</w:t>
      </w:r>
      <w:r>
        <w:rPr>
          <w:rFonts w:hint="eastAsia" w:ascii="仿宋_GB2312" w:hAnsi="楷体" w:eastAsia="仿宋_GB2312"/>
          <w:sz w:val="24"/>
          <w:u w:val="single"/>
        </w:rPr>
        <w:t xml:space="preserve">                                                             </w:t>
      </w:r>
    </w:p>
    <w:p>
      <w:pPr>
        <w:spacing w:line="360" w:lineRule="auto"/>
        <w:ind w:firstLine="480" w:firstLineChars="200"/>
        <w:rPr>
          <w:rFonts w:ascii="仿宋_GB2312" w:hAnsi="楷体" w:eastAsia="仿宋_GB2312"/>
          <w:sz w:val="24"/>
        </w:rPr>
      </w:pPr>
      <w:r>
        <w:rPr>
          <w:rFonts w:ascii="仿宋_GB2312" w:hAnsi="楷体" w:eastAsia="仿宋_GB2312"/>
          <w:sz w:val="24"/>
        </w:rPr>
        <w:t>3.6</w:t>
      </w:r>
      <w:r>
        <w:rPr>
          <w:rFonts w:hint="eastAsia" w:ascii="仿宋_GB2312" w:hAnsi="楷体" w:eastAsia="仿宋_GB2312"/>
          <w:sz w:val="24"/>
        </w:rPr>
        <w:t>受不可抗力影响的一方在不可抗力发生后，应在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15  </w:t>
      </w:r>
      <w:r>
        <w:rPr>
          <w:rFonts w:hint="eastAsia" w:ascii="仿宋_GB2312" w:hAnsi="楷体" w:eastAsia="仿宋_GB2312"/>
          <w:sz w:val="24"/>
        </w:rPr>
        <w:t>日内，将有关部门出具的证明文件送达对方当事人。</w:t>
      </w:r>
    </w:p>
    <w:p>
      <w:pPr>
        <w:spacing w:line="360" w:lineRule="auto"/>
        <w:ind w:firstLine="480" w:firstLineChars="200"/>
        <w:rPr>
          <w:rFonts w:ascii="仿宋_GB2312" w:hAnsi="楷体" w:eastAsia="仿宋_GB2312"/>
          <w:sz w:val="24"/>
        </w:rPr>
      </w:pPr>
      <w:r>
        <w:rPr>
          <w:rFonts w:ascii="仿宋_GB2312" w:hAnsi="楷体" w:eastAsia="仿宋_GB2312"/>
          <w:sz w:val="24"/>
        </w:rPr>
        <w:t>3.7</w:t>
      </w:r>
      <w:r>
        <w:rPr>
          <w:rFonts w:hint="eastAsia" w:ascii="仿宋_GB2312" w:hAnsi="楷体" w:eastAsia="仿宋_GB2312"/>
          <w:sz w:val="24"/>
        </w:rPr>
        <w:t>因不可抗力致使合同有变更必要的，双方当事人应在</w:t>
      </w:r>
      <w:r>
        <w:rPr>
          <w:rFonts w:hint="eastAsia" w:ascii="仿宋_GB2312" w:hAnsi="楷体" w:eastAsia="仿宋_GB2312"/>
          <w:sz w:val="24"/>
          <w:u w:val="single"/>
        </w:rPr>
        <w:t xml:space="preserve"> 15 </w:t>
      </w:r>
      <w:r>
        <w:rPr>
          <w:rFonts w:hint="eastAsia" w:ascii="仿宋_GB2312" w:hAnsi="楷体" w:eastAsia="仿宋_GB2312"/>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sz w:val="24"/>
        </w:rPr>
      </w:pPr>
      <w:r>
        <w:rPr>
          <w:rFonts w:ascii="仿宋_GB2312" w:hAnsi="楷体" w:eastAsia="仿宋_GB2312"/>
          <w:sz w:val="24"/>
        </w:rPr>
        <w:t>3.8</w:t>
      </w:r>
      <w:r>
        <w:rPr>
          <w:rFonts w:hint="eastAsia" w:ascii="仿宋_GB2312" w:hAnsi="楷体" w:eastAsia="仿宋_GB2312"/>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15日   </w:t>
      </w:r>
      <w:r>
        <w:rPr>
          <w:rFonts w:hint="eastAsia" w:ascii="仿宋_GB2312" w:hAnsi="楷体" w:eastAsia="仿宋_GB2312"/>
          <w:sz w:val="24"/>
        </w:rPr>
        <w:t>内组织验收，并可依法邀请相关方参加，验收应出具验收书。</w:t>
      </w:r>
    </w:p>
    <w:p>
      <w:pPr>
        <w:spacing w:line="360" w:lineRule="auto"/>
        <w:ind w:firstLine="480" w:firstLineChars="200"/>
        <w:rPr>
          <w:rFonts w:ascii="仿宋_GB2312" w:hAnsi="楷体" w:eastAsia="仿宋_GB2312"/>
          <w:sz w:val="24"/>
        </w:rPr>
      </w:pPr>
      <w:r>
        <w:rPr>
          <w:rFonts w:ascii="仿宋_GB2312" w:hAnsi="楷体" w:eastAsia="仿宋_GB2312"/>
          <w:sz w:val="24"/>
        </w:rPr>
        <w:t>3.9</w:t>
      </w:r>
      <w:r>
        <w:rPr>
          <w:rFonts w:hint="eastAsia" w:ascii="仿宋_GB2312" w:hAnsi="楷体" w:eastAsia="仿宋_GB2312"/>
          <w:sz w:val="24"/>
        </w:rPr>
        <w:t>检验和验收标准、程序等具体内容以及前述验收书的效力：</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以本合同约定的内容为准。                                               </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rPr>
        <w:t xml:space="preserve">                                                                       </w:t>
      </w:r>
    </w:p>
    <w:p>
      <w:pPr>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ascii="仿宋_GB2312" w:hAnsi="仿宋" w:eastAsia="仿宋_GB2312" w:cs="仿宋_GB2312"/>
          <w:sz w:val="24"/>
        </w:rPr>
        <w:t xml:space="preserve">   3.10</w:t>
      </w:r>
      <w:r>
        <w:rPr>
          <w:rFonts w:hint="eastAsia" w:ascii="仿宋_GB2312" w:hAnsi="仿宋" w:eastAsia="仿宋_GB2312" w:cs="仿宋_GB2312"/>
          <w:sz w:val="24"/>
        </w:rPr>
        <w:t>本合同所涉项目不涉及履约保证金，乙方无需向甲方缴纳履约保证金。</w:t>
      </w:r>
    </w:p>
    <w:p>
      <w:pPr>
        <w:widowControl/>
        <w:adjustRightInd/>
        <w:jc w:val="left"/>
        <w:rPr>
          <w:rFonts w:hint="eastAsia" w:ascii="仿宋_GB2312" w:hAnsi="仿宋_GB2312" w:eastAsia="仿宋_GB2312" w:cs="仿宋_GB2312"/>
          <w:bCs/>
          <w:sz w:val="24"/>
        </w:rPr>
      </w:pPr>
      <w:r>
        <w:rPr>
          <w:rFonts w:hint="eastAsia" w:ascii="仿宋_GB2312" w:hAnsi="仿宋_GB2312" w:eastAsia="仿宋_GB2312" w:cs="仿宋_GB2312"/>
          <w:b/>
          <w:sz w:val="24"/>
        </w:rPr>
        <w:t xml:space="preserve"> </w:t>
      </w:r>
      <w:r>
        <w:rPr>
          <w:rFonts w:ascii="仿宋_GB2312" w:hAnsi="仿宋_GB2312" w:eastAsia="仿宋_GB2312" w:cs="仿宋_GB2312"/>
          <w:b/>
          <w:sz w:val="24"/>
        </w:rPr>
        <w:t xml:space="preserve"> </w:t>
      </w:r>
      <w:r>
        <w:rPr>
          <w:rFonts w:ascii="仿宋_GB2312" w:hAnsi="仿宋_GB2312" w:eastAsia="仿宋_GB2312" w:cs="仿宋_GB2312"/>
          <w:bCs/>
          <w:sz w:val="24"/>
        </w:rPr>
        <w:t xml:space="preserve">  3.11</w:t>
      </w:r>
      <w:r>
        <w:rPr>
          <w:rFonts w:hint="eastAsia" w:ascii="仿宋_GB2312" w:hAnsi="仿宋_GB2312" w:eastAsia="仿宋_GB2312" w:cs="仿宋_GB2312"/>
          <w:bCs/>
          <w:sz w:val="24"/>
        </w:rPr>
        <w:t>本合同所涉项目不允许分包或者转包，否则，一旦查实，甲方有权解除本合同，乙方应退还甲方已付款项，并且按本合同总金额的2</w:t>
      </w:r>
      <w:r>
        <w:rPr>
          <w:rFonts w:ascii="仿宋_GB2312" w:hAnsi="仿宋_GB2312" w:eastAsia="仿宋_GB2312" w:cs="仿宋_GB2312"/>
          <w:bCs/>
          <w:sz w:val="24"/>
        </w:rPr>
        <w:t>0</w:t>
      </w:r>
      <w:r>
        <w:rPr>
          <w:rFonts w:hint="eastAsia" w:ascii="仿宋_GB2312" w:hAnsi="仿宋_GB2312" w:eastAsia="仿宋_GB2312" w:cs="仿宋_GB2312"/>
          <w:bCs/>
          <w:sz w:val="24"/>
        </w:rPr>
        <w:t>%向甲方支付违约金。</w:t>
      </w:r>
    </w:p>
    <w:p>
      <w:pPr>
        <w:widowControl/>
        <w:adjustRightInd/>
        <w:jc w:val="left"/>
        <w:rPr>
          <w:rFonts w:ascii="仿宋_GB2312" w:hAnsi="仿宋_GB2312" w:eastAsia="仿宋_GB2312" w:cs="仿宋_GB2312"/>
          <w:b/>
          <w:sz w:val="24"/>
        </w:rPr>
      </w:pPr>
    </w:p>
    <w:p>
      <w:pPr>
        <w:widowControl/>
        <w:adjustRightInd/>
        <w:jc w:val="left"/>
        <w:rPr>
          <w:rFonts w:ascii="仿宋_GB2312" w:hAnsi="仿宋_GB2312" w:eastAsia="仿宋_GB2312" w:cs="仿宋_GB2312"/>
          <w:b/>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_GB2312" w:hAnsi="仿宋_GB2312" w:eastAsia="仿宋_GB2312" w:cs="仿宋_GB2312"/>
          <w:b/>
          <w:sz w:val="36"/>
          <w:szCs w:val="20"/>
        </w:rPr>
        <w:br w:type="page"/>
      </w: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_GB2312" w:eastAsia="仿宋_GB2312" w:cs="仿宋_GB2312"/>
          <w:sz w:val="24"/>
          <w:lang w:val="en-US" w:eastAsia="zh-CN"/>
        </w:rPr>
        <w:t>杭州市临安区农业农村局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本项目需提交中小企业声明函</w:t>
      </w:r>
      <w:r>
        <w:rPr>
          <w:rFonts w:hint="eastAsia" w:ascii="仿宋_GB2312" w:hAnsi="仿宋" w:eastAsia="仿宋_GB2312" w:cs="仿宋_GB2312"/>
          <w:sz w:val="24"/>
        </w:rPr>
        <w:t>）</w:t>
      </w: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b/>
          <w:sz w:val="24"/>
        </w:rPr>
        <w:t xml:space="preserve">  </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default"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rPr>
        <w:t>三、本项目的特定资格要求</w:t>
      </w:r>
      <w:r>
        <w:rPr>
          <w:rFonts w:hint="eastAsia" w:ascii="仿宋_GB2312" w:hAnsi="仿宋" w:eastAsia="仿宋_GB2312" w:cs="仿宋_GB2312"/>
          <w:b/>
          <w:kern w:val="0"/>
          <w:sz w:val="32"/>
          <w:szCs w:val="32"/>
          <w:lang w:val="en-US" w:eastAsia="zh-CN"/>
        </w:rPr>
        <w:t xml:space="preserve"> </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pPr>
    </w:p>
    <w:p>
      <w:pPr>
        <w:pStyle w:val="3"/>
      </w:pPr>
    </w:p>
    <w:p>
      <w:pPr>
        <w:pStyle w:val="61"/>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3"/>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杭州市临安区农业农村局</w:t>
      </w:r>
      <w:r>
        <w:rPr>
          <w:rFonts w:hint="eastAsia" w:ascii="仿宋_GB2312" w:hAnsi="仿宋_GB2312" w:eastAsia="仿宋_GB2312" w:cs="仿宋_GB2312"/>
          <w:sz w:val="24"/>
        </w:rPr>
        <w:t>、浙江中际工程项目管理有限公司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Times New Roman"/>
          <w:sz w:val="24"/>
          <w:u w:val="single"/>
          <w:lang w:val="en-US" w:eastAsia="zh-CN"/>
        </w:rPr>
        <w:t>杭州市临安区2022年渔业资源增殖放流项目</w:t>
      </w:r>
      <w:r>
        <w:rPr>
          <w:rFonts w:hint="eastAsia" w:ascii="仿宋_GB2312" w:hAnsi="仿宋" w:eastAsia="仿宋_GB2312" w:cs="仿宋_GB2312"/>
          <w:sz w:val="24"/>
        </w:rPr>
        <w:t>【招标编号：</w:t>
      </w:r>
      <w:r>
        <w:rPr>
          <w:rFonts w:hint="eastAsia" w:ascii="仿宋_GB2312" w:hAnsi="仿宋" w:eastAsia="仿宋_GB2312"/>
          <w:color w:val="000000" w:themeColor="text1"/>
          <w:sz w:val="24"/>
          <w:highlight w:val="yellow"/>
          <w:lang w:eastAsia="zh-CN"/>
          <w14:textFill>
            <w14:solidFill>
              <w14:schemeClr w14:val="tx1"/>
            </w14:solidFill>
          </w14:textFill>
        </w:rPr>
        <w:t>临[2022]1020-1021号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3833" w:firstLineChars="1193"/>
      </w:pPr>
      <w:r>
        <w:rPr>
          <w:rFonts w:hint="eastAsia" w:ascii="仿宋_GB2312" w:hAnsi="仿宋" w:eastAsia="仿宋_GB2312" w:cs="仿宋_GB2312"/>
          <w:b/>
          <w:kern w:val="0"/>
          <w:sz w:val="32"/>
          <w:szCs w:val="32"/>
          <w:lang w:val="zh-CN"/>
        </w:rPr>
        <w:t>授权委托书</w:t>
      </w:r>
      <w:r>
        <w:rPr>
          <w:rFonts w:hint="eastAsia" w:ascii="仿宋_GB2312" w:hAnsi="仿宋" w:eastAsia="仿宋_GB2312" w:cs="仿宋_GB2312"/>
          <w:b/>
          <w:kern w:val="0"/>
          <w:sz w:val="32"/>
          <w:szCs w:val="32"/>
          <w:lang w:val="en-US" w:eastAsia="zh-CN"/>
        </w:rPr>
        <w:t xml:space="preserve"> </w:t>
      </w:r>
      <w: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杭州市临安区农业农村局</w:t>
      </w:r>
      <w:r>
        <w:rPr>
          <w:rFonts w:hint="eastAsia" w:ascii="仿宋_GB2312" w:hAnsi="仿宋_GB2312" w:eastAsia="仿宋_GB2312" w:cs="仿宋_GB2312"/>
          <w:sz w:val="24"/>
        </w:rPr>
        <w:t>、浙江中际工程项目管理有限公司 ：</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pPr>
        <w:pStyle w:val="2"/>
        <w:rPr>
          <w:rFonts w:ascii="仿宋_GB2312" w:hAnsi="仿宋" w:eastAsia="仿宋_GB2312" w:cs="仿宋_GB2312"/>
          <w:b/>
          <w:kern w:val="0"/>
          <w:sz w:val="32"/>
          <w:szCs w:val="32"/>
          <w:lang w:val="zh-CN"/>
        </w:rPr>
      </w:pPr>
    </w:p>
    <w:p>
      <w:pPr>
        <w:pStyle w:val="3"/>
        <w:rPr>
          <w:rFonts w:ascii="仿宋_GB2312" w:hAnsi="仿宋" w:eastAsia="仿宋_GB2312" w:cs="仿宋_GB2312"/>
          <w:b/>
          <w:kern w:val="0"/>
          <w:sz w:val="32"/>
          <w:szCs w:val="32"/>
          <w:lang w:val="zh-CN"/>
        </w:rPr>
      </w:pPr>
    </w:p>
    <w:p>
      <w:pPr>
        <w:pStyle w:val="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pStyle w:val="3"/>
        <w:rPr>
          <w:rFonts w:ascii="仿宋_GB2312" w:hAnsi="仿宋" w:eastAsia="仿宋_GB2312" w:cs="仿宋_GB2312"/>
          <w:b/>
          <w:kern w:val="0"/>
          <w:sz w:val="32"/>
          <w:szCs w:val="32"/>
          <w:lang w:val="zh-CN"/>
        </w:rPr>
      </w:pPr>
    </w:p>
    <w:p>
      <w:pPr>
        <w:pStyle w:val="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2"/>
        <w:rPr>
          <w:rFonts w:ascii="仿宋_GB2312" w:hAnsi="仿宋" w:eastAsia="仿宋_GB2312" w:cs="仿宋_GB2312"/>
          <w:b/>
          <w:kern w:val="0"/>
          <w:sz w:val="32"/>
          <w:szCs w:val="32"/>
          <w:lang w:val="zh-CN"/>
        </w:rPr>
      </w:pPr>
    </w:p>
    <w:p>
      <w:pPr>
        <w:pStyle w:val="3"/>
        <w:rPr>
          <w:rFonts w:ascii="仿宋_GB2312" w:hAnsi="仿宋" w:eastAsia="仿宋_GB2312" w:cs="仿宋_GB2312"/>
          <w:b/>
          <w:kern w:val="0"/>
          <w:sz w:val="32"/>
          <w:szCs w:val="32"/>
          <w:lang w:val="zh-CN"/>
        </w:rPr>
      </w:pPr>
    </w:p>
    <w:p>
      <w:pPr>
        <w:pStyle w:val="4"/>
        <w:rPr>
          <w:rFonts w:ascii="仿宋_GB2312" w:hAnsi="仿宋" w:eastAsia="仿宋_GB2312" w:cs="仿宋_GB2312"/>
          <w:b/>
          <w:kern w:val="0"/>
          <w:sz w:val="32"/>
          <w:szCs w:val="32"/>
          <w:lang w:val="zh-CN"/>
        </w:rPr>
      </w:pPr>
    </w:p>
    <w:p>
      <w:pPr>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6"/>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_GB2312" w:eastAsia="仿宋_GB2312" w:cs="仿宋_GB2312"/>
          <w:sz w:val="24"/>
          <w:lang w:val="en-US" w:eastAsia="zh-CN"/>
        </w:rPr>
        <w:t>杭州市临安区农业农村局</w:t>
      </w:r>
      <w:r>
        <w:rPr>
          <w:rFonts w:hint="eastAsia" w:ascii="仿宋_GB2312" w:hAnsi="仿宋_GB2312" w:eastAsia="仿宋_GB2312" w:cs="仿宋_GB2312"/>
          <w:sz w:val="24"/>
        </w:rPr>
        <w:t>、浙江中际工程项目管理有限公司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snapToGrid w:val="0"/>
        <w:spacing w:line="360" w:lineRule="auto"/>
        <w:ind w:right="480"/>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sz w:val="24"/>
          <w:lang w:val="en-US" w:eastAsia="zh-CN"/>
        </w:rPr>
        <w:t xml:space="preserve"> </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_GB2312" w:eastAsia="仿宋_GB2312" w:cs="仿宋_GB2312"/>
          <w:sz w:val="24"/>
          <w:highlight w:val="none"/>
          <w:lang w:val="en-US" w:eastAsia="zh-CN"/>
        </w:rPr>
        <w:t>杭州市临安区农业农村局</w:t>
      </w:r>
      <w:r>
        <w:rPr>
          <w:rFonts w:hint="eastAsia" w:ascii="仿宋_GB2312" w:hAnsi="仿宋_GB2312" w:eastAsia="仿宋_GB2312" w:cs="仿宋_GB2312"/>
          <w:sz w:val="24"/>
          <w:highlight w:val="none"/>
        </w:rPr>
        <w:t>、浙江中际工程项目管理有限公司 ：</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Times New Roman"/>
          <w:sz w:val="24"/>
          <w:highlight w:val="none"/>
          <w:u w:val="single"/>
          <w:lang w:val="en-US" w:eastAsia="zh-CN"/>
        </w:rPr>
        <w:t>杭州市临安区2022年渔业资源增殖放流项目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color w:val="000000" w:themeColor="text1"/>
          <w:sz w:val="24"/>
          <w:highlight w:val="none"/>
          <w:lang w:eastAsia="zh-CN"/>
          <w14:textFill>
            <w14:solidFill>
              <w14:schemeClr w14:val="tx1"/>
            </w14:solidFill>
          </w14:textFill>
        </w:rPr>
        <w:t>临[2022]1020-1021号</w:t>
      </w:r>
      <w:r>
        <w:rPr>
          <w:rFonts w:hint="eastAsia" w:ascii="仿宋_GB2312" w:hAnsi="仿宋" w:eastAsia="仿宋_GB2312" w:cs="仿宋_GB2312"/>
          <w:color w:val="000000" w:themeColor="text1"/>
          <w:sz w:val="24"/>
          <w:highlight w:val="none"/>
          <w14:textFill>
            <w14:solidFill>
              <w14:schemeClr w14:val="tx1"/>
            </w14:solidFill>
          </w14:textFill>
        </w:rPr>
        <w:t>】的</w:t>
      </w:r>
      <w:r>
        <w:rPr>
          <w:rFonts w:hint="eastAsia" w:ascii="仿宋_GB2312" w:hAnsi="仿宋" w:eastAsia="仿宋_GB2312" w:cs="仿宋_GB2312"/>
          <w:sz w:val="24"/>
          <w:highlight w:val="none"/>
        </w:rPr>
        <w:t>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590"/>
        <w:gridCol w:w="2175"/>
        <w:gridCol w:w="2445"/>
        <w:gridCol w:w="2910"/>
        <w:gridCol w:w="2325"/>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49"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eastAsia="zh-CN"/>
              </w:rPr>
              <w:t>序号</w:t>
            </w:r>
          </w:p>
        </w:tc>
        <w:tc>
          <w:tcPr>
            <w:tcW w:w="159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Times New Roman"/>
                <w:b/>
                <w:sz w:val="24"/>
              </w:rPr>
              <w:t>标项</w:t>
            </w:r>
          </w:p>
        </w:tc>
        <w:tc>
          <w:tcPr>
            <w:tcW w:w="2175"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cs="Times New Roman"/>
                <w:b/>
                <w:sz w:val="24"/>
              </w:rPr>
              <w:t>标项内容</w:t>
            </w:r>
          </w:p>
        </w:tc>
        <w:tc>
          <w:tcPr>
            <w:tcW w:w="244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w:t>
            </w:r>
          </w:p>
        </w:tc>
        <w:tc>
          <w:tcPr>
            <w:tcW w:w="2910" w:type="dxa"/>
            <w:vAlign w:val="center"/>
          </w:tcPr>
          <w:p>
            <w:pPr>
              <w:spacing w:line="360" w:lineRule="auto"/>
              <w:jc w:val="center"/>
              <w:rPr>
                <w:rFonts w:hint="eastAsia" w:ascii="仿宋_GB2312" w:hAnsi="仿宋" w:eastAsia="仿宋_GB2312" w:cs="Times New Roman"/>
                <w:b/>
                <w:sz w:val="24"/>
              </w:rPr>
            </w:pPr>
            <w:r>
              <w:rPr>
                <w:rFonts w:hint="eastAsia" w:ascii="仿宋_GB2312" w:hAnsi="仿宋" w:eastAsia="仿宋_GB2312" w:cs="Times New Roman"/>
                <w:b/>
                <w:sz w:val="24"/>
              </w:rPr>
              <w:t>投标尾数</w:t>
            </w:r>
          </w:p>
          <w:p>
            <w:pPr>
              <w:spacing w:line="360" w:lineRule="auto"/>
              <w:jc w:val="center"/>
              <w:rPr>
                <w:rFonts w:ascii="仿宋_GB2312" w:hAnsi="仿宋" w:eastAsia="仿宋_GB2312" w:cs="仿宋_GB2312"/>
                <w:b/>
                <w:sz w:val="24"/>
              </w:rPr>
            </w:pPr>
            <w:r>
              <w:rPr>
                <w:rFonts w:hint="eastAsia" w:ascii="仿宋_GB2312" w:hAnsi="仿宋" w:eastAsia="仿宋_GB2312" w:cs="Times New Roman"/>
                <w:b/>
                <w:sz w:val="24"/>
              </w:rPr>
              <w:t>（个）</w:t>
            </w:r>
          </w:p>
        </w:tc>
        <w:tc>
          <w:tcPr>
            <w:tcW w:w="232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合同履行期限</w:t>
            </w:r>
          </w:p>
        </w:tc>
        <w:tc>
          <w:tcPr>
            <w:tcW w:w="2373" w:type="dxa"/>
            <w:vAlign w:val="center"/>
          </w:tcPr>
          <w:p>
            <w:pPr>
              <w:spacing w:line="360" w:lineRule="auto"/>
              <w:jc w:val="center"/>
              <w:rPr>
                <w:rFonts w:ascii="仿宋_GB2312" w:hAnsi="仿宋" w:eastAsia="仿宋_GB2312"/>
                <w:b/>
                <w:sz w:val="24"/>
              </w:rPr>
            </w:pPr>
            <w:r>
              <w:rPr>
                <w:rFonts w:hint="eastAsia" w:ascii="仿宋_GB2312" w:hAnsi="仿宋" w:eastAsia="仿宋_GB2312" w:cs="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90" w:type="dxa"/>
            <w:vAlign w:val="center"/>
          </w:tcPr>
          <w:p>
            <w:pPr>
              <w:snapToGrid w:val="0"/>
              <w:spacing w:line="360" w:lineRule="auto"/>
              <w:jc w:val="center"/>
              <w:rPr>
                <w:rFonts w:ascii="仿宋_GB2312" w:hAnsi="仿宋" w:eastAsia="仿宋_GB2312" w:cs="仿宋_GB2312"/>
                <w:sz w:val="24"/>
              </w:rPr>
            </w:pPr>
          </w:p>
        </w:tc>
        <w:tc>
          <w:tcPr>
            <w:tcW w:w="2175" w:type="dxa"/>
            <w:vAlign w:val="center"/>
          </w:tcPr>
          <w:p>
            <w:pPr>
              <w:snapToGrid w:val="0"/>
              <w:spacing w:line="360" w:lineRule="auto"/>
              <w:jc w:val="center"/>
              <w:rPr>
                <w:rFonts w:ascii="仿宋_GB2312" w:hAnsi="仿宋" w:eastAsia="仿宋_GB2312" w:cs="仿宋_GB2312"/>
                <w:sz w:val="24"/>
              </w:rPr>
            </w:pPr>
          </w:p>
        </w:tc>
        <w:tc>
          <w:tcPr>
            <w:tcW w:w="2445" w:type="dxa"/>
            <w:vAlign w:val="center"/>
          </w:tcPr>
          <w:p>
            <w:pPr>
              <w:snapToGrid w:val="0"/>
              <w:spacing w:line="360" w:lineRule="auto"/>
              <w:jc w:val="center"/>
              <w:rPr>
                <w:rFonts w:ascii="仿宋_GB2312" w:hAnsi="仿宋" w:eastAsia="仿宋_GB2312" w:cs="仿宋_GB2312"/>
                <w:sz w:val="24"/>
              </w:rPr>
            </w:pPr>
          </w:p>
        </w:tc>
        <w:tc>
          <w:tcPr>
            <w:tcW w:w="2910" w:type="dxa"/>
            <w:vAlign w:val="center"/>
          </w:tcPr>
          <w:p>
            <w:pPr>
              <w:spacing w:line="360" w:lineRule="auto"/>
              <w:jc w:val="center"/>
              <w:rPr>
                <w:rFonts w:ascii="仿宋_GB2312" w:hAnsi="仿宋" w:eastAsia="仿宋_GB2312" w:cs="仿宋_GB2312"/>
                <w:sz w:val="24"/>
              </w:rPr>
            </w:pPr>
          </w:p>
        </w:tc>
        <w:tc>
          <w:tcPr>
            <w:tcW w:w="2325" w:type="dxa"/>
            <w:vAlign w:val="center"/>
          </w:tcPr>
          <w:p>
            <w:pPr>
              <w:spacing w:line="360" w:lineRule="auto"/>
              <w:jc w:val="center"/>
              <w:rPr>
                <w:rFonts w:ascii="仿宋_GB2312" w:hAnsi="仿宋" w:eastAsia="仿宋_GB2312" w:cs="仿宋_GB2312"/>
                <w:sz w:val="24"/>
              </w:rPr>
            </w:pPr>
          </w:p>
        </w:tc>
        <w:tc>
          <w:tcPr>
            <w:tcW w:w="2373" w:type="dxa"/>
            <w:vMerge w:val="restart"/>
            <w:vAlign w:val="center"/>
          </w:tcPr>
          <w:p>
            <w:pPr>
              <w:spacing w:line="360" w:lineRule="auto"/>
              <w:jc w:val="center"/>
              <w:rPr>
                <w:rFonts w:ascii="仿宋_GB2312" w:hAnsi="仿宋" w:eastAsia="仿宋_GB2312" w:cs="仿宋_GB2312"/>
                <w:sz w:val="24"/>
              </w:rPr>
            </w:pPr>
            <w:r>
              <w:rPr>
                <w:rFonts w:hint="eastAsia" w:ascii="宋体" w:hAnsi="宋体" w:eastAsia="宋体" w:cs="宋体"/>
                <w:color w:val="FF0000"/>
                <w:sz w:val="21"/>
                <w:szCs w:val="21"/>
              </w:rPr>
              <w:t>投标尾数数量以“个”为单位，1个等于1万尾，投标尾数的数量不得低于最低投标尾数。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90" w:type="dxa"/>
            <w:vAlign w:val="center"/>
          </w:tcPr>
          <w:p>
            <w:pPr>
              <w:snapToGrid w:val="0"/>
              <w:spacing w:line="360" w:lineRule="auto"/>
              <w:jc w:val="center"/>
              <w:rPr>
                <w:rFonts w:ascii="仿宋_GB2312" w:hAnsi="仿宋" w:eastAsia="仿宋_GB2312" w:cs="仿宋_GB2312"/>
                <w:sz w:val="24"/>
              </w:rPr>
            </w:pPr>
          </w:p>
        </w:tc>
        <w:tc>
          <w:tcPr>
            <w:tcW w:w="2175" w:type="dxa"/>
            <w:vAlign w:val="center"/>
          </w:tcPr>
          <w:p>
            <w:pPr>
              <w:snapToGrid w:val="0"/>
              <w:spacing w:line="360" w:lineRule="auto"/>
              <w:jc w:val="center"/>
              <w:rPr>
                <w:rFonts w:ascii="仿宋_GB2312" w:hAnsi="仿宋" w:eastAsia="仿宋_GB2312" w:cs="仿宋_GB2312"/>
                <w:sz w:val="24"/>
              </w:rPr>
            </w:pPr>
          </w:p>
        </w:tc>
        <w:tc>
          <w:tcPr>
            <w:tcW w:w="2445" w:type="dxa"/>
            <w:vAlign w:val="center"/>
          </w:tcPr>
          <w:p>
            <w:pPr>
              <w:snapToGrid w:val="0"/>
              <w:spacing w:line="360" w:lineRule="auto"/>
              <w:jc w:val="center"/>
              <w:rPr>
                <w:rFonts w:ascii="仿宋_GB2312" w:hAnsi="仿宋" w:eastAsia="仿宋_GB2312" w:cs="仿宋_GB2312"/>
                <w:sz w:val="24"/>
              </w:rPr>
            </w:pPr>
          </w:p>
        </w:tc>
        <w:tc>
          <w:tcPr>
            <w:tcW w:w="2910" w:type="dxa"/>
            <w:vAlign w:val="center"/>
          </w:tcPr>
          <w:p>
            <w:pPr>
              <w:spacing w:line="360" w:lineRule="auto"/>
              <w:jc w:val="center"/>
              <w:rPr>
                <w:rFonts w:ascii="仿宋_GB2312" w:hAnsi="仿宋" w:eastAsia="仿宋_GB2312" w:cs="仿宋_GB2312"/>
                <w:sz w:val="24"/>
              </w:rPr>
            </w:pPr>
          </w:p>
        </w:tc>
        <w:tc>
          <w:tcPr>
            <w:tcW w:w="2325" w:type="dxa"/>
            <w:vAlign w:val="center"/>
          </w:tcPr>
          <w:p>
            <w:pPr>
              <w:spacing w:line="360" w:lineRule="auto"/>
              <w:jc w:val="center"/>
              <w:rPr>
                <w:rFonts w:ascii="仿宋_GB2312" w:hAnsi="仿宋" w:eastAsia="仿宋_GB2312" w:cs="仿宋_GB2312"/>
                <w:sz w:val="24"/>
              </w:rPr>
            </w:pPr>
          </w:p>
        </w:tc>
        <w:tc>
          <w:tcPr>
            <w:tcW w:w="2373"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90" w:type="dxa"/>
            <w:vAlign w:val="center"/>
          </w:tcPr>
          <w:p>
            <w:pPr>
              <w:snapToGrid w:val="0"/>
              <w:spacing w:line="360" w:lineRule="auto"/>
              <w:jc w:val="center"/>
              <w:rPr>
                <w:rFonts w:ascii="仿宋_GB2312" w:hAnsi="仿宋" w:eastAsia="仿宋_GB2312" w:cs="仿宋_GB2312"/>
                <w:sz w:val="24"/>
              </w:rPr>
            </w:pPr>
          </w:p>
        </w:tc>
        <w:tc>
          <w:tcPr>
            <w:tcW w:w="2175" w:type="dxa"/>
            <w:vAlign w:val="center"/>
          </w:tcPr>
          <w:p>
            <w:pPr>
              <w:snapToGrid w:val="0"/>
              <w:spacing w:line="360" w:lineRule="auto"/>
              <w:jc w:val="center"/>
              <w:rPr>
                <w:rFonts w:ascii="仿宋_GB2312" w:hAnsi="仿宋" w:eastAsia="仿宋_GB2312" w:cs="仿宋_GB2312"/>
                <w:sz w:val="24"/>
              </w:rPr>
            </w:pPr>
          </w:p>
        </w:tc>
        <w:tc>
          <w:tcPr>
            <w:tcW w:w="2445" w:type="dxa"/>
            <w:vAlign w:val="center"/>
          </w:tcPr>
          <w:p>
            <w:pPr>
              <w:snapToGrid w:val="0"/>
              <w:spacing w:line="360" w:lineRule="auto"/>
              <w:jc w:val="center"/>
              <w:rPr>
                <w:rFonts w:ascii="仿宋_GB2312" w:hAnsi="仿宋" w:eastAsia="仿宋_GB2312" w:cs="仿宋_GB2312"/>
                <w:sz w:val="24"/>
              </w:rPr>
            </w:pPr>
          </w:p>
        </w:tc>
        <w:tc>
          <w:tcPr>
            <w:tcW w:w="2910" w:type="dxa"/>
            <w:vAlign w:val="center"/>
          </w:tcPr>
          <w:p>
            <w:pPr>
              <w:spacing w:line="360" w:lineRule="auto"/>
              <w:jc w:val="center"/>
              <w:rPr>
                <w:rFonts w:ascii="仿宋_GB2312" w:hAnsi="仿宋" w:eastAsia="仿宋_GB2312" w:cs="仿宋_GB2312"/>
                <w:sz w:val="24"/>
              </w:rPr>
            </w:pPr>
          </w:p>
        </w:tc>
        <w:tc>
          <w:tcPr>
            <w:tcW w:w="2325" w:type="dxa"/>
            <w:vAlign w:val="center"/>
          </w:tcPr>
          <w:p>
            <w:pPr>
              <w:spacing w:line="360" w:lineRule="auto"/>
              <w:jc w:val="center"/>
              <w:rPr>
                <w:rFonts w:ascii="仿宋_GB2312" w:hAnsi="仿宋" w:eastAsia="仿宋_GB2312" w:cs="仿宋_GB2312"/>
                <w:sz w:val="24"/>
              </w:rPr>
            </w:pPr>
          </w:p>
        </w:tc>
        <w:tc>
          <w:tcPr>
            <w:tcW w:w="2373"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pPr>
              <w:spacing w:line="360" w:lineRule="auto"/>
              <w:jc w:val="center"/>
              <w:rPr>
                <w:rFonts w:ascii="仿宋_GB2312" w:hAnsi="仿宋" w:eastAsia="仿宋_GB2312" w:cs="仿宋_GB2312"/>
                <w:sz w:val="24"/>
              </w:rPr>
            </w:pPr>
          </w:p>
        </w:tc>
        <w:tc>
          <w:tcPr>
            <w:tcW w:w="1590" w:type="dxa"/>
            <w:vAlign w:val="center"/>
          </w:tcPr>
          <w:p>
            <w:pPr>
              <w:snapToGrid w:val="0"/>
              <w:spacing w:line="360" w:lineRule="auto"/>
              <w:jc w:val="center"/>
              <w:rPr>
                <w:rFonts w:ascii="仿宋_GB2312" w:hAnsi="仿宋" w:eastAsia="仿宋_GB2312" w:cs="仿宋_GB2312"/>
                <w:sz w:val="24"/>
              </w:rPr>
            </w:pPr>
          </w:p>
        </w:tc>
        <w:tc>
          <w:tcPr>
            <w:tcW w:w="2175" w:type="dxa"/>
            <w:vAlign w:val="center"/>
          </w:tcPr>
          <w:p>
            <w:pPr>
              <w:snapToGrid w:val="0"/>
              <w:spacing w:line="360" w:lineRule="auto"/>
              <w:jc w:val="center"/>
              <w:rPr>
                <w:rFonts w:ascii="仿宋_GB2312" w:hAnsi="仿宋" w:eastAsia="仿宋_GB2312" w:cs="仿宋_GB2312"/>
                <w:sz w:val="24"/>
              </w:rPr>
            </w:pPr>
          </w:p>
        </w:tc>
        <w:tc>
          <w:tcPr>
            <w:tcW w:w="2445" w:type="dxa"/>
            <w:vAlign w:val="center"/>
          </w:tcPr>
          <w:p>
            <w:pPr>
              <w:snapToGrid w:val="0"/>
              <w:spacing w:line="360" w:lineRule="auto"/>
              <w:jc w:val="center"/>
              <w:rPr>
                <w:rFonts w:ascii="仿宋_GB2312" w:hAnsi="仿宋" w:eastAsia="仿宋_GB2312" w:cs="仿宋_GB2312"/>
                <w:sz w:val="24"/>
              </w:rPr>
            </w:pPr>
          </w:p>
        </w:tc>
        <w:tc>
          <w:tcPr>
            <w:tcW w:w="2910" w:type="dxa"/>
            <w:vAlign w:val="center"/>
          </w:tcPr>
          <w:p>
            <w:pPr>
              <w:spacing w:line="360" w:lineRule="auto"/>
              <w:jc w:val="center"/>
              <w:rPr>
                <w:rFonts w:ascii="仿宋_GB2312" w:hAnsi="仿宋" w:eastAsia="仿宋_GB2312" w:cs="仿宋_GB2312"/>
                <w:sz w:val="24"/>
              </w:rPr>
            </w:pPr>
          </w:p>
        </w:tc>
        <w:tc>
          <w:tcPr>
            <w:tcW w:w="2325" w:type="dxa"/>
            <w:vAlign w:val="center"/>
          </w:tcPr>
          <w:p>
            <w:pPr>
              <w:spacing w:line="360" w:lineRule="auto"/>
              <w:jc w:val="center"/>
              <w:rPr>
                <w:rFonts w:ascii="仿宋_GB2312" w:hAnsi="仿宋" w:eastAsia="仿宋_GB2312" w:cs="仿宋_GB2312"/>
                <w:sz w:val="24"/>
              </w:rPr>
            </w:pPr>
          </w:p>
        </w:tc>
        <w:tc>
          <w:tcPr>
            <w:tcW w:w="2373"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9" w:type="dxa"/>
            <w:vAlign w:val="center"/>
          </w:tcPr>
          <w:p>
            <w:pPr>
              <w:spacing w:line="360" w:lineRule="auto"/>
              <w:jc w:val="center"/>
              <w:rPr>
                <w:rFonts w:ascii="仿宋_GB2312" w:hAnsi="仿宋" w:eastAsia="仿宋_GB2312" w:cs="仿宋_GB2312"/>
                <w:sz w:val="24"/>
              </w:rPr>
            </w:pPr>
          </w:p>
        </w:tc>
        <w:tc>
          <w:tcPr>
            <w:tcW w:w="1590" w:type="dxa"/>
            <w:vAlign w:val="center"/>
          </w:tcPr>
          <w:p>
            <w:pPr>
              <w:snapToGrid w:val="0"/>
              <w:spacing w:line="360" w:lineRule="auto"/>
              <w:jc w:val="center"/>
              <w:rPr>
                <w:rFonts w:ascii="仿宋_GB2312" w:hAnsi="仿宋" w:eastAsia="仿宋_GB2312" w:cs="仿宋_GB2312"/>
                <w:sz w:val="24"/>
              </w:rPr>
            </w:pPr>
          </w:p>
        </w:tc>
        <w:tc>
          <w:tcPr>
            <w:tcW w:w="2175" w:type="dxa"/>
            <w:vAlign w:val="center"/>
          </w:tcPr>
          <w:p>
            <w:pPr>
              <w:snapToGrid w:val="0"/>
              <w:spacing w:line="360" w:lineRule="auto"/>
              <w:jc w:val="center"/>
              <w:rPr>
                <w:rFonts w:ascii="仿宋_GB2312" w:hAnsi="仿宋" w:eastAsia="仿宋_GB2312" w:cs="仿宋_GB2312"/>
                <w:sz w:val="24"/>
              </w:rPr>
            </w:pPr>
          </w:p>
        </w:tc>
        <w:tc>
          <w:tcPr>
            <w:tcW w:w="2445" w:type="dxa"/>
            <w:vAlign w:val="center"/>
          </w:tcPr>
          <w:p>
            <w:pPr>
              <w:snapToGrid w:val="0"/>
              <w:spacing w:line="360" w:lineRule="auto"/>
              <w:jc w:val="center"/>
              <w:rPr>
                <w:rFonts w:ascii="仿宋_GB2312" w:hAnsi="仿宋" w:eastAsia="仿宋_GB2312" w:cs="仿宋_GB2312"/>
                <w:sz w:val="24"/>
              </w:rPr>
            </w:pPr>
          </w:p>
        </w:tc>
        <w:tc>
          <w:tcPr>
            <w:tcW w:w="2910" w:type="dxa"/>
            <w:vAlign w:val="center"/>
          </w:tcPr>
          <w:p>
            <w:pPr>
              <w:spacing w:line="360" w:lineRule="auto"/>
              <w:jc w:val="center"/>
              <w:rPr>
                <w:rFonts w:ascii="仿宋_GB2312" w:hAnsi="仿宋" w:eastAsia="仿宋_GB2312" w:cs="仿宋_GB2312"/>
                <w:sz w:val="24"/>
              </w:rPr>
            </w:pPr>
          </w:p>
        </w:tc>
        <w:tc>
          <w:tcPr>
            <w:tcW w:w="2325" w:type="dxa"/>
            <w:vAlign w:val="center"/>
          </w:tcPr>
          <w:p>
            <w:pPr>
              <w:spacing w:line="360" w:lineRule="auto"/>
              <w:jc w:val="center"/>
              <w:rPr>
                <w:rFonts w:ascii="仿宋_GB2312" w:hAnsi="仿宋" w:eastAsia="仿宋_GB2312" w:cs="仿宋_GB2312"/>
                <w:sz w:val="24"/>
              </w:rPr>
            </w:pPr>
          </w:p>
        </w:tc>
        <w:tc>
          <w:tcPr>
            <w:tcW w:w="2373"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5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w:t>
            </w:r>
            <w:r>
              <w:rPr>
                <w:rFonts w:hint="eastAsia" w:ascii="仿宋_GB2312" w:hAnsi="仿宋" w:eastAsia="仿宋_GB2312" w:cs="Times New Roman"/>
                <w:b/>
                <w:sz w:val="24"/>
              </w:rPr>
              <w:t>固定总价</w:t>
            </w:r>
            <w:r>
              <w:rPr>
                <w:rFonts w:hint="eastAsia" w:ascii="仿宋_GB2312" w:hAnsi="仿宋" w:eastAsia="仿宋_GB2312" w:cs="仿宋_GB2312"/>
                <w:b/>
                <w:sz w:val="24"/>
                <w:lang w:eastAsia="zh-CN"/>
              </w:rPr>
              <w:t>）</w:t>
            </w:r>
            <w:r>
              <w:rPr>
                <w:rFonts w:hint="eastAsia" w:ascii="仿宋_GB2312" w:hAnsi="仿宋" w:eastAsia="仿宋_GB2312" w:cs="仿宋_GB2312"/>
                <w:b/>
                <w:sz w:val="24"/>
              </w:rPr>
              <w:t>（小写）</w:t>
            </w:r>
          </w:p>
        </w:tc>
        <w:tc>
          <w:tcPr>
            <w:tcW w:w="7608" w:type="dxa"/>
            <w:gridSpan w:val="3"/>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的名称、规格、数量、服务要求等予以公示。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4" w:name="_Toc465665161"/>
      <w:r>
        <w:rPr>
          <w:rFonts w:hint="eastAsia" w:ascii="仿宋_GB2312" w:hAnsi="仿宋" w:eastAsia="仿宋_GB2312"/>
        </w:rPr>
        <w:t>附件</w:t>
      </w:r>
      <w:bookmarkEnd w:id="55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5" w:name="OLE_LINK13"/>
      <w:bookmarkStart w:id="556" w:name="OLE_LINK14"/>
      <w:r>
        <w:rPr>
          <w:rFonts w:hint="eastAsia" w:ascii="仿宋_GB2312" w:hAnsi="仿宋" w:eastAsia="仿宋_GB2312"/>
          <w:b/>
          <w:spacing w:val="6"/>
          <w:sz w:val="32"/>
          <w:szCs w:val="32"/>
        </w:rPr>
        <w:t>残疾人福利性单位声明函</w:t>
      </w:r>
    </w:p>
    <w:bookmarkEnd w:id="555"/>
    <w:bookmarkEnd w:id="55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bCs/>
          <w:sz w:val="32"/>
          <w:szCs w:val="32"/>
          <w:lang w:eastAsia="zh-CN"/>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r>
        <w:rPr>
          <w:rFonts w:hint="eastAsia" w:ascii="仿宋" w:hAnsi="仿宋" w:eastAsia="仿宋"/>
          <w:b/>
          <w:bCs/>
          <w:sz w:val="32"/>
          <w:szCs w:val="32"/>
          <w:lang w:eastAsia="zh-CN"/>
        </w:rPr>
        <w:t>（如需要）</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hint="eastAsia" w:ascii="仿宋_GB2312" w:hAnsi="宋体" w:eastAsia="仿宋_GB2312"/>
          <w:sz w:val="24"/>
          <w:u w:val="single"/>
          <w:lang w:eastAsia="zh-CN"/>
        </w:rPr>
        <w:t>杭州市临安区农业农村局</w:t>
      </w:r>
      <w:r>
        <w:rPr>
          <w:rFonts w:hint="eastAsia" w:ascii="仿宋_GB2312" w:hAnsi="宋体" w:eastAsia="仿宋_GB2312"/>
          <w:sz w:val="24"/>
        </w:rPr>
        <w:t>的</w:t>
      </w:r>
      <w:r>
        <w:rPr>
          <w:rFonts w:hint="eastAsia" w:ascii="仿宋_GB2312" w:hAnsi="仿宋" w:eastAsia="仿宋_GB2312" w:cs="Times New Roman"/>
          <w:sz w:val="24"/>
          <w:u w:val="single"/>
          <w:lang w:val="en-US" w:eastAsia="zh-CN"/>
        </w:rPr>
        <w:t>杭州市临安区2022年渔业资源增殖放流项目</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仿宋" w:eastAsia="仿宋_GB2312" w:cs="Times New Roman"/>
          <w:sz w:val="24"/>
          <w:u w:val="single"/>
          <w:lang w:val="en-US" w:eastAsia="zh-CN"/>
        </w:rPr>
        <w:t>杭州市临安区2022年渔业资源增殖放流项目</w:t>
      </w:r>
      <w:r>
        <w:rPr>
          <w:rFonts w:ascii="仿宋_GB2312" w:hAnsi="宋体" w:eastAsia="仿宋_GB2312"/>
          <w:sz w:val="24"/>
        </w:rPr>
        <w:t xml:space="preserve"> ，属于 </w:t>
      </w:r>
      <w:r>
        <w:rPr>
          <w:rFonts w:hint="eastAsia" w:ascii="仿宋_GB2312" w:hAnsi="宋体" w:eastAsia="仿宋_GB2312"/>
          <w:sz w:val="24"/>
          <w:u w:val="single"/>
        </w:rPr>
        <w:t xml:space="preserve"> 农、林、牧、渔业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630" w:firstLineChars="300"/>
        <w:jc w:val="left"/>
        <w:rPr>
          <w:rFonts w:ascii="仿宋_GB2312" w:hAnsi="宋体" w:eastAsia="仿宋_GB2312"/>
          <w:sz w:val="21"/>
          <w:szCs w:val="21"/>
        </w:rPr>
      </w:pPr>
      <w:r>
        <w:rPr>
          <w:rFonts w:hint="eastAsia" w:ascii="仿宋_GB2312" w:hAnsi="宋体" w:eastAsia="仿宋_GB2312"/>
          <w:sz w:val="21"/>
          <w:szCs w:val="21"/>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7" w:name="_Toc164085800"/>
    <w:bookmarkStart w:id="558" w:name="_Toc36110187"/>
    <w:bookmarkStart w:id="559" w:name="_Toc131845147"/>
    <w:bookmarkStart w:id="560" w:name="_Toc91899912"/>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B4151"/>
    <w:multiLevelType w:val="singleLevel"/>
    <w:tmpl w:val="239B415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dlMjMzNDMxNjAxMjA0Yzg5ZDFhZjhhNDA5N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393F"/>
    <w:rsid w:val="04AA775C"/>
    <w:rsid w:val="04AF1889"/>
    <w:rsid w:val="04F66F48"/>
    <w:rsid w:val="04F96D31"/>
    <w:rsid w:val="05111D84"/>
    <w:rsid w:val="05251E14"/>
    <w:rsid w:val="05A16594"/>
    <w:rsid w:val="05A7762D"/>
    <w:rsid w:val="060E5941"/>
    <w:rsid w:val="06110FAF"/>
    <w:rsid w:val="06493CA7"/>
    <w:rsid w:val="064D724A"/>
    <w:rsid w:val="065A6178"/>
    <w:rsid w:val="066F1CF3"/>
    <w:rsid w:val="06930BB8"/>
    <w:rsid w:val="07245D42"/>
    <w:rsid w:val="07264C62"/>
    <w:rsid w:val="0779354C"/>
    <w:rsid w:val="07B61E6D"/>
    <w:rsid w:val="08061376"/>
    <w:rsid w:val="08452D77"/>
    <w:rsid w:val="086401F8"/>
    <w:rsid w:val="08751CAA"/>
    <w:rsid w:val="087E4C40"/>
    <w:rsid w:val="088902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80D62"/>
    <w:rsid w:val="0DD63300"/>
    <w:rsid w:val="0DF50604"/>
    <w:rsid w:val="0DF702FE"/>
    <w:rsid w:val="0E042561"/>
    <w:rsid w:val="0E060E51"/>
    <w:rsid w:val="0E5604B2"/>
    <w:rsid w:val="0E6D5D79"/>
    <w:rsid w:val="0E9D0089"/>
    <w:rsid w:val="0EB57284"/>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371A2"/>
    <w:rsid w:val="11266F33"/>
    <w:rsid w:val="118963A1"/>
    <w:rsid w:val="11C6522A"/>
    <w:rsid w:val="11E104CC"/>
    <w:rsid w:val="11E20309"/>
    <w:rsid w:val="12255233"/>
    <w:rsid w:val="12530213"/>
    <w:rsid w:val="1257068F"/>
    <w:rsid w:val="127723A9"/>
    <w:rsid w:val="12862074"/>
    <w:rsid w:val="12883966"/>
    <w:rsid w:val="129E45B4"/>
    <w:rsid w:val="12D81596"/>
    <w:rsid w:val="13072A44"/>
    <w:rsid w:val="134A6C68"/>
    <w:rsid w:val="135F4BE2"/>
    <w:rsid w:val="13701F72"/>
    <w:rsid w:val="139B1A0A"/>
    <w:rsid w:val="139D25C7"/>
    <w:rsid w:val="13BF3CE4"/>
    <w:rsid w:val="141008D8"/>
    <w:rsid w:val="14125FE6"/>
    <w:rsid w:val="143F1EC9"/>
    <w:rsid w:val="146D271E"/>
    <w:rsid w:val="14982588"/>
    <w:rsid w:val="149A5AD9"/>
    <w:rsid w:val="14A7619D"/>
    <w:rsid w:val="14C16180"/>
    <w:rsid w:val="14DF6087"/>
    <w:rsid w:val="150536C3"/>
    <w:rsid w:val="150C1963"/>
    <w:rsid w:val="151447A0"/>
    <w:rsid w:val="154A6454"/>
    <w:rsid w:val="15762120"/>
    <w:rsid w:val="167C57B9"/>
    <w:rsid w:val="16A8729C"/>
    <w:rsid w:val="16B33777"/>
    <w:rsid w:val="16BC70A7"/>
    <w:rsid w:val="16C6339E"/>
    <w:rsid w:val="172F2D79"/>
    <w:rsid w:val="17557BEF"/>
    <w:rsid w:val="17D349C1"/>
    <w:rsid w:val="1830729E"/>
    <w:rsid w:val="1870062C"/>
    <w:rsid w:val="18817102"/>
    <w:rsid w:val="18830A15"/>
    <w:rsid w:val="18852B28"/>
    <w:rsid w:val="188B5321"/>
    <w:rsid w:val="18AD3105"/>
    <w:rsid w:val="19932372"/>
    <w:rsid w:val="19A20DD5"/>
    <w:rsid w:val="19AE03F1"/>
    <w:rsid w:val="1A071A03"/>
    <w:rsid w:val="1A1F16AE"/>
    <w:rsid w:val="1A3B5C77"/>
    <w:rsid w:val="1A984BAD"/>
    <w:rsid w:val="1AB8220E"/>
    <w:rsid w:val="1AE4166C"/>
    <w:rsid w:val="1AF06CFB"/>
    <w:rsid w:val="1AF11B8D"/>
    <w:rsid w:val="1B0427A5"/>
    <w:rsid w:val="1B11359C"/>
    <w:rsid w:val="1B1B6373"/>
    <w:rsid w:val="1B2A271F"/>
    <w:rsid w:val="1B530544"/>
    <w:rsid w:val="1B713184"/>
    <w:rsid w:val="1B9A214A"/>
    <w:rsid w:val="1BA209CF"/>
    <w:rsid w:val="1BB4777D"/>
    <w:rsid w:val="1BD75AB8"/>
    <w:rsid w:val="1BE75A55"/>
    <w:rsid w:val="1C0459C2"/>
    <w:rsid w:val="1C1B3B4A"/>
    <w:rsid w:val="1C2C023D"/>
    <w:rsid w:val="1C88086E"/>
    <w:rsid w:val="1D266CE1"/>
    <w:rsid w:val="1D3963AF"/>
    <w:rsid w:val="1D6A673C"/>
    <w:rsid w:val="1D864C93"/>
    <w:rsid w:val="1D9247AE"/>
    <w:rsid w:val="1DB567EC"/>
    <w:rsid w:val="1DF51A98"/>
    <w:rsid w:val="1E3D060F"/>
    <w:rsid w:val="1E3F7D2E"/>
    <w:rsid w:val="1E4134E4"/>
    <w:rsid w:val="1E5062B3"/>
    <w:rsid w:val="1E523514"/>
    <w:rsid w:val="1E714A66"/>
    <w:rsid w:val="1E802593"/>
    <w:rsid w:val="1EA13C35"/>
    <w:rsid w:val="1EA703CC"/>
    <w:rsid w:val="1EB7330C"/>
    <w:rsid w:val="1F0A0FF3"/>
    <w:rsid w:val="1F5771FF"/>
    <w:rsid w:val="1FE868A9"/>
    <w:rsid w:val="20034907"/>
    <w:rsid w:val="20173E4B"/>
    <w:rsid w:val="204E48BC"/>
    <w:rsid w:val="208921B3"/>
    <w:rsid w:val="20925C8A"/>
    <w:rsid w:val="20973DEB"/>
    <w:rsid w:val="20A51982"/>
    <w:rsid w:val="20B26522"/>
    <w:rsid w:val="20B44310"/>
    <w:rsid w:val="211116EB"/>
    <w:rsid w:val="216133FC"/>
    <w:rsid w:val="21D56769"/>
    <w:rsid w:val="21E52EF3"/>
    <w:rsid w:val="21FB5D7B"/>
    <w:rsid w:val="220B1C3D"/>
    <w:rsid w:val="221D1D20"/>
    <w:rsid w:val="22334A87"/>
    <w:rsid w:val="225B41CA"/>
    <w:rsid w:val="2264406A"/>
    <w:rsid w:val="22BE6801"/>
    <w:rsid w:val="233500BF"/>
    <w:rsid w:val="23377FF7"/>
    <w:rsid w:val="236B425F"/>
    <w:rsid w:val="23836192"/>
    <w:rsid w:val="23901F29"/>
    <w:rsid w:val="239C0061"/>
    <w:rsid w:val="23B908A4"/>
    <w:rsid w:val="23E95BEF"/>
    <w:rsid w:val="23FD0064"/>
    <w:rsid w:val="245375B0"/>
    <w:rsid w:val="24642C0A"/>
    <w:rsid w:val="24A131D2"/>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1C457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13A8D"/>
    <w:rsid w:val="2B437463"/>
    <w:rsid w:val="2B485D2C"/>
    <w:rsid w:val="2B611105"/>
    <w:rsid w:val="2B7807EE"/>
    <w:rsid w:val="2BBF00EC"/>
    <w:rsid w:val="2BC37CFD"/>
    <w:rsid w:val="2BD5237F"/>
    <w:rsid w:val="2BE536CE"/>
    <w:rsid w:val="2BE758D9"/>
    <w:rsid w:val="2C09049E"/>
    <w:rsid w:val="2C0A653C"/>
    <w:rsid w:val="2C191F85"/>
    <w:rsid w:val="2C8E776E"/>
    <w:rsid w:val="2CE82D6F"/>
    <w:rsid w:val="2D343236"/>
    <w:rsid w:val="2DD15014"/>
    <w:rsid w:val="2DF72DE4"/>
    <w:rsid w:val="2E0220AF"/>
    <w:rsid w:val="2E4B082A"/>
    <w:rsid w:val="2E5D4E86"/>
    <w:rsid w:val="2E5D790B"/>
    <w:rsid w:val="2E9A3C18"/>
    <w:rsid w:val="2EBB0FEE"/>
    <w:rsid w:val="2EC63002"/>
    <w:rsid w:val="2ECC1A88"/>
    <w:rsid w:val="2F0A6B38"/>
    <w:rsid w:val="2F946CCB"/>
    <w:rsid w:val="2FBC2844"/>
    <w:rsid w:val="2FD25781"/>
    <w:rsid w:val="2FFD7934"/>
    <w:rsid w:val="306551F9"/>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A2472"/>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235E4"/>
    <w:rsid w:val="3D8734BB"/>
    <w:rsid w:val="3D9A11D4"/>
    <w:rsid w:val="3DA16D89"/>
    <w:rsid w:val="3DA364BE"/>
    <w:rsid w:val="3DE041CB"/>
    <w:rsid w:val="3E0D48F6"/>
    <w:rsid w:val="3E1868B4"/>
    <w:rsid w:val="3E377251"/>
    <w:rsid w:val="3E3D0FF4"/>
    <w:rsid w:val="3E42664B"/>
    <w:rsid w:val="3E5A7334"/>
    <w:rsid w:val="3E7B5D6B"/>
    <w:rsid w:val="3E843E66"/>
    <w:rsid w:val="3E8F51FE"/>
    <w:rsid w:val="3E926F87"/>
    <w:rsid w:val="3E9A59DE"/>
    <w:rsid w:val="3E9C534D"/>
    <w:rsid w:val="3EAF4836"/>
    <w:rsid w:val="3EC33DFA"/>
    <w:rsid w:val="3F060E16"/>
    <w:rsid w:val="3F1D1096"/>
    <w:rsid w:val="3F2B3083"/>
    <w:rsid w:val="3F2F0234"/>
    <w:rsid w:val="3F6363FE"/>
    <w:rsid w:val="3F756B8F"/>
    <w:rsid w:val="3F95482B"/>
    <w:rsid w:val="4019356B"/>
    <w:rsid w:val="40592157"/>
    <w:rsid w:val="406E1CAE"/>
    <w:rsid w:val="40A0133A"/>
    <w:rsid w:val="40C31A53"/>
    <w:rsid w:val="40FF545D"/>
    <w:rsid w:val="410067C8"/>
    <w:rsid w:val="416251B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E013E"/>
    <w:rsid w:val="43C77C27"/>
    <w:rsid w:val="43DE09EE"/>
    <w:rsid w:val="44002FAD"/>
    <w:rsid w:val="449101DD"/>
    <w:rsid w:val="44DE1391"/>
    <w:rsid w:val="451B225C"/>
    <w:rsid w:val="452410C9"/>
    <w:rsid w:val="45317DFB"/>
    <w:rsid w:val="453666F1"/>
    <w:rsid w:val="456D3CE4"/>
    <w:rsid w:val="4579042C"/>
    <w:rsid w:val="457F0571"/>
    <w:rsid w:val="45851176"/>
    <w:rsid w:val="45C63B94"/>
    <w:rsid w:val="45E2495B"/>
    <w:rsid w:val="460E7DA5"/>
    <w:rsid w:val="46422483"/>
    <w:rsid w:val="4659254A"/>
    <w:rsid w:val="465B0637"/>
    <w:rsid w:val="465E3F0D"/>
    <w:rsid w:val="466A16E6"/>
    <w:rsid w:val="46893F2B"/>
    <w:rsid w:val="46C4686E"/>
    <w:rsid w:val="477B778F"/>
    <w:rsid w:val="478203EC"/>
    <w:rsid w:val="47AA585E"/>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737D63"/>
    <w:rsid w:val="4CB6685F"/>
    <w:rsid w:val="4CC367FE"/>
    <w:rsid w:val="4D077F3C"/>
    <w:rsid w:val="4D123355"/>
    <w:rsid w:val="4D2A3B31"/>
    <w:rsid w:val="4D312C52"/>
    <w:rsid w:val="4D905305"/>
    <w:rsid w:val="4D964A72"/>
    <w:rsid w:val="4D9C1254"/>
    <w:rsid w:val="4DF23BA9"/>
    <w:rsid w:val="4E3A0D6F"/>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393678"/>
    <w:rsid w:val="6B573233"/>
    <w:rsid w:val="6B5B6274"/>
    <w:rsid w:val="6B935D53"/>
    <w:rsid w:val="6BFC1E57"/>
    <w:rsid w:val="6C196F71"/>
    <w:rsid w:val="6C226FCB"/>
    <w:rsid w:val="6C31226F"/>
    <w:rsid w:val="6C552F0B"/>
    <w:rsid w:val="6C8C67B7"/>
    <w:rsid w:val="6C9D744C"/>
    <w:rsid w:val="6CAA0179"/>
    <w:rsid w:val="6D167928"/>
    <w:rsid w:val="6D26299B"/>
    <w:rsid w:val="6D4772EC"/>
    <w:rsid w:val="6D5E36B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0466E"/>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A025C"/>
    <w:rsid w:val="73C0646E"/>
    <w:rsid w:val="742222F5"/>
    <w:rsid w:val="74476126"/>
    <w:rsid w:val="74706664"/>
    <w:rsid w:val="747F3682"/>
    <w:rsid w:val="749C4185"/>
    <w:rsid w:val="75067759"/>
    <w:rsid w:val="752E6DCD"/>
    <w:rsid w:val="75305E3B"/>
    <w:rsid w:val="7551380D"/>
    <w:rsid w:val="75600BE5"/>
    <w:rsid w:val="7564475C"/>
    <w:rsid w:val="7583797F"/>
    <w:rsid w:val="75D20F1D"/>
    <w:rsid w:val="75DA2C18"/>
    <w:rsid w:val="75F54412"/>
    <w:rsid w:val="761D08E0"/>
    <w:rsid w:val="765D347C"/>
    <w:rsid w:val="76826699"/>
    <w:rsid w:val="76B517C3"/>
    <w:rsid w:val="76C87133"/>
    <w:rsid w:val="76CD08D5"/>
    <w:rsid w:val="76DB4B92"/>
    <w:rsid w:val="77052AA4"/>
    <w:rsid w:val="77136511"/>
    <w:rsid w:val="77340A39"/>
    <w:rsid w:val="77351FD0"/>
    <w:rsid w:val="77472422"/>
    <w:rsid w:val="777F31F2"/>
    <w:rsid w:val="778D6C86"/>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66109"/>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15D3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F34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2"/>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9"/>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6"/>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7"/>
    <w:qFormat/>
    <w:uiPriority w:val="0"/>
    <w:rPr>
      <w:b/>
      <w:bCs/>
    </w:rPr>
  </w:style>
  <w:style w:type="paragraph" w:styleId="61">
    <w:name w:val="Body Text First Indent 2"/>
    <w:basedOn w:val="9"/>
    <w:next w:val="3"/>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文本首行缩进 21"/>
    <w:basedOn w:val="9"/>
    <w:qFormat/>
    <w:uiPriority w:val="99"/>
    <w:pPr>
      <w:spacing w:line="200" w:lineRule="atLeast"/>
      <w:ind w:firstLine="420"/>
    </w:pPr>
    <w:rPr>
      <w:rFonts w:hAnsi="Courier New"/>
      <w:spacing w:val="-4"/>
      <w:sz w:val="18"/>
    </w:rPr>
  </w:style>
  <w:style w:type="paragraph" w:customStyle="1" w:styleId="81">
    <w:name w:val="正文文本首行缩进 2"/>
    <w:basedOn w:val="9"/>
    <w:qFormat/>
    <w:uiPriority w:val="99"/>
    <w:pPr>
      <w:spacing w:line="200" w:lineRule="atLeast"/>
      <w:ind w:firstLine="420"/>
    </w:pPr>
    <w:rPr>
      <w:rFonts w:ascii="宋体" w:hAnsi="Courier New"/>
      <w:spacing w:val="-4"/>
      <w:sz w:val="18"/>
    </w:rPr>
  </w:style>
  <w:style w:type="paragraph" w:customStyle="1" w:styleId="8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0"/>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1"/>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0"/>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0"/>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1"/>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 First Indent 21"/>
    <w:basedOn w:val="966"/>
    <w:qFormat/>
    <w:uiPriority w:val="0"/>
    <w:pPr>
      <w:ind w:firstLine="420" w:firstLineChars="200"/>
    </w:pPr>
  </w:style>
  <w:style w:type="paragraph" w:customStyle="1" w:styleId="966">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30872</Words>
  <Characters>32855</Characters>
  <Lines>287</Lines>
  <Paragraphs>81</Paragraphs>
  <TotalTime>2</TotalTime>
  <ScaleCrop>false</ScaleCrop>
  <LinksUpToDate>false</LinksUpToDate>
  <CharactersWithSpaces>37880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2022-03-22T07:39:00Z</cp:lastPrinted>
  <dcterms:modified xsi:type="dcterms:W3CDTF">2022-05-10T06:17:44Z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BCCF09432DDC44F2ADF55AEC9D27803B</vt:lpwstr>
  </property>
</Properties>
</file>